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13586">
      <w:pPr>
        <w:spacing w:line="600" w:lineRule="exact"/>
        <w:jc w:val="center"/>
        <w:outlineLvl w:val="9"/>
        <w:rPr>
          <w:rFonts w:ascii="Arial Unicode MS" w:hAnsi="宋体" w:eastAsia="Arial Unicode MS"/>
          <w:color w:val="000000"/>
          <w:sz w:val="72"/>
          <w:szCs w:val="72"/>
          <w:highlight w:val="none"/>
        </w:rPr>
      </w:pPr>
      <w:bookmarkStart w:id="0" w:name="_Toc15306267"/>
    </w:p>
    <w:p w14:paraId="5295BA19">
      <w:pPr>
        <w:keepNext w:val="0"/>
        <w:keepLines w:val="0"/>
        <w:widowControl w:val="0"/>
        <w:suppressLineNumbers w:val="0"/>
        <w:wordWrap w:val="0"/>
        <w:spacing w:before="0" w:beforeAutospacing="0" w:after="0" w:afterAutospacing="0" w:line="560" w:lineRule="exact"/>
        <w:ind w:left="0" w:right="0"/>
        <w:jc w:val="both"/>
        <w:rPr>
          <w:rFonts w:hint="default" w:ascii="Times New Roman" w:hAnsi="Times New Roman" w:eastAsia="Arial Unicode MS" w:cs="Times New Roman"/>
          <w:sz w:val="44"/>
          <w:szCs w:val="44"/>
          <w:lang w:val="en-US"/>
        </w:rPr>
      </w:pPr>
    </w:p>
    <w:p w14:paraId="2802292F">
      <w:pPr>
        <w:spacing w:line="600" w:lineRule="exact"/>
        <w:jc w:val="center"/>
        <w:outlineLvl w:val="9"/>
        <w:rPr>
          <w:rFonts w:ascii="Arial Unicode MS" w:hAnsi="宋体" w:eastAsia="Arial Unicode MS"/>
          <w:color w:val="000000"/>
          <w:sz w:val="72"/>
          <w:szCs w:val="72"/>
          <w:highlight w:val="none"/>
        </w:rPr>
      </w:pPr>
    </w:p>
    <w:p w14:paraId="3DBCAAF3">
      <w:pPr>
        <w:spacing w:line="600" w:lineRule="exact"/>
        <w:jc w:val="center"/>
        <w:outlineLvl w:val="9"/>
        <w:rPr>
          <w:rFonts w:ascii="Arial Unicode MS" w:hAnsi="宋体" w:eastAsia="Arial Unicode MS"/>
          <w:color w:val="000000"/>
          <w:sz w:val="72"/>
          <w:szCs w:val="72"/>
          <w:highlight w:val="none"/>
        </w:rPr>
      </w:pPr>
    </w:p>
    <w:p w14:paraId="71CFAA79">
      <w:pPr>
        <w:spacing w:line="600" w:lineRule="exact"/>
        <w:jc w:val="center"/>
        <w:outlineLvl w:val="9"/>
        <w:rPr>
          <w:rFonts w:ascii="Arial Unicode MS" w:hAnsi="宋体" w:eastAsia="Arial Unicode MS"/>
          <w:color w:val="000000"/>
          <w:sz w:val="72"/>
          <w:szCs w:val="72"/>
          <w:highlight w:val="none"/>
        </w:rPr>
      </w:pPr>
    </w:p>
    <w:p w14:paraId="41CC4743">
      <w:pPr>
        <w:adjustRightInd w:val="0"/>
        <w:snapToGrid w:val="0"/>
        <w:spacing w:line="360" w:lineRule="auto"/>
        <w:jc w:val="center"/>
        <w:outlineLvl w:val="0"/>
        <w:rPr>
          <w:rFonts w:hint="eastAsia" w:ascii="方正小标宋简体" w:hAnsi="方正小标宋简体" w:eastAsia="方正小标宋简体" w:cs="方正小标宋简体"/>
          <w:b w:val="0"/>
          <w:bCs w:val="0"/>
          <w:color w:val="000000"/>
          <w:sz w:val="52"/>
          <w:szCs w:val="52"/>
          <w:highlight w:val="none"/>
          <w:lang w:eastAsia="zh-CN"/>
        </w:rPr>
      </w:pPr>
      <w:bookmarkStart w:id="1" w:name="_Toc10076"/>
      <w:r>
        <w:rPr>
          <w:rFonts w:hint="eastAsia" w:ascii="方正小标宋简体" w:hAnsi="方正小标宋简体" w:eastAsia="方正小标宋简体" w:cs="方正小标宋简体"/>
          <w:b w:val="0"/>
          <w:bCs w:val="0"/>
          <w:color w:val="000000"/>
          <w:sz w:val="52"/>
          <w:szCs w:val="52"/>
          <w:highlight w:val="none"/>
          <w:lang w:eastAsia="zh-CN"/>
        </w:rPr>
        <w:t>2024</w:t>
      </w:r>
      <w:r>
        <w:rPr>
          <w:rFonts w:hint="eastAsia" w:ascii="方正小标宋简体" w:hAnsi="方正小标宋简体" w:eastAsia="方正小标宋简体" w:cs="方正小标宋简体"/>
          <w:b w:val="0"/>
          <w:bCs w:val="0"/>
          <w:color w:val="000000"/>
          <w:sz w:val="52"/>
          <w:szCs w:val="52"/>
          <w:highlight w:val="none"/>
        </w:rPr>
        <w:t>年</w:t>
      </w:r>
      <w:r>
        <w:rPr>
          <w:rFonts w:hint="eastAsia" w:ascii="方正小标宋简体" w:hAnsi="方正小标宋简体" w:eastAsia="方正小标宋简体" w:cs="方正小标宋简体"/>
          <w:b w:val="0"/>
          <w:bCs w:val="0"/>
          <w:color w:val="000000"/>
          <w:sz w:val="52"/>
          <w:szCs w:val="52"/>
          <w:highlight w:val="none"/>
          <w:lang w:eastAsia="zh-CN"/>
        </w:rPr>
        <w:t>度</w:t>
      </w:r>
      <w:bookmarkEnd w:id="1"/>
    </w:p>
    <w:p w14:paraId="744BCF68">
      <w:pPr>
        <w:adjustRightInd w:val="0"/>
        <w:snapToGrid w:val="0"/>
        <w:spacing w:line="360" w:lineRule="auto"/>
        <w:jc w:val="center"/>
        <w:outlineLvl w:val="0"/>
        <w:rPr>
          <w:rFonts w:hint="eastAsia" w:ascii="方正小标宋简体" w:hAnsi="方正小标宋简体" w:eastAsia="方正小标宋简体" w:cs="方正小标宋简体"/>
          <w:b w:val="0"/>
          <w:bCs w:val="0"/>
          <w:color w:val="000000"/>
          <w:sz w:val="52"/>
          <w:szCs w:val="52"/>
          <w:highlight w:val="none"/>
          <w:lang w:eastAsia="zh-CN"/>
        </w:rPr>
      </w:pPr>
      <w:bookmarkStart w:id="2" w:name="_Toc16760"/>
      <w:r>
        <w:rPr>
          <w:rFonts w:hint="eastAsia" w:ascii="方正小标宋简体" w:hAnsi="方正小标宋简体" w:eastAsia="方正小标宋简体" w:cs="方正小标宋简体"/>
          <w:b w:val="0"/>
          <w:bCs w:val="0"/>
          <w:color w:val="000000"/>
          <w:sz w:val="52"/>
          <w:szCs w:val="52"/>
          <w:highlight w:val="none"/>
          <w:lang w:eastAsia="zh-CN"/>
        </w:rPr>
        <w:t>四川省</w:t>
      </w:r>
      <w:r>
        <w:rPr>
          <w:rFonts w:hint="eastAsia" w:ascii="方正小标宋简体" w:hAnsi="方正小标宋简体" w:eastAsia="方正小标宋简体" w:cs="方正小标宋简体"/>
          <w:b w:val="0"/>
          <w:bCs w:val="0"/>
          <w:color w:val="000000"/>
          <w:sz w:val="52"/>
          <w:szCs w:val="52"/>
          <w:highlight w:val="none"/>
        </w:rPr>
        <w:t>遂宁市安居区</w:t>
      </w:r>
      <w:r>
        <w:rPr>
          <w:rFonts w:hint="eastAsia" w:ascii="方正小标宋简体" w:hAnsi="方正小标宋简体" w:eastAsia="方正小标宋简体" w:cs="方正小标宋简体"/>
          <w:b w:val="0"/>
          <w:bCs w:val="0"/>
          <w:color w:val="000000"/>
          <w:sz w:val="52"/>
          <w:szCs w:val="52"/>
          <w:highlight w:val="none"/>
          <w:lang w:eastAsia="zh-CN"/>
        </w:rPr>
        <w:t>审计局</w:t>
      </w:r>
      <w:bookmarkEnd w:id="2"/>
    </w:p>
    <w:p w14:paraId="38AC95F1">
      <w:pPr>
        <w:adjustRightInd w:val="0"/>
        <w:snapToGrid w:val="0"/>
        <w:spacing w:line="360" w:lineRule="auto"/>
        <w:jc w:val="center"/>
        <w:outlineLvl w:val="0"/>
        <w:rPr>
          <w:rFonts w:hint="eastAsia" w:ascii="方正小标宋简体" w:hAnsi="方正小标宋简体" w:eastAsia="方正小标宋简体" w:cs="方正小标宋简体"/>
          <w:b w:val="0"/>
          <w:bCs w:val="0"/>
          <w:color w:val="000000"/>
          <w:sz w:val="52"/>
          <w:szCs w:val="52"/>
          <w:highlight w:val="none"/>
        </w:rPr>
      </w:pPr>
      <w:bookmarkStart w:id="3" w:name="_Toc21458"/>
      <w:r>
        <w:rPr>
          <w:rFonts w:hint="eastAsia" w:ascii="方正小标宋简体" w:hAnsi="方正小标宋简体" w:eastAsia="方正小标宋简体" w:cs="方正小标宋简体"/>
          <w:b w:val="0"/>
          <w:bCs w:val="0"/>
          <w:color w:val="000000"/>
          <w:sz w:val="52"/>
          <w:szCs w:val="52"/>
          <w:highlight w:val="none"/>
          <w:lang w:eastAsia="zh-CN"/>
        </w:rPr>
        <w:t>部门</w:t>
      </w:r>
      <w:r>
        <w:rPr>
          <w:rFonts w:hint="eastAsia" w:ascii="方正小标宋简体" w:hAnsi="方正小标宋简体" w:eastAsia="方正小标宋简体" w:cs="方正小标宋简体"/>
          <w:b w:val="0"/>
          <w:bCs w:val="0"/>
          <w:color w:val="000000"/>
          <w:sz w:val="52"/>
          <w:szCs w:val="52"/>
          <w:highlight w:val="none"/>
        </w:rPr>
        <w:t>决算</w:t>
      </w:r>
      <w:bookmarkEnd w:id="3"/>
    </w:p>
    <w:p w14:paraId="30061D67">
      <w:pPr>
        <w:adjustRightInd w:val="0"/>
        <w:snapToGrid w:val="0"/>
        <w:spacing w:line="360" w:lineRule="auto"/>
        <w:jc w:val="both"/>
        <w:outlineLvl w:val="0"/>
        <w:rPr>
          <w:rFonts w:hint="eastAsia" w:ascii="Arial Unicode MS" w:hAnsi="Arial Unicode MS" w:eastAsia="Arial Unicode MS" w:cs="Arial Unicode MS"/>
          <w:color w:val="000000"/>
          <w:sz w:val="52"/>
          <w:szCs w:val="52"/>
          <w:highlight w:val="none"/>
        </w:rPr>
      </w:pPr>
    </w:p>
    <w:p w14:paraId="19D301A2">
      <w:pPr>
        <w:adjustRightInd w:val="0"/>
        <w:snapToGrid w:val="0"/>
        <w:spacing w:line="360" w:lineRule="auto"/>
        <w:jc w:val="both"/>
        <w:outlineLvl w:val="0"/>
        <w:rPr>
          <w:rFonts w:hint="eastAsia" w:ascii="Arial Unicode MS" w:hAnsi="Arial Unicode MS" w:eastAsia="Arial Unicode MS" w:cs="Arial Unicode MS"/>
          <w:color w:val="000000"/>
          <w:sz w:val="52"/>
          <w:szCs w:val="52"/>
          <w:highlight w:val="none"/>
        </w:rPr>
      </w:pPr>
    </w:p>
    <w:p w14:paraId="65C440F4">
      <w:pPr>
        <w:adjustRightInd w:val="0"/>
        <w:snapToGrid w:val="0"/>
        <w:spacing w:line="360" w:lineRule="auto"/>
        <w:jc w:val="both"/>
        <w:outlineLvl w:val="0"/>
        <w:rPr>
          <w:rFonts w:hint="eastAsia" w:ascii="Arial Unicode MS" w:hAnsi="Arial Unicode MS" w:eastAsia="Arial Unicode MS" w:cs="Arial Unicode MS"/>
          <w:color w:val="000000"/>
          <w:sz w:val="52"/>
          <w:szCs w:val="52"/>
          <w:highlight w:val="none"/>
        </w:rPr>
      </w:pPr>
    </w:p>
    <w:p w14:paraId="59D98909">
      <w:pPr>
        <w:adjustRightInd w:val="0"/>
        <w:snapToGrid w:val="0"/>
        <w:spacing w:line="360" w:lineRule="auto"/>
        <w:jc w:val="both"/>
        <w:outlineLvl w:val="0"/>
        <w:rPr>
          <w:rFonts w:hint="eastAsia" w:ascii="Arial Unicode MS" w:hAnsi="Arial Unicode MS" w:eastAsia="Arial Unicode MS" w:cs="Arial Unicode MS"/>
          <w:color w:val="000000"/>
          <w:sz w:val="52"/>
          <w:szCs w:val="52"/>
          <w:highlight w:val="none"/>
        </w:rPr>
      </w:pPr>
    </w:p>
    <w:p w14:paraId="539D349E">
      <w:pPr>
        <w:adjustRightInd w:val="0"/>
        <w:snapToGrid w:val="0"/>
        <w:spacing w:line="360" w:lineRule="auto"/>
        <w:jc w:val="both"/>
        <w:outlineLvl w:val="0"/>
        <w:rPr>
          <w:rFonts w:hint="eastAsia" w:ascii="Arial Unicode MS" w:hAnsi="Arial Unicode MS" w:eastAsia="Arial Unicode MS" w:cs="Arial Unicode MS"/>
          <w:color w:val="000000"/>
          <w:sz w:val="52"/>
          <w:szCs w:val="52"/>
          <w:highlight w:val="none"/>
        </w:rPr>
      </w:pPr>
    </w:p>
    <w:p w14:paraId="4B2EA6FE">
      <w:pPr>
        <w:adjustRightInd w:val="0"/>
        <w:snapToGrid w:val="0"/>
        <w:spacing w:line="360" w:lineRule="auto"/>
        <w:jc w:val="both"/>
        <w:outlineLvl w:val="0"/>
        <w:rPr>
          <w:rFonts w:hint="eastAsia" w:ascii="Arial Unicode MS" w:hAnsi="Arial Unicode MS" w:eastAsia="Arial Unicode MS" w:cs="Arial Unicode MS"/>
          <w:color w:val="000000"/>
          <w:sz w:val="52"/>
          <w:szCs w:val="52"/>
          <w:highlight w:val="none"/>
        </w:rPr>
      </w:pPr>
    </w:p>
    <w:bookmarkEnd w:id="0"/>
    <w:p w14:paraId="7D8F95A6">
      <w:pPr>
        <w:widowControl/>
        <w:jc w:val="center"/>
        <w:rPr>
          <w:rFonts w:ascii="黑体" w:hAnsi="黑体" w:eastAsia="黑体"/>
          <w:b/>
          <w:bCs/>
          <w:color w:val="000000"/>
          <w:sz w:val="48"/>
          <w:szCs w:val="48"/>
          <w:highlight w:val="none"/>
        </w:rPr>
      </w:pPr>
      <w:r>
        <w:rPr>
          <w:rFonts w:hint="eastAsia" w:ascii="黑体" w:hAnsi="黑体" w:eastAsia="黑体"/>
          <w:b/>
          <w:bCs/>
          <w:color w:val="000000"/>
          <w:sz w:val="48"/>
          <w:szCs w:val="48"/>
          <w:highlight w:val="none"/>
        </w:rPr>
        <w:t>目</w:t>
      </w:r>
      <w:r>
        <w:rPr>
          <w:rFonts w:hint="eastAsia" w:ascii="黑体" w:hAnsi="黑体" w:eastAsia="黑体"/>
          <w:b/>
          <w:bCs/>
          <w:color w:val="000000"/>
          <w:sz w:val="48"/>
          <w:szCs w:val="48"/>
          <w:highlight w:val="none"/>
          <w:lang w:val="en-US" w:eastAsia="zh-CN"/>
        </w:rPr>
        <w:t xml:space="preserve">  </w:t>
      </w:r>
      <w:r>
        <w:rPr>
          <w:rFonts w:hint="eastAsia" w:ascii="黑体" w:hAnsi="黑体" w:eastAsia="黑体"/>
          <w:b/>
          <w:bCs/>
          <w:color w:val="000000"/>
          <w:sz w:val="48"/>
          <w:szCs w:val="48"/>
          <w:highlight w:val="none"/>
        </w:rPr>
        <w:t>录</w:t>
      </w:r>
    </w:p>
    <w:p w14:paraId="24A75811">
      <w:pPr>
        <w:spacing w:before="0" w:beforeLines="0" w:after="0" w:afterLines="0" w:line="240" w:lineRule="auto"/>
        <w:ind w:left="0" w:leftChars="0" w:right="0" w:rightChars="0" w:firstLine="0" w:firstLineChars="0"/>
        <w:jc w:val="center"/>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公开时间：</w:t>
      </w:r>
      <w:r>
        <w:rPr>
          <w:rFonts w:hint="eastAsia" w:ascii="楷体" w:hAnsi="楷体" w:eastAsia="楷体" w:cs="楷体"/>
          <w:b/>
          <w:bCs/>
          <w:sz w:val="32"/>
          <w:szCs w:val="32"/>
          <w:highlight w:val="none"/>
          <w:lang w:eastAsia="zh-CN"/>
        </w:rPr>
        <w:t>202</w:t>
      </w:r>
      <w:r>
        <w:rPr>
          <w:rFonts w:hint="eastAsia" w:ascii="楷体" w:hAnsi="楷体" w:eastAsia="楷体" w:cs="楷体"/>
          <w:b/>
          <w:bCs/>
          <w:sz w:val="32"/>
          <w:szCs w:val="32"/>
          <w:highlight w:val="none"/>
          <w:lang w:val="en-US" w:eastAsia="zh-CN"/>
        </w:rPr>
        <w:t>5</w:t>
      </w:r>
      <w:r>
        <w:rPr>
          <w:rFonts w:hint="eastAsia" w:ascii="楷体" w:hAnsi="楷体" w:eastAsia="楷体" w:cs="楷体"/>
          <w:b/>
          <w:bCs/>
          <w:sz w:val="32"/>
          <w:szCs w:val="32"/>
          <w:highlight w:val="none"/>
          <w:lang w:eastAsia="zh-CN"/>
        </w:rPr>
        <w:t>年8月2</w:t>
      </w:r>
      <w:r>
        <w:rPr>
          <w:rFonts w:hint="eastAsia" w:ascii="楷体" w:hAnsi="楷体" w:eastAsia="楷体" w:cs="楷体"/>
          <w:b/>
          <w:bCs/>
          <w:sz w:val="32"/>
          <w:szCs w:val="32"/>
          <w:highlight w:val="none"/>
          <w:lang w:val="en-US" w:eastAsia="zh-CN"/>
        </w:rPr>
        <w:t>2</w:t>
      </w:r>
      <w:r>
        <w:rPr>
          <w:rFonts w:hint="eastAsia" w:ascii="楷体" w:hAnsi="楷体" w:eastAsia="楷体" w:cs="楷体"/>
          <w:b/>
          <w:bCs/>
          <w:sz w:val="32"/>
          <w:szCs w:val="32"/>
          <w:highlight w:val="none"/>
          <w:lang w:eastAsia="zh-CN"/>
        </w:rPr>
        <w:t>日</w:t>
      </w:r>
    </w:p>
    <w:sdt>
      <w:sdtPr>
        <w:rPr>
          <w:rFonts w:ascii="宋体" w:hAnsi="宋体" w:eastAsia="宋体" w:cs="Times New Roman"/>
          <w:kern w:val="2"/>
          <w:sz w:val="21"/>
          <w:szCs w:val="24"/>
          <w:lang w:val="en-US" w:eastAsia="zh-CN" w:bidi="ar-SA"/>
        </w:rPr>
        <w:id w:val="147482137"/>
        <w15:color w:val="DBDBDB"/>
        <w:docPartObj>
          <w:docPartGallery w:val="Table of Contents"/>
          <w:docPartUnique/>
        </w:docPartObj>
      </w:sdtPr>
      <w:sdtEndPr>
        <w:rPr>
          <w:rFonts w:hint="eastAsia" w:ascii="仿宋_GB2312" w:hAnsi="仿宋_GB2312" w:eastAsia="仿宋_GB2312" w:cs="仿宋_GB2312"/>
          <w:kern w:val="2"/>
          <w:sz w:val="21"/>
          <w:szCs w:val="21"/>
          <w:highlight w:val="none"/>
          <w:lang w:val="en-US" w:eastAsia="zh-CN" w:bidi="ar-SA"/>
        </w:rPr>
      </w:sdtEndPr>
      <w:sdtContent>
        <w:p w14:paraId="6E7C6940">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TOC \o "1-2" \h \u </w:instrText>
          </w:r>
          <w:r>
            <w:rPr>
              <w:rFonts w:hint="eastAsia" w:ascii="仿宋_GB2312" w:hAnsi="仿宋_GB2312" w:eastAsia="仿宋_GB2312" w:cs="仿宋_GB2312"/>
              <w:sz w:val="21"/>
              <w:szCs w:val="21"/>
              <w:highlight w:val="none"/>
            </w:rPr>
            <w:fldChar w:fldCharType="separate"/>
          </w:r>
        </w:p>
        <w:p w14:paraId="4E544B80">
          <w:pPr>
            <w:pStyle w:val="15"/>
            <w:tabs>
              <w:tab w:val="right" w:leader="dot" w:pos="8306"/>
              <w:tab w:val="clear" w:pos="8296"/>
            </w:tabs>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fldChar w:fldCharType="begin"/>
          </w:r>
          <w:r>
            <w:rPr>
              <w:rFonts w:hint="eastAsia" w:ascii="仿宋_GB2312" w:hAnsi="仿宋_GB2312" w:eastAsia="仿宋_GB2312" w:cs="仿宋_GB2312"/>
              <w:b/>
              <w:bCs/>
              <w:sz w:val="21"/>
              <w:szCs w:val="21"/>
              <w:highlight w:val="none"/>
            </w:rPr>
            <w:instrText xml:space="preserve"> HYPERLINK \l _Toc9642 </w:instrText>
          </w:r>
          <w:r>
            <w:rPr>
              <w:rFonts w:hint="eastAsia" w:ascii="仿宋_GB2312" w:hAnsi="仿宋_GB2312" w:eastAsia="仿宋_GB2312" w:cs="仿宋_GB2312"/>
              <w:b/>
              <w:bCs/>
              <w:sz w:val="21"/>
              <w:szCs w:val="21"/>
              <w:highlight w:val="none"/>
            </w:rPr>
            <w:fldChar w:fldCharType="separate"/>
          </w:r>
          <w:r>
            <w:rPr>
              <w:rFonts w:hint="eastAsia" w:ascii="黑体" w:hAnsi="黑体" w:eastAsia="黑体" w:cs="黑体"/>
              <w:b w:val="0"/>
              <w:bCs w:val="0"/>
              <w:kern w:val="2"/>
              <w:sz w:val="28"/>
              <w:szCs w:val="28"/>
              <w:highlight w:val="none"/>
              <w:lang w:val="en-US" w:eastAsia="zh-CN" w:bidi="ar-SA"/>
            </w:rPr>
            <w:t>第一部分  部门概况</w:t>
          </w:r>
          <w:r>
            <w:rPr>
              <w:rFonts w:hint="eastAsia" w:ascii="仿宋_GB2312" w:hAnsi="仿宋_GB2312" w:eastAsia="仿宋_GB2312" w:cs="仿宋_GB2312"/>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_Toc9642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1</w:t>
          </w:r>
          <w:r>
            <w:rPr>
              <w:rFonts w:hint="eastAsia" w:ascii="宋体" w:hAnsi="宋体" w:eastAsia="宋体" w:cs="宋体"/>
              <w:b/>
              <w:bCs/>
              <w:sz w:val="21"/>
              <w:szCs w:val="21"/>
              <w:highlight w:val="none"/>
            </w:rPr>
            <w:fldChar w:fldCharType="end"/>
          </w:r>
          <w:r>
            <w:rPr>
              <w:rFonts w:hint="eastAsia" w:ascii="仿宋_GB2312" w:hAnsi="仿宋_GB2312" w:eastAsia="仿宋_GB2312" w:cs="仿宋_GB2312"/>
              <w:b/>
              <w:bCs/>
              <w:sz w:val="21"/>
              <w:szCs w:val="21"/>
              <w:highlight w:val="none"/>
            </w:rPr>
            <w:fldChar w:fldCharType="end"/>
          </w:r>
        </w:p>
        <w:p w14:paraId="5B4A429C">
          <w:pPr>
            <w:pStyle w:val="17"/>
            <w:tabs>
              <w:tab w:val="right" w:leader="dot" w:pos="8306"/>
              <w:tab w:val="clear" w:pos="8296"/>
            </w:tabs>
            <w:rPr>
              <w:rFonts w:hint="eastAsia" w:ascii="楷体" w:hAnsi="楷体" w:eastAsia="楷体" w:cs="楷体"/>
              <w:b/>
              <w:bCs/>
              <w:sz w:val="21"/>
              <w:szCs w:val="21"/>
              <w:highlight w:val="none"/>
            </w:rPr>
          </w:pPr>
          <w:r>
            <w:rPr>
              <w:rFonts w:hint="eastAsia" w:ascii="楷体" w:hAnsi="楷体" w:eastAsia="楷体" w:cs="楷体"/>
              <w:b/>
              <w:bCs/>
              <w:sz w:val="21"/>
              <w:szCs w:val="21"/>
              <w:highlight w:val="none"/>
            </w:rPr>
            <w:fldChar w:fldCharType="begin"/>
          </w:r>
          <w:r>
            <w:rPr>
              <w:rFonts w:hint="eastAsia" w:ascii="楷体" w:hAnsi="楷体" w:eastAsia="楷体" w:cs="楷体"/>
              <w:b/>
              <w:bCs/>
              <w:sz w:val="21"/>
              <w:szCs w:val="21"/>
              <w:highlight w:val="none"/>
            </w:rPr>
            <w:instrText xml:space="preserve"> HYPERLINK \l _Toc21664 </w:instrText>
          </w:r>
          <w:r>
            <w:rPr>
              <w:rFonts w:hint="eastAsia" w:ascii="楷体" w:hAnsi="楷体" w:eastAsia="楷体" w:cs="楷体"/>
              <w:b/>
              <w:bCs/>
              <w:sz w:val="21"/>
              <w:szCs w:val="21"/>
              <w:highlight w:val="none"/>
            </w:rPr>
            <w:fldChar w:fldCharType="separate"/>
          </w:r>
          <w:r>
            <w:rPr>
              <w:rFonts w:hint="eastAsia" w:ascii="楷体" w:hAnsi="楷体" w:eastAsia="楷体" w:cs="楷体"/>
              <w:b w:val="0"/>
              <w:bCs w:val="0"/>
              <w:sz w:val="21"/>
              <w:szCs w:val="21"/>
              <w:highlight w:val="none"/>
            </w:rPr>
            <w:t>一、</w:t>
          </w:r>
          <w:r>
            <w:rPr>
              <w:rFonts w:hint="eastAsia" w:ascii="楷体" w:hAnsi="楷体" w:eastAsia="楷体" w:cs="楷体"/>
              <w:b w:val="0"/>
              <w:bCs w:val="0"/>
              <w:sz w:val="21"/>
              <w:szCs w:val="21"/>
              <w:highlight w:val="none"/>
              <w:lang w:eastAsia="zh-CN"/>
            </w:rPr>
            <w:t>部门职责</w:t>
          </w:r>
          <w:r>
            <w:rPr>
              <w:rFonts w:hint="eastAsia" w:ascii="楷体" w:hAnsi="楷体" w:eastAsia="楷体" w:cs="楷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_Toc21664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1</w:t>
          </w:r>
          <w:r>
            <w:rPr>
              <w:rFonts w:hint="eastAsia" w:ascii="宋体" w:hAnsi="宋体" w:eastAsia="宋体" w:cs="宋体"/>
              <w:b/>
              <w:bCs/>
              <w:sz w:val="21"/>
              <w:szCs w:val="21"/>
              <w:highlight w:val="none"/>
            </w:rPr>
            <w:fldChar w:fldCharType="end"/>
          </w:r>
          <w:r>
            <w:rPr>
              <w:rFonts w:hint="eastAsia" w:ascii="楷体" w:hAnsi="楷体" w:eastAsia="楷体" w:cs="楷体"/>
              <w:b/>
              <w:bCs/>
              <w:sz w:val="21"/>
              <w:szCs w:val="21"/>
              <w:highlight w:val="none"/>
            </w:rPr>
            <w:fldChar w:fldCharType="end"/>
          </w:r>
        </w:p>
        <w:p w14:paraId="238A2CAB">
          <w:pPr>
            <w:pStyle w:val="17"/>
            <w:tabs>
              <w:tab w:val="right" w:leader="dot" w:pos="8306"/>
              <w:tab w:val="clear" w:pos="8296"/>
            </w:tabs>
            <w:rPr>
              <w:rFonts w:hint="eastAsia" w:ascii="仿宋_GB2312" w:hAnsi="仿宋_GB2312" w:eastAsia="仿宋_GB2312" w:cs="仿宋_GB2312"/>
              <w:b/>
              <w:bCs/>
              <w:sz w:val="21"/>
              <w:szCs w:val="21"/>
              <w:highlight w:val="none"/>
            </w:rPr>
          </w:pPr>
          <w:r>
            <w:rPr>
              <w:rFonts w:hint="eastAsia" w:ascii="楷体" w:hAnsi="楷体" w:eastAsia="楷体" w:cs="楷体"/>
              <w:b/>
              <w:bCs/>
              <w:sz w:val="21"/>
              <w:szCs w:val="21"/>
              <w:highlight w:val="none"/>
            </w:rPr>
            <w:fldChar w:fldCharType="begin"/>
          </w:r>
          <w:r>
            <w:rPr>
              <w:rFonts w:hint="eastAsia" w:ascii="楷体" w:hAnsi="楷体" w:eastAsia="楷体" w:cs="楷体"/>
              <w:b/>
              <w:bCs/>
              <w:sz w:val="21"/>
              <w:szCs w:val="21"/>
              <w:highlight w:val="none"/>
            </w:rPr>
            <w:instrText xml:space="preserve"> HYPERLINK \l _Toc23732 </w:instrText>
          </w:r>
          <w:r>
            <w:rPr>
              <w:rFonts w:hint="eastAsia" w:ascii="楷体" w:hAnsi="楷体" w:eastAsia="楷体" w:cs="楷体"/>
              <w:b/>
              <w:bCs/>
              <w:sz w:val="21"/>
              <w:szCs w:val="21"/>
              <w:highlight w:val="none"/>
            </w:rPr>
            <w:fldChar w:fldCharType="separate"/>
          </w:r>
          <w:r>
            <w:rPr>
              <w:rFonts w:hint="eastAsia" w:ascii="楷体" w:hAnsi="楷体" w:eastAsia="楷体" w:cs="楷体"/>
              <w:b w:val="0"/>
              <w:bCs w:val="0"/>
              <w:sz w:val="21"/>
              <w:szCs w:val="21"/>
              <w:highlight w:val="none"/>
            </w:rPr>
            <w:t>二、机构设置</w:t>
          </w:r>
          <w:r>
            <w:rPr>
              <w:rFonts w:hint="eastAsia" w:ascii="楷体" w:hAnsi="楷体" w:eastAsia="楷体" w:cs="楷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_Toc23732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3</w:t>
          </w:r>
          <w:r>
            <w:rPr>
              <w:rFonts w:hint="eastAsia" w:ascii="宋体" w:hAnsi="宋体" w:eastAsia="宋体" w:cs="宋体"/>
              <w:b/>
              <w:bCs/>
              <w:sz w:val="21"/>
              <w:szCs w:val="21"/>
              <w:highlight w:val="none"/>
            </w:rPr>
            <w:fldChar w:fldCharType="end"/>
          </w:r>
          <w:r>
            <w:rPr>
              <w:rFonts w:hint="eastAsia" w:ascii="楷体" w:hAnsi="楷体" w:eastAsia="楷体" w:cs="楷体"/>
              <w:b/>
              <w:bCs/>
              <w:sz w:val="21"/>
              <w:szCs w:val="21"/>
              <w:highlight w:val="none"/>
            </w:rPr>
            <w:fldChar w:fldCharType="end"/>
          </w:r>
        </w:p>
        <w:p w14:paraId="744E0CD5">
          <w:pPr>
            <w:pStyle w:val="15"/>
            <w:tabs>
              <w:tab w:val="right" w:leader="dot" w:pos="8306"/>
              <w:tab w:val="clear" w:pos="8296"/>
            </w:tabs>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fldChar w:fldCharType="begin"/>
          </w:r>
          <w:r>
            <w:rPr>
              <w:rFonts w:hint="eastAsia" w:ascii="仿宋_GB2312" w:hAnsi="仿宋_GB2312" w:eastAsia="仿宋_GB2312" w:cs="仿宋_GB2312"/>
              <w:b/>
              <w:bCs/>
              <w:sz w:val="21"/>
              <w:szCs w:val="21"/>
              <w:highlight w:val="none"/>
            </w:rPr>
            <w:instrText xml:space="preserve"> HYPERLINK \l _Toc15940 </w:instrText>
          </w:r>
          <w:r>
            <w:rPr>
              <w:rFonts w:hint="eastAsia" w:ascii="仿宋_GB2312" w:hAnsi="仿宋_GB2312" w:eastAsia="仿宋_GB2312" w:cs="仿宋_GB2312"/>
              <w:b/>
              <w:bCs/>
              <w:sz w:val="21"/>
              <w:szCs w:val="21"/>
              <w:highlight w:val="none"/>
            </w:rPr>
            <w:fldChar w:fldCharType="separate"/>
          </w:r>
          <w:r>
            <w:rPr>
              <w:rFonts w:hint="eastAsia" w:ascii="黑体" w:hAnsi="黑体" w:eastAsia="黑体" w:cs="黑体"/>
              <w:b w:val="0"/>
              <w:bCs w:val="0"/>
              <w:kern w:val="2"/>
              <w:sz w:val="28"/>
              <w:szCs w:val="28"/>
              <w:highlight w:val="none"/>
              <w:lang w:val="en-US" w:eastAsia="zh-CN" w:bidi="ar-SA"/>
            </w:rPr>
            <w:t>第二部分  2024年度部门决算情况说明</w:t>
          </w:r>
          <w:r>
            <w:rPr>
              <w:rFonts w:hint="eastAsia" w:ascii="仿宋_GB2312" w:hAnsi="仿宋_GB2312" w:eastAsia="仿宋_GB2312" w:cs="仿宋_GB2312"/>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_Toc15940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4</w:t>
          </w:r>
          <w:r>
            <w:rPr>
              <w:rFonts w:hint="eastAsia" w:ascii="宋体" w:hAnsi="宋体" w:eastAsia="宋体" w:cs="宋体"/>
              <w:b/>
              <w:bCs/>
              <w:sz w:val="21"/>
              <w:szCs w:val="21"/>
              <w:highlight w:val="none"/>
            </w:rPr>
            <w:fldChar w:fldCharType="end"/>
          </w:r>
          <w:r>
            <w:rPr>
              <w:rFonts w:hint="eastAsia" w:ascii="仿宋_GB2312" w:hAnsi="仿宋_GB2312" w:eastAsia="仿宋_GB2312" w:cs="仿宋_GB2312"/>
              <w:b/>
              <w:bCs/>
              <w:sz w:val="21"/>
              <w:szCs w:val="21"/>
              <w:highlight w:val="none"/>
            </w:rPr>
            <w:fldChar w:fldCharType="end"/>
          </w:r>
        </w:p>
        <w:p w14:paraId="2E289220">
          <w:pPr>
            <w:pStyle w:val="17"/>
            <w:tabs>
              <w:tab w:val="right" w:leader="dot" w:pos="8306"/>
              <w:tab w:val="clear" w:pos="8296"/>
            </w:tabs>
            <w:rPr>
              <w:rFonts w:hint="eastAsia" w:ascii="楷体" w:hAnsi="楷体" w:eastAsia="楷体" w:cs="楷体"/>
              <w:b w:val="0"/>
              <w:bCs w:val="0"/>
              <w:sz w:val="21"/>
              <w:szCs w:val="21"/>
              <w:highlight w:val="none"/>
            </w:rPr>
          </w:pP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HYPERLINK \l _Toc16925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lang w:eastAsia="zh-CN"/>
            </w:rPr>
            <w:t>一、</w:t>
          </w:r>
          <w:r>
            <w:rPr>
              <w:rFonts w:hint="eastAsia" w:ascii="楷体" w:hAnsi="楷体" w:eastAsia="楷体" w:cs="楷体"/>
              <w:b w:val="0"/>
              <w:bCs w:val="0"/>
              <w:sz w:val="21"/>
              <w:szCs w:val="21"/>
              <w:highlight w:val="none"/>
            </w:rPr>
            <w:t>收入支出决算总体情况说明</w:t>
          </w:r>
          <w:r>
            <w:rPr>
              <w:rFonts w:hint="eastAsia" w:ascii="楷体" w:hAnsi="楷体" w:eastAsia="楷体" w:cs="楷体"/>
              <w:b w:val="0"/>
              <w:bCs w:val="0"/>
              <w:sz w:val="21"/>
              <w:szCs w:val="21"/>
              <w:highlight w:val="none"/>
            </w:rPr>
            <w:tab/>
          </w: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PAGEREF _Toc16925 \h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rPr>
            <w:t>4</w:t>
          </w:r>
          <w:r>
            <w:rPr>
              <w:rFonts w:hint="eastAsia" w:ascii="楷体" w:hAnsi="楷体" w:eastAsia="楷体" w:cs="楷体"/>
              <w:b w:val="0"/>
              <w:bCs w:val="0"/>
              <w:sz w:val="21"/>
              <w:szCs w:val="21"/>
              <w:highlight w:val="none"/>
            </w:rPr>
            <w:fldChar w:fldCharType="end"/>
          </w:r>
          <w:r>
            <w:rPr>
              <w:rFonts w:hint="eastAsia" w:ascii="楷体" w:hAnsi="楷体" w:eastAsia="楷体" w:cs="楷体"/>
              <w:b w:val="0"/>
              <w:bCs w:val="0"/>
              <w:sz w:val="21"/>
              <w:szCs w:val="21"/>
              <w:highlight w:val="none"/>
            </w:rPr>
            <w:fldChar w:fldCharType="end"/>
          </w:r>
        </w:p>
        <w:p w14:paraId="5C1C015F">
          <w:pPr>
            <w:pStyle w:val="17"/>
            <w:tabs>
              <w:tab w:val="right" w:leader="dot" w:pos="8306"/>
              <w:tab w:val="clear" w:pos="8296"/>
            </w:tabs>
            <w:rPr>
              <w:rFonts w:hint="eastAsia" w:ascii="楷体" w:hAnsi="楷体" w:eastAsia="楷体" w:cs="楷体"/>
              <w:b w:val="0"/>
              <w:bCs w:val="0"/>
              <w:sz w:val="21"/>
              <w:szCs w:val="21"/>
              <w:highlight w:val="none"/>
            </w:rPr>
          </w:pP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HYPERLINK \l _Toc15140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lang w:eastAsia="zh-CN"/>
            </w:rPr>
            <w:t>二、</w:t>
          </w:r>
          <w:r>
            <w:rPr>
              <w:rFonts w:hint="eastAsia" w:ascii="楷体" w:hAnsi="楷体" w:eastAsia="楷体" w:cs="楷体"/>
              <w:b w:val="0"/>
              <w:bCs w:val="0"/>
              <w:sz w:val="21"/>
              <w:szCs w:val="21"/>
              <w:highlight w:val="none"/>
            </w:rPr>
            <w:t>收入决算情况说明</w:t>
          </w:r>
          <w:r>
            <w:rPr>
              <w:rFonts w:hint="eastAsia" w:ascii="楷体" w:hAnsi="楷体" w:eastAsia="楷体" w:cs="楷体"/>
              <w:b w:val="0"/>
              <w:bCs w:val="0"/>
              <w:sz w:val="21"/>
              <w:szCs w:val="21"/>
              <w:highlight w:val="none"/>
            </w:rPr>
            <w:tab/>
          </w: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PAGEREF _Toc15140 \h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rPr>
            <w:t>4</w:t>
          </w:r>
          <w:r>
            <w:rPr>
              <w:rFonts w:hint="eastAsia" w:ascii="楷体" w:hAnsi="楷体" w:eastAsia="楷体" w:cs="楷体"/>
              <w:b w:val="0"/>
              <w:bCs w:val="0"/>
              <w:sz w:val="21"/>
              <w:szCs w:val="21"/>
              <w:highlight w:val="none"/>
            </w:rPr>
            <w:fldChar w:fldCharType="end"/>
          </w:r>
          <w:r>
            <w:rPr>
              <w:rFonts w:hint="eastAsia" w:ascii="楷体" w:hAnsi="楷体" w:eastAsia="楷体" w:cs="楷体"/>
              <w:b w:val="0"/>
              <w:bCs w:val="0"/>
              <w:sz w:val="21"/>
              <w:szCs w:val="21"/>
              <w:highlight w:val="none"/>
            </w:rPr>
            <w:fldChar w:fldCharType="end"/>
          </w:r>
        </w:p>
        <w:p w14:paraId="6B43100F">
          <w:pPr>
            <w:pStyle w:val="17"/>
            <w:tabs>
              <w:tab w:val="right" w:leader="dot" w:pos="8306"/>
              <w:tab w:val="clear" w:pos="8296"/>
            </w:tabs>
            <w:rPr>
              <w:rFonts w:hint="eastAsia" w:ascii="楷体" w:hAnsi="楷体" w:eastAsia="楷体" w:cs="楷体"/>
              <w:b w:val="0"/>
              <w:bCs w:val="0"/>
              <w:sz w:val="21"/>
              <w:szCs w:val="21"/>
              <w:highlight w:val="none"/>
            </w:rPr>
          </w:pP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HYPERLINK \l _Toc1993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lang w:eastAsia="zh-CN"/>
            </w:rPr>
            <w:t>三、</w:t>
          </w:r>
          <w:r>
            <w:rPr>
              <w:rFonts w:hint="eastAsia" w:ascii="楷体" w:hAnsi="楷体" w:eastAsia="楷体" w:cs="楷体"/>
              <w:b w:val="0"/>
              <w:bCs w:val="0"/>
              <w:sz w:val="21"/>
              <w:szCs w:val="21"/>
              <w:highlight w:val="none"/>
            </w:rPr>
            <w:t>支出决算情况说明</w:t>
          </w:r>
          <w:r>
            <w:rPr>
              <w:rFonts w:hint="eastAsia" w:ascii="楷体" w:hAnsi="楷体" w:eastAsia="楷体" w:cs="楷体"/>
              <w:b w:val="0"/>
              <w:bCs w:val="0"/>
              <w:sz w:val="21"/>
              <w:szCs w:val="21"/>
              <w:highlight w:val="none"/>
            </w:rPr>
            <w:tab/>
          </w: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PAGEREF _Toc1993 \h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rPr>
            <w:t>5</w:t>
          </w:r>
          <w:r>
            <w:rPr>
              <w:rFonts w:hint="eastAsia" w:ascii="楷体" w:hAnsi="楷体" w:eastAsia="楷体" w:cs="楷体"/>
              <w:b w:val="0"/>
              <w:bCs w:val="0"/>
              <w:sz w:val="21"/>
              <w:szCs w:val="21"/>
              <w:highlight w:val="none"/>
            </w:rPr>
            <w:fldChar w:fldCharType="end"/>
          </w:r>
          <w:r>
            <w:rPr>
              <w:rFonts w:hint="eastAsia" w:ascii="楷体" w:hAnsi="楷体" w:eastAsia="楷体" w:cs="楷体"/>
              <w:b w:val="0"/>
              <w:bCs w:val="0"/>
              <w:sz w:val="21"/>
              <w:szCs w:val="21"/>
              <w:highlight w:val="none"/>
            </w:rPr>
            <w:fldChar w:fldCharType="end"/>
          </w:r>
        </w:p>
        <w:p w14:paraId="3F6F3563">
          <w:pPr>
            <w:pStyle w:val="17"/>
            <w:tabs>
              <w:tab w:val="right" w:leader="dot" w:pos="8306"/>
              <w:tab w:val="clear" w:pos="8296"/>
            </w:tabs>
            <w:rPr>
              <w:rFonts w:hint="eastAsia" w:ascii="楷体" w:hAnsi="楷体" w:eastAsia="楷体" w:cs="楷体"/>
              <w:b w:val="0"/>
              <w:bCs w:val="0"/>
              <w:sz w:val="21"/>
              <w:szCs w:val="21"/>
              <w:highlight w:val="none"/>
            </w:rPr>
          </w:pP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HYPERLINK \l _Toc23026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lang w:eastAsia="zh-CN"/>
            </w:rPr>
            <w:t>四、</w:t>
          </w:r>
          <w:r>
            <w:rPr>
              <w:rFonts w:hint="eastAsia" w:ascii="楷体" w:hAnsi="楷体" w:eastAsia="楷体" w:cs="楷体"/>
              <w:b w:val="0"/>
              <w:bCs w:val="0"/>
              <w:sz w:val="21"/>
              <w:szCs w:val="21"/>
              <w:highlight w:val="none"/>
            </w:rPr>
            <w:t>财政拨款收入支出决算总体情况说明</w:t>
          </w:r>
          <w:r>
            <w:rPr>
              <w:rFonts w:hint="eastAsia" w:ascii="楷体" w:hAnsi="楷体" w:eastAsia="楷体" w:cs="楷体"/>
              <w:b w:val="0"/>
              <w:bCs w:val="0"/>
              <w:sz w:val="21"/>
              <w:szCs w:val="21"/>
              <w:highlight w:val="none"/>
            </w:rPr>
            <w:tab/>
          </w: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PAGEREF _Toc23026 \h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rPr>
            <w:t>5</w:t>
          </w:r>
          <w:r>
            <w:rPr>
              <w:rFonts w:hint="eastAsia" w:ascii="楷体" w:hAnsi="楷体" w:eastAsia="楷体" w:cs="楷体"/>
              <w:b w:val="0"/>
              <w:bCs w:val="0"/>
              <w:sz w:val="21"/>
              <w:szCs w:val="21"/>
              <w:highlight w:val="none"/>
            </w:rPr>
            <w:fldChar w:fldCharType="end"/>
          </w:r>
          <w:r>
            <w:rPr>
              <w:rFonts w:hint="eastAsia" w:ascii="楷体" w:hAnsi="楷体" w:eastAsia="楷体" w:cs="楷体"/>
              <w:b w:val="0"/>
              <w:bCs w:val="0"/>
              <w:sz w:val="21"/>
              <w:szCs w:val="21"/>
              <w:highlight w:val="none"/>
            </w:rPr>
            <w:fldChar w:fldCharType="end"/>
          </w:r>
        </w:p>
        <w:p w14:paraId="0DA997D0">
          <w:pPr>
            <w:pStyle w:val="17"/>
            <w:tabs>
              <w:tab w:val="right" w:leader="dot" w:pos="8306"/>
              <w:tab w:val="clear" w:pos="8296"/>
            </w:tabs>
            <w:rPr>
              <w:rFonts w:hint="eastAsia" w:ascii="楷体" w:hAnsi="楷体" w:eastAsia="楷体" w:cs="楷体"/>
              <w:b w:val="0"/>
              <w:bCs w:val="0"/>
              <w:sz w:val="21"/>
              <w:szCs w:val="21"/>
              <w:highlight w:val="none"/>
            </w:rPr>
          </w:pP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HYPERLINK \l _Toc12898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rPr>
            <w:t>五、 一般公共预算财政拨款支出决算情况说明</w:t>
          </w:r>
          <w:r>
            <w:rPr>
              <w:rFonts w:hint="eastAsia" w:ascii="楷体" w:hAnsi="楷体" w:eastAsia="楷体" w:cs="楷体"/>
              <w:b w:val="0"/>
              <w:bCs w:val="0"/>
              <w:sz w:val="21"/>
              <w:szCs w:val="21"/>
              <w:highlight w:val="none"/>
            </w:rPr>
            <w:tab/>
          </w: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PAGEREF _Toc12898 \h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rPr>
            <w:t>6</w:t>
          </w:r>
          <w:r>
            <w:rPr>
              <w:rFonts w:hint="eastAsia" w:ascii="楷体" w:hAnsi="楷体" w:eastAsia="楷体" w:cs="楷体"/>
              <w:b w:val="0"/>
              <w:bCs w:val="0"/>
              <w:sz w:val="21"/>
              <w:szCs w:val="21"/>
              <w:highlight w:val="none"/>
            </w:rPr>
            <w:fldChar w:fldCharType="end"/>
          </w:r>
          <w:r>
            <w:rPr>
              <w:rFonts w:hint="eastAsia" w:ascii="楷体" w:hAnsi="楷体" w:eastAsia="楷体" w:cs="楷体"/>
              <w:b w:val="0"/>
              <w:bCs w:val="0"/>
              <w:sz w:val="21"/>
              <w:szCs w:val="21"/>
              <w:highlight w:val="none"/>
            </w:rPr>
            <w:fldChar w:fldCharType="end"/>
          </w:r>
        </w:p>
        <w:p w14:paraId="1B96E93C">
          <w:pPr>
            <w:pStyle w:val="17"/>
            <w:tabs>
              <w:tab w:val="right" w:leader="dot" w:pos="8306"/>
              <w:tab w:val="clear" w:pos="8296"/>
            </w:tabs>
            <w:rPr>
              <w:rFonts w:hint="eastAsia" w:ascii="楷体" w:hAnsi="楷体" w:eastAsia="楷体" w:cs="楷体"/>
              <w:b w:val="0"/>
              <w:bCs w:val="0"/>
              <w:sz w:val="21"/>
              <w:szCs w:val="21"/>
              <w:highlight w:val="none"/>
            </w:rPr>
          </w:pP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HYPERLINK \l _Toc12132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rPr>
            <w:t>六、一般公共预算财政拨款基本支出决算情况说明</w:t>
          </w:r>
          <w:r>
            <w:rPr>
              <w:rFonts w:hint="eastAsia" w:ascii="楷体" w:hAnsi="楷体" w:eastAsia="楷体" w:cs="楷体"/>
              <w:b w:val="0"/>
              <w:bCs w:val="0"/>
              <w:sz w:val="21"/>
              <w:szCs w:val="21"/>
              <w:highlight w:val="none"/>
            </w:rPr>
            <w:tab/>
          </w: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PAGEREF _Toc12132 \h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rPr>
            <w:t>10</w:t>
          </w:r>
          <w:r>
            <w:rPr>
              <w:rFonts w:hint="eastAsia" w:ascii="楷体" w:hAnsi="楷体" w:eastAsia="楷体" w:cs="楷体"/>
              <w:b w:val="0"/>
              <w:bCs w:val="0"/>
              <w:sz w:val="21"/>
              <w:szCs w:val="21"/>
              <w:highlight w:val="none"/>
            </w:rPr>
            <w:fldChar w:fldCharType="end"/>
          </w:r>
          <w:r>
            <w:rPr>
              <w:rFonts w:hint="eastAsia" w:ascii="楷体" w:hAnsi="楷体" w:eastAsia="楷体" w:cs="楷体"/>
              <w:b w:val="0"/>
              <w:bCs w:val="0"/>
              <w:sz w:val="21"/>
              <w:szCs w:val="21"/>
              <w:highlight w:val="none"/>
            </w:rPr>
            <w:fldChar w:fldCharType="end"/>
          </w:r>
        </w:p>
        <w:p w14:paraId="73A47E8F">
          <w:pPr>
            <w:pStyle w:val="17"/>
            <w:tabs>
              <w:tab w:val="right" w:leader="dot" w:pos="8306"/>
              <w:tab w:val="clear" w:pos="8296"/>
            </w:tabs>
            <w:rPr>
              <w:rFonts w:hint="eastAsia" w:ascii="楷体" w:hAnsi="楷体" w:eastAsia="楷体" w:cs="楷体"/>
              <w:b w:val="0"/>
              <w:bCs w:val="0"/>
              <w:sz w:val="21"/>
              <w:szCs w:val="21"/>
              <w:highlight w:val="none"/>
            </w:rPr>
          </w:pP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HYPERLINK \l _Toc2530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rPr>
            <w:t>七、财政拨款“三公”经费支出决算情况说明</w:t>
          </w:r>
          <w:r>
            <w:rPr>
              <w:rFonts w:hint="eastAsia" w:ascii="楷体" w:hAnsi="楷体" w:eastAsia="楷体" w:cs="楷体"/>
              <w:b w:val="0"/>
              <w:bCs w:val="0"/>
              <w:sz w:val="21"/>
              <w:szCs w:val="21"/>
              <w:highlight w:val="none"/>
            </w:rPr>
            <w:tab/>
          </w: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PAGEREF _Toc2530 \h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rPr>
            <w:t>10</w:t>
          </w:r>
          <w:r>
            <w:rPr>
              <w:rFonts w:hint="eastAsia" w:ascii="楷体" w:hAnsi="楷体" w:eastAsia="楷体" w:cs="楷体"/>
              <w:b w:val="0"/>
              <w:bCs w:val="0"/>
              <w:sz w:val="21"/>
              <w:szCs w:val="21"/>
              <w:highlight w:val="none"/>
            </w:rPr>
            <w:fldChar w:fldCharType="end"/>
          </w:r>
          <w:r>
            <w:rPr>
              <w:rFonts w:hint="eastAsia" w:ascii="楷体" w:hAnsi="楷体" w:eastAsia="楷体" w:cs="楷体"/>
              <w:b w:val="0"/>
              <w:bCs w:val="0"/>
              <w:sz w:val="21"/>
              <w:szCs w:val="21"/>
              <w:highlight w:val="none"/>
            </w:rPr>
            <w:fldChar w:fldCharType="end"/>
          </w:r>
        </w:p>
        <w:p w14:paraId="1E5BE773">
          <w:pPr>
            <w:pStyle w:val="17"/>
            <w:tabs>
              <w:tab w:val="right" w:leader="dot" w:pos="8306"/>
              <w:tab w:val="clear" w:pos="8296"/>
            </w:tabs>
            <w:rPr>
              <w:rFonts w:hint="eastAsia" w:ascii="楷体" w:hAnsi="楷体" w:eastAsia="楷体" w:cs="楷体"/>
              <w:b w:val="0"/>
              <w:bCs w:val="0"/>
              <w:sz w:val="21"/>
              <w:szCs w:val="21"/>
              <w:highlight w:val="none"/>
            </w:rPr>
          </w:pP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HYPERLINK \l _Toc16157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rPr>
            <w:t>八、政府性基金预算支出决算情况说明</w:t>
          </w:r>
          <w:r>
            <w:rPr>
              <w:rFonts w:hint="eastAsia" w:ascii="楷体" w:hAnsi="楷体" w:eastAsia="楷体" w:cs="楷体"/>
              <w:b w:val="0"/>
              <w:bCs w:val="0"/>
              <w:sz w:val="21"/>
              <w:szCs w:val="21"/>
              <w:highlight w:val="none"/>
            </w:rPr>
            <w:tab/>
          </w: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PAGEREF _Toc16157 \h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rPr>
            <w:t>12</w:t>
          </w:r>
          <w:r>
            <w:rPr>
              <w:rFonts w:hint="eastAsia" w:ascii="楷体" w:hAnsi="楷体" w:eastAsia="楷体" w:cs="楷体"/>
              <w:b w:val="0"/>
              <w:bCs w:val="0"/>
              <w:sz w:val="21"/>
              <w:szCs w:val="21"/>
              <w:highlight w:val="none"/>
            </w:rPr>
            <w:fldChar w:fldCharType="end"/>
          </w:r>
          <w:r>
            <w:rPr>
              <w:rFonts w:hint="eastAsia" w:ascii="楷体" w:hAnsi="楷体" w:eastAsia="楷体" w:cs="楷体"/>
              <w:b w:val="0"/>
              <w:bCs w:val="0"/>
              <w:sz w:val="21"/>
              <w:szCs w:val="21"/>
              <w:highlight w:val="none"/>
            </w:rPr>
            <w:fldChar w:fldCharType="end"/>
          </w:r>
        </w:p>
        <w:p w14:paraId="60AF2C67">
          <w:pPr>
            <w:pStyle w:val="17"/>
            <w:tabs>
              <w:tab w:val="right" w:leader="dot" w:pos="8306"/>
              <w:tab w:val="clear" w:pos="8296"/>
            </w:tabs>
            <w:rPr>
              <w:rFonts w:hint="eastAsia" w:ascii="楷体" w:hAnsi="楷体" w:eastAsia="楷体" w:cs="楷体"/>
              <w:b w:val="0"/>
              <w:bCs w:val="0"/>
              <w:sz w:val="21"/>
              <w:szCs w:val="21"/>
              <w:highlight w:val="none"/>
            </w:rPr>
          </w:pP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HYPERLINK \l _Toc9213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rPr>
            <w:t>九、 国有资本经营预算支出决算情况说明</w:t>
          </w:r>
          <w:r>
            <w:rPr>
              <w:rFonts w:hint="eastAsia" w:ascii="楷体" w:hAnsi="楷体" w:eastAsia="楷体" w:cs="楷体"/>
              <w:b w:val="0"/>
              <w:bCs w:val="0"/>
              <w:sz w:val="21"/>
              <w:szCs w:val="21"/>
              <w:highlight w:val="none"/>
            </w:rPr>
            <w:tab/>
          </w: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PAGEREF _Toc9213 \h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rPr>
            <w:t>12</w:t>
          </w:r>
          <w:r>
            <w:rPr>
              <w:rFonts w:hint="eastAsia" w:ascii="楷体" w:hAnsi="楷体" w:eastAsia="楷体" w:cs="楷体"/>
              <w:b w:val="0"/>
              <w:bCs w:val="0"/>
              <w:sz w:val="21"/>
              <w:szCs w:val="21"/>
              <w:highlight w:val="none"/>
            </w:rPr>
            <w:fldChar w:fldCharType="end"/>
          </w:r>
          <w:r>
            <w:rPr>
              <w:rFonts w:hint="eastAsia" w:ascii="楷体" w:hAnsi="楷体" w:eastAsia="楷体" w:cs="楷体"/>
              <w:b w:val="0"/>
              <w:bCs w:val="0"/>
              <w:sz w:val="21"/>
              <w:szCs w:val="21"/>
              <w:highlight w:val="none"/>
            </w:rPr>
            <w:fldChar w:fldCharType="end"/>
          </w:r>
        </w:p>
        <w:p w14:paraId="45E3C619">
          <w:pPr>
            <w:pStyle w:val="17"/>
            <w:tabs>
              <w:tab w:val="right" w:leader="dot" w:pos="8306"/>
              <w:tab w:val="clear" w:pos="8296"/>
            </w:tabs>
            <w:rPr>
              <w:rFonts w:hint="eastAsia" w:ascii="仿宋_GB2312" w:hAnsi="仿宋_GB2312" w:eastAsia="仿宋_GB2312" w:cs="仿宋_GB2312"/>
              <w:b/>
              <w:bCs/>
              <w:sz w:val="21"/>
              <w:szCs w:val="21"/>
              <w:highlight w:val="none"/>
            </w:rPr>
          </w:pP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HYPERLINK \l _Toc12185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rPr>
            <w:t>十、其他重要事项的情况说明</w:t>
          </w:r>
          <w:r>
            <w:rPr>
              <w:rFonts w:hint="eastAsia" w:ascii="楷体" w:hAnsi="楷体" w:eastAsia="楷体" w:cs="楷体"/>
              <w:b w:val="0"/>
              <w:bCs w:val="0"/>
              <w:sz w:val="21"/>
              <w:szCs w:val="21"/>
              <w:highlight w:val="none"/>
            </w:rPr>
            <w:tab/>
          </w: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PAGEREF _Toc12185 \h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rPr>
            <w:t>12</w:t>
          </w:r>
          <w:r>
            <w:rPr>
              <w:rFonts w:hint="eastAsia" w:ascii="楷体" w:hAnsi="楷体" w:eastAsia="楷体" w:cs="楷体"/>
              <w:b w:val="0"/>
              <w:bCs w:val="0"/>
              <w:sz w:val="21"/>
              <w:szCs w:val="21"/>
              <w:highlight w:val="none"/>
            </w:rPr>
            <w:fldChar w:fldCharType="end"/>
          </w:r>
          <w:r>
            <w:rPr>
              <w:rFonts w:hint="eastAsia" w:ascii="楷体" w:hAnsi="楷体" w:eastAsia="楷体" w:cs="楷体"/>
              <w:b w:val="0"/>
              <w:bCs w:val="0"/>
              <w:sz w:val="21"/>
              <w:szCs w:val="21"/>
              <w:highlight w:val="none"/>
            </w:rPr>
            <w:fldChar w:fldCharType="end"/>
          </w:r>
        </w:p>
        <w:p w14:paraId="07F7952A">
          <w:pPr>
            <w:pStyle w:val="15"/>
            <w:tabs>
              <w:tab w:val="right" w:leader="dot" w:pos="8306"/>
              <w:tab w:val="clear" w:pos="8296"/>
            </w:tabs>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fldChar w:fldCharType="begin"/>
          </w:r>
          <w:r>
            <w:rPr>
              <w:rFonts w:hint="eastAsia" w:ascii="仿宋_GB2312" w:hAnsi="仿宋_GB2312" w:eastAsia="仿宋_GB2312" w:cs="仿宋_GB2312"/>
              <w:b/>
              <w:bCs/>
              <w:sz w:val="21"/>
              <w:szCs w:val="21"/>
              <w:highlight w:val="none"/>
            </w:rPr>
            <w:instrText xml:space="preserve"> HYPERLINK \l _Toc17983 </w:instrText>
          </w:r>
          <w:r>
            <w:rPr>
              <w:rFonts w:hint="eastAsia" w:ascii="仿宋_GB2312" w:hAnsi="仿宋_GB2312" w:eastAsia="仿宋_GB2312" w:cs="仿宋_GB2312"/>
              <w:b/>
              <w:bCs/>
              <w:sz w:val="21"/>
              <w:szCs w:val="21"/>
              <w:highlight w:val="none"/>
            </w:rPr>
            <w:fldChar w:fldCharType="separate"/>
          </w:r>
          <w:r>
            <w:rPr>
              <w:rFonts w:hint="eastAsia" w:ascii="黑体" w:hAnsi="黑体" w:eastAsia="黑体" w:cs="黑体"/>
              <w:b w:val="0"/>
              <w:bCs w:val="0"/>
              <w:kern w:val="2"/>
              <w:sz w:val="28"/>
              <w:szCs w:val="28"/>
              <w:highlight w:val="none"/>
              <w:lang w:val="en-US" w:eastAsia="zh-CN" w:bidi="ar-SA"/>
            </w:rPr>
            <w:t>第三部分 名词解释</w:t>
          </w:r>
          <w:r>
            <w:rPr>
              <w:rFonts w:hint="eastAsia" w:ascii="仿宋_GB2312" w:hAnsi="仿宋_GB2312" w:eastAsia="仿宋_GB2312" w:cs="仿宋_GB2312"/>
              <w:b/>
              <w:bCs/>
              <w:sz w:val="21"/>
              <w:szCs w:val="21"/>
              <w:highlight w:val="none"/>
            </w:rPr>
            <w:tab/>
          </w:r>
          <w:r>
            <w:rPr>
              <w:rFonts w:hint="eastAsia" w:ascii="仿宋_GB2312" w:hAnsi="仿宋_GB2312" w:eastAsia="仿宋_GB2312" w:cs="仿宋_GB2312"/>
              <w:b/>
              <w:bCs/>
              <w:sz w:val="21"/>
              <w:szCs w:val="21"/>
              <w:highlight w:val="none"/>
            </w:rPr>
            <w:fldChar w:fldCharType="begin"/>
          </w:r>
          <w:r>
            <w:rPr>
              <w:rFonts w:hint="eastAsia" w:ascii="仿宋_GB2312" w:hAnsi="仿宋_GB2312" w:eastAsia="仿宋_GB2312" w:cs="仿宋_GB2312"/>
              <w:b/>
              <w:bCs/>
              <w:sz w:val="21"/>
              <w:szCs w:val="21"/>
              <w:highlight w:val="none"/>
            </w:rPr>
            <w:instrText xml:space="preserve"> PAGEREF _Toc17983 \h </w:instrText>
          </w:r>
          <w:r>
            <w:rPr>
              <w:rFonts w:hint="eastAsia" w:ascii="仿宋_GB2312" w:hAnsi="仿宋_GB2312" w:eastAsia="仿宋_GB2312" w:cs="仿宋_GB2312"/>
              <w:b/>
              <w:bCs/>
              <w:sz w:val="21"/>
              <w:szCs w:val="21"/>
              <w:highlight w:val="none"/>
            </w:rPr>
            <w:fldChar w:fldCharType="separate"/>
          </w:r>
          <w:r>
            <w:rPr>
              <w:rFonts w:hint="eastAsia" w:ascii="仿宋_GB2312" w:hAnsi="仿宋_GB2312" w:eastAsia="仿宋_GB2312" w:cs="仿宋_GB2312"/>
              <w:b/>
              <w:bCs/>
              <w:sz w:val="21"/>
              <w:szCs w:val="21"/>
              <w:highlight w:val="none"/>
            </w:rPr>
            <w:t>15</w:t>
          </w:r>
          <w:r>
            <w:rPr>
              <w:rFonts w:hint="eastAsia" w:ascii="仿宋_GB2312" w:hAnsi="仿宋_GB2312" w:eastAsia="仿宋_GB2312" w:cs="仿宋_GB2312"/>
              <w:b/>
              <w:bCs/>
              <w:sz w:val="21"/>
              <w:szCs w:val="21"/>
              <w:highlight w:val="none"/>
            </w:rPr>
            <w:fldChar w:fldCharType="end"/>
          </w:r>
          <w:r>
            <w:rPr>
              <w:rFonts w:hint="eastAsia" w:ascii="仿宋_GB2312" w:hAnsi="仿宋_GB2312" w:eastAsia="仿宋_GB2312" w:cs="仿宋_GB2312"/>
              <w:b/>
              <w:bCs/>
              <w:sz w:val="21"/>
              <w:szCs w:val="21"/>
              <w:highlight w:val="none"/>
            </w:rPr>
            <w:fldChar w:fldCharType="end"/>
          </w:r>
        </w:p>
        <w:p w14:paraId="13535D77">
          <w:pPr>
            <w:pStyle w:val="15"/>
            <w:tabs>
              <w:tab w:val="right" w:leader="dot" w:pos="8306"/>
              <w:tab w:val="clear" w:pos="8296"/>
            </w:tabs>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fldChar w:fldCharType="begin"/>
          </w:r>
          <w:r>
            <w:rPr>
              <w:rFonts w:hint="eastAsia" w:ascii="仿宋_GB2312" w:hAnsi="仿宋_GB2312" w:eastAsia="仿宋_GB2312" w:cs="仿宋_GB2312"/>
              <w:b/>
              <w:bCs/>
              <w:sz w:val="21"/>
              <w:szCs w:val="21"/>
              <w:highlight w:val="none"/>
            </w:rPr>
            <w:instrText xml:space="preserve"> HYPERLINK \l _Toc12047 </w:instrText>
          </w:r>
          <w:r>
            <w:rPr>
              <w:rFonts w:hint="eastAsia" w:ascii="仿宋_GB2312" w:hAnsi="仿宋_GB2312" w:eastAsia="仿宋_GB2312" w:cs="仿宋_GB2312"/>
              <w:b/>
              <w:bCs/>
              <w:sz w:val="21"/>
              <w:szCs w:val="21"/>
              <w:highlight w:val="none"/>
            </w:rPr>
            <w:fldChar w:fldCharType="separate"/>
          </w:r>
          <w:r>
            <w:rPr>
              <w:rFonts w:hint="eastAsia" w:ascii="黑体" w:hAnsi="黑体" w:eastAsia="黑体" w:cs="黑体"/>
              <w:b w:val="0"/>
              <w:bCs w:val="0"/>
              <w:kern w:val="2"/>
              <w:sz w:val="28"/>
              <w:szCs w:val="28"/>
              <w:highlight w:val="none"/>
              <w:lang w:val="en-US" w:eastAsia="zh-CN" w:bidi="ar-SA"/>
            </w:rPr>
            <w:t>第四部分  附件</w:t>
          </w:r>
          <w:r>
            <w:rPr>
              <w:rFonts w:hint="eastAsia" w:ascii="仿宋_GB2312" w:hAnsi="仿宋_GB2312" w:eastAsia="仿宋_GB2312" w:cs="仿宋_GB2312"/>
              <w:b/>
              <w:bCs/>
              <w:sz w:val="21"/>
              <w:szCs w:val="21"/>
              <w:highlight w:val="none"/>
            </w:rPr>
            <w:tab/>
          </w:r>
          <w:r>
            <w:rPr>
              <w:rFonts w:hint="eastAsia" w:ascii="仿宋_GB2312" w:hAnsi="仿宋_GB2312" w:eastAsia="仿宋_GB2312" w:cs="仿宋_GB2312"/>
              <w:b/>
              <w:bCs/>
              <w:sz w:val="21"/>
              <w:szCs w:val="21"/>
              <w:highlight w:val="none"/>
            </w:rPr>
            <w:fldChar w:fldCharType="begin"/>
          </w:r>
          <w:r>
            <w:rPr>
              <w:rFonts w:hint="eastAsia" w:ascii="仿宋_GB2312" w:hAnsi="仿宋_GB2312" w:eastAsia="仿宋_GB2312" w:cs="仿宋_GB2312"/>
              <w:b/>
              <w:bCs/>
              <w:sz w:val="21"/>
              <w:szCs w:val="21"/>
              <w:highlight w:val="none"/>
            </w:rPr>
            <w:instrText xml:space="preserve"> PAGEREF _Toc12047 \h </w:instrText>
          </w:r>
          <w:r>
            <w:rPr>
              <w:rFonts w:hint="eastAsia" w:ascii="仿宋_GB2312" w:hAnsi="仿宋_GB2312" w:eastAsia="仿宋_GB2312" w:cs="仿宋_GB2312"/>
              <w:b/>
              <w:bCs/>
              <w:sz w:val="21"/>
              <w:szCs w:val="21"/>
              <w:highlight w:val="none"/>
            </w:rPr>
            <w:fldChar w:fldCharType="separate"/>
          </w:r>
          <w:r>
            <w:rPr>
              <w:rFonts w:hint="eastAsia" w:ascii="仿宋_GB2312" w:hAnsi="仿宋_GB2312" w:eastAsia="仿宋_GB2312" w:cs="仿宋_GB2312"/>
              <w:b/>
              <w:bCs/>
              <w:sz w:val="21"/>
              <w:szCs w:val="21"/>
              <w:highlight w:val="none"/>
            </w:rPr>
            <w:t>19</w:t>
          </w:r>
          <w:r>
            <w:rPr>
              <w:rFonts w:hint="eastAsia" w:ascii="仿宋_GB2312" w:hAnsi="仿宋_GB2312" w:eastAsia="仿宋_GB2312" w:cs="仿宋_GB2312"/>
              <w:b/>
              <w:bCs/>
              <w:sz w:val="21"/>
              <w:szCs w:val="21"/>
              <w:highlight w:val="none"/>
            </w:rPr>
            <w:fldChar w:fldCharType="end"/>
          </w:r>
          <w:r>
            <w:rPr>
              <w:rFonts w:hint="eastAsia" w:ascii="仿宋_GB2312" w:hAnsi="仿宋_GB2312" w:eastAsia="仿宋_GB2312" w:cs="仿宋_GB2312"/>
              <w:b/>
              <w:bCs/>
              <w:sz w:val="21"/>
              <w:szCs w:val="21"/>
              <w:highlight w:val="none"/>
            </w:rPr>
            <w:fldChar w:fldCharType="end"/>
          </w:r>
        </w:p>
        <w:p w14:paraId="0E626A7E">
          <w:pPr>
            <w:pStyle w:val="15"/>
            <w:tabs>
              <w:tab w:val="right" w:leader="dot" w:pos="8306"/>
              <w:tab w:val="clear" w:pos="8296"/>
            </w:tabs>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_Toc16206 </w:instrText>
          </w:r>
          <w:r>
            <w:rPr>
              <w:rFonts w:hint="eastAsia" w:ascii="仿宋_GB2312" w:hAnsi="仿宋_GB2312" w:eastAsia="仿宋_GB2312" w:cs="仿宋_GB2312"/>
              <w:sz w:val="21"/>
              <w:szCs w:val="21"/>
              <w:highlight w:val="none"/>
            </w:rPr>
            <w:fldChar w:fldCharType="separate"/>
          </w:r>
          <w:r>
            <w:rPr>
              <w:rFonts w:hint="eastAsia" w:ascii="黑体" w:hAnsi="黑体" w:eastAsia="黑体" w:cs="黑体"/>
              <w:b w:val="0"/>
              <w:bCs w:val="0"/>
              <w:kern w:val="2"/>
              <w:sz w:val="28"/>
              <w:szCs w:val="28"/>
              <w:highlight w:val="none"/>
              <w:lang w:val="en-US" w:eastAsia="zh-CN" w:bidi="ar-SA"/>
            </w:rPr>
            <w:t>第五部分 附表</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b/>
              <w:bCs/>
              <w:sz w:val="21"/>
              <w:szCs w:val="21"/>
              <w:highlight w:val="none"/>
            </w:rPr>
            <w:fldChar w:fldCharType="begin"/>
          </w:r>
          <w:r>
            <w:rPr>
              <w:rFonts w:hint="eastAsia" w:ascii="仿宋_GB2312" w:hAnsi="仿宋_GB2312" w:eastAsia="仿宋_GB2312" w:cs="仿宋_GB2312"/>
              <w:b/>
              <w:bCs/>
              <w:sz w:val="21"/>
              <w:szCs w:val="21"/>
              <w:highlight w:val="none"/>
            </w:rPr>
            <w:instrText xml:space="preserve"> PAGEREF _Toc16206 \h </w:instrText>
          </w:r>
          <w:r>
            <w:rPr>
              <w:rFonts w:hint="eastAsia" w:ascii="仿宋_GB2312" w:hAnsi="仿宋_GB2312" w:eastAsia="仿宋_GB2312" w:cs="仿宋_GB2312"/>
              <w:b/>
              <w:bCs/>
              <w:sz w:val="21"/>
              <w:szCs w:val="21"/>
              <w:highlight w:val="none"/>
            </w:rPr>
            <w:fldChar w:fldCharType="separate"/>
          </w:r>
          <w:r>
            <w:rPr>
              <w:rFonts w:hint="eastAsia" w:ascii="仿宋_GB2312" w:hAnsi="仿宋_GB2312" w:eastAsia="仿宋_GB2312" w:cs="仿宋_GB2312"/>
              <w:b/>
              <w:bCs/>
              <w:sz w:val="21"/>
              <w:szCs w:val="21"/>
              <w:highlight w:val="none"/>
            </w:rPr>
            <w:t>47</w:t>
          </w:r>
          <w:r>
            <w:rPr>
              <w:rFonts w:hint="eastAsia" w:ascii="仿宋_GB2312" w:hAnsi="仿宋_GB2312" w:eastAsia="仿宋_GB2312" w:cs="仿宋_GB2312"/>
              <w:b/>
              <w:bCs/>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056A117E">
          <w:pPr>
            <w:pStyle w:val="17"/>
            <w:tabs>
              <w:tab w:val="right" w:leader="dot" w:pos="8306"/>
              <w:tab w:val="clear" w:pos="8296"/>
            </w:tabs>
            <w:rPr>
              <w:rFonts w:hint="eastAsia" w:ascii="楷体" w:hAnsi="楷体" w:eastAsia="楷体" w:cs="楷体"/>
              <w:b w:val="0"/>
              <w:bCs w:val="0"/>
              <w:sz w:val="21"/>
              <w:szCs w:val="21"/>
              <w:highlight w:val="none"/>
            </w:rPr>
          </w:pP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HYPERLINK \l _Toc22625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lang w:val="en-US" w:eastAsia="zh-CN"/>
            </w:rPr>
            <w:t>一、 收入支出决算总表</w:t>
          </w:r>
          <w:r>
            <w:rPr>
              <w:rFonts w:hint="eastAsia" w:ascii="楷体" w:hAnsi="楷体" w:eastAsia="楷体" w:cs="楷体"/>
              <w:b w:val="0"/>
              <w:bCs w:val="0"/>
              <w:sz w:val="21"/>
              <w:szCs w:val="21"/>
              <w:highlight w:val="none"/>
            </w:rPr>
            <w:tab/>
          </w: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PAGEREF _Toc22625 \h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rPr>
            <w:t>47</w:t>
          </w:r>
          <w:r>
            <w:rPr>
              <w:rFonts w:hint="eastAsia" w:ascii="楷体" w:hAnsi="楷体" w:eastAsia="楷体" w:cs="楷体"/>
              <w:b w:val="0"/>
              <w:bCs w:val="0"/>
              <w:sz w:val="21"/>
              <w:szCs w:val="21"/>
              <w:highlight w:val="none"/>
            </w:rPr>
            <w:fldChar w:fldCharType="end"/>
          </w:r>
          <w:r>
            <w:rPr>
              <w:rFonts w:hint="eastAsia" w:ascii="楷体" w:hAnsi="楷体" w:eastAsia="楷体" w:cs="楷体"/>
              <w:b w:val="0"/>
              <w:bCs w:val="0"/>
              <w:sz w:val="21"/>
              <w:szCs w:val="21"/>
              <w:highlight w:val="none"/>
            </w:rPr>
            <w:fldChar w:fldCharType="end"/>
          </w:r>
        </w:p>
        <w:p w14:paraId="43502538">
          <w:pPr>
            <w:pStyle w:val="17"/>
            <w:tabs>
              <w:tab w:val="right" w:leader="dot" w:pos="8306"/>
              <w:tab w:val="clear" w:pos="8296"/>
            </w:tabs>
            <w:rPr>
              <w:rFonts w:hint="eastAsia" w:ascii="楷体" w:hAnsi="楷体" w:eastAsia="楷体" w:cs="楷体"/>
              <w:b w:val="0"/>
              <w:bCs w:val="0"/>
              <w:sz w:val="21"/>
              <w:szCs w:val="21"/>
              <w:highlight w:val="none"/>
            </w:rPr>
          </w:pP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HYPERLINK \l _Toc1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lang w:val="en-US" w:eastAsia="zh-CN"/>
            </w:rPr>
            <w:t>二、 收入决算表</w:t>
          </w:r>
          <w:r>
            <w:rPr>
              <w:rFonts w:hint="eastAsia" w:ascii="楷体" w:hAnsi="楷体" w:eastAsia="楷体" w:cs="楷体"/>
              <w:b w:val="0"/>
              <w:bCs w:val="0"/>
              <w:sz w:val="21"/>
              <w:szCs w:val="21"/>
              <w:highlight w:val="none"/>
            </w:rPr>
            <w:tab/>
          </w: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PAGEREF _Toc1 \h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rPr>
            <w:t>47</w:t>
          </w:r>
          <w:r>
            <w:rPr>
              <w:rFonts w:hint="eastAsia" w:ascii="楷体" w:hAnsi="楷体" w:eastAsia="楷体" w:cs="楷体"/>
              <w:b w:val="0"/>
              <w:bCs w:val="0"/>
              <w:sz w:val="21"/>
              <w:szCs w:val="21"/>
              <w:highlight w:val="none"/>
            </w:rPr>
            <w:fldChar w:fldCharType="end"/>
          </w:r>
          <w:r>
            <w:rPr>
              <w:rFonts w:hint="eastAsia" w:ascii="楷体" w:hAnsi="楷体" w:eastAsia="楷体" w:cs="楷体"/>
              <w:b w:val="0"/>
              <w:bCs w:val="0"/>
              <w:sz w:val="21"/>
              <w:szCs w:val="21"/>
              <w:highlight w:val="none"/>
            </w:rPr>
            <w:fldChar w:fldCharType="end"/>
          </w:r>
        </w:p>
        <w:p w14:paraId="064B3CF6">
          <w:pPr>
            <w:pStyle w:val="17"/>
            <w:tabs>
              <w:tab w:val="right" w:leader="dot" w:pos="8306"/>
              <w:tab w:val="clear" w:pos="8296"/>
            </w:tabs>
            <w:rPr>
              <w:rFonts w:hint="eastAsia" w:ascii="楷体" w:hAnsi="楷体" w:eastAsia="楷体" w:cs="楷体"/>
              <w:b w:val="0"/>
              <w:bCs w:val="0"/>
              <w:sz w:val="21"/>
              <w:szCs w:val="21"/>
              <w:highlight w:val="none"/>
            </w:rPr>
          </w:pP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HYPERLINK \l _Toc26312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lang w:val="en-US" w:eastAsia="zh-CN"/>
            </w:rPr>
            <w:t>三、 支出决算表</w:t>
          </w:r>
          <w:r>
            <w:rPr>
              <w:rFonts w:hint="eastAsia" w:ascii="楷体" w:hAnsi="楷体" w:eastAsia="楷体" w:cs="楷体"/>
              <w:b w:val="0"/>
              <w:bCs w:val="0"/>
              <w:sz w:val="21"/>
              <w:szCs w:val="21"/>
              <w:highlight w:val="none"/>
            </w:rPr>
            <w:tab/>
          </w: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PAGEREF _Toc26312 \h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rPr>
            <w:t>47</w:t>
          </w:r>
          <w:r>
            <w:rPr>
              <w:rFonts w:hint="eastAsia" w:ascii="楷体" w:hAnsi="楷体" w:eastAsia="楷体" w:cs="楷体"/>
              <w:b w:val="0"/>
              <w:bCs w:val="0"/>
              <w:sz w:val="21"/>
              <w:szCs w:val="21"/>
              <w:highlight w:val="none"/>
            </w:rPr>
            <w:fldChar w:fldCharType="end"/>
          </w:r>
          <w:r>
            <w:rPr>
              <w:rFonts w:hint="eastAsia" w:ascii="楷体" w:hAnsi="楷体" w:eastAsia="楷体" w:cs="楷体"/>
              <w:b w:val="0"/>
              <w:bCs w:val="0"/>
              <w:sz w:val="21"/>
              <w:szCs w:val="21"/>
              <w:highlight w:val="none"/>
            </w:rPr>
            <w:fldChar w:fldCharType="end"/>
          </w:r>
        </w:p>
        <w:p w14:paraId="18480B2E">
          <w:pPr>
            <w:pStyle w:val="17"/>
            <w:tabs>
              <w:tab w:val="right" w:leader="dot" w:pos="8306"/>
              <w:tab w:val="clear" w:pos="8296"/>
            </w:tabs>
            <w:rPr>
              <w:rFonts w:hint="eastAsia" w:ascii="楷体" w:hAnsi="楷体" w:eastAsia="楷体" w:cs="楷体"/>
              <w:b w:val="0"/>
              <w:bCs w:val="0"/>
              <w:sz w:val="21"/>
              <w:szCs w:val="21"/>
              <w:highlight w:val="none"/>
            </w:rPr>
          </w:pP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HYPERLINK \l _Toc14059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lang w:val="en-US" w:eastAsia="zh-CN"/>
            </w:rPr>
            <w:t>四、 财政拨款收入支出决算总表</w:t>
          </w:r>
          <w:r>
            <w:rPr>
              <w:rFonts w:hint="eastAsia" w:ascii="楷体" w:hAnsi="楷体" w:eastAsia="楷体" w:cs="楷体"/>
              <w:b w:val="0"/>
              <w:bCs w:val="0"/>
              <w:sz w:val="21"/>
              <w:szCs w:val="21"/>
              <w:highlight w:val="none"/>
            </w:rPr>
            <w:tab/>
          </w: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PAGEREF _Toc14059 \h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rPr>
            <w:t>47</w:t>
          </w:r>
          <w:r>
            <w:rPr>
              <w:rFonts w:hint="eastAsia" w:ascii="楷体" w:hAnsi="楷体" w:eastAsia="楷体" w:cs="楷体"/>
              <w:b w:val="0"/>
              <w:bCs w:val="0"/>
              <w:sz w:val="21"/>
              <w:szCs w:val="21"/>
              <w:highlight w:val="none"/>
            </w:rPr>
            <w:fldChar w:fldCharType="end"/>
          </w:r>
          <w:r>
            <w:rPr>
              <w:rFonts w:hint="eastAsia" w:ascii="楷体" w:hAnsi="楷体" w:eastAsia="楷体" w:cs="楷体"/>
              <w:b w:val="0"/>
              <w:bCs w:val="0"/>
              <w:sz w:val="21"/>
              <w:szCs w:val="21"/>
              <w:highlight w:val="none"/>
            </w:rPr>
            <w:fldChar w:fldCharType="end"/>
          </w:r>
        </w:p>
        <w:p w14:paraId="477F0C9A">
          <w:pPr>
            <w:pStyle w:val="17"/>
            <w:tabs>
              <w:tab w:val="right" w:leader="dot" w:pos="8306"/>
              <w:tab w:val="clear" w:pos="8296"/>
            </w:tabs>
            <w:rPr>
              <w:rFonts w:hint="eastAsia" w:ascii="楷体" w:hAnsi="楷体" w:eastAsia="楷体" w:cs="楷体"/>
              <w:b w:val="0"/>
              <w:bCs w:val="0"/>
              <w:sz w:val="21"/>
              <w:szCs w:val="21"/>
              <w:highlight w:val="none"/>
            </w:rPr>
          </w:pP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HYPERLINK \l _Toc8400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lang w:val="en-US" w:eastAsia="zh-CN"/>
            </w:rPr>
            <w:t>五、 财政拨款支出决算明细表</w:t>
          </w:r>
          <w:r>
            <w:rPr>
              <w:rFonts w:hint="eastAsia" w:ascii="楷体" w:hAnsi="楷体" w:eastAsia="楷体" w:cs="楷体"/>
              <w:b w:val="0"/>
              <w:bCs w:val="0"/>
              <w:sz w:val="21"/>
              <w:szCs w:val="21"/>
              <w:highlight w:val="none"/>
            </w:rPr>
            <w:tab/>
          </w: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PAGEREF _Toc8400 \h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rPr>
            <w:t>47</w:t>
          </w:r>
          <w:r>
            <w:rPr>
              <w:rFonts w:hint="eastAsia" w:ascii="楷体" w:hAnsi="楷体" w:eastAsia="楷体" w:cs="楷体"/>
              <w:b w:val="0"/>
              <w:bCs w:val="0"/>
              <w:sz w:val="21"/>
              <w:szCs w:val="21"/>
              <w:highlight w:val="none"/>
            </w:rPr>
            <w:fldChar w:fldCharType="end"/>
          </w:r>
          <w:r>
            <w:rPr>
              <w:rFonts w:hint="eastAsia" w:ascii="楷体" w:hAnsi="楷体" w:eastAsia="楷体" w:cs="楷体"/>
              <w:b w:val="0"/>
              <w:bCs w:val="0"/>
              <w:sz w:val="21"/>
              <w:szCs w:val="21"/>
              <w:highlight w:val="none"/>
            </w:rPr>
            <w:fldChar w:fldCharType="end"/>
          </w:r>
        </w:p>
        <w:p w14:paraId="4F1069FC">
          <w:pPr>
            <w:pStyle w:val="17"/>
            <w:tabs>
              <w:tab w:val="right" w:leader="dot" w:pos="8306"/>
              <w:tab w:val="clear" w:pos="8296"/>
            </w:tabs>
            <w:rPr>
              <w:rFonts w:hint="eastAsia" w:ascii="楷体" w:hAnsi="楷体" w:eastAsia="楷体" w:cs="楷体"/>
              <w:b w:val="0"/>
              <w:bCs w:val="0"/>
              <w:sz w:val="21"/>
              <w:szCs w:val="21"/>
              <w:highlight w:val="none"/>
            </w:rPr>
          </w:pP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HYPERLINK \l _Toc23849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lang w:val="en-US" w:eastAsia="zh-CN"/>
            </w:rPr>
            <w:t>六、 一般公共预算财政拨款支出决算表</w:t>
          </w:r>
          <w:r>
            <w:rPr>
              <w:rFonts w:hint="eastAsia" w:ascii="楷体" w:hAnsi="楷体" w:eastAsia="楷体" w:cs="楷体"/>
              <w:b w:val="0"/>
              <w:bCs w:val="0"/>
              <w:sz w:val="21"/>
              <w:szCs w:val="21"/>
              <w:highlight w:val="none"/>
            </w:rPr>
            <w:tab/>
          </w: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PAGEREF _Toc23849 \h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rPr>
            <w:t>47</w:t>
          </w:r>
          <w:r>
            <w:rPr>
              <w:rFonts w:hint="eastAsia" w:ascii="楷体" w:hAnsi="楷体" w:eastAsia="楷体" w:cs="楷体"/>
              <w:b w:val="0"/>
              <w:bCs w:val="0"/>
              <w:sz w:val="21"/>
              <w:szCs w:val="21"/>
              <w:highlight w:val="none"/>
            </w:rPr>
            <w:fldChar w:fldCharType="end"/>
          </w:r>
          <w:r>
            <w:rPr>
              <w:rFonts w:hint="eastAsia" w:ascii="楷体" w:hAnsi="楷体" w:eastAsia="楷体" w:cs="楷体"/>
              <w:b w:val="0"/>
              <w:bCs w:val="0"/>
              <w:sz w:val="21"/>
              <w:szCs w:val="21"/>
              <w:highlight w:val="none"/>
            </w:rPr>
            <w:fldChar w:fldCharType="end"/>
          </w:r>
        </w:p>
        <w:p w14:paraId="4A3AC3CD">
          <w:pPr>
            <w:pStyle w:val="17"/>
            <w:tabs>
              <w:tab w:val="right" w:leader="dot" w:pos="8306"/>
              <w:tab w:val="clear" w:pos="8296"/>
            </w:tabs>
            <w:rPr>
              <w:rFonts w:hint="eastAsia" w:ascii="楷体" w:hAnsi="楷体" w:eastAsia="楷体" w:cs="楷体"/>
              <w:b w:val="0"/>
              <w:bCs w:val="0"/>
              <w:sz w:val="21"/>
              <w:szCs w:val="21"/>
              <w:highlight w:val="none"/>
            </w:rPr>
          </w:pP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HYPERLINK \l _Toc24375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lang w:val="en-US" w:eastAsia="zh-CN"/>
            </w:rPr>
            <w:t>七、 一般公共预算财政拨款支出决算明细表</w:t>
          </w:r>
          <w:r>
            <w:rPr>
              <w:rFonts w:hint="eastAsia" w:ascii="楷体" w:hAnsi="楷体" w:eastAsia="楷体" w:cs="楷体"/>
              <w:b w:val="0"/>
              <w:bCs w:val="0"/>
              <w:sz w:val="21"/>
              <w:szCs w:val="21"/>
              <w:highlight w:val="none"/>
            </w:rPr>
            <w:tab/>
          </w: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PAGEREF _Toc24375 \h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rPr>
            <w:t>47</w:t>
          </w:r>
          <w:r>
            <w:rPr>
              <w:rFonts w:hint="eastAsia" w:ascii="楷体" w:hAnsi="楷体" w:eastAsia="楷体" w:cs="楷体"/>
              <w:b w:val="0"/>
              <w:bCs w:val="0"/>
              <w:sz w:val="21"/>
              <w:szCs w:val="21"/>
              <w:highlight w:val="none"/>
            </w:rPr>
            <w:fldChar w:fldCharType="end"/>
          </w:r>
          <w:r>
            <w:rPr>
              <w:rFonts w:hint="eastAsia" w:ascii="楷体" w:hAnsi="楷体" w:eastAsia="楷体" w:cs="楷体"/>
              <w:b w:val="0"/>
              <w:bCs w:val="0"/>
              <w:sz w:val="21"/>
              <w:szCs w:val="21"/>
              <w:highlight w:val="none"/>
            </w:rPr>
            <w:fldChar w:fldCharType="end"/>
          </w:r>
        </w:p>
        <w:p w14:paraId="57DFA20E">
          <w:pPr>
            <w:pStyle w:val="17"/>
            <w:tabs>
              <w:tab w:val="right" w:leader="dot" w:pos="8306"/>
              <w:tab w:val="clear" w:pos="8296"/>
            </w:tabs>
            <w:rPr>
              <w:rFonts w:hint="eastAsia" w:ascii="楷体" w:hAnsi="楷体" w:eastAsia="楷体" w:cs="楷体"/>
              <w:b w:val="0"/>
              <w:bCs w:val="0"/>
              <w:sz w:val="21"/>
              <w:szCs w:val="21"/>
              <w:highlight w:val="none"/>
            </w:rPr>
          </w:pP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HYPERLINK \l _Toc1071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lang w:val="en-US" w:eastAsia="zh-CN"/>
            </w:rPr>
            <w:t>八、 一般公共预算财政拨款基本支出决算表</w:t>
          </w:r>
          <w:r>
            <w:rPr>
              <w:rFonts w:hint="eastAsia" w:ascii="楷体" w:hAnsi="楷体" w:eastAsia="楷体" w:cs="楷体"/>
              <w:b w:val="0"/>
              <w:bCs w:val="0"/>
              <w:sz w:val="21"/>
              <w:szCs w:val="21"/>
              <w:highlight w:val="none"/>
            </w:rPr>
            <w:tab/>
          </w: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PAGEREF _Toc1071 \h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rPr>
            <w:t>47</w:t>
          </w:r>
          <w:r>
            <w:rPr>
              <w:rFonts w:hint="eastAsia" w:ascii="楷体" w:hAnsi="楷体" w:eastAsia="楷体" w:cs="楷体"/>
              <w:b w:val="0"/>
              <w:bCs w:val="0"/>
              <w:sz w:val="21"/>
              <w:szCs w:val="21"/>
              <w:highlight w:val="none"/>
            </w:rPr>
            <w:fldChar w:fldCharType="end"/>
          </w:r>
          <w:r>
            <w:rPr>
              <w:rFonts w:hint="eastAsia" w:ascii="楷体" w:hAnsi="楷体" w:eastAsia="楷体" w:cs="楷体"/>
              <w:b w:val="0"/>
              <w:bCs w:val="0"/>
              <w:sz w:val="21"/>
              <w:szCs w:val="21"/>
              <w:highlight w:val="none"/>
            </w:rPr>
            <w:fldChar w:fldCharType="end"/>
          </w:r>
        </w:p>
        <w:p w14:paraId="70A29F27">
          <w:pPr>
            <w:pStyle w:val="17"/>
            <w:tabs>
              <w:tab w:val="right" w:leader="dot" w:pos="8306"/>
              <w:tab w:val="clear" w:pos="8296"/>
            </w:tabs>
            <w:rPr>
              <w:rFonts w:hint="eastAsia" w:ascii="楷体" w:hAnsi="楷体" w:eastAsia="楷体" w:cs="楷体"/>
              <w:b w:val="0"/>
              <w:bCs w:val="0"/>
              <w:sz w:val="21"/>
              <w:szCs w:val="21"/>
              <w:highlight w:val="none"/>
            </w:rPr>
          </w:pP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HYPERLINK \l _Toc25228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lang w:val="en-US" w:eastAsia="zh-CN"/>
            </w:rPr>
            <w:t>九、 一般公共预算财政拨款项目支出决算表</w:t>
          </w:r>
          <w:r>
            <w:rPr>
              <w:rFonts w:hint="eastAsia" w:ascii="楷体" w:hAnsi="楷体" w:eastAsia="楷体" w:cs="楷体"/>
              <w:b w:val="0"/>
              <w:bCs w:val="0"/>
              <w:sz w:val="21"/>
              <w:szCs w:val="21"/>
              <w:highlight w:val="none"/>
            </w:rPr>
            <w:tab/>
          </w: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PAGEREF _Toc25228 \h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rPr>
            <w:t>47</w:t>
          </w:r>
          <w:r>
            <w:rPr>
              <w:rFonts w:hint="eastAsia" w:ascii="楷体" w:hAnsi="楷体" w:eastAsia="楷体" w:cs="楷体"/>
              <w:b w:val="0"/>
              <w:bCs w:val="0"/>
              <w:sz w:val="21"/>
              <w:szCs w:val="21"/>
              <w:highlight w:val="none"/>
            </w:rPr>
            <w:fldChar w:fldCharType="end"/>
          </w:r>
          <w:r>
            <w:rPr>
              <w:rFonts w:hint="eastAsia" w:ascii="楷体" w:hAnsi="楷体" w:eastAsia="楷体" w:cs="楷体"/>
              <w:b w:val="0"/>
              <w:bCs w:val="0"/>
              <w:sz w:val="21"/>
              <w:szCs w:val="21"/>
              <w:highlight w:val="none"/>
            </w:rPr>
            <w:fldChar w:fldCharType="end"/>
          </w:r>
        </w:p>
        <w:p w14:paraId="5D3C422F">
          <w:pPr>
            <w:pStyle w:val="17"/>
            <w:tabs>
              <w:tab w:val="right" w:leader="dot" w:pos="8306"/>
              <w:tab w:val="clear" w:pos="8296"/>
            </w:tabs>
            <w:rPr>
              <w:rFonts w:hint="eastAsia" w:ascii="楷体" w:hAnsi="楷体" w:eastAsia="楷体" w:cs="楷体"/>
              <w:b w:val="0"/>
              <w:bCs w:val="0"/>
              <w:sz w:val="21"/>
              <w:szCs w:val="21"/>
              <w:highlight w:val="none"/>
            </w:rPr>
          </w:pP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HYPERLINK \l _Toc13208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lang w:val="en-US" w:eastAsia="zh-CN"/>
            </w:rPr>
            <w:t>十、 政府性基金预算财政拨款收入支出决算表</w:t>
          </w:r>
          <w:r>
            <w:rPr>
              <w:rFonts w:hint="eastAsia" w:ascii="楷体" w:hAnsi="楷体" w:eastAsia="楷体" w:cs="楷体"/>
              <w:b w:val="0"/>
              <w:bCs w:val="0"/>
              <w:sz w:val="21"/>
              <w:szCs w:val="21"/>
              <w:highlight w:val="none"/>
            </w:rPr>
            <w:tab/>
          </w: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PAGEREF _Toc13208 \h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rPr>
            <w:t>47</w:t>
          </w:r>
          <w:r>
            <w:rPr>
              <w:rFonts w:hint="eastAsia" w:ascii="楷体" w:hAnsi="楷体" w:eastAsia="楷体" w:cs="楷体"/>
              <w:b w:val="0"/>
              <w:bCs w:val="0"/>
              <w:sz w:val="21"/>
              <w:szCs w:val="21"/>
              <w:highlight w:val="none"/>
            </w:rPr>
            <w:fldChar w:fldCharType="end"/>
          </w:r>
          <w:r>
            <w:rPr>
              <w:rFonts w:hint="eastAsia" w:ascii="楷体" w:hAnsi="楷体" w:eastAsia="楷体" w:cs="楷体"/>
              <w:b w:val="0"/>
              <w:bCs w:val="0"/>
              <w:sz w:val="21"/>
              <w:szCs w:val="21"/>
              <w:highlight w:val="none"/>
            </w:rPr>
            <w:fldChar w:fldCharType="end"/>
          </w:r>
        </w:p>
        <w:p w14:paraId="5D6F6A3D">
          <w:pPr>
            <w:pStyle w:val="17"/>
            <w:tabs>
              <w:tab w:val="right" w:leader="dot" w:pos="8306"/>
              <w:tab w:val="clear" w:pos="8296"/>
            </w:tabs>
            <w:rPr>
              <w:rFonts w:hint="eastAsia" w:ascii="楷体" w:hAnsi="楷体" w:eastAsia="楷体" w:cs="楷体"/>
              <w:b w:val="0"/>
              <w:bCs w:val="0"/>
              <w:sz w:val="21"/>
              <w:szCs w:val="21"/>
              <w:highlight w:val="none"/>
            </w:rPr>
          </w:pP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HYPERLINK \l _Toc16443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lang w:val="en-US" w:eastAsia="zh-CN"/>
            </w:rPr>
            <w:t>十一、 国有资本经营预算财政拨款收入支出决算表</w:t>
          </w:r>
          <w:r>
            <w:rPr>
              <w:rFonts w:hint="eastAsia" w:ascii="楷体" w:hAnsi="楷体" w:eastAsia="楷体" w:cs="楷体"/>
              <w:b w:val="0"/>
              <w:bCs w:val="0"/>
              <w:sz w:val="21"/>
              <w:szCs w:val="21"/>
              <w:highlight w:val="none"/>
            </w:rPr>
            <w:tab/>
          </w: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PAGEREF _Toc16443 \h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rPr>
            <w:t>47</w:t>
          </w:r>
          <w:r>
            <w:rPr>
              <w:rFonts w:hint="eastAsia" w:ascii="楷体" w:hAnsi="楷体" w:eastAsia="楷体" w:cs="楷体"/>
              <w:b w:val="0"/>
              <w:bCs w:val="0"/>
              <w:sz w:val="21"/>
              <w:szCs w:val="21"/>
              <w:highlight w:val="none"/>
            </w:rPr>
            <w:fldChar w:fldCharType="end"/>
          </w:r>
          <w:r>
            <w:rPr>
              <w:rFonts w:hint="eastAsia" w:ascii="楷体" w:hAnsi="楷体" w:eastAsia="楷体" w:cs="楷体"/>
              <w:b w:val="0"/>
              <w:bCs w:val="0"/>
              <w:sz w:val="21"/>
              <w:szCs w:val="21"/>
              <w:highlight w:val="none"/>
            </w:rPr>
            <w:fldChar w:fldCharType="end"/>
          </w:r>
        </w:p>
        <w:p w14:paraId="6970C375">
          <w:pPr>
            <w:pStyle w:val="17"/>
            <w:tabs>
              <w:tab w:val="right" w:leader="dot" w:pos="8306"/>
              <w:tab w:val="clear" w:pos="8296"/>
            </w:tabs>
            <w:rPr>
              <w:rFonts w:hint="eastAsia" w:ascii="楷体" w:hAnsi="楷体" w:eastAsia="楷体" w:cs="楷体"/>
              <w:b w:val="0"/>
              <w:bCs w:val="0"/>
              <w:sz w:val="21"/>
              <w:szCs w:val="21"/>
              <w:highlight w:val="none"/>
            </w:rPr>
          </w:pP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HYPERLINK \l _Toc3695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lang w:val="en-US" w:eastAsia="zh-CN"/>
            </w:rPr>
            <w:t>十二、 国有资本经营预算财政拨款支出决算表</w:t>
          </w:r>
          <w:r>
            <w:rPr>
              <w:rFonts w:hint="eastAsia" w:ascii="楷体" w:hAnsi="楷体" w:eastAsia="楷体" w:cs="楷体"/>
              <w:b w:val="0"/>
              <w:bCs w:val="0"/>
              <w:sz w:val="21"/>
              <w:szCs w:val="21"/>
              <w:highlight w:val="none"/>
            </w:rPr>
            <w:tab/>
          </w: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PAGEREF _Toc3695 \h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rPr>
            <w:t>47</w:t>
          </w:r>
          <w:r>
            <w:rPr>
              <w:rFonts w:hint="eastAsia" w:ascii="楷体" w:hAnsi="楷体" w:eastAsia="楷体" w:cs="楷体"/>
              <w:b w:val="0"/>
              <w:bCs w:val="0"/>
              <w:sz w:val="21"/>
              <w:szCs w:val="21"/>
              <w:highlight w:val="none"/>
            </w:rPr>
            <w:fldChar w:fldCharType="end"/>
          </w:r>
          <w:r>
            <w:rPr>
              <w:rFonts w:hint="eastAsia" w:ascii="楷体" w:hAnsi="楷体" w:eastAsia="楷体" w:cs="楷体"/>
              <w:b w:val="0"/>
              <w:bCs w:val="0"/>
              <w:sz w:val="21"/>
              <w:szCs w:val="21"/>
              <w:highlight w:val="none"/>
            </w:rPr>
            <w:fldChar w:fldCharType="end"/>
          </w:r>
        </w:p>
        <w:p w14:paraId="1FCA061D">
          <w:pPr>
            <w:pStyle w:val="17"/>
            <w:tabs>
              <w:tab w:val="right" w:leader="dot" w:pos="8306"/>
              <w:tab w:val="clear" w:pos="8296"/>
            </w:tabs>
            <w:rPr>
              <w:rFonts w:hint="eastAsia" w:ascii="仿宋_GB2312" w:hAnsi="仿宋_GB2312" w:eastAsia="仿宋_GB2312" w:cs="仿宋_GB2312"/>
              <w:sz w:val="21"/>
              <w:szCs w:val="21"/>
              <w:highlight w:val="none"/>
            </w:rPr>
          </w:pP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HYPERLINK \l _Toc11562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lang w:val="en-US" w:eastAsia="zh-CN"/>
            </w:rPr>
            <w:t>十三、 财政拨款“三公”经费支出决算表</w:t>
          </w:r>
          <w:r>
            <w:rPr>
              <w:rFonts w:hint="eastAsia" w:ascii="楷体" w:hAnsi="楷体" w:eastAsia="楷体" w:cs="楷体"/>
              <w:b w:val="0"/>
              <w:bCs w:val="0"/>
              <w:sz w:val="21"/>
              <w:szCs w:val="21"/>
              <w:highlight w:val="none"/>
            </w:rPr>
            <w:tab/>
          </w:r>
          <w:r>
            <w:rPr>
              <w:rFonts w:hint="eastAsia" w:ascii="楷体" w:hAnsi="楷体" w:eastAsia="楷体" w:cs="楷体"/>
              <w:b w:val="0"/>
              <w:bCs w:val="0"/>
              <w:sz w:val="21"/>
              <w:szCs w:val="21"/>
              <w:highlight w:val="none"/>
            </w:rPr>
            <w:fldChar w:fldCharType="begin"/>
          </w:r>
          <w:r>
            <w:rPr>
              <w:rFonts w:hint="eastAsia" w:ascii="楷体" w:hAnsi="楷体" w:eastAsia="楷体" w:cs="楷体"/>
              <w:b w:val="0"/>
              <w:bCs w:val="0"/>
              <w:sz w:val="21"/>
              <w:szCs w:val="21"/>
              <w:highlight w:val="none"/>
            </w:rPr>
            <w:instrText xml:space="preserve"> PAGEREF _Toc11562 \h </w:instrText>
          </w:r>
          <w:r>
            <w:rPr>
              <w:rFonts w:hint="eastAsia" w:ascii="楷体" w:hAnsi="楷体" w:eastAsia="楷体" w:cs="楷体"/>
              <w:b w:val="0"/>
              <w:bCs w:val="0"/>
              <w:sz w:val="21"/>
              <w:szCs w:val="21"/>
              <w:highlight w:val="none"/>
            </w:rPr>
            <w:fldChar w:fldCharType="separate"/>
          </w:r>
          <w:r>
            <w:rPr>
              <w:rFonts w:hint="eastAsia" w:ascii="楷体" w:hAnsi="楷体" w:eastAsia="楷体" w:cs="楷体"/>
              <w:b w:val="0"/>
              <w:bCs w:val="0"/>
              <w:sz w:val="21"/>
              <w:szCs w:val="21"/>
              <w:highlight w:val="none"/>
            </w:rPr>
            <w:t>47</w:t>
          </w:r>
          <w:r>
            <w:rPr>
              <w:rFonts w:hint="eastAsia" w:ascii="楷体" w:hAnsi="楷体" w:eastAsia="楷体" w:cs="楷体"/>
              <w:b w:val="0"/>
              <w:bCs w:val="0"/>
              <w:sz w:val="21"/>
              <w:szCs w:val="21"/>
              <w:highlight w:val="none"/>
            </w:rPr>
            <w:fldChar w:fldCharType="end"/>
          </w:r>
          <w:r>
            <w:rPr>
              <w:rFonts w:hint="eastAsia" w:ascii="楷体" w:hAnsi="楷体" w:eastAsia="楷体" w:cs="楷体"/>
              <w:b w:val="0"/>
              <w:bCs w:val="0"/>
              <w:sz w:val="21"/>
              <w:szCs w:val="21"/>
              <w:highlight w:val="none"/>
            </w:rPr>
            <w:fldChar w:fldCharType="end"/>
          </w:r>
        </w:p>
        <w:p w14:paraId="1953298F">
          <w:pP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end"/>
          </w:r>
        </w:p>
      </w:sdtContent>
    </w:sdt>
    <w:p w14:paraId="12F70C3E">
      <w:pPr>
        <w:pStyle w:val="2"/>
        <w:jc w:val="both"/>
        <w:rPr>
          <w:rFonts w:hint="eastAsia" w:ascii="仿宋_GB2312" w:hAnsi="仿宋_GB2312" w:eastAsia="仿宋_GB2312" w:cs="仿宋_GB2312"/>
          <w:b w:val="0"/>
          <w:color w:val="auto"/>
          <w:sz w:val="21"/>
          <w:szCs w:val="21"/>
          <w:highlight w:val="none"/>
        </w:rPr>
        <w:sectPr>
          <w:footerReference r:id="rId5" w:type="first"/>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4" w:name="_Toc9642"/>
    </w:p>
    <w:p w14:paraId="025A160E">
      <w:pPr>
        <w:pStyle w:val="2"/>
        <w:jc w:val="center"/>
        <w:rPr>
          <w:rStyle w:val="32"/>
          <w:rFonts w:hint="eastAsia" w:ascii="黑体" w:hAnsi="黑体" w:eastAsia="黑体" w:cs="黑体"/>
          <w:b/>
          <w:bCs w:val="0"/>
          <w:highlight w:val="none"/>
        </w:rPr>
      </w:pPr>
      <w:r>
        <w:rPr>
          <w:rFonts w:hint="eastAsia" w:ascii="黑体" w:hAnsi="黑体" w:eastAsia="黑体" w:cs="黑体"/>
          <w:b w:val="0"/>
          <w:color w:val="auto"/>
          <w:highlight w:val="none"/>
        </w:rPr>
        <w:t>第一部分</w:t>
      </w:r>
      <w:r>
        <w:rPr>
          <w:rFonts w:hint="eastAsia" w:ascii="黑体" w:hAnsi="黑体" w:eastAsia="黑体" w:cs="黑体"/>
          <w:b w:val="0"/>
          <w:color w:val="auto"/>
          <w:highlight w:val="none"/>
          <w:lang w:val="en-US" w:eastAsia="zh-CN"/>
        </w:rPr>
        <w:t xml:space="preserve"> </w:t>
      </w:r>
      <w:r>
        <w:rPr>
          <w:rFonts w:hint="eastAsia" w:ascii="黑体" w:hAnsi="黑体" w:eastAsia="黑体" w:cs="黑体"/>
          <w:b w:val="0"/>
          <w:color w:val="auto"/>
          <w:highlight w:val="none"/>
        </w:rPr>
        <w:t xml:space="preserve"> </w:t>
      </w:r>
      <w:r>
        <w:rPr>
          <w:rStyle w:val="32"/>
          <w:rFonts w:hint="eastAsia" w:ascii="黑体" w:hAnsi="黑体" w:eastAsia="黑体" w:cs="黑体"/>
          <w:b w:val="0"/>
          <w:bCs w:val="0"/>
          <w:color w:val="auto"/>
          <w:highlight w:val="none"/>
        </w:rPr>
        <w:t>部门概况</w:t>
      </w:r>
      <w:bookmarkEnd w:id="4"/>
    </w:p>
    <w:p w14:paraId="79145E00">
      <w:pPr>
        <w:pStyle w:val="3"/>
        <w:rPr>
          <w:rStyle w:val="33"/>
          <w:rFonts w:hint="eastAsia" w:ascii="Times New Roman" w:hAnsi="Times New Roman" w:eastAsia="黑体"/>
          <w:b w:val="0"/>
          <w:bCs w:val="0"/>
          <w:color w:val="auto"/>
          <w:highlight w:val="none"/>
          <w:lang w:eastAsia="zh-CN"/>
        </w:rPr>
      </w:pPr>
      <w:bookmarkStart w:id="5" w:name="_Toc15396600"/>
      <w:bookmarkStart w:id="6" w:name="_Toc15377197"/>
      <w:bookmarkStart w:id="7" w:name="_Toc21664"/>
      <w:r>
        <w:rPr>
          <w:rFonts w:hint="eastAsia" w:ascii="Times New Roman" w:hAnsi="Times New Roman" w:eastAsia="黑体"/>
          <w:b w:val="0"/>
          <w:color w:val="auto"/>
          <w:highlight w:val="none"/>
        </w:rPr>
        <w:t>一、</w:t>
      </w:r>
      <w:bookmarkEnd w:id="5"/>
      <w:bookmarkEnd w:id="6"/>
      <w:r>
        <w:rPr>
          <w:rFonts w:hint="eastAsia" w:ascii="Times New Roman" w:hAnsi="Times New Roman" w:eastAsia="黑体"/>
          <w:b w:val="0"/>
          <w:color w:val="auto"/>
          <w:highlight w:val="none"/>
          <w:lang w:eastAsia="zh-CN"/>
        </w:rPr>
        <w:t>部门职责</w:t>
      </w:r>
      <w:bookmarkEnd w:id="7"/>
    </w:p>
    <w:p w14:paraId="183B6197">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outlineLvl w:val="2"/>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负责对全区财政收支和法律、法规规定属于审计监督范围的财务收支的真实、合法、效益进行审计监督。对审计、专项审计调查和核查社会审计机构相关审计报告的结果承担责任，负有督促被审计单位整改的责任。</w:t>
      </w:r>
    </w:p>
    <w:p w14:paraId="255A6EEC">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outlineLvl w:val="2"/>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2.参与起草审计、财经方面的规章制度、规范性文件，制定并组织实施年度审计计划，对直接审计、调查和核查的事项依法进行审计评价，作出审计决定或审计建议。</w:t>
      </w:r>
    </w:p>
    <w:p w14:paraId="6485CD70">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outlineLvl w:val="2"/>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向区政府提交年度本级预算执行和其他财政收支的审计结果报告。受区政府委托向区人大常委会提交本级预算执行和其他财政收支情况的审计工作报告、审计发现问题的纠正和处理结果报告。向区政府报告其他事项专项审计调查情况及结果，依法向社会公布审计结果。</w:t>
      </w:r>
    </w:p>
    <w:p w14:paraId="22AC3274">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outlineLvl w:val="2"/>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4.直接审计下列事项，出具审计报告，在法定职权范围内作出审计决定或向有关主管机关提出处理处罚的建议：</w:t>
      </w:r>
    </w:p>
    <w:p w14:paraId="2B3929BD">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outlineLvl w:val="2"/>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（1）区本级预算执行情况和其他财政收支情况。</w:t>
      </w:r>
    </w:p>
    <w:p w14:paraId="6D831719">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outlineLvl w:val="2"/>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（2）区本级各部门（含直属单位）和下级政府预算的执行情况和决算以及其他财政收支情况。</w:t>
      </w:r>
    </w:p>
    <w:p w14:paraId="734DBAD5">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outlineLvl w:val="2"/>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（3）使用财政资金的区级事业组织和社会团体的财务收支。</w:t>
      </w:r>
    </w:p>
    <w:p w14:paraId="132C095E">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outlineLvl w:val="2"/>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（4）区属国有企业和国有资本占控股地位或主导地位的企业的资产负债损益。</w:t>
      </w:r>
    </w:p>
    <w:p w14:paraId="4788C7E9">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outlineLvl w:val="2"/>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（5）以财政资金、国有资产投资或融资为主的基建项目和与其直接有关的建设、勘察、设计、施工、监理、采购、供货等单位的财务收支。</w:t>
      </w:r>
    </w:p>
    <w:p w14:paraId="6B61D142">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outlineLvl w:val="2"/>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（6）政府管理的和其他单位受政府及其部门委托管理的社会保障基金、社会捐赠资金以及其他有关基金、资金的财务收支。</w:t>
      </w:r>
    </w:p>
    <w:p w14:paraId="289EF653">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outlineLvl w:val="2"/>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（7）法律、行政法规规定应由审计机关进行审计的其他事项。</w:t>
      </w:r>
    </w:p>
    <w:p w14:paraId="1CD7083D">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outlineLvl w:val="2"/>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5.根据上级审计机关的授权，对区域内国有金融机构或垂直管理企事业组织的资产负债损益以及国际组织和外国政府援助、贷款项目的财务收支进行审计监督。</w:t>
      </w:r>
    </w:p>
    <w:p w14:paraId="62709F19">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outlineLvl w:val="2"/>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6.按照国家有关规定，对国家机关和依法属于审计机关审计监督对象的其他单位的主要负责人，在任职期间对本地区、本部门或者本单位的财政收支、财务收支以及有关经济活动应负经济责任的履行情况进行审计监督。</w:t>
      </w:r>
    </w:p>
    <w:p w14:paraId="4387448C">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outlineLvl w:val="2"/>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7.负责实施对财经法律、法规、规章、政策和宏观调控措施执行情况、财政预算管理和国有资产管理使用等与区级财政收支有关的特定事项进行专项审计调查。</w:t>
      </w:r>
    </w:p>
    <w:p w14:paraId="1B639187">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outlineLvl w:val="2"/>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8.依法检查审计决定执行情况，督促纠正和处理审计发现的问题，依法办理被审计单位对审计决定提请行政复议、行政诉讼或区政府裁决的有关事项。</w:t>
      </w:r>
    </w:p>
    <w:p w14:paraId="711F30ED">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outlineLvl w:val="2"/>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9.指导和监督依法属于审计监督对象的单位的内部审计工作，核查社会审计机构对依法属于审计监督对象的单位出具的相关审计报告。</w:t>
      </w:r>
    </w:p>
    <w:p w14:paraId="3E603A79">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outlineLvl w:val="2"/>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10.承办区委、区政府交办的其他事项；协助配合有关部门查处相关重大案件。</w:t>
      </w:r>
    </w:p>
    <w:p w14:paraId="565978DE">
      <w:pPr>
        <w:pStyle w:val="3"/>
        <w:pageBreakBefore w:val="0"/>
        <w:widowControl/>
        <w:kinsoku/>
        <w:wordWrap/>
        <w:overflowPunct/>
        <w:topLinePunct w:val="0"/>
        <w:autoSpaceDE/>
        <w:autoSpaceDN/>
        <w:bidi w:val="0"/>
        <w:spacing w:before="0" w:beforeLines="0" w:afterLines="0" w:line="560" w:lineRule="exact"/>
        <w:ind w:firstLine="640" w:firstLineChars="200"/>
        <w:textAlignment w:val="auto"/>
        <w:rPr>
          <w:rFonts w:hint="eastAsia" w:ascii="黑体" w:hAnsi="黑体" w:eastAsia="黑体" w:cs="黑体"/>
          <w:b w:val="0"/>
          <w:bCs/>
          <w:color w:val="auto"/>
          <w:highlight w:val="none"/>
        </w:rPr>
      </w:pPr>
      <w:bookmarkStart w:id="8" w:name="_Toc22915"/>
      <w:bookmarkStart w:id="9" w:name="_Toc18792"/>
      <w:bookmarkStart w:id="10" w:name="_Toc15377200"/>
      <w:bookmarkStart w:id="11" w:name="_Toc15396601"/>
      <w:bookmarkStart w:id="12" w:name="_Toc31978"/>
      <w:bookmarkStart w:id="13" w:name="_Toc23732"/>
      <w:r>
        <w:rPr>
          <w:rFonts w:hint="eastAsia" w:ascii="黑体" w:hAnsi="黑体" w:eastAsia="黑体" w:cs="黑体"/>
          <w:b w:val="0"/>
          <w:color w:val="auto"/>
          <w:highlight w:val="none"/>
        </w:rPr>
        <w:t>二、机</w:t>
      </w:r>
      <w:r>
        <w:rPr>
          <w:rFonts w:hint="eastAsia" w:ascii="黑体" w:hAnsi="黑体" w:eastAsia="黑体" w:cs="黑体"/>
          <w:b w:val="0"/>
          <w:bCs/>
          <w:color w:val="auto"/>
          <w:highlight w:val="none"/>
        </w:rPr>
        <w:t>构设置</w:t>
      </w:r>
      <w:bookmarkEnd w:id="8"/>
      <w:bookmarkEnd w:id="9"/>
      <w:bookmarkEnd w:id="10"/>
      <w:bookmarkEnd w:id="11"/>
      <w:bookmarkEnd w:id="12"/>
      <w:bookmarkEnd w:id="13"/>
    </w:p>
    <w:p w14:paraId="36A43B67">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700" w:lineRule="exact"/>
        <w:ind w:left="0" w:leftChars="0" w:firstLine="640" w:firstLineChars="200"/>
        <w:textAlignment w:val="auto"/>
        <w:outlineLvl w:val="2"/>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区审计局下属二级单位2个，其中行政单位0个，参照公务员法管理的事业单位0个，其他事业单位2个。</w:t>
      </w:r>
    </w:p>
    <w:p w14:paraId="2D6F465C">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700" w:lineRule="exact"/>
        <w:ind w:left="0" w:leftChars="0" w:firstLine="640" w:firstLineChars="200"/>
        <w:textAlignment w:val="auto"/>
        <w:outlineLvl w:val="2"/>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sz w:val="32"/>
          <w:szCs w:val="32"/>
          <w:highlight w:val="none"/>
        </w:rPr>
        <w:t>纳入</w:t>
      </w:r>
      <w:r>
        <w:rPr>
          <w:rFonts w:hint="eastAsia" w:ascii="仿宋_GB2312" w:hAnsi="仿宋_GB2312" w:eastAsia="仿宋_GB2312" w:cs="仿宋_GB2312"/>
          <w:color w:val="auto"/>
          <w:sz w:val="32"/>
          <w:szCs w:val="32"/>
          <w:highlight w:val="none"/>
          <w:lang w:eastAsia="zh-CN"/>
        </w:rPr>
        <w:t>2024年度</w:t>
      </w:r>
      <w:r>
        <w:rPr>
          <w:rFonts w:hint="eastAsia" w:ascii="仿宋_GB2312" w:hAnsi="仿宋_GB2312" w:eastAsia="仿宋_GB2312" w:cs="仿宋_GB2312"/>
          <w:color w:val="auto"/>
          <w:sz w:val="32"/>
          <w:szCs w:val="32"/>
          <w:highlight w:val="none"/>
        </w:rPr>
        <w:t>部门决算编制范围的二级预算单位</w:t>
      </w:r>
      <w:r>
        <w:rPr>
          <w:rFonts w:hint="eastAsia" w:ascii="仿宋_GB2312" w:hAnsi="仿宋_GB2312" w:eastAsia="仿宋_GB2312" w:cs="仿宋_GB2312"/>
          <w:color w:val="000000"/>
          <w:sz w:val="32"/>
          <w:szCs w:val="32"/>
          <w:highlight w:val="none"/>
          <w:lang w:val="en-US" w:eastAsia="zh-CN"/>
        </w:rPr>
        <w:t>0个。</w:t>
      </w:r>
    </w:p>
    <w:p w14:paraId="14D9D897">
      <w:pPr>
        <w:pStyle w:val="9"/>
        <w:pageBreakBefore w:val="0"/>
        <w:widowControl w:val="0"/>
        <w:kinsoku/>
        <w:wordWrap/>
        <w:overflowPunct/>
        <w:topLinePunct w:val="0"/>
        <w:autoSpaceDE/>
        <w:autoSpaceDN/>
        <w:bidi w:val="0"/>
        <w:spacing w:beforeLines="0" w:line="560" w:lineRule="exact"/>
        <w:ind w:left="0" w:leftChars="0" w:firstLine="0" w:firstLineChars="0"/>
        <w:textAlignment w:val="auto"/>
        <w:rPr>
          <w:rFonts w:hint="eastAsia" w:ascii="仿宋" w:hAnsi="仿宋" w:eastAsia="仿宋" w:cs="Times New Roman"/>
          <w:color w:val="000000"/>
          <w:kern w:val="2"/>
          <w:sz w:val="32"/>
          <w:szCs w:val="32"/>
          <w:highlight w:val="none"/>
          <w:lang w:val="en-US" w:eastAsia="zh-CN" w:bidi="ar-SA"/>
        </w:rPr>
      </w:pPr>
    </w:p>
    <w:p w14:paraId="4F4301A2">
      <w:pPr>
        <w:pStyle w:val="9"/>
        <w:pageBreakBefore w:val="0"/>
        <w:widowControl w:val="0"/>
        <w:kinsoku/>
        <w:wordWrap/>
        <w:overflowPunct/>
        <w:topLinePunct w:val="0"/>
        <w:autoSpaceDE/>
        <w:autoSpaceDN/>
        <w:bidi w:val="0"/>
        <w:spacing w:beforeLines="0" w:line="560" w:lineRule="exact"/>
        <w:ind w:left="0" w:leftChars="0" w:firstLine="0" w:firstLineChars="0"/>
        <w:textAlignment w:val="auto"/>
        <w:rPr>
          <w:rFonts w:hint="eastAsia" w:ascii="仿宋" w:hAnsi="仿宋" w:eastAsia="仿宋" w:cs="Times New Roman"/>
          <w:color w:val="000000"/>
          <w:kern w:val="2"/>
          <w:sz w:val="32"/>
          <w:szCs w:val="32"/>
          <w:highlight w:val="none"/>
          <w:lang w:val="en-US" w:eastAsia="zh-CN" w:bidi="ar-SA"/>
        </w:rPr>
      </w:pPr>
    </w:p>
    <w:p w14:paraId="66734FB2">
      <w:pPr>
        <w:spacing w:beforeLines="0" w:afterLines="0" w:line="560" w:lineRule="exact"/>
        <w:rPr>
          <w:rFonts w:hint="eastAsia" w:ascii="黑体" w:hAnsi="黑体" w:eastAsia="黑体"/>
          <w:b w:val="0"/>
          <w:color w:val="000000"/>
          <w:highlight w:val="none"/>
        </w:rPr>
      </w:pPr>
      <w:bookmarkStart w:id="14" w:name="_Toc27909"/>
      <w:bookmarkStart w:id="15" w:name="_Toc15396602"/>
      <w:bookmarkStart w:id="16" w:name="_Toc4711"/>
      <w:bookmarkStart w:id="17" w:name="_Toc15377204"/>
      <w:r>
        <w:rPr>
          <w:rFonts w:hint="eastAsia" w:ascii="黑体" w:hAnsi="黑体" w:eastAsia="黑体"/>
          <w:b w:val="0"/>
          <w:color w:val="000000"/>
          <w:highlight w:val="none"/>
        </w:rPr>
        <w:br w:type="page"/>
      </w:r>
    </w:p>
    <w:bookmarkEnd w:id="14"/>
    <w:bookmarkEnd w:id="15"/>
    <w:bookmarkEnd w:id="16"/>
    <w:bookmarkEnd w:id="17"/>
    <w:p w14:paraId="1FBB5CF9">
      <w:pPr>
        <w:pStyle w:val="2"/>
        <w:jc w:val="center"/>
        <w:rPr>
          <w:rFonts w:hint="eastAsia" w:ascii="黑体" w:hAnsi="黑体" w:eastAsia="黑体" w:cs="黑体"/>
          <w:highlight w:val="none"/>
        </w:rPr>
      </w:pPr>
      <w:bookmarkStart w:id="18" w:name="_Toc15940"/>
      <w:r>
        <w:rPr>
          <w:rFonts w:hint="eastAsia" w:ascii="黑体" w:hAnsi="黑体" w:eastAsia="黑体" w:cs="黑体"/>
          <w:b w:val="0"/>
          <w:color w:val="auto"/>
          <w:highlight w:val="none"/>
        </w:rPr>
        <w:t>第二部分</w:t>
      </w:r>
      <w:r>
        <w:rPr>
          <w:rFonts w:hint="eastAsia" w:ascii="黑体" w:hAnsi="黑体" w:eastAsia="黑体" w:cs="黑体"/>
          <w:b w:val="0"/>
          <w:color w:val="auto"/>
          <w:highlight w:val="none"/>
          <w:lang w:val="en-US" w:eastAsia="zh-CN"/>
        </w:rPr>
        <w:t xml:space="preserve"> </w:t>
      </w:r>
      <w:r>
        <w:rPr>
          <w:rFonts w:hint="eastAsia" w:ascii="黑体" w:hAnsi="黑体" w:eastAsia="黑体" w:cs="黑体"/>
          <w:b w:val="0"/>
          <w:color w:val="auto"/>
          <w:highlight w:val="none"/>
        </w:rPr>
        <w:t xml:space="preserve"> </w:t>
      </w:r>
      <w:r>
        <w:rPr>
          <w:rFonts w:hint="eastAsia" w:ascii="黑体" w:hAnsi="黑体" w:eastAsia="黑体" w:cs="黑体"/>
          <w:b w:val="0"/>
          <w:color w:val="auto"/>
          <w:highlight w:val="none"/>
          <w:lang w:val="en-US" w:eastAsia="zh-CN"/>
        </w:rPr>
        <w:t>2024年度</w:t>
      </w:r>
      <w:r>
        <w:rPr>
          <w:rFonts w:hint="eastAsia" w:ascii="黑体" w:hAnsi="黑体" w:eastAsia="黑体" w:cs="黑体"/>
          <w:b w:val="0"/>
          <w:color w:val="auto"/>
          <w:highlight w:val="none"/>
        </w:rPr>
        <w:t>部门决算情况说明</w:t>
      </w:r>
      <w:bookmarkEnd w:id="18"/>
    </w:p>
    <w:p w14:paraId="5773441E">
      <w:pPr>
        <w:pStyle w:val="31"/>
        <w:numPr>
          <w:ilvl w:val="-1"/>
          <w:numId w:val="0"/>
        </w:numPr>
        <w:spacing w:line="560" w:lineRule="exact"/>
        <w:ind w:left="840" w:leftChars="0" w:firstLine="0" w:firstLineChars="0"/>
        <w:outlineLvl w:val="1"/>
        <w:rPr>
          <w:rStyle w:val="33"/>
          <w:rFonts w:ascii="黑体" w:hAnsi="黑体" w:eastAsia="黑体"/>
          <w:b w:val="0"/>
          <w:highlight w:val="none"/>
        </w:rPr>
      </w:pPr>
      <w:bookmarkStart w:id="19" w:name="_Toc24220"/>
      <w:bookmarkStart w:id="20" w:name="_Toc4733"/>
      <w:bookmarkStart w:id="21" w:name="_Toc15396603"/>
      <w:bookmarkStart w:id="22" w:name="_Toc15377205"/>
      <w:bookmarkStart w:id="23" w:name="_Toc5017"/>
      <w:bookmarkStart w:id="24" w:name="_Toc16925"/>
      <w:r>
        <w:rPr>
          <w:rFonts w:hint="eastAsia" w:ascii="黑体" w:hAnsi="黑体" w:eastAsia="黑体"/>
          <w:color w:val="000000"/>
          <w:sz w:val="32"/>
          <w:szCs w:val="32"/>
          <w:highlight w:val="none"/>
          <w:lang w:eastAsia="zh-CN"/>
        </w:rPr>
        <w:t>一、</w:t>
      </w:r>
      <w:r>
        <w:rPr>
          <w:rFonts w:hint="eastAsia" w:ascii="黑体" w:hAnsi="黑体" w:eastAsia="黑体"/>
          <w:color w:val="000000"/>
          <w:sz w:val="32"/>
          <w:szCs w:val="32"/>
          <w:highlight w:val="none"/>
        </w:rPr>
        <w:t>收</w:t>
      </w:r>
      <w:r>
        <w:rPr>
          <w:rStyle w:val="33"/>
          <w:rFonts w:hint="eastAsia" w:ascii="黑体" w:hAnsi="黑体" w:eastAsia="黑体"/>
          <w:b w:val="0"/>
          <w:highlight w:val="none"/>
        </w:rPr>
        <w:t>入支出决算总体情况说明</w:t>
      </w:r>
      <w:bookmarkEnd w:id="19"/>
      <w:bookmarkEnd w:id="20"/>
      <w:bookmarkEnd w:id="21"/>
      <w:bookmarkEnd w:id="22"/>
      <w:bookmarkEnd w:id="23"/>
      <w:bookmarkEnd w:id="24"/>
    </w:p>
    <w:p w14:paraId="2D091587">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szCs w:val="32"/>
          <w:highlight w:val="none"/>
        </w:rPr>
        <w:t>年度</w:t>
      </w:r>
      <w:r>
        <w:rPr>
          <w:rFonts w:hint="eastAsia" w:ascii="仿宋_GB2312" w:hAnsi="仿宋_GB2312" w:eastAsia="仿宋_GB2312" w:cs="仿宋_GB2312"/>
          <w:color w:val="000000"/>
          <w:sz w:val="32"/>
          <w:szCs w:val="32"/>
          <w:highlight w:val="none"/>
          <w:lang w:eastAsia="zh-CN"/>
        </w:rPr>
        <w:t>收入、支出</w:t>
      </w:r>
      <w:r>
        <w:rPr>
          <w:rFonts w:hint="eastAsia" w:ascii="仿宋_GB2312" w:hAnsi="仿宋_GB2312" w:eastAsia="仿宋_GB2312" w:cs="仿宋_GB2312"/>
          <w:color w:val="000000"/>
          <w:sz w:val="32"/>
          <w:szCs w:val="32"/>
          <w:highlight w:val="none"/>
        </w:rPr>
        <w:t>总计</w:t>
      </w:r>
      <w:r>
        <w:rPr>
          <w:rFonts w:hint="eastAsia" w:ascii="仿宋_GB2312" w:hAnsi="仿宋_GB2312" w:eastAsia="仿宋_GB2312" w:cs="仿宋_GB2312"/>
          <w:color w:val="000000"/>
          <w:sz w:val="32"/>
          <w:szCs w:val="32"/>
          <w:highlight w:val="none"/>
          <w:lang w:eastAsia="zh-CN"/>
        </w:rPr>
        <w:t>均为480.48万元整。</w:t>
      </w:r>
      <w:r>
        <w:rPr>
          <w:rFonts w:hint="eastAsia" w:ascii="仿宋_GB2312" w:hAnsi="仿宋_GB2312" w:eastAsia="仿宋_GB2312" w:cs="仿宋_GB2312"/>
          <w:color w:val="000000"/>
          <w:sz w:val="32"/>
          <w:szCs w:val="32"/>
          <w:highlight w:val="none"/>
        </w:rPr>
        <w:t>与</w:t>
      </w:r>
      <w:r>
        <w:rPr>
          <w:rFonts w:hint="eastAsia" w:ascii="仿宋_GB2312" w:hAnsi="仿宋_GB2312" w:eastAsia="仿宋_GB2312" w:cs="仿宋_GB2312"/>
          <w:color w:val="000000"/>
          <w:sz w:val="32"/>
          <w:szCs w:val="32"/>
          <w:highlight w:val="none"/>
          <w:lang w:eastAsia="zh-CN"/>
        </w:rPr>
        <w:t>2023</w:t>
      </w:r>
      <w:r>
        <w:rPr>
          <w:rFonts w:hint="eastAsia" w:ascii="仿宋_GB2312" w:hAnsi="仿宋_GB2312" w:eastAsia="仿宋_GB2312" w:cs="仿宋_GB2312"/>
          <w:color w:val="000000"/>
          <w:sz w:val="32"/>
          <w:szCs w:val="32"/>
          <w:highlight w:val="none"/>
        </w:rPr>
        <w:t>年相比，</w:t>
      </w:r>
      <w:r>
        <w:rPr>
          <w:rFonts w:hint="eastAsia" w:ascii="仿宋_GB2312" w:hAnsi="仿宋_GB2312" w:eastAsia="仿宋_GB2312" w:cs="仿宋_GB2312"/>
          <w:color w:val="auto"/>
          <w:sz w:val="32"/>
          <w:szCs w:val="32"/>
          <w:highlight w:val="none"/>
          <w:lang w:eastAsia="zh-CN"/>
        </w:rPr>
        <w:t>收入、支出</w:t>
      </w:r>
      <w:r>
        <w:rPr>
          <w:rFonts w:hint="eastAsia" w:ascii="仿宋_GB2312" w:hAnsi="仿宋_GB2312" w:eastAsia="仿宋_GB2312" w:cs="仿宋_GB2312"/>
          <w:color w:val="auto"/>
          <w:sz w:val="32"/>
          <w:szCs w:val="32"/>
          <w:highlight w:val="none"/>
        </w:rPr>
        <w:t>总计各</w:t>
      </w:r>
      <w:r>
        <w:rPr>
          <w:rFonts w:hint="eastAsia" w:ascii="仿宋_GB2312" w:hAnsi="仿宋_GB2312" w:eastAsia="仿宋_GB2312" w:cs="仿宋_GB2312"/>
          <w:color w:val="000000"/>
          <w:sz w:val="32"/>
          <w:szCs w:val="32"/>
          <w:highlight w:val="none"/>
          <w:lang w:eastAsia="zh-CN"/>
        </w:rPr>
        <w:t>增加18.42</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auto"/>
          <w:sz w:val="32"/>
          <w:szCs w:val="32"/>
          <w:highlight w:val="none"/>
          <w:lang w:eastAsia="zh-CN"/>
        </w:rPr>
        <w:t>增长3.99%</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主要变动原因是政府投资审计项目资金增加。</w:t>
      </w:r>
    </w:p>
    <w:p w14:paraId="522CEA5A">
      <w:pPr>
        <w:spacing w:line="560" w:lineRule="exact"/>
        <w:ind w:firstLine="0" w:firstLineChars="0"/>
        <w:rPr>
          <w:rFonts w:hint="eastAsia" w:ascii="仿宋" w:hAnsi="仿宋" w:eastAsia="仿宋"/>
          <w:color w:val="000000" w:themeColor="text1"/>
          <w:sz w:val="32"/>
          <w:szCs w:val="32"/>
          <w:highlight w:val="none"/>
          <w:lang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294640</wp:posOffset>
            </wp:positionH>
            <wp:positionV relativeFrom="paragraph">
              <wp:posOffset>694690</wp:posOffset>
            </wp:positionV>
            <wp:extent cx="4581525" cy="2466975"/>
            <wp:effectExtent l="4445" t="4445" r="5080" b="5080"/>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p>
    <w:p w14:paraId="1583A6AF">
      <w:pPr>
        <w:spacing w:line="600" w:lineRule="exact"/>
        <w:ind w:firstLine="468" w:firstLineChars="200"/>
        <w:jc w:val="center"/>
        <w:rPr>
          <w:rFonts w:hint="eastAsia" w:ascii="仿宋_GB2312" w:hAnsi="仿宋_GB2312" w:eastAsia="仿宋_GB2312" w:cs="仿宋_GB2312"/>
          <w:color w:val="000000" w:themeColor="text1"/>
          <w:spacing w:val="-23"/>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23"/>
          <w:kern w:val="0"/>
          <w:sz w:val="28"/>
          <w:szCs w:val="28"/>
          <w:highlight w:val="none"/>
          <w14:textFill>
            <w14:solidFill>
              <w14:schemeClr w14:val="tx1"/>
            </w14:solidFill>
          </w14:textFill>
        </w:rPr>
        <w:t>（图1：</w:t>
      </w:r>
      <w:r>
        <w:rPr>
          <w:rFonts w:hint="eastAsia" w:ascii="仿宋_GB2312" w:hAnsi="仿宋_GB2312" w:eastAsia="仿宋_GB2312" w:cs="仿宋_GB2312"/>
          <w:color w:val="000000" w:themeColor="text1"/>
          <w:spacing w:val="-23"/>
          <w:kern w:val="0"/>
          <w:sz w:val="28"/>
          <w:szCs w:val="28"/>
          <w:highlight w:val="none"/>
          <w:lang w:eastAsia="zh-CN"/>
          <w14:textFill>
            <w14:solidFill>
              <w14:schemeClr w14:val="tx1"/>
            </w14:solidFill>
          </w14:textFill>
        </w:rPr>
        <w:t>收入、支出</w:t>
      </w:r>
      <w:r>
        <w:rPr>
          <w:rFonts w:hint="eastAsia" w:ascii="仿宋_GB2312" w:hAnsi="仿宋_GB2312" w:eastAsia="仿宋_GB2312" w:cs="仿宋_GB2312"/>
          <w:color w:val="000000" w:themeColor="text1"/>
          <w:spacing w:val="-23"/>
          <w:kern w:val="0"/>
          <w:sz w:val="28"/>
          <w:szCs w:val="28"/>
          <w:highlight w:val="none"/>
          <w14:textFill>
            <w14:solidFill>
              <w14:schemeClr w14:val="tx1"/>
            </w14:solidFill>
          </w14:textFill>
        </w:rPr>
        <w:t>决算总计变动情况图）（柱状图</w:t>
      </w:r>
      <w:r>
        <w:rPr>
          <w:rFonts w:hint="eastAsia" w:ascii="仿宋_GB2312" w:hAnsi="仿宋_GB2312" w:eastAsia="仿宋_GB2312" w:cs="仿宋_GB2312"/>
          <w:color w:val="000000" w:themeColor="text1"/>
          <w:spacing w:val="-23"/>
          <w:kern w:val="0"/>
          <w:sz w:val="28"/>
          <w:szCs w:val="28"/>
          <w:highlight w:val="none"/>
          <w:lang w:eastAsia="zh-CN"/>
          <w14:textFill>
            <w14:solidFill>
              <w14:schemeClr w14:val="tx1"/>
            </w14:solidFill>
          </w14:textFill>
        </w:rPr>
        <w:t>单位：万元</w:t>
      </w:r>
      <w:r>
        <w:rPr>
          <w:rFonts w:hint="eastAsia" w:ascii="仿宋_GB2312" w:hAnsi="仿宋_GB2312" w:eastAsia="仿宋_GB2312" w:cs="仿宋_GB2312"/>
          <w:color w:val="000000" w:themeColor="text1"/>
          <w:spacing w:val="-23"/>
          <w:kern w:val="0"/>
          <w:sz w:val="28"/>
          <w:szCs w:val="28"/>
          <w:highlight w:val="none"/>
          <w14:textFill>
            <w14:solidFill>
              <w14:schemeClr w14:val="tx1"/>
            </w14:solidFill>
          </w14:textFill>
        </w:rPr>
        <w:t>）</w:t>
      </w:r>
    </w:p>
    <w:p w14:paraId="54688EB5">
      <w:pPr>
        <w:pStyle w:val="31"/>
        <w:numPr>
          <w:ilvl w:val="-1"/>
          <w:numId w:val="0"/>
        </w:numPr>
        <w:spacing w:line="600" w:lineRule="exact"/>
        <w:ind w:left="840" w:leftChars="0" w:firstLine="0" w:firstLineChars="0"/>
        <w:outlineLvl w:val="1"/>
        <w:rPr>
          <w:rStyle w:val="33"/>
          <w:rFonts w:ascii="黑体" w:hAnsi="黑体" w:eastAsia="黑体"/>
          <w:b w:val="0"/>
          <w:highlight w:val="none"/>
        </w:rPr>
      </w:pPr>
      <w:bookmarkStart w:id="25" w:name="_Toc15396604"/>
      <w:bookmarkStart w:id="26" w:name="_Toc1939"/>
      <w:bookmarkStart w:id="27" w:name="_Toc15140"/>
      <w:bookmarkStart w:id="28" w:name="_Toc1829"/>
      <w:bookmarkStart w:id="29" w:name="_Toc15377206"/>
      <w:bookmarkStart w:id="30" w:name="_Toc21420"/>
      <w:r>
        <w:rPr>
          <w:rFonts w:hint="eastAsia" w:ascii="黑体" w:hAnsi="黑体" w:eastAsia="黑体"/>
          <w:color w:val="000000"/>
          <w:sz w:val="32"/>
          <w:szCs w:val="32"/>
          <w:highlight w:val="none"/>
          <w:lang w:eastAsia="zh-CN"/>
        </w:rPr>
        <w:t>二、</w:t>
      </w:r>
      <w:r>
        <w:rPr>
          <w:rFonts w:hint="eastAsia" w:ascii="黑体" w:hAnsi="黑体" w:eastAsia="黑体"/>
          <w:color w:val="000000"/>
          <w:sz w:val="32"/>
          <w:szCs w:val="32"/>
          <w:highlight w:val="none"/>
        </w:rPr>
        <w:t>收</w:t>
      </w:r>
      <w:r>
        <w:rPr>
          <w:rStyle w:val="33"/>
          <w:rFonts w:hint="eastAsia" w:ascii="黑体" w:hAnsi="黑体" w:eastAsia="黑体"/>
          <w:b w:val="0"/>
          <w:highlight w:val="none"/>
        </w:rPr>
        <w:t>入决算情况说明</w:t>
      </w:r>
      <w:bookmarkEnd w:id="25"/>
      <w:bookmarkEnd w:id="26"/>
      <w:bookmarkEnd w:id="27"/>
      <w:bookmarkEnd w:id="28"/>
      <w:bookmarkEnd w:id="29"/>
      <w:bookmarkEnd w:id="30"/>
    </w:p>
    <w:p w14:paraId="7357D448">
      <w:pPr>
        <w:spacing w:line="560" w:lineRule="exact"/>
        <w:ind w:firstLine="640" w:firstLineChars="200"/>
        <w:rPr>
          <w:rFonts w:hint="eastAsia" w:ascii="仿宋_GB2312" w:hAnsi="仿宋_GB2312" w:eastAsia="仿宋_GB2312" w:cs="仿宋_GB2312"/>
          <w:color w:val="000000"/>
          <w:sz w:val="32"/>
          <w:szCs w:val="32"/>
          <w:highlight w:val="none"/>
          <w:lang w:eastAsia="zh-CN"/>
        </w:rPr>
      </w:pPr>
      <w:bookmarkStart w:id="31" w:name="_Toc10576"/>
      <w:bookmarkStart w:id="32" w:name="_Toc15790"/>
      <w:bookmarkStart w:id="33" w:name="_Toc25609"/>
      <w:bookmarkStart w:id="34" w:name="_Toc22100"/>
      <w:bookmarkStart w:id="35" w:name="_Toc19223"/>
      <w:bookmarkStart w:id="36" w:name="_Toc32000"/>
      <w:bookmarkStart w:id="37" w:name="_Toc19772"/>
      <w:bookmarkStart w:id="38" w:name="_Toc648"/>
      <w:r>
        <w:rPr>
          <w:rFonts w:hint="eastAsia" w:ascii="仿宋_GB2312" w:hAnsi="仿宋_GB2312" w:eastAsia="仿宋_GB2312" w:cs="仿宋_GB2312"/>
          <w:color w:val="000000"/>
          <w:sz w:val="32"/>
          <w:szCs w:val="32"/>
          <w:highlight w:val="none"/>
          <w:lang w:eastAsia="zh-CN"/>
        </w:rPr>
        <w:t>2024年本年收入合计480.48万元，其中：一般公共预算财政拨款收入480.48万元，占</w:t>
      </w:r>
      <w:r>
        <w:rPr>
          <w:rFonts w:hint="eastAsia" w:ascii="仿宋_GB2312" w:hAnsi="仿宋_GB2312" w:eastAsia="仿宋_GB2312" w:cs="仿宋_GB2312"/>
          <w:color w:val="000000"/>
          <w:sz w:val="32"/>
          <w:szCs w:val="32"/>
          <w:highlight w:val="none"/>
          <w:lang w:val="en-US" w:eastAsia="zh-CN"/>
        </w:rPr>
        <w:t>100</w:t>
      </w:r>
      <w:r>
        <w:rPr>
          <w:rFonts w:hint="eastAsia" w:ascii="仿宋_GB2312" w:hAnsi="仿宋_GB2312" w:eastAsia="仿宋_GB2312" w:cs="仿宋_GB2312"/>
          <w:color w:val="000000"/>
          <w:sz w:val="32"/>
          <w:szCs w:val="32"/>
          <w:highlight w:val="none"/>
          <w:lang w:eastAsia="zh-CN"/>
        </w:rPr>
        <w:t>%。</w:t>
      </w:r>
      <w:bookmarkEnd w:id="31"/>
      <w:bookmarkEnd w:id="32"/>
      <w:bookmarkEnd w:id="33"/>
      <w:bookmarkEnd w:id="34"/>
      <w:bookmarkEnd w:id="35"/>
      <w:bookmarkEnd w:id="36"/>
      <w:bookmarkEnd w:id="37"/>
      <w:bookmarkEnd w:id="38"/>
    </w:p>
    <w:p w14:paraId="795C8190">
      <w:pPr>
        <w:spacing w:line="600" w:lineRule="exact"/>
        <w:ind w:firstLine="468" w:firstLineChars="200"/>
        <w:jc w:val="center"/>
        <w:rPr>
          <w:rFonts w:hint="eastAsia" w:ascii="仿宋" w:hAnsi="仿宋" w:eastAsia="仿宋"/>
          <w:color w:val="000000" w:themeColor="text1"/>
          <w:spacing w:val="-23"/>
          <w:kern w:val="0"/>
          <w:sz w:val="28"/>
          <w:szCs w:val="28"/>
          <w:highlight w:val="none"/>
          <w14:textFill>
            <w14:solidFill>
              <w14:schemeClr w14:val="tx1"/>
            </w14:solidFill>
          </w14:textFill>
        </w:rPr>
      </w:pPr>
      <w:r>
        <w:rPr>
          <w:rFonts w:hint="eastAsia" w:ascii="仿宋" w:hAnsi="仿宋" w:eastAsia="仿宋"/>
          <w:color w:val="000000" w:themeColor="text1"/>
          <w:spacing w:val="-23"/>
          <w:kern w:val="0"/>
          <w:sz w:val="28"/>
          <w:szCs w:val="28"/>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447675</wp:posOffset>
            </wp:positionH>
            <wp:positionV relativeFrom="paragraph">
              <wp:posOffset>68580</wp:posOffset>
            </wp:positionV>
            <wp:extent cx="4724400" cy="2733675"/>
            <wp:effectExtent l="4445" t="4445" r="14605" b="508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hint="eastAsia" w:ascii="仿宋" w:hAnsi="仿宋" w:eastAsia="仿宋"/>
          <w:color w:val="000000" w:themeColor="text1"/>
          <w:spacing w:val="-23"/>
          <w:kern w:val="0"/>
          <w:sz w:val="28"/>
          <w:szCs w:val="28"/>
          <w:highlight w:val="none"/>
          <w14:textFill>
            <w14:solidFill>
              <w14:schemeClr w14:val="tx1"/>
            </w14:solidFill>
          </w14:textFill>
        </w:rPr>
        <w:t>（图2：收入决算结构图）（饼状图）</w:t>
      </w:r>
    </w:p>
    <w:p w14:paraId="47AEED9C">
      <w:pPr>
        <w:pStyle w:val="31"/>
        <w:numPr>
          <w:ilvl w:val="-1"/>
          <w:numId w:val="0"/>
        </w:numPr>
        <w:spacing w:line="600" w:lineRule="exact"/>
        <w:ind w:left="840" w:leftChars="0" w:firstLine="0" w:firstLineChars="0"/>
        <w:outlineLvl w:val="1"/>
        <w:rPr>
          <w:rStyle w:val="33"/>
          <w:rFonts w:ascii="黑体" w:hAnsi="黑体" w:eastAsia="黑体"/>
          <w:b w:val="0"/>
          <w:highlight w:val="none"/>
        </w:rPr>
      </w:pPr>
      <w:bookmarkStart w:id="39" w:name="_Toc15377207"/>
      <w:bookmarkStart w:id="40" w:name="_Toc1993"/>
      <w:bookmarkStart w:id="41" w:name="_Toc26691"/>
      <w:bookmarkStart w:id="42" w:name="_Toc18731"/>
      <w:bookmarkStart w:id="43" w:name="_Toc4084"/>
      <w:bookmarkStart w:id="44" w:name="_Toc15396605"/>
      <w:r>
        <w:rPr>
          <w:rFonts w:hint="eastAsia" w:ascii="黑体" w:hAnsi="黑体" w:eastAsia="黑体"/>
          <w:color w:val="000000"/>
          <w:sz w:val="32"/>
          <w:szCs w:val="32"/>
          <w:highlight w:val="none"/>
          <w:lang w:eastAsia="zh-CN"/>
        </w:rPr>
        <w:t>三、</w:t>
      </w:r>
      <w:r>
        <w:rPr>
          <w:rFonts w:hint="eastAsia" w:ascii="黑体" w:hAnsi="黑体" w:eastAsia="黑体"/>
          <w:color w:val="000000"/>
          <w:sz w:val="32"/>
          <w:szCs w:val="32"/>
          <w:highlight w:val="none"/>
        </w:rPr>
        <w:t>支</w:t>
      </w:r>
      <w:r>
        <w:rPr>
          <w:rStyle w:val="33"/>
          <w:rFonts w:hint="eastAsia" w:ascii="黑体" w:hAnsi="黑体" w:eastAsia="黑体"/>
          <w:b w:val="0"/>
          <w:highlight w:val="none"/>
        </w:rPr>
        <w:t>出决算情况说明</w:t>
      </w:r>
      <w:bookmarkEnd w:id="39"/>
      <w:bookmarkEnd w:id="40"/>
      <w:bookmarkEnd w:id="41"/>
      <w:bookmarkEnd w:id="42"/>
      <w:bookmarkEnd w:id="43"/>
      <w:bookmarkEnd w:id="44"/>
    </w:p>
    <w:p w14:paraId="228BC57C">
      <w:pPr>
        <w:spacing w:line="560" w:lineRule="exact"/>
        <w:ind w:firstLine="640" w:firstLineChars="200"/>
        <w:outlineLvl w:val="1"/>
        <w:rPr>
          <w:rFonts w:hint="eastAsia" w:ascii="仿宋_GB2312" w:hAnsi="仿宋_GB2312" w:eastAsia="仿宋_GB2312" w:cs="仿宋_GB2312"/>
          <w:b w:val="0"/>
          <w:bCs/>
          <w:sz w:val="32"/>
          <w:szCs w:val="32"/>
        </w:rPr>
      </w:pPr>
      <w:bookmarkStart w:id="45" w:name="_Toc27233"/>
      <w:bookmarkStart w:id="46" w:name="_Toc27914"/>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年度本年支出合计</w:t>
      </w:r>
      <w:r>
        <w:rPr>
          <w:rFonts w:hint="eastAsia" w:ascii="仿宋_GB2312" w:hAnsi="仿宋_GB2312" w:eastAsia="仿宋_GB2312" w:cs="仿宋_GB2312"/>
          <w:b w:val="0"/>
          <w:bCs/>
          <w:sz w:val="32"/>
          <w:szCs w:val="32"/>
          <w:lang w:eastAsia="zh-CN"/>
        </w:rPr>
        <w:t>480.48</w:t>
      </w:r>
      <w:r>
        <w:rPr>
          <w:rFonts w:hint="eastAsia" w:ascii="仿宋_GB2312" w:hAnsi="仿宋_GB2312" w:eastAsia="仿宋_GB2312" w:cs="仿宋_GB2312"/>
          <w:b w:val="0"/>
          <w:bCs/>
          <w:sz w:val="32"/>
          <w:szCs w:val="32"/>
        </w:rPr>
        <w:t>万元，其中：基本支出</w:t>
      </w:r>
      <w:r>
        <w:rPr>
          <w:rFonts w:hint="eastAsia" w:ascii="仿宋_GB2312" w:hAnsi="仿宋_GB2312" w:eastAsia="仿宋_GB2312" w:cs="仿宋_GB2312"/>
          <w:b w:val="0"/>
          <w:bCs/>
          <w:sz w:val="32"/>
          <w:szCs w:val="32"/>
          <w:lang w:eastAsia="zh-CN"/>
        </w:rPr>
        <w:t xml:space="preserve">385.49 </w:t>
      </w:r>
      <w:r>
        <w:rPr>
          <w:rFonts w:hint="eastAsia" w:ascii="仿宋_GB2312" w:hAnsi="仿宋_GB2312" w:eastAsia="仿宋_GB2312" w:cs="仿宋_GB2312"/>
          <w:b w:val="0"/>
          <w:bCs/>
          <w:sz w:val="32"/>
          <w:szCs w:val="32"/>
        </w:rPr>
        <w:t>万元，占</w:t>
      </w:r>
      <w:r>
        <w:rPr>
          <w:rFonts w:hint="eastAsia" w:ascii="仿宋_GB2312" w:hAnsi="仿宋_GB2312" w:eastAsia="仿宋_GB2312" w:cs="仿宋_GB2312"/>
          <w:b w:val="0"/>
          <w:bCs/>
          <w:sz w:val="32"/>
          <w:szCs w:val="32"/>
          <w:lang w:eastAsia="zh-CN"/>
        </w:rPr>
        <w:t>80.23%</w:t>
      </w:r>
      <w:r>
        <w:rPr>
          <w:rFonts w:hint="eastAsia" w:ascii="仿宋_GB2312" w:hAnsi="仿宋_GB2312" w:eastAsia="仿宋_GB2312" w:cs="仿宋_GB2312"/>
          <w:b w:val="0"/>
          <w:bCs/>
          <w:sz w:val="32"/>
          <w:szCs w:val="32"/>
        </w:rPr>
        <w:t>；项目支出</w:t>
      </w:r>
      <w:r>
        <w:rPr>
          <w:rFonts w:hint="eastAsia" w:ascii="仿宋_GB2312" w:hAnsi="仿宋_GB2312" w:eastAsia="仿宋_GB2312" w:cs="仿宋_GB2312"/>
          <w:b w:val="0"/>
          <w:bCs/>
          <w:sz w:val="32"/>
          <w:szCs w:val="32"/>
          <w:lang w:eastAsia="zh-CN"/>
        </w:rPr>
        <w:t>94.99</w:t>
      </w:r>
      <w:r>
        <w:rPr>
          <w:rFonts w:hint="eastAsia" w:ascii="仿宋_GB2312" w:hAnsi="仿宋_GB2312" w:eastAsia="仿宋_GB2312" w:cs="仿宋_GB2312"/>
          <w:b w:val="0"/>
          <w:bCs/>
          <w:sz w:val="32"/>
          <w:szCs w:val="32"/>
        </w:rPr>
        <w:t>万元，占</w:t>
      </w:r>
      <w:r>
        <w:rPr>
          <w:rFonts w:hint="eastAsia" w:ascii="仿宋_GB2312" w:hAnsi="仿宋_GB2312" w:eastAsia="仿宋_GB2312" w:cs="仿宋_GB2312"/>
          <w:b w:val="0"/>
          <w:bCs/>
          <w:sz w:val="32"/>
          <w:szCs w:val="32"/>
          <w:lang w:eastAsia="zh-CN"/>
        </w:rPr>
        <w:t>19.77%</w:t>
      </w:r>
      <w:bookmarkEnd w:id="45"/>
      <w:bookmarkEnd w:id="46"/>
      <w:r>
        <w:rPr>
          <w:rFonts w:hint="eastAsia" w:ascii="仿宋_GB2312" w:hAnsi="仿宋_GB2312" w:eastAsia="仿宋_GB2312" w:cs="仿宋_GB2312"/>
          <w:b w:val="0"/>
          <w:bCs/>
          <w:sz w:val="32"/>
          <w:szCs w:val="32"/>
          <w:lang w:eastAsia="zh-CN"/>
        </w:rPr>
        <w:t>。</w:t>
      </w:r>
    </w:p>
    <w:p w14:paraId="0CD7E854">
      <w:pPr>
        <w:spacing w:line="560" w:lineRule="exact"/>
        <w:ind w:firstLine="640" w:firstLineChars="200"/>
        <w:outlineLvl w:val="1"/>
        <w:rPr>
          <w:rFonts w:hint="eastAsia" w:ascii="仿宋_GB2312" w:hAnsi="仿宋_GB2312" w:eastAsia="仿宋_GB2312" w:cs="仿宋_GB2312"/>
          <w:b w:val="0"/>
          <w:bCs/>
          <w:sz w:val="32"/>
          <w:szCs w:val="32"/>
        </w:rPr>
      </w:pPr>
    </w:p>
    <w:p w14:paraId="61CC38D3">
      <w:pPr>
        <w:spacing w:line="560" w:lineRule="atLeast"/>
        <w:ind w:firstLine="640"/>
        <w:rPr>
          <w:rFonts w:hint="eastAsia" w:ascii="仿宋" w:hAnsi="仿宋" w:eastAsia="仿宋"/>
          <w:color w:val="000000"/>
          <w:sz w:val="32"/>
          <w:szCs w:val="32"/>
          <w:highlight w:val="none"/>
        </w:rPr>
      </w:pPr>
    </w:p>
    <w:p w14:paraId="0E6953A4">
      <w:pPr>
        <w:spacing w:line="560" w:lineRule="atLeast"/>
        <w:ind w:firstLine="640"/>
        <w:rPr>
          <w:rFonts w:hint="eastAsia" w:ascii="仿宋" w:hAnsi="仿宋" w:eastAsia="仿宋"/>
          <w:color w:val="000000"/>
          <w:sz w:val="32"/>
          <w:szCs w:val="32"/>
          <w:highlight w:val="none"/>
        </w:rPr>
      </w:pPr>
    </w:p>
    <w:p w14:paraId="23740644">
      <w:pPr>
        <w:spacing w:line="560" w:lineRule="atLeast"/>
        <w:ind w:firstLine="640"/>
        <w:rPr>
          <w:rFonts w:hint="eastAsia" w:ascii="仿宋" w:hAnsi="仿宋" w:eastAsia="仿宋"/>
          <w:color w:val="000000"/>
          <w:sz w:val="32"/>
          <w:szCs w:val="32"/>
          <w:highlight w:val="none"/>
        </w:rPr>
      </w:pPr>
      <w:r>
        <w:rPr>
          <w:rFonts w:hint="eastAsia" w:ascii="仿宋" w:hAnsi="仿宋" w:eastAsia="仿宋"/>
          <w:color w:val="000000" w:themeColor="text1"/>
          <w:sz w:val="32"/>
          <w:szCs w:val="32"/>
          <w:highlight w:val="none"/>
          <w14:textFill>
            <w14:solidFill>
              <w14:schemeClr w14:val="tx1"/>
            </w14:solidFill>
          </w14:textFill>
        </w:rPr>
        <w:drawing>
          <wp:anchor distT="0" distB="0" distL="114300" distR="114300" simplePos="0" relativeHeight="251661312" behindDoc="0" locked="0" layoutInCell="1" allowOverlap="1">
            <wp:simplePos x="0" y="0"/>
            <wp:positionH relativeFrom="column">
              <wp:posOffset>494030</wp:posOffset>
            </wp:positionH>
            <wp:positionV relativeFrom="paragraph">
              <wp:posOffset>-678815</wp:posOffset>
            </wp:positionV>
            <wp:extent cx="4286250" cy="2238375"/>
            <wp:effectExtent l="4445" t="4445" r="14605" b="508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25C3FC5D">
      <w:pPr>
        <w:spacing w:line="560" w:lineRule="atLeast"/>
        <w:ind w:firstLine="640"/>
        <w:rPr>
          <w:rFonts w:hint="eastAsia" w:ascii="仿宋" w:hAnsi="仿宋" w:eastAsia="仿宋"/>
          <w:color w:val="000000"/>
          <w:sz w:val="32"/>
          <w:szCs w:val="32"/>
          <w:highlight w:val="none"/>
        </w:rPr>
      </w:pPr>
    </w:p>
    <w:p w14:paraId="0FBAC797">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p w14:paraId="48414891">
      <w:pPr>
        <w:spacing w:line="600" w:lineRule="exact"/>
        <w:rPr>
          <w:rFonts w:hint="eastAsia" w:ascii="仿宋" w:hAnsi="仿宋" w:eastAsia="仿宋"/>
          <w:color w:val="000000" w:themeColor="text1"/>
          <w:sz w:val="32"/>
          <w:szCs w:val="32"/>
          <w:highlight w:val="none"/>
          <w14:textFill>
            <w14:solidFill>
              <w14:schemeClr w14:val="tx1"/>
            </w14:solidFill>
          </w14:textFill>
        </w:rPr>
      </w:pPr>
    </w:p>
    <w:p w14:paraId="248E6024">
      <w:pPr>
        <w:spacing w:line="600" w:lineRule="exact"/>
        <w:ind w:firstLine="468" w:firstLineChars="200"/>
        <w:jc w:val="center"/>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pacing w:val="-23"/>
          <w:kern w:val="0"/>
          <w:sz w:val="28"/>
          <w:szCs w:val="28"/>
          <w:highlight w:val="none"/>
          <w14:textFill>
            <w14:solidFill>
              <w14:schemeClr w14:val="tx1"/>
            </w14:solidFill>
          </w14:textFill>
        </w:rPr>
        <w:t>（图3：支出决算结构图）（饼状图）</w:t>
      </w:r>
    </w:p>
    <w:p w14:paraId="73AAAB76">
      <w:pPr>
        <w:pStyle w:val="16"/>
      </w:pPr>
    </w:p>
    <w:p w14:paraId="4AA3866A">
      <w:pPr>
        <w:numPr>
          <w:ilvl w:val="-1"/>
          <w:numId w:val="0"/>
        </w:numPr>
        <w:spacing w:line="600" w:lineRule="exact"/>
        <w:ind w:left="840" w:leftChars="0" w:firstLine="0" w:firstLineChars="0"/>
        <w:outlineLvl w:val="1"/>
        <w:rPr>
          <w:rStyle w:val="33"/>
          <w:rFonts w:hint="eastAsia" w:ascii="黑体" w:hAnsi="黑体" w:eastAsia="黑体"/>
          <w:b w:val="0"/>
          <w:highlight w:val="none"/>
        </w:rPr>
      </w:pPr>
      <w:bookmarkStart w:id="47" w:name="_Toc15435"/>
      <w:bookmarkStart w:id="48" w:name="_Toc15377208"/>
      <w:bookmarkStart w:id="49" w:name="_Toc15396606"/>
      <w:bookmarkStart w:id="50" w:name="_Toc18655"/>
      <w:bookmarkStart w:id="51" w:name="_Toc23026"/>
      <w:bookmarkStart w:id="52" w:name="_Toc2587"/>
      <w:r>
        <w:rPr>
          <w:rFonts w:hint="eastAsia" w:ascii="黑体" w:hAnsi="黑体" w:eastAsia="黑体"/>
          <w:color w:val="000000"/>
          <w:sz w:val="32"/>
          <w:szCs w:val="32"/>
          <w:highlight w:val="none"/>
          <w:lang w:eastAsia="zh-CN"/>
        </w:rPr>
        <w:t>四、</w:t>
      </w:r>
      <w:r>
        <w:rPr>
          <w:rFonts w:hint="eastAsia" w:ascii="黑体" w:hAnsi="黑体" w:eastAsia="黑体"/>
          <w:color w:val="000000"/>
          <w:sz w:val="32"/>
          <w:szCs w:val="32"/>
          <w:highlight w:val="none"/>
        </w:rPr>
        <w:t>财</w:t>
      </w:r>
      <w:r>
        <w:rPr>
          <w:rStyle w:val="33"/>
          <w:rFonts w:hint="eastAsia" w:ascii="黑体" w:hAnsi="黑体" w:eastAsia="黑体"/>
          <w:b w:val="0"/>
          <w:highlight w:val="none"/>
        </w:rPr>
        <w:t>政拨款收入支出决算总体情况说明</w:t>
      </w:r>
      <w:bookmarkEnd w:id="47"/>
      <w:bookmarkEnd w:id="48"/>
      <w:bookmarkEnd w:id="49"/>
      <w:bookmarkEnd w:id="50"/>
      <w:bookmarkEnd w:id="51"/>
      <w:bookmarkEnd w:id="52"/>
    </w:p>
    <w:p w14:paraId="67992535">
      <w:pPr>
        <w:pStyle w:val="16"/>
        <w:numPr>
          <w:ilvl w:val="0"/>
          <w:numId w:val="0"/>
        </w:numPr>
        <w:ind w:left="840" w:leftChars="0"/>
      </w:pPr>
    </w:p>
    <w:p w14:paraId="0D0EB4B4">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szCs w:val="32"/>
          <w:highlight w:val="none"/>
        </w:rPr>
        <w:t>年度财政拨款</w:t>
      </w:r>
      <w:r>
        <w:rPr>
          <w:rFonts w:hint="eastAsia" w:ascii="仿宋_GB2312" w:hAnsi="仿宋_GB2312" w:eastAsia="仿宋_GB2312" w:cs="仿宋_GB2312"/>
          <w:color w:val="000000"/>
          <w:sz w:val="32"/>
          <w:szCs w:val="32"/>
          <w:highlight w:val="none"/>
          <w:lang w:eastAsia="zh-CN"/>
        </w:rPr>
        <w:t>收入、支出</w:t>
      </w:r>
      <w:r>
        <w:rPr>
          <w:rFonts w:hint="eastAsia" w:ascii="仿宋_GB2312" w:hAnsi="仿宋_GB2312" w:eastAsia="仿宋_GB2312" w:cs="仿宋_GB2312"/>
          <w:color w:val="000000"/>
          <w:sz w:val="32"/>
          <w:szCs w:val="32"/>
          <w:highlight w:val="none"/>
        </w:rPr>
        <w:t>总计</w:t>
      </w:r>
      <w:r>
        <w:rPr>
          <w:rFonts w:hint="eastAsia" w:ascii="仿宋_GB2312" w:hAnsi="仿宋_GB2312" w:eastAsia="仿宋_GB2312" w:cs="仿宋_GB2312"/>
          <w:color w:val="000000"/>
          <w:sz w:val="32"/>
          <w:szCs w:val="32"/>
          <w:highlight w:val="none"/>
          <w:lang w:eastAsia="zh-CN"/>
        </w:rPr>
        <w:t>均为480.48万元整。</w:t>
      </w:r>
      <w:r>
        <w:rPr>
          <w:rFonts w:hint="eastAsia" w:ascii="仿宋_GB2312" w:hAnsi="仿宋_GB2312" w:eastAsia="仿宋_GB2312" w:cs="仿宋_GB2312"/>
          <w:color w:val="000000"/>
          <w:sz w:val="32"/>
          <w:szCs w:val="32"/>
          <w:highlight w:val="none"/>
        </w:rPr>
        <w:t>与</w:t>
      </w:r>
      <w:r>
        <w:rPr>
          <w:rFonts w:hint="eastAsia" w:ascii="仿宋_GB2312" w:hAnsi="仿宋_GB2312" w:eastAsia="仿宋_GB2312" w:cs="仿宋_GB2312"/>
          <w:color w:val="000000"/>
          <w:sz w:val="32"/>
          <w:szCs w:val="32"/>
          <w:highlight w:val="none"/>
          <w:lang w:eastAsia="zh-CN"/>
        </w:rPr>
        <w:t>2023</w:t>
      </w:r>
      <w:r>
        <w:rPr>
          <w:rFonts w:hint="eastAsia" w:ascii="仿宋_GB2312" w:hAnsi="仿宋_GB2312" w:eastAsia="仿宋_GB2312" w:cs="仿宋_GB2312"/>
          <w:color w:val="000000"/>
          <w:sz w:val="32"/>
          <w:szCs w:val="32"/>
          <w:highlight w:val="none"/>
        </w:rPr>
        <w:t>年相比，</w:t>
      </w:r>
      <w:r>
        <w:rPr>
          <w:rFonts w:hint="eastAsia" w:ascii="仿宋_GB2312" w:hAnsi="仿宋_GB2312" w:eastAsia="仿宋_GB2312" w:cs="仿宋_GB2312"/>
          <w:color w:val="auto"/>
          <w:sz w:val="32"/>
          <w:szCs w:val="32"/>
          <w:highlight w:val="none"/>
        </w:rPr>
        <w:t>财政拨款</w:t>
      </w:r>
      <w:r>
        <w:rPr>
          <w:rFonts w:hint="eastAsia" w:ascii="仿宋_GB2312" w:hAnsi="仿宋_GB2312" w:eastAsia="仿宋_GB2312" w:cs="仿宋_GB2312"/>
          <w:color w:val="auto"/>
          <w:sz w:val="32"/>
          <w:szCs w:val="32"/>
          <w:highlight w:val="none"/>
          <w:lang w:eastAsia="zh-CN"/>
        </w:rPr>
        <w:t>收入、支出</w:t>
      </w:r>
      <w:r>
        <w:rPr>
          <w:rFonts w:hint="eastAsia" w:ascii="仿宋_GB2312" w:hAnsi="仿宋_GB2312" w:eastAsia="仿宋_GB2312" w:cs="仿宋_GB2312"/>
          <w:color w:val="auto"/>
          <w:sz w:val="32"/>
          <w:szCs w:val="32"/>
          <w:highlight w:val="none"/>
        </w:rPr>
        <w:t>总计各</w:t>
      </w:r>
      <w:r>
        <w:rPr>
          <w:rFonts w:hint="eastAsia" w:ascii="仿宋_GB2312" w:hAnsi="仿宋_GB2312" w:eastAsia="仿宋_GB2312" w:cs="仿宋_GB2312"/>
          <w:color w:val="000000"/>
          <w:sz w:val="32"/>
          <w:szCs w:val="32"/>
          <w:highlight w:val="none"/>
          <w:lang w:eastAsia="zh-CN"/>
        </w:rPr>
        <w:t>增加18.42</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auto"/>
          <w:sz w:val="32"/>
          <w:szCs w:val="32"/>
          <w:highlight w:val="none"/>
          <w:lang w:eastAsia="zh-CN"/>
        </w:rPr>
        <w:t>增长3.99%</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主要变动原因是政府投资审计项目资金增加。</w:t>
      </w:r>
    </w:p>
    <w:p w14:paraId="378E14CE">
      <w:pPr>
        <w:spacing w:line="560" w:lineRule="atLeast"/>
        <w:ind w:firstLine="640" w:firstLineChars="200"/>
        <w:rPr>
          <w:rFonts w:hint="eastAsia" w:ascii="仿宋" w:hAnsi="仿宋" w:eastAsia="仿宋"/>
          <w:sz w:val="32"/>
          <w:szCs w:val="32"/>
          <w:highlight w:val="none"/>
        </w:rPr>
      </w:pPr>
      <w:r>
        <w:rPr>
          <w:rFonts w:hint="eastAsia" w:ascii="仿宋" w:hAnsi="仿宋" w:eastAsia="仿宋"/>
          <w:color w:val="000000" w:themeColor="text1"/>
          <w:sz w:val="32"/>
          <w:szCs w:val="32"/>
          <w:highlight w:val="none"/>
          <w14:textFill>
            <w14:solidFill>
              <w14:schemeClr w14:val="tx1"/>
            </w14:solidFill>
          </w14:textFill>
        </w:rPr>
        <w:drawing>
          <wp:anchor distT="0" distB="0" distL="114300" distR="114300" simplePos="0" relativeHeight="251662336" behindDoc="0" locked="0" layoutInCell="1" allowOverlap="1">
            <wp:simplePos x="0" y="0"/>
            <wp:positionH relativeFrom="column">
              <wp:posOffset>397510</wp:posOffset>
            </wp:positionH>
            <wp:positionV relativeFrom="paragraph">
              <wp:posOffset>201930</wp:posOffset>
            </wp:positionV>
            <wp:extent cx="4581525" cy="2466975"/>
            <wp:effectExtent l="4445" t="4445" r="5080" b="5080"/>
            <wp:wrapNone/>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3D802D91">
      <w:pPr>
        <w:spacing w:line="560" w:lineRule="atLeast"/>
        <w:ind w:firstLine="640" w:firstLineChars="200"/>
        <w:rPr>
          <w:rFonts w:hint="eastAsia" w:ascii="仿宋" w:hAnsi="仿宋" w:eastAsia="仿宋"/>
          <w:sz w:val="32"/>
          <w:szCs w:val="32"/>
          <w:highlight w:val="none"/>
        </w:rPr>
      </w:pPr>
    </w:p>
    <w:p w14:paraId="3F260F47">
      <w:pPr>
        <w:spacing w:line="560" w:lineRule="atLeast"/>
        <w:ind w:firstLine="640" w:firstLineChars="200"/>
        <w:rPr>
          <w:rFonts w:hint="eastAsia" w:ascii="仿宋" w:hAnsi="仿宋" w:eastAsia="仿宋"/>
          <w:sz w:val="32"/>
          <w:szCs w:val="32"/>
          <w:highlight w:val="none"/>
        </w:rPr>
      </w:pPr>
    </w:p>
    <w:p w14:paraId="6C1C65D5">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p w14:paraId="15778FEA">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p w14:paraId="125FBFA5">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p w14:paraId="7AE71BFF">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p w14:paraId="23E9530C">
      <w:pPr>
        <w:ind w:firstLine="468" w:firstLineChars="200"/>
        <w:rPr>
          <w:rFonts w:hint="eastAsia" w:ascii="仿宋" w:hAnsi="仿宋" w:eastAsia="仿宋"/>
          <w:color w:val="000000" w:themeColor="text1"/>
          <w:spacing w:val="-23"/>
          <w:kern w:val="0"/>
          <w:sz w:val="28"/>
          <w:szCs w:val="28"/>
          <w:highlight w:val="none"/>
          <w14:textFill>
            <w14:solidFill>
              <w14:schemeClr w14:val="tx1"/>
            </w14:solidFill>
          </w14:textFill>
        </w:rPr>
      </w:pPr>
      <w:r>
        <w:rPr>
          <w:rFonts w:hint="eastAsia" w:ascii="仿宋" w:hAnsi="仿宋" w:eastAsia="仿宋"/>
          <w:color w:val="000000" w:themeColor="text1"/>
          <w:spacing w:val="-23"/>
          <w:kern w:val="0"/>
          <w:sz w:val="28"/>
          <w:szCs w:val="28"/>
          <w:highlight w:val="none"/>
          <w14:textFill>
            <w14:solidFill>
              <w14:schemeClr w14:val="tx1"/>
            </w14:solidFill>
          </w14:textFill>
        </w:rPr>
        <w:t>（图4：财政拨款</w:t>
      </w:r>
      <w:r>
        <w:rPr>
          <w:rFonts w:hint="eastAsia" w:ascii="仿宋" w:hAnsi="仿宋" w:eastAsia="仿宋"/>
          <w:color w:val="000000" w:themeColor="text1"/>
          <w:spacing w:val="-23"/>
          <w:kern w:val="0"/>
          <w:sz w:val="28"/>
          <w:szCs w:val="28"/>
          <w:highlight w:val="none"/>
          <w:lang w:eastAsia="zh-CN"/>
          <w14:textFill>
            <w14:solidFill>
              <w14:schemeClr w14:val="tx1"/>
            </w14:solidFill>
          </w14:textFill>
        </w:rPr>
        <w:t>收入、支出</w:t>
      </w:r>
      <w:r>
        <w:rPr>
          <w:rFonts w:hint="eastAsia" w:ascii="仿宋" w:hAnsi="仿宋" w:eastAsia="仿宋"/>
          <w:color w:val="000000" w:themeColor="text1"/>
          <w:spacing w:val="-23"/>
          <w:kern w:val="0"/>
          <w:sz w:val="28"/>
          <w:szCs w:val="28"/>
          <w:highlight w:val="none"/>
          <w14:textFill>
            <w14:solidFill>
              <w14:schemeClr w14:val="tx1"/>
            </w14:solidFill>
          </w14:textFill>
        </w:rPr>
        <w:t>决算总计变动情况）（柱状图</w:t>
      </w:r>
      <w:r>
        <w:rPr>
          <w:rFonts w:hint="eastAsia" w:ascii="仿宋" w:hAnsi="仿宋" w:eastAsia="仿宋"/>
          <w:color w:val="000000" w:themeColor="text1"/>
          <w:spacing w:val="-23"/>
          <w:kern w:val="0"/>
          <w:sz w:val="28"/>
          <w:szCs w:val="28"/>
          <w:highlight w:val="none"/>
          <w:lang w:eastAsia="zh-CN"/>
          <w14:textFill>
            <w14:solidFill>
              <w14:schemeClr w14:val="tx1"/>
            </w14:solidFill>
          </w14:textFill>
        </w:rPr>
        <w:t>单位：万元</w:t>
      </w:r>
      <w:r>
        <w:rPr>
          <w:rFonts w:hint="eastAsia" w:ascii="仿宋" w:hAnsi="仿宋" w:eastAsia="仿宋"/>
          <w:color w:val="000000" w:themeColor="text1"/>
          <w:spacing w:val="-23"/>
          <w:kern w:val="0"/>
          <w:sz w:val="28"/>
          <w:szCs w:val="28"/>
          <w:highlight w:val="none"/>
          <w14:textFill>
            <w14:solidFill>
              <w14:schemeClr w14:val="tx1"/>
            </w14:solidFill>
          </w14:textFill>
        </w:rPr>
        <w:t>）</w:t>
      </w:r>
    </w:p>
    <w:p w14:paraId="68B59B78">
      <w:pPr>
        <w:ind w:firstLine="468" w:firstLineChars="200"/>
        <w:rPr>
          <w:rFonts w:hint="eastAsia" w:ascii="仿宋" w:hAnsi="仿宋" w:eastAsia="仿宋"/>
          <w:color w:val="000000" w:themeColor="text1"/>
          <w:spacing w:val="-23"/>
          <w:kern w:val="0"/>
          <w:sz w:val="28"/>
          <w:szCs w:val="28"/>
          <w:highlight w:val="none"/>
          <w14:textFill>
            <w14:solidFill>
              <w14:schemeClr w14:val="tx1"/>
            </w14:solidFill>
          </w14:textFill>
        </w:rPr>
      </w:pPr>
    </w:p>
    <w:p w14:paraId="63534372">
      <w:pPr>
        <w:keepNext w:val="0"/>
        <w:keepLines w:val="0"/>
        <w:pageBreakBefore w:val="0"/>
        <w:widowControl w:val="0"/>
        <w:numPr>
          <w:ilvl w:val="0"/>
          <w:numId w:val="1"/>
        </w:numPr>
        <w:kinsoku/>
        <w:wordWrap/>
        <w:overflowPunct/>
        <w:topLinePunct w:val="0"/>
        <w:autoSpaceDE/>
        <w:autoSpaceDN/>
        <w:bidi w:val="0"/>
        <w:adjustRightInd/>
        <w:snapToGrid/>
        <w:spacing w:line="600" w:lineRule="atLeast"/>
        <w:ind w:firstLine="643" w:firstLineChars="200"/>
        <w:textAlignment w:val="auto"/>
        <w:outlineLvl w:val="1"/>
        <w:rPr>
          <w:rStyle w:val="33"/>
          <w:rFonts w:hint="eastAsia" w:ascii="黑体" w:hAnsi="黑体" w:eastAsia="黑体"/>
          <w:b w:val="0"/>
          <w:highlight w:val="none"/>
        </w:rPr>
      </w:pPr>
      <w:bookmarkStart w:id="53" w:name="_Toc26363"/>
      <w:bookmarkStart w:id="54" w:name="_Toc6857"/>
      <w:bookmarkStart w:id="55" w:name="_Toc12898"/>
      <w:bookmarkStart w:id="56" w:name="_Toc15377209"/>
      <w:bookmarkStart w:id="57" w:name="_Toc15396607"/>
      <w:bookmarkStart w:id="58" w:name="_Toc3014"/>
      <w:r>
        <w:rPr>
          <w:rFonts w:hint="eastAsia" w:ascii="黑体" w:hAnsi="黑体" w:eastAsia="黑体"/>
          <w:b/>
          <w:color w:val="000000"/>
          <w:sz w:val="32"/>
          <w:szCs w:val="32"/>
          <w:highlight w:val="none"/>
        </w:rPr>
        <w:t>一</w:t>
      </w:r>
      <w:r>
        <w:rPr>
          <w:rStyle w:val="33"/>
          <w:rFonts w:hint="eastAsia" w:ascii="黑体" w:hAnsi="黑体" w:eastAsia="黑体"/>
          <w:b w:val="0"/>
          <w:highlight w:val="none"/>
        </w:rPr>
        <w:t>般公共预算财政拨款支出决算情况说明</w:t>
      </w:r>
      <w:bookmarkEnd w:id="53"/>
      <w:bookmarkEnd w:id="54"/>
      <w:bookmarkEnd w:id="55"/>
      <w:bookmarkEnd w:id="56"/>
      <w:bookmarkEnd w:id="57"/>
      <w:bookmarkEnd w:id="58"/>
    </w:p>
    <w:p w14:paraId="7CA570FA">
      <w:pPr>
        <w:keepNext w:val="0"/>
        <w:keepLines w:val="0"/>
        <w:pageBreakBefore w:val="0"/>
        <w:widowControl w:val="0"/>
        <w:numPr>
          <w:ilvl w:val="0"/>
          <w:numId w:val="2"/>
        </w:numPr>
        <w:kinsoku/>
        <w:wordWrap/>
        <w:overflowPunct/>
        <w:topLinePunct w:val="0"/>
        <w:autoSpaceDE/>
        <w:autoSpaceDN/>
        <w:bidi w:val="0"/>
        <w:adjustRightInd/>
        <w:snapToGrid/>
        <w:spacing w:line="600" w:lineRule="atLeast"/>
        <w:ind w:firstLine="643" w:firstLineChars="200"/>
        <w:textAlignment w:val="auto"/>
        <w:outlineLvl w:val="2"/>
        <w:rPr>
          <w:rFonts w:hint="eastAsia" w:ascii="楷体" w:hAnsi="楷体" w:eastAsia="楷体" w:cs="楷体"/>
          <w:b/>
          <w:color w:val="000000"/>
          <w:sz w:val="32"/>
          <w:szCs w:val="32"/>
          <w:highlight w:val="none"/>
        </w:rPr>
      </w:pPr>
      <w:bookmarkStart w:id="59" w:name="_Toc15377210"/>
      <w:r>
        <w:rPr>
          <w:rFonts w:hint="eastAsia" w:ascii="楷体" w:hAnsi="楷体" w:eastAsia="楷体" w:cs="楷体"/>
          <w:b/>
          <w:color w:val="000000"/>
          <w:sz w:val="32"/>
          <w:szCs w:val="32"/>
          <w:highlight w:val="none"/>
        </w:rPr>
        <w:t>一般公共预算财政拨款支出决算总体情况</w:t>
      </w:r>
      <w:bookmarkEnd w:id="59"/>
    </w:p>
    <w:p w14:paraId="3D5A2F81">
      <w:pPr>
        <w:keepNext w:val="0"/>
        <w:keepLines w:val="0"/>
        <w:pageBreakBefore w:val="0"/>
        <w:widowControl w:val="0"/>
        <w:kinsoku/>
        <w:wordWrap/>
        <w:overflowPunct/>
        <w:topLinePunct w:val="0"/>
        <w:autoSpaceDE/>
        <w:autoSpaceDN/>
        <w:bidi w:val="0"/>
        <w:adjustRightInd/>
        <w:snapToGrid/>
        <w:spacing w:line="600" w:lineRule="atLeast"/>
        <w:ind w:firstLine="600" w:firstLineChars="200"/>
        <w:textAlignment w:val="auto"/>
        <w:rPr>
          <w:rFonts w:hint="eastAsia" w:ascii="仿宋" w:hAnsi="仿宋" w:eastAsia="仿宋"/>
          <w:sz w:val="30"/>
          <w:szCs w:val="30"/>
          <w:highlight w:val="none"/>
        </w:rPr>
      </w:pPr>
      <w:r>
        <w:rPr>
          <w:rFonts w:hint="eastAsia" w:ascii="仿宋_GB2312" w:hAnsi="仿宋_GB2312" w:eastAsia="仿宋_GB2312" w:cs="仿宋_GB2312"/>
          <w:color w:val="000000"/>
          <w:sz w:val="30"/>
          <w:szCs w:val="30"/>
          <w:highlight w:val="none"/>
          <w:lang w:eastAsia="zh-CN"/>
        </w:rPr>
        <w:t>2024</w:t>
      </w:r>
      <w:r>
        <w:rPr>
          <w:rFonts w:hint="eastAsia" w:ascii="仿宋_GB2312" w:hAnsi="仿宋_GB2312" w:eastAsia="仿宋_GB2312" w:cs="仿宋_GB2312"/>
          <w:color w:val="000000"/>
          <w:sz w:val="30"/>
          <w:szCs w:val="30"/>
          <w:highlight w:val="none"/>
        </w:rPr>
        <w:t>年一般公共预算财政拨款支出</w:t>
      </w:r>
      <w:r>
        <w:rPr>
          <w:rFonts w:hint="eastAsia" w:ascii="仿宋_GB2312" w:hAnsi="仿宋_GB2312" w:eastAsia="仿宋_GB2312" w:cs="仿宋_GB2312"/>
          <w:color w:val="000000"/>
          <w:sz w:val="30"/>
          <w:szCs w:val="30"/>
          <w:highlight w:val="none"/>
          <w:lang w:eastAsia="zh-CN"/>
        </w:rPr>
        <w:t>480.48</w:t>
      </w:r>
      <w:r>
        <w:rPr>
          <w:rFonts w:hint="eastAsia" w:ascii="仿宋_GB2312" w:hAnsi="仿宋_GB2312" w:eastAsia="仿宋_GB2312" w:cs="仿宋_GB2312"/>
          <w:color w:val="000000"/>
          <w:sz w:val="30"/>
          <w:szCs w:val="30"/>
          <w:highlight w:val="none"/>
        </w:rPr>
        <w:t>万元，占本年支出合计的</w:t>
      </w:r>
      <w:r>
        <w:rPr>
          <w:rFonts w:hint="eastAsia" w:ascii="仿宋_GB2312" w:hAnsi="仿宋_GB2312" w:eastAsia="仿宋_GB2312" w:cs="仿宋_GB2312"/>
          <w:color w:val="000000"/>
          <w:sz w:val="30"/>
          <w:szCs w:val="30"/>
          <w:highlight w:val="none"/>
          <w:lang w:eastAsia="zh-CN"/>
        </w:rPr>
        <w:t>100%</w:t>
      </w:r>
      <w:r>
        <w:rPr>
          <w:rFonts w:hint="eastAsia" w:ascii="仿宋_GB2312" w:hAnsi="仿宋_GB2312" w:eastAsia="仿宋_GB2312" w:cs="仿宋_GB2312"/>
          <w:color w:val="000000"/>
          <w:sz w:val="30"/>
          <w:szCs w:val="30"/>
          <w:highlight w:val="none"/>
        </w:rPr>
        <w:t>。与</w:t>
      </w:r>
      <w:r>
        <w:rPr>
          <w:rFonts w:hint="eastAsia" w:ascii="仿宋_GB2312" w:hAnsi="仿宋_GB2312" w:eastAsia="仿宋_GB2312" w:cs="仿宋_GB2312"/>
          <w:color w:val="000000"/>
          <w:sz w:val="30"/>
          <w:szCs w:val="30"/>
          <w:highlight w:val="none"/>
          <w:lang w:eastAsia="zh-CN"/>
        </w:rPr>
        <w:t>2023</w:t>
      </w:r>
      <w:r>
        <w:rPr>
          <w:rFonts w:hint="eastAsia" w:ascii="仿宋_GB2312" w:hAnsi="仿宋_GB2312" w:eastAsia="仿宋_GB2312" w:cs="仿宋_GB2312"/>
          <w:color w:val="000000"/>
          <w:sz w:val="30"/>
          <w:szCs w:val="30"/>
          <w:highlight w:val="none"/>
        </w:rPr>
        <w:t>年相比，一般公共预算财政拨款支出总计</w:t>
      </w:r>
      <w:r>
        <w:rPr>
          <w:rFonts w:hint="eastAsia" w:ascii="仿宋_GB2312" w:hAnsi="仿宋_GB2312" w:eastAsia="仿宋_GB2312" w:cs="仿宋_GB2312"/>
          <w:color w:val="000000"/>
          <w:sz w:val="30"/>
          <w:szCs w:val="30"/>
          <w:highlight w:val="none"/>
          <w:lang w:eastAsia="zh-CN"/>
        </w:rPr>
        <w:t>增加18.42</w:t>
      </w:r>
      <w:r>
        <w:rPr>
          <w:rFonts w:hint="eastAsia" w:ascii="仿宋_GB2312" w:hAnsi="仿宋_GB2312" w:eastAsia="仿宋_GB2312" w:cs="仿宋_GB2312"/>
          <w:color w:val="000000"/>
          <w:sz w:val="30"/>
          <w:szCs w:val="30"/>
          <w:highlight w:val="none"/>
        </w:rPr>
        <w:t>万元，</w:t>
      </w:r>
      <w:r>
        <w:rPr>
          <w:rFonts w:hint="eastAsia" w:ascii="仿宋_GB2312" w:hAnsi="仿宋_GB2312" w:eastAsia="仿宋_GB2312" w:cs="仿宋_GB2312"/>
          <w:color w:val="auto"/>
          <w:sz w:val="30"/>
          <w:szCs w:val="30"/>
          <w:highlight w:val="none"/>
          <w:lang w:eastAsia="zh-CN"/>
        </w:rPr>
        <w:t>增长3.99%</w:t>
      </w:r>
      <w:r>
        <w:rPr>
          <w:rFonts w:hint="eastAsia" w:ascii="仿宋_GB2312" w:hAnsi="仿宋_GB2312" w:eastAsia="仿宋_GB2312" w:cs="仿宋_GB2312"/>
          <w:color w:val="000000"/>
          <w:sz w:val="30"/>
          <w:szCs w:val="30"/>
          <w:highlight w:val="none"/>
        </w:rPr>
        <w:t>。</w:t>
      </w:r>
      <w:r>
        <w:rPr>
          <w:rFonts w:hint="eastAsia" w:ascii="仿宋_GB2312" w:hAnsi="仿宋_GB2312" w:eastAsia="仿宋_GB2312" w:cs="仿宋_GB2312"/>
          <w:color w:val="000000"/>
          <w:sz w:val="30"/>
          <w:szCs w:val="30"/>
          <w:highlight w:val="none"/>
          <w:lang w:eastAsia="zh-CN"/>
        </w:rPr>
        <w:t>主要变动原因是政府投资审计项目资金增加。</w:t>
      </w:r>
    </w:p>
    <w:p w14:paraId="19474C01">
      <w:pPr>
        <w:ind w:firstLine="468" w:firstLineChars="200"/>
        <w:rPr>
          <w:rFonts w:ascii="仿宋" w:hAnsi="仿宋" w:eastAsia="仿宋"/>
          <w:color w:val="000000" w:themeColor="text1"/>
          <w:spacing w:val="-23"/>
          <w:kern w:val="0"/>
          <w:sz w:val="28"/>
          <w:szCs w:val="28"/>
          <w:highlight w:val="none"/>
          <w14:textFill>
            <w14:solidFill>
              <w14:schemeClr w14:val="tx1"/>
            </w14:solidFill>
          </w14:textFill>
        </w:rPr>
      </w:pPr>
      <w:r>
        <w:rPr>
          <w:rFonts w:hint="eastAsia" w:ascii="仿宋" w:hAnsi="仿宋" w:eastAsia="仿宋"/>
          <w:color w:val="000000" w:themeColor="text1"/>
          <w:spacing w:val="-23"/>
          <w:kern w:val="0"/>
          <w:sz w:val="28"/>
          <w:szCs w:val="28"/>
          <w:highlight w:val="none"/>
          <w14:textFill>
            <w14:solidFill>
              <w14:schemeClr w14:val="tx1"/>
            </w14:solidFill>
          </w14:textFill>
        </w:rPr>
        <w:drawing>
          <wp:anchor distT="0" distB="0" distL="114300" distR="114300" simplePos="0" relativeHeight="251663360" behindDoc="0" locked="0" layoutInCell="1" allowOverlap="1">
            <wp:simplePos x="0" y="0"/>
            <wp:positionH relativeFrom="column">
              <wp:posOffset>533400</wp:posOffset>
            </wp:positionH>
            <wp:positionV relativeFrom="paragraph">
              <wp:posOffset>222250</wp:posOffset>
            </wp:positionV>
            <wp:extent cx="4581525" cy="2314575"/>
            <wp:effectExtent l="5080" t="4445" r="4445" b="5080"/>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Pr>
          <w:rFonts w:hint="eastAsia" w:ascii="仿宋" w:hAnsi="仿宋" w:eastAsia="仿宋"/>
          <w:color w:val="000000" w:themeColor="text1"/>
          <w:spacing w:val="-23"/>
          <w:kern w:val="0"/>
          <w:sz w:val="28"/>
          <w:szCs w:val="28"/>
          <w:highlight w:val="none"/>
          <w14:textFill>
            <w14:solidFill>
              <w14:schemeClr w14:val="tx1"/>
            </w14:solidFill>
          </w14:textFill>
        </w:rPr>
        <w:t>（图5：一般公共预算财政拨款支出决算变动情况）（柱状图</w:t>
      </w:r>
      <w:r>
        <w:rPr>
          <w:rFonts w:hint="eastAsia" w:ascii="仿宋" w:hAnsi="仿宋" w:eastAsia="仿宋"/>
          <w:color w:val="000000" w:themeColor="text1"/>
          <w:spacing w:val="-23"/>
          <w:kern w:val="0"/>
          <w:sz w:val="28"/>
          <w:szCs w:val="28"/>
          <w:highlight w:val="none"/>
          <w:lang w:eastAsia="zh-CN"/>
          <w14:textFill>
            <w14:solidFill>
              <w14:schemeClr w14:val="tx1"/>
            </w14:solidFill>
          </w14:textFill>
        </w:rPr>
        <w:t>单位：万元</w:t>
      </w:r>
      <w:r>
        <w:rPr>
          <w:rFonts w:hint="eastAsia" w:ascii="仿宋" w:hAnsi="仿宋" w:eastAsia="仿宋"/>
          <w:color w:val="000000" w:themeColor="text1"/>
          <w:spacing w:val="-23"/>
          <w:kern w:val="0"/>
          <w:sz w:val="28"/>
          <w:szCs w:val="28"/>
          <w:highlight w:val="none"/>
          <w14:textFill>
            <w14:solidFill>
              <w14:schemeClr w14:val="tx1"/>
            </w14:solidFill>
          </w14:textFill>
        </w:rPr>
        <w:t>）</w:t>
      </w:r>
    </w:p>
    <w:p w14:paraId="69DE0CA9">
      <w:pPr>
        <w:spacing w:line="560" w:lineRule="exact"/>
        <w:ind w:firstLine="643" w:firstLineChars="200"/>
        <w:outlineLvl w:val="2"/>
        <w:rPr>
          <w:rFonts w:hint="eastAsia" w:ascii="楷体" w:hAnsi="楷体" w:eastAsia="楷体" w:cs="楷体"/>
          <w:b/>
          <w:color w:val="000000"/>
          <w:sz w:val="32"/>
          <w:szCs w:val="32"/>
          <w:highlight w:val="none"/>
        </w:rPr>
      </w:pPr>
      <w:bookmarkStart w:id="60" w:name="_Toc15377211"/>
      <w:r>
        <w:rPr>
          <w:rFonts w:hint="eastAsia" w:ascii="楷体" w:hAnsi="楷体" w:eastAsia="楷体" w:cs="楷体"/>
          <w:b/>
          <w:color w:val="000000"/>
          <w:sz w:val="32"/>
          <w:szCs w:val="32"/>
          <w:highlight w:val="none"/>
        </w:rPr>
        <w:t>（二）一般公共预算财政拨款支出决算结构情况</w:t>
      </w:r>
      <w:bookmarkEnd w:id="60"/>
    </w:p>
    <w:p w14:paraId="791B4302">
      <w:pPr>
        <w:spacing w:line="56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sz w:val="32"/>
          <w:szCs w:val="32"/>
          <w:highlight w:val="none"/>
        </w:rPr>
        <w:drawing>
          <wp:anchor distT="0" distB="0" distL="114300" distR="114300" simplePos="0" relativeHeight="251664384" behindDoc="0" locked="0" layoutInCell="1" allowOverlap="1">
            <wp:simplePos x="0" y="0"/>
            <wp:positionH relativeFrom="column">
              <wp:posOffset>634365</wp:posOffset>
            </wp:positionH>
            <wp:positionV relativeFrom="paragraph">
              <wp:posOffset>2265680</wp:posOffset>
            </wp:positionV>
            <wp:extent cx="3676650" cy="1962150"/>
            <wp:effectExtent l="4445" t="4445" r="14605" b="1460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szCs w:val="32"/>
          <w:highlight w:val="none"/>
        </w:rPr>
        <w:t>年一般公共预算财</w:t>
      </w:r>
      <w:r>
        <w:rPr>
          <w:rFonts w:hint="eastAsia" w:ascii="仿宋_GB2312" w:hAnsi="仿宋_GB2312" w:eastAsia="仿宋_GB2312" w:cs="仿宋_GB2312"/>
          <w:color w:val="000000" w:themeColor="text1"/>
          <w:sz w:val="32"/>
          <w:szCs w:val="32"/>
          <w:highlight w:val="none"/>
          <w14:textFill>
            <w14:solidFill>
              <w14:schemeClr w14:val="tx1"/>
            </w14:solidFill>
          </w14:textFill>
        </w:rPr>
        <w:t>政拨款支出</w:t>
      </w:r>
      <w:r>
        <w:rPr>
          <w:rFonts w:hint="eastAsia" w:ascii="仿宋_GB2312" w:hAnsi="仿宋_GB2312" w:eastAsia="仿宋_GB2312" w:cs="仿宋_GB2312"/>
          <w:color w:val="000000"/>
          <w:sz w:val="32"/>
          <w:szCs w:val="32"/>
          <w:highlight w:val="none"/>
          <w:lang w:eastAsia="zh-CN"/>
        </w:rPr>
        <w:t>480.48</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万元，主要用于以下方面:</w:t>
      </w:r>
      <w:r>
        <w:rPr>
          <w:rFonts w:hint="eastAsia" w:ascii="仿宋_GB2312" w:hAnsi="仿宋_GB2312" w:eastAsia="仿宋_GB2312" w:cs="仿宋_GB2312"/>
          <w:color w:val="000000"/>
          <w:sz w:val="32"/>
          <w:szCs w:val="32"/>
          <w:highlight w:val="none"/>
        </w:rPr>
        <w:t>一般公共服务（类）支出</w:t>
      </w:r>
      <w:r>
        <w:rPr>
          <w:rFonts w:hint="eastAsia" w:ascii="仿宋_GB2312" w:hAnsi="仿宋_GB2312" w:eastAsia="仿宋_GB2312" w:cs="仿宋_GB2312"/>
          <w:color w:val="000000"/>
          <w:sz w:val="32"/>
          <w:szCs w:val="32"/>
          <w:highlight w:val="none"/>
          <w:lang w:eastAsia="zh-CN"/>
        </w:rPr>
        <w:t xml:space="preserve">388.13 </w:t>
      </w:r>
      <w:r>
        <w:rPr>
          <w:rFonts w:hint="eastAsia" w:ascii="仿宋_GB2312" w:hAnsi="仿宋_GB2312" w:eastAsia="仿宋_GB2312" w:cs="仿宋_GB2312"/>
          <w:color w:val="000000"/>
          <w:sz w:val="32"/>
          <w:szCs w:val="32"/>
          <w:highlight w:val="none"/>
        </w:rPr>
        <w:t>万元，占80.78%；社会保障和就业（类）支</w:t>
      </w:r>
      <w:r>
        <w:rPr>
          <w:rFonts w:hint="eastAsia" w:ascii="仿宋_GB2312" w:hAnsi="仿宋_GB2312" w:eastAsia="仿宋_GB2312" w:cs="仿宋_GB2312"/>
          <w:color w:val="000000"/>
          <w:sz w:val="32"/>
          <w:szCs w:val="32"/>
          <w:highlight w:val="none"/>
          <w:lang w:eastAsia="zh-CN"/>
        </w:rPr>
        <w:t>出</w:t>
      </w:r>
      <w:r>
        <w:rPr>
          <w:rFonts w:hint="eastAsia" w:ascii="仿宋_GB2312" w:hAnsi="仿宋_GB2312" w:eastAsia="仿宋_GB2312" w:cs="仿宋_GB2312"/>
          <w:color w:val="000000"/>
          <w:sz w:val="32"/>
          <w:szCs w:val="32"/>
          <w:highlight w:val="none"/>
        </w:rPr>
        <w:t>42.64 万元，占8.87%；卫生健康支出20.69万元，占4.31%；住房保障支出2</w:t>
      </w:r>
      <w:r>
        <w:rPr>
          <w:rFonts w:hint="eastAsia" w:ascii="仿宋_GB2312" w:hAnsi="仿宋_GB2312" w:eastAsia="仿宋_GB2312" w:cs="仿宋_GB2312"/>
          <w:color w:val="000000" w:themeColor="text1"/>
          <w:sz w:val="32"/>
          <w:szCs w:val="32"/>
          <w:highlight w:val="none"/>
          <w14:textFill>
            <w14:solidFill>
              <w14:schemeClr w14:val="tx1"/>
            </w14:solidFill>
          </w14:textFill>
        </w:rPr>
        <w:t>9.02</w:t>
      </w:r>
      <w:r>
        <w:rPr>
          <w:rFonts w:hint="eastAsia" w:ascii="仿宋_GB2312" w:hAnsi="仿宋_GB2312" w:eastAsia="仿宋_GB2312" w:cs="仿宋_GB2312"/>
          <w:b/>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万元，占6.04%。</w:t>
      </w:r>
    </w:p>
    <w:p w14:paraId="2ADE651D">
      <w:pPr>
        <w:spacing w:line="560" w:lineRule="exact"/>
        <w:ind w:firstLine="640"/>
        <w:rPr>
          <w:rFonts w:hint="eastAsia" w:ascii="仿宋" w:hAnsi="仿宋" w:eastAsia="仿宋"/>
          <w:color w:val="000000" w:themeColor="text1"/>
          <w:sz w:val="32"/>
          <w:szCs w:val="32"/>
          <w:highlight w:val="none"/>
          <w14:textFill>
            <w14:solidFill>
              <w14:schemeClr w14:val="tx1"/>
            </w14:solidFill>
          </w14:textFill>
        </w:rPr>
      </w:pPr>
    </w:p>
    <w:p w14:paraId="0C1C8988">
      <w:pPr>
        <w:spacing w:line="600" w:lineRule="exact"/>
        <w:rPr>
          <w:rFonts w:hint="eastAsia" w:ascii="仿宋" w:hAnsi="仿宋" w:eastAsia="仿宋"/>
          <w:b/>
          <w:color w:val="000000" w:themeColor="text1"/>
          <w:sz w:val="32"/>
          <w:szCs w:val="32"/>
          <w:highlight w:val="none"/>
          <w14:textFill>
            <w14:solidFill>
              <w14:schemeClr w14:val="tx1"/>
            </w14:solidFill>
          </w14:textFill>
        </w:rPr>
      </w:pPr>
    </w:p>
    <w:p w14:paraId="129A797C">
      <w:pPr>
        <w:spacing w:line="600" w:lineRule="exact"/>
        <w:ind w:firstLine="468" w:firstLineChars="200"/>
        <w:jc w:val="center"/>
        <w:rPr>
          <w:rFonts w:hint="eastAsia" w:ascii="仿宋" w:hAnsi="仿宋" w:eastAsia="仿宋"/>
          <w:color w:val="000000" w:themeColor="text1"/>
          <w:spacing w:val="-23"/>
          <w:kern w:val="0"/>
          <w:sz w:val="28"/>
          <w:szCs w:val="28"/>
          <w:highlight w:val="none"/>
          <w14:textFill>
            <w14:solidFill>
              <w14:schemeClr w14:val="tx1"/>
            </w14:solidFill>
          </w14:textFill>
        </w:rPr>
      </w:pPr>
      <w:r>
        <w:rPr>
          <w:rFonts w:hint="eastAsia" w:ascii="仿宋" w:hAnsi="仿宋" w:eastAsia="仿宋"/>
          <w:color w:val="000000" w:themeColor="text1"/>
          <w:spacing w:val="-23"/>
          <w:kern w:val="0"/>
          <w:sz w:val="28"/>
          <w:szCs w:val="28"/>
          <w:highlight w:val="none"/>
          <w14:textFill>
            <w14:solidFill>
              <w14:schemeClr w14:val="tx1"/>
            </w14:solidFill>
          </w14:textFill>
        </w:rPr>
        <w:t>（图6：一般公共预算财政拨款支出决算结构）（饼状图）</w:t>
      </w:r>
    </w:p>
    <w:p w14:paraId="23AA007A">
      <w:pPr>
        <w:spacing w:line="560" w:lineRule="exact"/>
        <w:ind w:firstLine="321" w:firstLineChars="100"/>
        <w:outlineLvl w:val="2"/>
        <w:rPr>
          <w:rFonts w:hint="eastAsia" w:ascii="仿宋" w:hAnsi="仿宋" w:eastAsia="仿宋"/>
          <w:b/>
          <w:color w:val="000000"/>
          <w:sz w:val="32"/>
          <w:szCs w:val="32"/>
          <w:highlight w:val="none"/>
        </w:rPr>
      </w:pPr>
      <w:bookmarkStart w:id="61" w:name="_Toc15377212"/>
    </w:p>
    <w:p w14:paraId="1B985BA6">
      <w:pPr>
        <w:spacing w:line="560" w:lineRule="exact"/>
        <w:ind w:firstLine="643" w:firstLineChars="200"/>
        <w:outlineLvl w:val="2"/>
        <w:rPr>
          <w:rFonts w:hint="eastAsia" w:ascii="楷体" w:hAnsi="楷体" w:eastAsia="楷体" w:cs="楷体"/>
          <w:b/>
          <w:color w:val="000000"/>
          <w:sz w:val="32"/>
          <w:szCs w:val="32"/>
          <w:highlight w:val="none"/>
        </w:rPr>
      </w:pPr>
      <w:r>
        <w:rPr>
          <w:rFonts w:hint="eastAsia" w:ascii="楷体" w:hAnsi="楷体" w:eastAsia="楷体" w:cs="楷体"/>
          <w:b/>
          <w:color w:val="000000"/>
          <w:sz w:val="32"/>
          <w:szCs w:val="32"/>
          <w:highlight w:val="none"/>
        </w:rPr>
        <w:t>（三）一般公共预算财政拨款支出决算具体情况</w:t>
      </w:r>
      <w:bookmarkEnd w:id="61"/>
    </w:p>
    <w:p w14:paraId="2C252931">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outlineLvl w:val="1"/>
        <w:rPr>
          <w:rFonts w:hint="eastAsia" w:ascii="仿宋_GB2312" w:hAnsi="仿宋_GB2312" w:eastAsia="仿宋_GB2312" w:cs="仿宋_GB2312"/>
          <w:b w:val="0"/>
          <w:bCs/>
          <w:color w:val="FF0000"/>
          <w:sz w:val="32"/>
          <w:szCs w:val="32"/>
          <w:highlight w:val="none"/>
        </w:rPr>
      </w:pPr>
      <w:bookmarkStart w:id="62" w:name="_Toc11126"/>
      <w:bookmarkStart w:id="63" w:name="_Toc30609"/>
      <w:bookmarkStart w:id="64" w:name="_Toc11290"/>
      <w:bookmarkStart w:id="65" w:name="_Toc16608"/>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2024</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一</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般公共预算支出决算数为</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480.48</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highlight w:val="none"/>
          <w14:textFill>
            <w14:solidFill>
              <w14:schemeClr w14:val="tx1"/>
            </w14:solidFill>
          </w14:textFill>
        </w:rPr>
        <w:t>完成</w:t>
      </w:r>
      <w:r>
        <w:rPr>
          <w:rStyle w:val="21"/>
          <w:rFonts w:hint="eastAsia" w:ascii="仿宋_GB2312" w:hAnsi="仿宋_GB2312" w:eastAsia="仿宋_GB2312" w:cs="仿宋_GB2312"/>
          <w:b w:val="0"/>
          <w:bCs/>
          <w:color w:val="000000"/>
          <w:sz w:val="32"/>
          <w:szCs w:val="32"/>
          <w:highlight w:val="none"/>
        </w:rPr>
        <w:t>预算</w:t>
      </w:r>
      <w:r>
        <w:rPr>
          <w:rStyle w:val="21"/>
          <w:rFonts w:hint="eastAsia" w:ascii="仿宋_GB2312" w:hAnsi="仿宋_GB2312" w:eastAsia="仿宋_GB2312" w:cs="仿宋_GB2312"/>
          <w:b w:val="0"/>
          <w:bCs/>
          <w:color w:val="000000"/>
          <w:sz w:val="32"/>
          <w:szCs w:val="32"/>
          <w:highlight w:val="none"/>
          <w:lang w:val="en-US" w:eastAsia="zh-CN"/>
        </w:rPr>
        <w:t>100</w:t>
      </w:r>
      <w:r>
        <w:rPr>
          <w:rStyle w:val="21"/>
          <w:rFonts w:hint="eastAsia" w:ascii="仿宋_GB2312" w:hAnsi="仿宋_GB2312" w:eastAsia="仿宋_GB2312" w:cs="仿宋_GB2312"/>
          <w:b w:val="0"/>
          <w:bCs/>
          <w:color w:val="000000"/>
          <w:sz w:val="32"/>
          <w:szCs w:val="32"/>
          <w:highlight w:val="none"/>
        </w:rPr>
        <w:t>%。其中：</w:t>
      </w:r>
      <w:bookmarkEnd w:id="62"/>
      <w:bookmarkEnd w:id="63"/>
      <w:bookmarkEnd w:id="64"/>
      <w:bookmarkEnd w:id="65"/>
    </w:p>
    <w:p w14:paraId="655FDC98">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outlineLvl w:val="1"/>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pPr>
      <w:bookmarkStart w:id="66" w:name="_Toc3216"/>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一般公共服务支出（类）审计事务（款）行政运行（项）: 支出决算为154.04 万元，完成预算</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100</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%，决算数等于预算数。</w:t>
      </w:r>
      <w:bookmarkEnd w:id="66"/>
    </w:p>
    <w:p w14:paraId="6ADDA8A3">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outlineLvl w:val="1"/>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bookmarkStart w:id="67" w:name="_Toc15938"/>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一般公共服务支出（类）审计事务（款）一般行政管理事务（项）: 支出决算为15.94万元，完成预算</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100</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%，决算数等于预算数。</w:t>
      </w:r>
      <w:bookmarkEnd w:id="67"/>
    </w:p>
    <w:p w14:paraId="3C8972D1">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outlineLvl w:val="1"/>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bookmarkStart w:id="68" w:name="_Toc15387"/>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一般公共服务支出（类）审计事务（款）审计业务（项）: 支出决算为12.00 万元，完成预算</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100</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%，决算数等于预算数。</w:t>
      </w:r>
      <w:bookmarkEnd w:id="68"/>
    </w:p>
    <w:p w14:paraId="755407A0">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outlineLvl w:val="1"/>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bookmarkStart w:id="69" w:name="_Toc9520"/>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一般公共服务支出（类）审计事务（款）信息化建设（项）: 支出决算为12.00 万元，完成预算</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100</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%，决算数等于预算数。</w:t>
      </w:r>
      <w:bookmarkEnd w:id="69"/>
    </w:p>
    <w:p w14:paraId="3372903F">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outlineLvl w:val="1"/>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bookmarkStart w:id="70" w:name="_Toc12226"/>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一般公共服务支出（类）审计事务（款）事业运行（项）: 支出决算为139.10 万元，完成预算</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100</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%，决算数等于预算数。</w:t>
      </w:r>
      <w:bookmarkEnd w:id="70"/>
    </w:p>
    <w:p w14:paraId="56B6AE8C">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outlineLvl w:val="1"/>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bookmarkStart w:id="71" w:name="_Toc13705"/>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一般公共服务支出（类）审计事务（款）其他审计事务支出（项）: 支出决算为53.45 万元，完成预算</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100</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%，决算数等于预算数。</w:t>
      </w:r>
      <w:bookmarkEnd w:id="71"/>
    </w:p>
    <w:p w14:paraId="4B3F147D">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outlineLvl w:val="1"/>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p>
    <w:p w14:paraId="11584500">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outlineLvl w:val="1"/>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bookmarkStart w:id="72" w:name="_Toc3823"/>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社会保障和就业支出（类）行政事业单位养老支出（款）行政单位离退休（项）: 支出决算为2.67 万元，完成预算</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100</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%，决算数等于预算数。</w:t>
      </w:r>
      <w:bookmarkEnd w:id="72"/>
    </w:p>
    <w:p w14:paraId="64D4F803">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outlineLvl w:val="1"/>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bookmarkStart w:id="73" w:name="_Toc28930"/>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8.</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社会保障和就业支出（类）行政事业单位养老支出（款）机关事业单位基本养老保险缴费（项）: 支出决算为37.67 万元，完成预算</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100</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%，决算数等于预算数。</w:t>
      </w:r>
      <w:bookmarkEnd w:id="73"/>
    </w:p>
    <w:p w14:paraId="4D6527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bookmarkStart w:id="74" w:name="_Toc13480"/>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社会保障和就业支出（类）其他社会保障和就业支出（款）其他社会保障和就业支出（项）: 支出决算为</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 xml:space="preserve">2.30 </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万元，完成预算</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100</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%，决算数等于预算数。</w:t>
      </w:r>
      <w:bookmarkEnd w:id="74"/>
    </w:p>
    <w:p w14:paraId="1A55B0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bookmarkStart w:id="75" w:name="_Toc19974"/>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10.卫生</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健康支出（类）行政事业单位医疗（款）行政单位医疗（项）:支出决算为8.71 元，完成预算</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100</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%，决算数等于预算数。</w:t>
      </w:r>
      <w:bookmarkEnd w:id="75"/>
    </w:p>
    <w:p w14:paraId="431133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pPr>
      <w:bookmarkStart w:id="76" w:name="_Toc12075"/>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11.卫生</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健康支出（类）行政事业单位医疗（款）事业单位医疗</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项）:支出决算7.69 元，完成预算</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100</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%，决算数小于预算数的主要原因是人员变动。</w:t>
      </w:r>
      <w:bookmarkEnd w:id="76"/>
    </w:p>
    <w:p w14:paraId="1FA3B7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bookmarkStart w:id="77" w:name="_Toc13683"/>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12.卫生</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健康支出（类）行政事业单位医疗（款）公务员医疗补助（项）:支出决算为4.29 万元，完成预算</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100</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%，决算数等于预算数。</w:t>
      </w:r>
      <w:bookmarkEnd w:id="77"/>
    </w:p>
    <w:p w14:paraId="2BFFD3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bookmarkStart w:id="78" w:name="_Toc17629"/>
      <w:bookmarkStart w:id="79" w:name="_Toc3995"/>
      <w:bookmarkStart w:id="80" w:name="_Toc20772"/>
      <w:bookmarkStart w:id="81" w:name="_Toc25298"/>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13.</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住房保障支出（类）住房改革支出（款）住房公积金（项）：支出决算为29.02 万元，完成预算</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100</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bookmarkStart w:id="82" w:name="_Toc26864"/>
      <w:bookmarkStart w:id="83" w:name="_Toc15396608"/>
      <w:bookmarkStart w:id="84" w:name="_Toc22270"/>
      <w:bookmarkStart w:id="85" w:name="_Toc15377214"/>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决算数等于预算数</w:t>
      </w:r>
      <w:bookmarkEnd w:id="78"/>
      <w:bookmarkEnd w:id="79"/>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bookmarkEnd w:id="80"/>
      <w:bookmarkEnd w:id="81"/>
    </w:p>
    <w:p w14:paraId="3A96F0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p>
    <w:p w14:paraId="59F4C8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p>
    <w:p w14:paraId="04F2F5E6">
      <w:pPr>
        <w:tabs>
          <w:tab w:val="right" w:pos="8306"/>
        </w:tabs>
        <w:spacing w:line="560" w:lineRule="exact"/>
        <w:ind w:firstLine="640"/>
        <w:outlineLvl w:val="1"/>
        <w:rPr>
          <w:rStyle w:val="33"/>
          <w:highlight w:val="none"/>
        </w:rPr>
      </w:pPr>
      <w:bookmarkStart w:id="86" w:name="_Toc12132"/>
      <w:bookmarkStart w:id="87" w:name="_Toc16827"/>
      <w:r>
        <w:rPr>
          <w:rFonts w:hint="eastAsia" w:ascii="黑体" w:eastAsia="黑体"/>
          <w:color w:val="000000"/>
          <w:sz w:val="32"/>
          <w:szCs w:val="32"/>
          <w:highlight w:val="none"/>
        </w:rPr>
        <w:t>六</w:t>
      </w:r>
      <w:r>
        <w:rPr>
          <w:rFonts w:hint="eastAsia" w:ascii="黑体" w:eastAsia="黑体"/>
          <w:b/>
          <w:color w:val="000000"/>
          <w:sz w:val="32"/>
          <w:szCs w:val="32"/>
          <w:highlight w:val="none"/>
        </w:rPr>
        <w:t>、</w:t>
      </w:r>
      <w:r>
        <w:rPr>
          <w:rFonts w:hint="eastAsia" w:ascii="黑体" w:hAnsi="黑体" w:eastAsia="黑体"/>
          <w:b/>
          <w:color w:val="000000"/>
          <w:sz w:val="32"/>
          <w:szCs w:val="32"/>
          <w:highlight w:val="none"/>
        </w:rPr>
        <w:t>一</w:t>
      </w:r>
      <w:r>
        <w:rPr>
          <w:rStyle w:val="33"/>
          <w:rFonts w:hint="eastAsia" w:ascii="黑体" w:hAnsi="黑体" w:eastAsia="黑体"/>
          <w:b w:val="0"/>
          <w:highlight w:val="none"/>
        </w:rPr>
        <w:t>般公共预算财政拨款基本支出决算情况说明</w:t>
      </w:r>
      <w:bookmarkEnd w:id="82"/>
      <w:bookmarkEnd w:id="83"/>
      <w:bookmarkEnd w:id="84"/>
      <w:bookmarkEnd w:id="85"/>
      <w:bookmarkEnd w:id="86"/>
      <w:bookmarkEnd w:id="87"/>
      <w:r>
        <w:rPr>
          <w:rStyle w:val="33"/>
          <w:rFonts w:ascii="黑体" w:hAnsi="黑体" w:eastAsia="黑体"/>
          <w:b w:val="0"/>
          <w:highlight w:val="none"/>
        </w:rPr>
        <w:tab/>
      </w:r>
    </w:p>
    <w:p w14:paraId="040C97A7">
      <w:pPr>
        <w:spacing w:line="560" w:lineRule="exact"/>
        <w:ind w:firstLine="645"/>
        <w:rPr>
          <w:rFonts w:ascii="仿宋" w:hAnsi="仿宋" w:eastAsia="仿宋"/>
          <w:color w:val="000000"/>
          <w:sz w:val="32"/>
          <w:szCs w:val="32"/>
          <w:highlight w:val="none"/>
        </w:rPr>
      </w:pPr>
      <w:bookmarkStart w:id="88" w:name="_Toc15396609"/>
      <w:bookmarkStart w:id="89" w:name="_Toc15377215"/>
      <w:r>
        <w:rPr>
          <w:rFonts w:hint="eastAsia" w:ascii="仿宋" w:hAnsi="仿宋" w:eastAsia="仿宋"/>
          <w:color w:val="000000"/>
          <w:sz w:val="32"/>
          <w:szCs w:val="32"/>
          <w:highlight w:val="none"/>
          <w:lang w:eastAsia="zh-CN"/>
        </w:rPr>
        <w:t>2024</w:t>
      </w:r>
      <w:r>
        <w:rPr>
          <w:rFonts w:hint="eastAsia" w:ascii="仿宋" w:hAnsi="仿宋" w:eastAsia="仿宋"/>
          <w:color w:val="000000"/>
          <w:sz w:val="32"/>
          <w:szCs w:val="32"/>
          <w:highlight w:val="none"/>
        </w:rPr>
        <w:t>年一般公共预算财政拨款基本支出</w:t>
      </w:r>
      <w:r>
        <w:rPr>
          <w:rFonts w:hint="eastAsia" w:ascii="仿宋" w:hAnsi="仿宋" w:eastAsia="仿宋"/>
          <w:b w:val="0"/>
          <w:bCs/>
          <w:sz w:val="32"/>
          <w:szCs w:val="32"/>
          <w:lang w:eastAsia="zh-CN"/>
        </w:rPr>
        <w:t xml:space="preserve">385.49 </w:t>
      </w:r>
      <w:r>
        <w:rPr>
          <w:rFonts w:hint="eastAsia" w:ascii="仿宋" w:hAnsi="仿宋" w:eastAsia="仿宋"/>
          <w:color w:val="000000"/>
          <w:sz w:val="32"/>
          <w:szCs w:val="32"/>
          <w:highlight w:val="none"/>
        </w:rPr>
        <w:t>万元，其中：</w:t>
      </w:r>
    </w:p>
    <w:p w14:paraId="33FC6972">
      <w:pPr>
        <w:spacing w:line="600" w:lineRule="exact"/>
        <w:ind w:firstLine="645"/>
        <w:rPr>
          <w:rFonts w:ascii="仿宋" w:hAnsi="仿宋" w:eastAsia="仿宋"/>
          <w:color w:val="000000"/>
          <w:sz w:val="32"/>
          <w:szCs w:val="32"/>
          <w:highlight w:val="none"/>
        </w:rPr>
      </w:pPr>
      <w:r>
        <w:rPr>
          <w:rFonts w:hint="eastAsia" w:ascii="仿宋" w:hAnsi="仿宋" w:eastAsia="仿宋"/>
          <w:color w:val="000000"/>
          <w:sz w:val="32"/>
          <w:szCs w:val="32"/>
          <w:highlight w:val="none"/>
        </w:rPr>
        <w:t>人员经费</w:t>
      </w:r>
      <w:r>
        <w:rPr>
          <w:rFonts w:hint="eastAsia" w:ascii="仿宋" w:hAnsi="仿宋" w:eastAsia="仿宋"/>
          <w:b w:val="0"/>
          <w:bCs/>
          <w:sz w:val="32"/>
          <w:szCs w:val="32"/>
        </w:rPr>
        <w:t>344.44</w:t>
      </w:r>
      <w:r>
        <w:rPr>
          <w:rFonts w:hint="eastAsia" w:ascii="仿宋" w:hAnsi="仿宋" w:eastAsia="仿宋"/>
          <w:b w:val="0"/>
          <w:bCs/>
          <w:color w:val="000000"/>
          <w:sz w:val="32"/>
          <w:szCs w:val="32"/>
          <w:highlight w:val="none"/>
        </w:rPr>
        <w:t>万元，主要包括：基本工资、津贴补贴、奖金、绩效工资、机关事业单位基本养老保险缴费、职业年金缴费、其他社会保障缴费、其他工资福利支出、离休费、退休费、生活补助、医疗费、住房公积金、其他对个人和家庭的补助支出等。</w:t>
      </w:r>
      <w:r>
        <w:rPr>
          <w:rFonts w:ascii="仿宋" w:hAnsi="仿宋" w:eastAsia="仿宋"/>
          <w:b w:val="0"/>
          <w:bCs/>
          <w:color w:val="000000"/>
          <w:sz w:val="32"/>
          <w:szCs w:val="32"/>
          <w:highlight w:val="none"/>
        </w:rPr>
        <w:br w:type="textWrapping"/>
      </w:r>
      <w:r>
        <w:rPr>
          <w:rFonts w:hint="eastAsia" w:ascii="仿宋" w:hAnsi="仿宋" w:eastAsia="仿宋"/>
          <w:b w:val="0"/>
          <w:bCs/>
          <w:color w:val="000000"/>
          <w:sz w:val="32"/>
          <w:szCs w:val="32"/>
          <w:highlight w:val="none"/>
        </w:rPr>
        <w:t>　　公用经费</w:t>
      </w:r>
      <w:r>
        <w:rPr>
          <w:rFonts w:hint="eastAsia" w:ascii="仿宋" w:hAnsi="仿宋" w:eastAsia="仿宋"/>
          <w:b w:val="0"/>
          <w:bCs/>
          <w:sz w:val="32"/>
          <w:szCs w:val="32"/>
        </w:rPr>
        <w:t xml:space="preserve">41.05 </w:t>
      </w:r>
      <w:r>
        <w:rPr>
          <w:rFonts w:hint="eastAsia" w:ascii="仿宋" w:hAnsi="仿宋" w:eastAsia="仿宋"/>
          <w:color w:val="000000"/>
          <w:sz w:val="32"/>
          <w:szCs w:val="32"/>
          <w:highlight w:val="none"/>
        </w:rPr>
        <w:t>万元，主要包括：办公费、印刷费、邮电费、差旅费</w:t>
      </w:r>
      <w:r>
        <w:rPr>
          <w:rFonts w:hint="eastAsia" w:ascii="仿宋" w:hAnsi="仿宋" w:eastAsia="仿宋"/>
          <w:color w:val="000000"/>
          <w:sz w:val="32"/>
          <w:szCs w:val="32"/>
          <w:highlight w:val="none"/>
          <w:lang w:eastAsia="zh-CN"/>
        </w:rPr>
        <w:t>、维修（护）费、劳务费、委托业务费、</w:t>
      </w:r>
      <w:r>
        <w:rPr>
          <w:rFonts w:hint="eastAsia" w:ascii="仿宋" w:hAnsi="仿宋" w:eastAsia="仿宋"/>
          <w:color w:val="000000"/>
          <w:sz w:val="32"/>
          <w:szCs w:val="32"/>
          <w:highlight w:val="none"/>
        </w:rPr>
        <w:t>公务接待费、工会经费、福利费、其他交通费、其他商品和服务支出。</w:t>
      </w:r>
    </w:p>
    <w:p w14:paraId="417CF531">
      <w:pPr>
        <w:spacing w:line="600" w:lineRule="exact"/>
        <w:ind w:firstLine="640"/>
        <w:outlineLvl w:val="1"/>
        <w:rPr>
          <w:rStyle w:val="33"/>
          <w:rFonts w:ascii="黑体" w:hAnsi="黑体" w:eastAsia="黑体"/>
          <w:b w:val="0"/>
          <w:highlight w:val="none"/>
        </w:rPr>
      </w:pPr>
      <w:bookmarkStart w:id="90" w:name="_Toc23565"/>
      <w:bookmarkStart w:id="91" w:name="_Toc21682"/>
      <w:bookmarkStart w:id="92" w:name="_Toc14096"/>
      <w:bookmarkStart w:id="93" w:name="_Toc2530"/>
      <w:r>
        <w:rPr>
          <w:rFonts w:hint="eastAsia" w:ascii="黑体" w:eastAsia="黑体"/>
          <w:color w:val="000000"/>
          <w:sz w:val="32"/>
          <w:szCs w:val="32"/>
          <w:highlight w:val="none"/>
        </w:rPr>
        <w:t>七、</w:t>
      </w:r>
      <w:r>
        <w:rPr>
          <w:rStyle w:val="33"/>
          <w:rFonts w:hint="eastAsia" w:ascii="黑体" w:hAnsi="黑体" w:eastAsia="黑体"/>
          <w:b w:val="0"/>
          <w:highlight w:val="none"/>
        </w:rPr>
        <w:t>财政拨款</w:t>
      </w:r>
      <w:r>
        <w:rPr>
          <w:rStyle w:val="33"/>
          <w:rFonts w:hint="eastAsia" w:ascii="黑体" w:hAnsi="黑体" w:eastAsia="黑体"/>
          <w:highlight w:val="none"/>
        </w:rPr>
        <w:t>“</w:t>
      </w:r>
      <w:r>
        <w:rPr>
          <w:rStyle w:val="33"/>
          <w:rFonts w:hint="eastAsia" w:ascii="黑体" w:hAnsi="黑体" w:eastAsia="黑体"/>
          <w:b w:val="0"/>
          <w:highlight w:val="none"/>
        </w:rPr>
        <w:t>三公”经费支出决算情况说明</w:t>
      </w:r>
      <w:bookmarkEnd w:id="88"/>
      <w:bookmarkEnd w:id="89"/>
      <w:bookmarkEnd w:id="90"/>
      <w:bookmarkEnd w:id="91"/>
      <w:bookmarkEnd w:id="92"/>
      <w:bookmarkEnd w:id="93"/>
    </w:p>
    <w:p w14:paraId="0DE66B89">
      <w:pPr>
        <w:spacing w:line="560" w:lineRule="exact"/>
        <w:ind w:firstLine="643" w:firstLineChars="200"/>
        <w:outlineLvl w:val="2"/>
        <w:rPr>
          <w:rFonts w:hint="eastAsia" w:ascii="楷体" w:hAnsi="楷体" w:eastAsia="楷体" w:cs="楷体"/>
          <w:b/>
          <w:color w:val="000000"/>
          <w:sz w:val="32"/>
          <w:szCs w:val="32"/>
          <w:highlight w:val="none"/>
        </w:rPr>
      </w:pPr>
      <w:bookmarkStart w:id="94" w:name="_Toc15377216"/>
      <w:r>
        <w:rPr>
          <w:rFonts w:hint="eastAsia" w:ascii="楷体" w:hAnsi="楷体" w:eastAsia="楷体" w:cs="楷体"/>
          <w:b/>
          <w:color w:val="000000"/>
          <w:sz w:val="32"/>
          <w:szCs w:val="32"/>
          <w:highlight w:val="none"/>
        </w:rPr>
        <w:t>（一）“三公”经费财政拨款支出决算总体情况说明</w:t>
      </w:r>
      <w:bookmarkEnd w:id="94"/>
    </w:p>
    <w:p w14:paraId="2A3D8EC5">
      <w:pPr>
        <w:spacing w:line="600" w:lineRule="exact"/>
        <w:ind w:firstLine="640"/>
        <w:rPr>
          <w:rFonts w:ascii="仿宋" w:hAnsi="仿宋" w:eastAsia="仿宋"/>
          <w:b/>
          <w:color w:val="FF0000"/>
          <w:sz w:val="32"/>
          <w:szCs w:val="32"/>
          <w:highlight w:val="none"/>
        </w:rPr>
      </w:pPr>
      <w:r>
        <w:rPr>
          <w:rFonts w:hint="eastAsia" w:ascii="仿宋" w:hAnsi="仿宋" w:eastAsia="仿宋"/>
          <w:color w:val="000000"/>
          <w:sz w:val="32"/>
          <w:szCs w:val="32"/>
          <w:highlight w:val="none"/>
          <w:lang w:eastAsia="zh-CN"/>
        </w:rPr>
        <w:t>2024</w:t>
      </w:r>
      <w:r>
        <w:rPr>
          <w:rFonts w:hint="eastAsia" w:ascii="仿宋" w:hAnsi="仿宋" w:eastAsia="仿宋"/>
          <w:color w:val="000000"/>
          <w:sz w:val="32"/>
          <w:szCs w:val="32"/>
          <w:highlight w:val="none"/>
        </w:rPr>
        <w:t>年“三公”经费财政拨款支出决算为</w:t>
      </w:r>
      <w:r>
        <w:rPr>
          <w:rFonts w:hint="eastAsia" w:ascii="仿宋" w:hAnsi="仿宋" w:eastAsia="仿宋"/>
          <w:color w:val="000000"/>
          <w:sz w:val="32"/>
          <w:szCs w:val="32"/>
          <w:highlight w:val="none"/>
          <w:lang w:val="en-US" w:eastAsia="zh-CN"/>
        </w:rPr>
        <w:t>2.09</w:t>
      </w:r>
      <w:r>
        <w:rPr>
          <w:rFonts w:hint="eastAsia" w:ascii="仿宋" w:hAnsi="仿宋" w:eastAsia="仿宋"/>
          <w:color w:val="000000"/>
          <w:sz w:val="32"/>
          <w:szCs w:val="32"/>
          <w:highlight w:val="none"/>
        </w:rPr>
        <w:t>万元，完成预算</w:t>
      </w:r>
      <w:r>
        <w:rPr>
          <w:rFonts w:hint="eastAsia" w:ascii="仿宋" w:hAnsi="仿宋" w:eastAsia="仿宋"/>
          <w:color w:val="000000"/>
          <w:sz w:val="32"/>
          <w:szCs w:val="32"/>
          <w:highlight w:val="none"/>
          <w:lang w:val="en-US" w:eastAsia="zh-CN"/>
        </w:rPr>
        <w:t>100%</w:t>
      </w:r>
      <w:r>
        <w:rPr>
          <w:rFonts w:hint="eastAsia" w:ascii="仿宋" w:hAnsi="仿宋" w:eastAsia="仿宋"/>
          <w:color w:val="000000"/>
          <w:sz w:val="32"/>
          <w:szCs w:val="32"/>
          <w:highlight w:val="none"/>
        </w:rPr>
        <w:t>，</w:t>
      </w:r>
      <w:r>
        <w:rPr>
          <w:rFonts w:hint="eastAsia" w:ascii="仿宋" w:hAnsi="仿宋" w:eastAsia="仿宋"/>
          <w:color w:val="auto"/>
          <w:sz w:val="32"/>
          <w:szCs w:val="32"/>
          <w:highlight w:val="none"/>
          <w:lang w:eastAsia="zh-CN"/>
        </w:rPr>
        <w:t>较上年度减少1.01</w:t>
      </w:r>
      <w:r>
        <w:rPr>
          <w:rFonts w:hint="eastAsia" w:ascii="仿宋" w:hAnsi="仿宋" w:eastAsia="仿宋"/>
          <w:color w:val="auto"/>
          <w:sz w:val="32"/>
          <w:szCs w:val="32"/>
          <w:highlight w:val="none"/>
          <w:lang w:val="en-US" w:eastAsia="zh-CN"/>
        </w:rPr>
        <w:t>万元，下降32.5%，</w:t>
      </w:r>
      <w:r>
        <w:rPr>
          <w:rFonts w:hint="eastAsia" w:ascii="仿宋" w:hAnsi="仿宋" w:eastAsia="仿宋"/>
          <w:color w:val="000000"/>
          <w:sz w:val="32"/>
          <w:szCs w:val="32"/>
          <w:highlight w:val="none"/>
        </w:rPr>
        <w:t>决算数</w:t>
      </w:r>
      <w:r>
        <w:rPr>
          <w:rFonts w:hint="eastAsia" w:ascii="仿宋" w:hAnsi="仿宋" w:eastAsia="仿宋"/>
          <w:color w:val="auto"/>
          <w:sz w:val="32"/>
          <w:szCs w:val="32"/>
          <w:highlight w:val="none"/>
        </w:rPr>
        <w:t>预算数持平</w:t>
      </w:r>
      <w:r>
        <w:rPr>
          <w:rFonts w:hint="eastAsia" w:ascii="仿宋" w:hAnsi="仿宋" w:eastAsia="仿宋"/>
          <w:color w:val="000000"/>
          <w:sz w:val="32"/>
          <w:szCs w:val="32"/>
          <w:highlight w:val="none"/>
        </w:rPr>
        <w:t>，主要</w:t>
      </w:r>
      <w:r>
        <w:rPr>
          <w:rFonts w:hint="eastAsia" w:ascii="仿宋" w:hAnsi="仿宋" w:eastAsia="仿宋"/>
          <w:color w:val="000000"/>
          <w:sz w:val="32"/>
          <w:szCs w:val="32"/>
          <w:highlight w:val="none"/>
          <w:lang w:eastAsia="zh-CN"/>
        </w:rPr>
        <w:t>原因</w:t>
      </w:r>
      <w:r>
        <w:rPr>
          <w:rFonts w:hint="eastAsia" w:ascii="仿宋" w:hAnsi="仿宋" w:eastAsia="仿宋"/>
          <w:color w:val="000000"/>
          <w:sz w:val="32"/>
          <w:szCs w:val="32"/>
          <w:highlight w:val="none"/>
        </w:rPr>
        <w:t>是</w:t>
      </w:r>
      <w:r>
        <w:rPr>
          <w:rFonts w:hint="eastAsia" w:ascii="仿宋" w:hAnsi="仿宋" w:eastAsia="仿宋"/>
          <w:color w:val="000000"/>
          <w:sz w:val="32"/>
          <w:szCs w:val="32"/>
          <w:highlight w:val="none"/>
          <w:lang w:eastAsia="zh-CN"/>
        </w:rPr>
        <w:t>严格预算支出。</w:t>
      </w:r>
    </w:p>
    <w:p w14:paraId="487BCD46">
      <w:pPr>
        <w:spacing w:line="560" w:lineRule="exact"/>
        <w:ind w:firstLine="643" w:firstLineChars="200"/>
        <w:outlineLvl w:val="2"/>
        <w:rPr>
          <w:rFonts w:hint="eastAsia" w:ascii="楷体" w:hAnsi="楷体" w:eastAsia="楷体" w:cs="楷体"/>
          <w:b/>
          <w:color w:val="000000"/>
          <w:sz w:val="32"/>
          <w:szCs w:val="32"/>
          <w:highlight w:val="none"/>
        </w:rPr>
      </w:pPr>
      <w:bookmarkStart w:id="95" w:name="_Toc15377217"/>
      <w:r>
        <w:rPr>
          <w:rFonts w:hint="eastAsia" w:ascii="楷体" w:hAnsi="楷体" w:eastAsia="楷体" w:cs="楷体"/>
          <w:b/>
          <w:color w:val="000000"/>
          <w:sz w:val="32"/>
          <w:szCs w:val="32"/>
          <w:highlight w:val="none"/>
        </w:rPr>
        <w:t>（二）“三公”经费财政拨款支出决算具体情况说明</w:t>
      </w:r>
      <w:bookmarkEnd w:id="95"/>
    </w:p>
    <w:p w14:paraId="7ED07232">
      <w:pPr>
        <w:spacing w:line="600" w:lineRule="exact"/>
        <w:ind w:firstLine="640"/>
        <w:rPr>
          <w:rFonts w:hint="eastAsia" w:ascii="仿宋" w:hAnsi="仿宋" w:eastAsia="仿宋"/>
          <w:color w:val="000000"/>
          <w:sz w:val="32"/>
          <w:szCs w:val="32"/>
          <w:highlight w:val="none"/>
        </w:rPr>
      </w:pPr>
      <w:r>
        <w:rPr>
          <w:rFonts w:hint="eastAsia" w:ascii="仿宋" w:hAnsi="仿宋" w:eastAsia="仿宋"/>
          <w:color w:val="000000"/>
          <w:sz w:val="32"/>
          <w:szCs w:val="32"/>
          <w:highlight w:val="none"/>
          <w:lang w:eastAsia="zh-CN"/>
        </w:rPr>
        <w:t>2024</w:t>
      </w:r>
      <w:r>
        <w:rPr>
          <w:rFonts w:hint="eastAsia" w:ascii="仿宋" w:hAnsi="仿宋" w:eastAsia="仿宋"/>
          <w:color w:val="000000"/>
          <w:sz w:val="32"/>
          <w:szCs w:val="32"/>
          <w:highlight w:val="none"/>
        </w:rPr>
        <w:t>年“三公”经费财政拨款支出决算中，因公出国（境）费支出决算</w:t>
      </w:r>
      <w:r>
        <w:rPr>
          <w:rFonts w:hint="eastAsia" w:ascii="仿宋" w:hAnsi="仿宋" w:eastAsia="仿宋"/>
          <w:color w:val="000000"/>
          <w:sz w:val="32"/>
          <w:szCs w:val="32"/>
          <w:highlight w:val="none"/>
          <w:lang w:val="en-US" w:eastAsia="zh-CN"/>
        </w:rPr>
        <w:t>0</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；公务用车购置及运行维护费支出决算</w:t>
      </w:r>
      <w:r>
        <w:rPr>
          <w:rFonts w:hint="eastAsia" w:ascii="仿宋" w:hAnsi="仿宋" w:eastAsia="仿宋"/>
          <w:color w:val="000000"/>
          <w:sz w:val="32"/>
          <w:szCs w:val="32"/>
          <w:highlight w:val="none"/>
          <w:lang w:val="en-US" w:eastAsia="zh-CN"/>
        </w:rPr>
        <w:t>0</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；公务接待费支出决算</w:t>
      </w:r>
      <w:r>
        <w:rPr>
          <w:rFonts w:hint="eastAsia" w:ascii="仿宋" w:hAnsi="仿宋" w:eastAsia="仿宋"/>
          <w:color w:val="000000"/>
          <w:sz w:val="32"/>
          <w:szCs w:val="32"/>
          <w:highlight w:val="none"/>
          <w:lang w:val="en-US" w:eastAsia="zh-CN"/>
        </w:rPr>
        <w:t>2.09</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100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。具体情况如下：</w:t>
      </w:r>
    </w:p>
    <w:p w14:paraId="46F9804F">
      <w:pPr>
        <w:spacing w:line="600" w:lineRule="exact"/>
        <w:rPr>
          <w:rFonts w:hint="eastAsia" w:ascii="仿宋" w:hAnsi="仿宋" w:eastAsia="仿宋"/>
          <w:color w:val="000000"/>
          <w:sz w:val="32"/>
          <w:szCs w:val="32"/>
          <w:highlight w:val="none"/>
        </w:rPr>
      </w:pPr>
    </w:p>
    <w:p w14:paraId="0D13CAC8">
      <w:pPr>
        <w:spacing w:line="600" w:lineRule="exact"/>
        <w:ind w:firstLine="640"/>
        <w:rPr>
          <w:rFonts w:hint="eastAsia" w:ascii="仿宋" w:hAnsi="仿宋" w:eastAsia="仿宋"/>
          <w:color w:val="000000"/>
          <w:sz w:val="32"/>
          <w:szCs w:val="32"/>
          <w:highlight w:val="none"/>
        </w:rPr>
      </w:pPr>
    </w:p>
    <w:p w14:paraId="5D40CAF0">
      <w:pPr>
        <w:spacing w:line="600" w:lineRule="exact"/>
        <w:ind w:firstLine="640" w:firstLineChars="200"/>
        <w:jc w:val="center"/>
        <w:rPr>
          <w:rFonts w:hint="eastAsia" w:ascii="仿宋" w:hAnsi="仿宋" w:eastAsia="仿宋"/>
          <w:color w:val="000000" w:themeColor="text1"/>
          <w:spacing w:val="-23"/>
          <w:kern w:val="0"/>
          <w:sz w:val="28"/>
          <w:szCs w:val="28"/>
          <w:highlight w:val="none"/>
          <w14:textFill>
            <w14:solidFill>
              <w14:schemeClr w14:val="tx1"/>
            </w14:solidFill>
          </w14:textFill>
        </w:rPr>
      </w:pPr>
      <w:r>
        <w:rPr>
          <w:rFonts w:hint="eastAsia" w:ascii="仿宋" w:hAnsi="仿宋" w:eastAsia="仿宋"/>
          <w:color w:val="000000"/>
          <w:sz w:val="32"/>
          <w:szCs w:val="32"/>
          <w:highlight w:val="none"/>
        </w:rPr>
        <w:drawing>
          <wp:anchor distT="0" distB="0" distL="114300" distR="114300" simplePos="0" relativeHeight="251665408" behindDoc="0" locked="0" layoutInCell="1" allowOverlap="1">
            <wp:simplePos x="0" y="0"/>
            <wp:positionH relativeFrom="column">
              <wp:posOffset>882650</wp:posOffset>
            </wp:positionH>
            <wp:positionV relativeFrom="paragraph">
              <wp:posOffset>-100330</wp:posOffset>
            </wp:positionV>
            <wp:extent cx="4229100" cy="2038350"/>
            <wp:effectExtent l="4445" t="4445" r="14605" b="14605"/>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Pr>
          <w:rFonts w:hint="eastAsia" w:ascii="仿宋" w:hAnsi="仿宋" w:eastAsia="仿宋"/>
          <w:color w:val="000000" w:themeColor="text1"/>
          <w:spacing w:val="-23"/>
          <w:kern w:val="0"/>
          <w:sz w:val="28"/>
          <w:szCs w:val="28"/>
          <w:highlight w:val="none"/>
          <w14:textFill>
            <w14:solidFill>
              <w14:schemeClr w14:val="tx1"/>
            </w14:solidFill>
          </w14:textFill>
        </w:rPr>
        <w:t>（图7：“三公”经费财政拨款支出结构）（饼状图）</w:t>
      </w:r>
    </w:p>
    <w:p w14:paraId="0F94EE5B">
      <w:pPr>
        <w:shd w:val="clear"/>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1.因</w:t>
      </w:r>
      <w:r>
        <w:rPr>
          <w:rFonts w:hint="eastAsia" w:ascii="仿宋_GB2312" w:hAnsi="仿宋_GB2312" w:eastAsia="仿宋_GB2312" w:cs="仿宋_GB2312"/>
          <w:b/>
          <w:color w:val="000000"/>
          <w:sz w:val="32"/>
          <w:szCs w:val="32"/>
          <w:highlight w:val="none"/>
        </w:rPr>
        <w:t>公出国（境）经费支出0</w:t>
      </w:r>
      <w:r>
        <w:rPr>
          <w:rFonts w:hint="eastAsia" w:ascii="仿宋_GB2312" w:hAnsi="仿宋_GB2312" w:eastAsia="仿宋_GB2312" w:cs="仿宋_GB2312"/>
          <w:color w:val="000000" w:themeColor="text1"/>
          <w:sz w:val="32"/>
          <w:szCs w:val="32"/>
          <w:lang w:eastAsia="zh-CN"/>
          <w14:textFill>
            <w14:solidFill>
              <w14:schemeClr w14:val="tx1"/>
            </w14:solidFill>
          </w14:textFill>
        </w:rPr>
        <w:t>万元整。</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完成预算</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100</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全年安排因公出国（境）团组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次，出国（境）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人。</w:t>
      </w:r>
      <w:r>
        <w:rPr>
          <w:rFonts w:hint="eastAsia" w:ascii="Times New Roman" w:hAnsi="Times New Roman" w:eastAsia="仿宋_GB2312" w:cs="仿宋_GB2312"/>
          <w:color w:val="auto"/>
          <w:kern w:val="2"/>
          <w:sz w:val="32"/>
          <w:szCs w:val="32"/>
          <w:highlight w:val="none"/>
          <w:lang w:val="en-US" w:eastAsia="zh-CN" w:bidi="ar-SA"/>
        </w:rPr>
        <w:t>。因公出国（境）支出决算比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w:t>
      </w:r>
      <w:r>
        <w:rPr>
          <w:rFonts w:hint="eastAsia" w:ascii="Times New Roman" w:hAnsi="Times New Roman" w:eastAsia="仿宋_GB2312" w:cs="仿宋_GB2312"/>
          <w:color w:val="auto"/>
          <w:kern w:val="2"/>
          <w:sz w:val="32"/>
          <w:szCs w:val="32"/>
          <w:highlight w:val="none"/>
          <w:lang w:val="en-US" w:eastAsia="zh-CN" w:bidi="ar-SA"/>
        </w:rPr>
        <w:t>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p>
    <w:p w14:paraId="0F40DA42">
      <w:pPr>
        <w:shd w:val="clear"/>
        <w:spacing w:line="600" w:lineRule="exact"/>
        <w:ind w:firstLine="640"/>
        <w:rPr>
          <w:rFonts w:hint="eastAsia" w:ascii="仿宋_GB2312" w:hAnsi="仿宋_GB2312" w:eastAsia="仿宋_GB2312" w:cs="仿宋_GB2312"/>
          <w:b/>
          <w:color w:val="000000" w:themeColor="text1"/>
          <w:sz w:val="32"/>
          <w:szCs w:val="32"/>
          <w:lang w:eastAsia="zh-CN"/>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w:t>
      </w:r>
      <w:r>
        <w:rPr>
          <w:rFonts w:hint="eastAsia" w:ascii="仿宋_GB2312" w:hAnsi="仿宋_GB2312" w:eastAsia="仿宋_GB2312" w:cs="仿宋_GB2312"/>
          <w:b/>
          <w:color w:val="000000"/>
          <w:sz w:val="32"/>
          <w:szCs w:val="32"/>
          <w:highlight w:val="none"/>
        </w:rPr>
        <w:t>公务用车购置及运行维护费支出</w:t>
      </w:r>
      <w:r>
        <w:rPr>
          <w:rFonts w:hint="eastAsia" w:ascii="仿宋_GB2312" w:hAnsi="仿宋_GB2312" w:eastAsia="仿宋_GB2312" w:cs="仿宋_GB2312"/>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sz w:val="32"/>
          <w:szCs w:val="32"/>
          <w:lang w:eastAsia="zh-CN"/>
          <w14:textFill>
            <w14:solidFill>
              <w14:schemeClr w14:val="tx1"/>
            </w14:solidFill>
          </w14:textFill>
        </w:rPr>
        <w:t>万元整。</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3F72BF0C">
      <w:pPr>
        <w:shd w:val="clea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其中：公务用车购置支出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eastAsia="zh-CN"/>
          <w14:textFill>
            <w14:solidFill>
              <w14:schemeClr w14:val="tx1"/>
            </w14:solidFill>
          </w14:textFill>
        </w:rPr>
        <w:t>万元整。</w:t>
      </w:r>
      <w:r>
        <w:rPr>
          <w:rFonts w:hint="eastAsia" w:ascii="仿宋_GB2312" w:hAnsi="仿宋_GB2312" w:eastAsia="仿宋_GB2312" w:cs="仿宋_GB2312"/>
          <w:color w:val="000000" w:themeColor="text1"/>
          <w:sz w:val="32"/>
          <w:szCs w:val="32"/>
          <w14:textFill>
            <w14:solidFill>
              <w14:schemeClr w14:val="tx1"/>
            </w14:solidFill>
          </w14:textFill>
        </w:rPr>
        <w:t>全年按规定更新购置公务用车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辆，其中：轿车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辆、金额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元，越野车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辆、金额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万元，载客汽车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辆、金额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eastAsia="zh-CN"/>
          <w14:textFill>
            <w14:solidFill>
              <w14:schemeClr w14:val="tx1"/>
            </w14:solidFill>
          </w14:textFill>
        </w:rPr>
        <w:t>万元整。</w:t>
      </w:r>
      <w:r>
        <w:rPr>
          <w:rFonts w:hint="eastAsia" w:ascii="仿宋_GB2312" w:hAnsi="仿宋_GB2312" w:eastAsia="仿宋_GB2312" w:cs="仿宋_GB2312"/>
          <w:color w:val="000000" w:themeColor="text1"/>
          <w:sz w:val="32"/>
          <w:szCs w:val="32"/>
          <w14:textFill>
            <w14:solidFill>
              <w14:schemeClr w14:val="tx1"/>
            </w14:solidFill>
          </w14:textFill>
        </w:rPr>
        <w:t>截至</w:t>
      </w:r>
      <w:r>
        <w:rPr>
          <w:rFonts w:hint="eastAsia" w:ascii="仿宋_GB2312" w:hAnsi="仿宋_GB2312" w:eastAsia="仿宋_GB2312" w:cs="仿宋_GB2312"/>
          <w:color w:val="000000" w:themeColor="text1"/>
          <w:sz w:val="32"/>
          <w:szCs w:val="32"/>
          <w:lang w:eastAsia="zh-CN"/>
          <w14:textFill>
            <w14:solidFill>
              <w14:schemeClr w14:val="tx1"/>
            </w14:solidFill>
          </w14:textFill>
        </w:rPr>
        <w:t>2024年度</w:t>
      </w:r>
      <w:r>
        <w:rPr>
          <w:rFonts w:hint="eastAsia" w:ascii="仿宋_GB2312" w:hAnsi="仿宋_GB2312" w:eastAsia="仿宋_GB2312" w:cs="仿宋_GB2312"/>
          <w:color w:val="000000" w:themeColor="text1"/>
          <w:sz w:val="32"/>
          <w:szCs w:val="32"/>
          <w14:textFill>
            <w14:solidFill>
              <w14:schemeClr w14:val="tx1"/>
            </w14:solidFill>
          </w14:textFill>
        </w:rPr>
        <w:t>12月底，</w:t>
      </w:r>
      <w:r>
        <w:rPr>
          <w:rFonts w:hint="eastAsia" w:ascii="仿宋_GB2312" w:hAnsi="仿宋_GB2312" w:eastAsia="仿宋_GB2312" w:cs="仿宋_GB2312"/>
          <w:color w:val="000000" w:themeColor="text1"/>
          <w:sz w:val="32"/>
          <w:szCs w:val="32"/>
          <w:lang w:eastAsia="zh-CN"/>
          <w14:textFill>
            <w14:solidFill>
              <w14:schemeClr w14:val="tx1"/>
            </w14:solidFill>
          </w14:textFill>
        </w:rPr>
        <w:t>单位</w:t>
      </w:r>
      <w:r>
        <w:rPr>
          <w:rFonts w:hint="eastAsia" w:ascii="仿宋_GB2312" w:hAnsi="仿宋_GB2312" w:eastAsia="仿宋_GB2312" w:cs="仿宋_GB2312"/>
          <w:color w:val="000000" w:themeColor="text1"/>
          <w:sz w:val="32"/>
          <w:szCs w:val="32"/>
          <w14:textFill>
            <w14:solidFill>
              <w14:schemeClr w14:val="tx1"/>
            </w14:solidFill>
          </w14:textFill>
        </w:rPr>
        <w:t>共有公务用车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辆，其中：轿车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辆、越野车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辆、载客汽车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w:t>
      </w:r>
    </w:p>
    <w:p w14:paraId="3A9A7AA2">
      <w:pPr>
        <w:spacing w:line="560" w:lineRule="exact"/>
        <w:ind w:firstLine="640"/>
        <w:rPr>
          <w:rFonts w:hint="eastAsia" w:ascii="仿宋_GB2312" w:eastAsia="仿宋_GB2312"/>
          <w:b/>
          <w:color w:val="000000"/>
          <w:sz w:val="32"/>
          <w:szCs w:val="32"/>
          <w:highlight w:val="none"/>
          <w:lang w:eastAsia="zh-CN"/>
        </w:rPr>
      </w:pPr>
      <w:r>
        <w:rPr>
          <w:rFonts w:hint="eastAsia" w:ascii="仿宋_GB2312" w:hAnsi="仿宋_GB2312" w:eastAsia="仿宋_GB2312" w:cs="仿宋_GB2312"/>
          <w:color w:val="000000" w:themeColor="text1"/>
          <w:sz w:val="32"/>
          <w:szCs w:val="32"/>
          <w14:textFill>
            <w14:solidFill>
              <w14:schemeClr w14:val="tx1"/>
            </w14:solidFill>
          </w14:textFill>
        </w:rPr>
        <w:t>公务用车运行维护费支出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eastAsia="zh-CN"/>
          <w14:textFill>
            <w14:solidFill>
              <w14:schemeClr w14:val="tx1"/>
            </w14:solidFill>
          </w14:textFill>
        </w:rPr>
        <w:t>万元整。</w:t>
      </w:r>
    </w:p>
    <w:p w14:paraId="53DE1EB4">
      <w:pPr>
        <w:numPr>
          <w:ilvl w:val="0"/>
          <w:numId w:val="0"/>
        </w:numPr>
        <w:spacing w:line="560" w:lineRule="exact"/>
        <w:ind w:firstLine="643" w:firstLineChars="200"/>
        <w:rPr>
          <w:rFonts w:hint="eastAsia" w:ascii="仿宋" w:hAnsi="仿宋" w:eastAsia="仿宋"/>
          <w:color w:val="000000"/>
          <w:sz w:val="32"/>
          <w:szCs w:val="32"/>
          <w:highlight w:val="none"/>
          <w:lang w:eastAsia="zh-CN"/>
        </w:rPr>
      </w:pPr>
      <w:r>
        <w:rPr>
          <w:rFonts w:hint="eastAsia" w:ascii="仿宋_GB2312" w:eastAsia="仿宋_GB2312"/>
          <w:b/>
          <w:color w:val="000000"/>
          <w:sz w:val="32"/>
          <w:szCs w:val="32"/>
          <w:highlight w:val="none"/>
          <w:lang w:val="en-US" w:eastAsia="zh-CN"/>
        </w:rPr>
        <w:t>3.</w:t>
      </w:r>
      <w:r>
        <w:rPr>
          <w:rFonts w:hint="eastAsia" w:ascii="仿宋_GB2312" w:hAnsi="仿宋_GB2312" w:eastAsia="仿宋_GB2312" w:cs="仿宋_GB2312"/>
          <w:b/>
          <w:color w:val="000000"/>
          <w:sz w:val="32"/>
          <w:szCs w:val="32"/>
          <w:highlight w:val="none"/>
        </w:rPr>
        <w:t>公务接待费支出</w:t>
      </w:r>
      <w:r>
        <w:rPr>
          <w:rFonts w:hint="eastAsia" w:ascii="仿宋_GB2312" w:hAnsi="仿宋_GB2312" w:eastAsia="仿宋_GB2312" w:cs="仿宋_GB2312"/>
          <w:b/>
          <w:color w:val="000000"/>
          <w:sz w:val="32"/>
          <w:szCs w:val="32"/>
          <w:highlight w:val="none"/>
          <w:lang w:val="en-US" w:eastAsia="zh-CN"/>
        </w:rPr>
        <w:t>2</w:t>
      </w:r>
      <w:r>
        <w:rPr>
          <w:rFonts w:hint="eastAsia" w:ascii="仿宋" w:hAnsi="仿宋" w:eastAsia="仿宋"/>
          <w:color w:val="000000"/>
          <w:sz w:val="32"/>
          <w:szCs w:val="32"/>
          <w:highlight w:val="none"/>
          <w:lang w:val="en-US" w:eastAsia="zh-CN"/>
        </w:rPr>
        <w:t>.09</w:t>
      </w:r>
      <w:r>
        <w:rPr>
          <w:rFonts w:hint="eastAsia" w:ascii="仿宋_GB2312" w:eastAsia="仿宋_GB2312"/>
          <w:color w:val="000000"/>
          <w:sz w:val="32"/>
          <w:szCs w:val="32"/>
          <w:highlight w:val="none"/>
        </w:rPr>
        <w:t>万元，</w:t>
      </w:r>
      <w:r>
        <w:rPr>
          <w:rStyle w:val="21"/>
          <w:rFonts w:hint="eastAsia" w:ascii="仿宋" w:hAnsi="仿宋" w:eastAsia="仿宋"/>
          <w:b w:val="0"/>
          <w:bCs/>
          <w:color w:val="000000"/>
          <w:sz w:val="32"/>
          <w:szCs w:val="32"/>
          <w:highlight w:val="none"/>
        </w:rPr>
        <w:t>完成预算</w:t>
      </w:r>
      <w:r>
        <w:rPr>
          <w:rStyle w:val="21"/>
          <w:rFonts w:hint="eastAsia" w:ascii="仿宋" w:hAnsi="仿宋" w:eastAsia="仿宋"/>
          <w:b w:val="0"/>
          <w:bCs/>
          <w:color w:val="000000"/>
          <w:sz w:val="32"/>
          <w:szCs w:val="32"/>
          <w:highlight w:val="none"/>
          <w:lang w:val="en-US" w:eastAsia="zh-CN"/>
        </w:rPr>
        <w:t>100</w:t>
      </w:r>
      <w:r>
        <w:rPr>
          <w:rStyle w:val="21"/>
          <w:rFonts w:hint="eastAsia" w:ascii="仿宋" w:hAnsi="仿宋" w:eastAsia="仿宋"/>
          <w:b w:val="0"/>
          <w:bCs/>
          <w:color w:val="000000"/>
          <w:sz w:val="32"/>
          <w:szCs w:val="32"/>
          <w:highlight w:val="none"/>
        </w:rPr>
        <w:t>%。</w:t>
      </w:r>
      <w:r>
        <w:rPr>
          <w:rFonts w:hint="eastAsia" w:ascii="仿宋_GB2312" w:eastAsia="仿宋_GB2312"/>
          <w:color w:val="000000"/>
          <w:sz w:val="32"/>
          <w:szCs w:val="32"/>
          <w:highlight w:val="none"/>
        </w:rPr>
        <w:t>公务接待费支出决算比</w:t>
      </w:r>
      <w:r>
        <w:rPr>
          <w:rFonts w:hint="eastAsia" w:ascii="仿宋_GB2312" w:eastAsia="仿宋_GB2312"/>
          <w:color w:val="000000"/>
          <w:sz w:val="32"/>
          <w:szCs w:val="32"/>
          <w:highlight w:val="none"/>
          <w:lang w:eastAsia="zh-CN"/>
        </w:rPr>
        <w:t>2023</w:t>
      </w:r>
      <w:r>
        <w:rPr>
          <w:rFonts w:hint="eastAsia" w:ascii="仿宋_GB2312" w:eastAsia="仿宋_GB2312"/>
          <w:color w:val="000000"/>
          <w:sz w:val="32"/>
          <w:szCs w:val="32"/>
          <w:highlight w:val="none"/>
        </w:rPr>
        <w:t>年</w:t>
      </w:r>
      <w:r>
        <w:rPr>
          <w:rFonts w:hint="eastAsia" w:ascii="仿宋" w:hAnsi="仿宋" w:eastAsia="仿宋"/>
          <w:color w:val="auto"/>
          <w:sz w:val="32"/>
          <w:szCs w:val="32"/>
          <w:highlight w:val="none"/>
          <w:lang w:eastAsia="zh-CN"/>
        </w:rPr>
        <w:t>减少1.01</w:t>
      </w:r>
      <w:r>
        <w:rPr>
          <w:rFonts w:hint="eastAsia" w:ascii="仿宋" w:hAnsi="仿宋" w:eastAsia="仿宋"/>
          <w:color w:val="auto"/>
          <w:sz w:val="32"/>
          <w:szCs w:val="32"/>
          <w:highlight w:val="none"/>
          <w:lang w:val="en-US" w:eastAsia="zh-CN"/>
        </w:rPr>
        <w:t>万元，下降32.5%</w:t>
      </w:r>
      <w:r>
        <w:rPr>
          <w:rFonts w:hint="eastAsia" w:ascii="仿宋" w:hAnsi="仿宋" w:eastAsia="仿宋"/>
          <w:color w:val="000000"/>
          <w:sz w:val="32"/>
          <w:szCs w:val="32"/>
          <w:highlight w:val="none"/>
        </w:rPr>
        <w:t>，主要</w:t>
      </w:r>
      <w:r>
        <w:rPr>
          <w:rFonts w:hint="eastAsia" w:ascii="Times New Roman" w:hAnsi="Times New Roman" w:eastAsia="仿宋_GB2312" w:cs="仿宋_GB2312"/>
          <w:color w:val="auto"/>
          <w:kern w:val="2"/>
          <w:sz w:val="32"/>
          <w:szCs w:val="32"/>
          <w:highlight w:val="none"/>
          <w:lang w:val="en-US" w:eastAsia="zh-CN" w:bidi="ar-SA"/>
        </w:rPr>
        <w:t>原因</w:t>
      </w:r>
      <w:r>
        <w:rPr>
          <w:rFonts w:hint="eastAsia" w:ascii="仿宋" w:hAnsi="仿宋" w:eastAsia="仿宋"/>
          <w:color w:val="000000"/>
          <w:sz w:val="32"/>
          <w:szCs w:val="32"/>
          <w:highlight w:val="none"/>
        </w:rPr>
        <w:t>是</w:t>
      </w:r>
      <w:r>
        <w:rPr>
          <w:rFonts w:hint="eastAsia" w:ascii="仿宋" w:hAnsi="仿宋" w:eastAsia="仿宋"/>
          <w:color w:val="000000"/>
          <w:sz w:val="32"/>
          <w:szCs w:val="32"/>
          <w:highlight w:val="none"/>
          <w:lang w:eastAsia="zh-CN"/>
        </w:rPr>
        <w:t>严控预算支出。其中：</w:t>
      </w:r>
    </w:p>
    <w:p w14:paraId="786EFF36">
      <w:pPr>
        <w:numPr>
          <w:ilvl w:val="0"/>
          <w:numId w:val="0"/>
        </w:numPr>
        <w:spacing w:line="560" w:lineRule="exact"/>
        <w:ind w:firstLine="643" w:firstLineChars="200"/>
        <w:rPr>
          <w:rFonts w:hint="eastAsia" w:ascii="仿宋_GB2312" w:eastAsia="仿宋_GB2312"/>
          <w:color w:val="000000"/>
          <w:sz w:val="32"/>
          <w:szCs w:val="32"/>
          <w:highlight w:val="none"/>
          <w:lang w:eastAsia="zh-CN"/>
        </w:rPr>
      </w:pPr>
      <w:r>
        <w:rPr>
          <w:rFonts w:hint="eastAsia" w:ascii="仿宋_GB2312" w:hAnsi="仿宋_GB2312" w:eastAsia="仿宋_GB2312" w:cs="仿宋_GB2312"/>
          <w:b/>
          <w:color w:val="000000"/>
          <w:sz w:val="32"/>
          <w:szCs w:val="32"/>
          <w:highlight w:val="none"/>
        </w:rPr>
        <w:t>国内公务接待支出</w:t>
      </w:r>
      <w:r>
        <w:rPr>
          <w:rFonts w:hint="eastAsia" w:ascii="仿宋" w:hAnsi="仿宋" w:eastAsia="仿宋"/>
          <w:color w:val="000000"/>
          <w:sz w:val="32"/>
          <w:szCs w:val="32"/>
          <w:highlight w:val="none"/>
          <w:lang w:val="en-US" w:eastAsia="zh-CN"/>
        </w:rPr>
        <w:t>2.09</w:t>
      </w:r>
      <w:r>
        <w:rPr>
          <w:rFonts w:hint="eastAsia" w:ascii="仿宋_GB2312" w:eastAsia="仿宋_GB2312"/>
          <w:color w:val="000000"/>
          <w:sz w:val="32"/>
          <w:szCs w:val="32"/>
          <w:highlight w:val="none"/>
        </w:rPr>
        <w:t>万元，主要用于执行公务、开展业务活动开支的交通费、住宿费、用餐费等。国内公务接待</w:t>
      </w:r>
      <w:r>
        <w:rPr>
          <w:rFonts w:hint="eastAsia" w:ascii="仿宋_GB2312" w:eastAsia="仿宋_GB2312"/>
          <w:color w:val="000000"/>
          <w:sz w:val="32"/>
          <w:szCs w:val="32"/>
          <w:highlight w:val="none"/>
          <w:lang w:val="en-US" w:eastAsia="zh-CN"/>
        </w:rPr>
        <w:t>19</w:t>
      </w:r>
      <w:r>
        <w:rPr>
          <w:rFonts w:hint="eastAsia" w:ascii="仿宋_GB2312" w:eastAsia="仿宋_GB2312"/>
          <w:color w:val="000000"/>
          <w:sz w:val="32"/>
          <w:szCs w:val="32"/>
          <w:highlight w:val="none"/>
        </w:rPr>
        <w:t>批次，</w:t>
      </w:r>
      <w:r>
        <w:rPr>
          <w:rFonts w:hint="eastAsia" w:ascii="仿宋_GB2312" w:eastAsia="仿宋_GB2312"/>
          <w:color w:val="000000"/>
          <w:sz w:val="32"/>
          <w:szCs w:val="32"/>
          <w:highlight w:val="none"/>
          <w:lang w:val="en-US" w:eastAsia="zh-CN"/>
        </w:rPr>
        <w:t>210</w:t>
      </w:r>
      <w:r>
        <w:rPr>
          <w:rFonts w:hint="eastAsia" w:ascii="仿宋_GB2312" w:eastAsia="仿宋_GB2312"/>
          <w:color w:val="000000"/>
          <w:sz w:val="32"/>
          <w:szCs w:val="32"/>
          <w:highlight w:val="none"/>
        </w:rPr>
        <w:t>人次（不包括陪同人员），共计支出</w:t>
      </w:r>
      <w:r>
        <w:rPr>
          <w:rFonts w:hint="eastAsia" w:ascii="仿宋" w:hAnsi="仿宋" w:eastAsia="仿宋"/>
          <w:color w:val="000000"/>
          <w:sz w:val="32"/>
          <w:szCs w:val="32"/>
          <w:highlight w:val="none"/>
          <w:lang w:val="en-US" w:eastAsia="zh-CN"/>
        </w:rPr>
        <w:t>2.09</w:t>
      </w:r>
      <w:r>
        <w:rPr>
          <w:rFonts w:hint="eastAsia" w:ascii="仿宋_GB2312" w:eastAsia="仿宋_GB2312"/>
          <w:color w:val="000000"/>
          <w:sz w:val="32"/>
          <w:szCs w:val="32"/>
          <w:highlight w:val="none"/>
        </w:rPr>
        <w:t>万元，具体内容包括：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上级部门</w:t>
      </w:r>
      <w:r>
        <w:rPr>
          <w:rFonts w:hint="eastAsia" w:ascii="仿宋_GB2312" w:hAnsi="仿宋_GB2312" w:eastAsia="仿宋_GB2312" w:cs="仿宋_GB2312"/>
          <w:color w:val="000000" w:themeColor="text1"/>
          <w:sz w:val="32"/>
          <w:szCs w:val="32"/>
          <w14:textFill>
            <w14:solidFill>
              <w14:schemeClr w14:val="tx1"/>
            </w14:solidFill>
          </w14:textFill>
        </w:rPr>
        <w:t>领导</w:t>
      </w:r>
      <w:r>
        <w:rPr>
          <w:rFonts w:hint="eastAsia" w:ascii="仿宋_GB2312" w:hAnsi="仿宋_GB2312" w:eastAsia="仿宋_GB2312" w:cs="仿宋_GB2312"/>
          <w:color w:val="000000" w:themeColor="text1"/>
          <w:sz w:val="32"/>
          <w:szCs w:val="32"/>
          <w:lang w:eastAsia="zh-CN"/>
          <w14:textFill>
            <w14:solidFill>
              <w14:schemeClr w14:val="tx1"/>
            </w14:solidFill>
          </w14:textFill>
        </w:rPr>
        <w:t>、各区（县）的</w:t>
      </w:r>
      <w:r>
        <w:rPr>
          <w:rFonts w:hint="eastAsia" w:ascii="仿宋_GB2312" w:hAnsi="仿宋_GB2312" w:eastAsia="仿宋_GB2312" w:cs="仿宋_GB2312"/>
          <w:color w:val="000000" w:themeColor="text1"/>
          <w:sz w:val="32"/>
          <w:szCs w:val="32"/>
          <w14:textFill>
            <w14:solidFill>
              <w14:schemeClr w14:val="tx1"/>
            </w14:solidFill>
          </w14:textFill>
        </w:rPr>
        <w:t>调研、视察</w:t>
      </w:r>
      <w:r>
        <w:rPr>
          <w:rFonts w:hint="eastAsia" w:ascii="仿宋_GB2312" w:hAnsi="仿宋_GB2312" w:eastAsia="仿宋_GB2312" w:cs="仿宋_GB2312"/>
          <w:color w:val="000000" w:themeColor="text1"/>
          <w:sz w:val="32"/>
          <w:szCs w:val="32"/>
          <w:lang w:eastAsia="zh-CN"/>
          <w14:textFill>
            <w14:solidFill>
              <w14:schemeClr w14:val="tx1"/>
            </w14:solidFill>
          </w14:textFill>
        </w:rPr>
        <w:t>、工作交流等。</w:t>
      </w:r>
    </w:p>
    <w:p w14:paraId="279912F2">
      <w:pPr>
        <w:shd w:val="clear"/>
        <w:spacing w:line="560" w:lineRule="exact"/>
        <w:ind w:firstLine="643" w:firstLineChars="200"/>
        <w:rPr>
          <w:rFonts w:hint="eastAsia" w:ascii="黑体" w:eastAsia="仿宋"/>
          <w:color w:val="000000"/>
          <w:sz w:val="32"/>
          <w:szCs w:val="32"/>
          <w:highlight w:val="none"/>
          <w:lang w:eastAsia="zh-CN"/>
        </w:rPr>
      </w:pPr>
      <w:r>
        <w:rPr>
          <w:rFonts w:hint="eastAsia" w:ascii="仿宋_GB2312" w:hAnsi="仿宋_GB2312" w:eastAsia="仿宋_GB2312" w:cs="仿宋_GB2312"/>
          <w:b/>
          <w:color w:val="000000"/>
          <w:sz w:val="32"/>
          <w:szCs w:val="32"/>
          <w:highlight w:val="none"/>
        </w:rPr>
        <w:t>外事接待支出</w:t>
      </w:r>
      <w:r>
        <w:rPr>
          <w:rFonts w:hint="eastAsia" w:ascii="仿宋" w:hAnsi="仿宋" w:eastAsia="仿宋"/>
          <w:color w:val="000000"/>
          <w:sz w:val="32"/>
          <w:szCs w:val="32"/>
          <w:highlight w:val="none"/>
          <w:lang w:val="en-US" w:eastAsia="zh-CN"/>
        </w:rPr>
        <w:t>0</w:t>
      </w:r>
      <w:bookmarkStart w:id="96" w:name="_Toc15377218"/>
      <w:bookmarkStart w:id="97" w:name="_Toc15396610"/>
      <w:r>
        <w:rPr>
          <w:rFonts w:hint="eastAsia" w:ascii="仿宋_GB2312" w:eastAsia="仿宋_GB2312"/>
          <w:color w:val="000000"/>
          <w:sz w:val="32"/>
          <w:szCs w:val="32"/>
          <w:highlight w:val="none"/>
          <w:lang w:eastAsia="zh-CN"/>
        </w:rPr>
        <w:t>万元整。</w:t>
      </w:r>
      <w:r>
        <w:rPr>
          <w:rFonts w:hint="eastAsia" w:ascii="仿宋" w:hAnsi="仿宋" w:eastAsia="仿宋"/>
          <w:color w:val="000000" w:themeColor="text1"/>
          <w:sz w:val="32"/>
          <w:szCs w:val="32"/>
          <w14:textFill>
            <w14:solidFill>
              <w14:schemeClr w14:val="tx1"/>
            </w14:solidFill>
          </w14:textFill>
        </w:rPr>
        <w:t>外事接待0批次，0人</w:t>
      </w:r>
      <w:r>
        <w:rPr>
          <w:rFonts w:hint="eastAsia" w:ascii="仿宋" w:hAnsi="仿宋" w:eastAsia="仿宋"/>
          <w:color w:val="000000" w:themeColor="text1"/>
          <w:sz w:val="32"/>
          <w:szCs w:val="32"/>
          <w:lang w:eastAsia="zh-CN"/>
          <w14:textFill>
            <w14:solidFill>
              <w14:schemeClr w14:val="tx1"/>
            </w14:solidFill>
          </w14:textFill>
        </w:rPr>
        <w:t>次</w:t>
      </w:r>
      <w:r>
        <w:rPr>
          <w:rFonts w:hint="eastAsia" w:ascii="仿宋" w:hAnsi="仿宋" w:eastAsia="仿宋"/>
          <w:color w:val="000000" w:themeColor="text1"/>
          <w:sz w:val="32"/>
          <w:szCs w:val="32"/>
          <w14:textFill>
            <w14:solidFill>
              <w14:schemeClr w14:val="tx1"/>
            </w14:solidFill>
          </w14:textFill>
        </w:rPr>
        <w:t>，共计支出0</w:t>
      </w:r>
      <w:r>
        <w:rPr>
          <w:rFonts w:hint="eastAsia" w:ascii="仿宋" w:hAnsi="仿宋" w:eastAsia="仿宋"/>
          <w:color w:val="000000" w:themeColor="text1"/>
          <w:sz w:val="32"/>
          <w:szCs w:val="32"/>
          <w:lang w:eastAsia="zh-CN"/>
          <w14:textFill>
            <w14:solidFill>
              <w14:schemeClr w14:val="tx1"/>
            </w14:solidFill>
          </w14:textFill>
        </w:rPr>
        <w:t>万元整。</w:t>
      </w:r>
    </w:p>
    <w:p w14:paraId="0A4B2685">
      <w:pPr>
        <w:spacing w:line="560" w:lineRule="exact"/>
        <w:ind w:firstLine="640"/>
        <w:outlineLvl w:val="1"/>
        <w:rPr>
          <w:rStyle w:val="33"/>
          <w:rFonts w:ascii="黑体" w:hAnsi="黑体" w:eastAsia="黑体"/>
          <w:highlight w:val="none"/>
        </w:rPr>
      </w:pPr>
      <w:bookmarkStart w:id="98" w:name="_Toc11276"/>
      <w:bookmarkStart w:id="99" w:name="_Toc1208"/>
      <w:bookmarkStart w:id="100" w:name="_Toc16157"/>
      <w:bookmarkStart w:id="101" w:name="_Toc23191"/>
      <w:r>
        <w:rPr>
          <w:rFonts w:hint="eastAsia" w:ascii="黑体" w:eastAsia="黑体"/>
          <w:color w:val="000000"/>
          <w:sz w:val="32"/>
          <w:szCs w:val="32"/>
          <w:highlight w:val="none"/>
        </w:rPr>
        <w:t>八、</w:t>
      </w:r>
      <w:r>
        <w:rPr>
          <w:rStyle w:val="33"/>
          <w:rFonts w:hint="eastAsia" w:ascii="黑体" w:hAnsi="黑体" w:eastAsia="黑体"/>
          <w:b w:val="0"/>
          <w:highlight w:val="none"/>
        </w:rPr>
        <w:t>政府性基金预算支出决算情况说明</w:t>
      </w:r>
      <w:bookmarkEnd w:id="96"/>
      <w:bookmarkEnd w:id="97"/>
      <w:bookmarkEnd w:id="98"/>
      <w:bookmarkEnd w:id="99"/>
      <w:bookmarkEnd w:id="100"/>
      <w:bookmarkEnd w:id="101"/>
    </w:p>
    <w:p w14:paraId="1698F3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sz w:val="32"/>
          <w:szCs w:val="32"/>
          <w:highlight w:val="none"/>
        </w:rPr>
      </w:pPr>
      <w:r>
        <w:rPr>
          <w:rFonts w:hint="default" w:ascii="Times New Roman" w:hAnsi="Times New Roman" w:eastAsia="仿宋_GB2312" w:cs="Times New Roman"/>
          <w:color w:val="000000"/>
          <w:sz w:val="32"/>
          <w:szCs w:val="32"/>
          <w:lang w:val="en-US" w:eastAsia="zh-CN"/>
        </w:rPr>
        <w:t>2024年政府性基金预算拨款支出0万元，</w:t>
      </w:r>
      <w:r>
        <w:rPr>
          <w:rFonts w:hint="default" w:ascii="Times New Roman" w:hAnsi="Times New Roman" w:eastAsia="仿宋_GB2312" w:cs="Times New Roman"/>
          <w:color w:val="auto"/>
          <w:kern w:val="2"/>
          <w:sz w:val="32"/>
          <w:szCs w:val="32"/>
          <w:highlight w:val="none"/>
          <w:lang w:val="en-US" w:eastAsia="zh-CN" w:bidi="ar-SA"/>
        </w:rPr>
        <w:t>占本年支出合计的0%。与2023年度相比，政府性基金预算财政拨款支出</w:t>
      </w:r>
      <w:r>
        <w:rPr>
          <w:rFonts w:hint="eastAsia" w:eastAsia="仿宋_GB2312" w:cs="Times New Roman"/>
          <w:color w:val="auto"/>
          <w:kern w:val="2"/>
          <w:sz w:val="32"/>
          <w:szCs w:val="32"/>
          <w:highlight w:val="none"/>
          <w:lang w:val="en-US" w:eastAsia="zh-CN" w:bidi="ar-SA"/>
        </w:rPr>
        <w:t>持平。</w:t>
      </w:r>
    </w:p>
    <w:p w14:paraId="0B327058">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textAlignment w:val="auto"/>
        <w:outlineLvl w:val="1"/>
        <w:rPr>
          <w:rStyle w:val="33"/>
          <w:rFonts w:ascii="黑体" w:hAnsi="黑体" w:eastAsia="黑体"/>
          <w:b w:val="0"/>
          <w:highlight w:val="none"/>
        </w:rPr>
      </w:pPr>
      <w:bookmarkStart w:id="102" w:name="_Toc32378"/>
      <w:bookmarkStart w:id="103" w:name="_Toc15377219"/>
      <w:bookmarkStart w:id="104" w:name="_Toc9213"/>
      <w:bookmarkStart w:id="105" w:name="_Toc15396611"/>
      <w:bookmarkStart w:id="106" w:name="_Toc15948"/>
      <w:bookmarkStart w:id="107" w:name="_Toc12357"/>
      <w:r>
        <w:rPr>
          <w:rStyle w:val="33"/>
          <w:rFonts w:hint="eastAsia" w:ascii="黑体" w:hAnsi="黑体" w:eastAsia="黑体"/>
          <w:b w:val="0"/>
          <w:highlight w:val="none"/>
        </w:rPr>
        <w:t>国有资本经营预算支出决算情况说明</w:t>
      </w:r>
      <w:bookmarkEnd w:id="102"/>
      <w:bookmarkEnd w:id="103"/>
      <w:bookmarkEnd w:id="104"/>
      <w:bookmarkEnd w:id="105"/>
      <w:bookmarkEnd w:id="106"/>
      <w:bookmarkEnd w:id="107"/>
    </w:p>
    <w:p w14:paraId="79CA35C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Arial Unicode MS" w:hAnsi="Arial Unicode MS" w:eastAsia="Arial Unicode MS" w:cs="Arial Unicode MS"/>
          <w:sz w:val="44"/>
          <w:szCs w:val="44"/>
          <w:highlight w:val="none"/>
        </w:rPr>
      </w:pPr>
      <w:r>
        <w:rPr>
          <w:rFonts w:hint="default" w:ascii="Times New Roman" w:hAnsi="Times New Roman" w:eastAsia="仿宋_GB2312" w:cs="Times New Roman"/>
          <w:color w:val="000000"/>
          <w:sz w:val="32"/>
          <w:szCs w:val="32"/>
          <w:lang w:eastAsia="zh-CN"/>
        </w:rPr>
        <w:t>2024</w:t>
      </w:r>
      <w:r>
        <w:rPr>
          <w:rFonts w:hint="default" w:ascii="Times New Roman" w:hAnsi="Times New Roman" w:eastAsia="仿宋_GB2312" w:cs="Times New Roman"/>
          <w:color w:val="000000"/>
          <w:sz w:val="32"/>
          <w:szCs w:val="32"/>
        </w:rPr>
        <w:t>年国有资本经营预算拨款支</w:t>
      </w:r>
      <w:bookmarkStart w:id="190" w:name="_GoBack"/>
      <w:bookmarkEnd w:id="190"/>
      <w:r>
        <w:rPr>
          <w:rFonts w:hint="default" w:ascii="Times New Roman" w:hAnsi="Times New Roman" w:eastAsia="仿宋_GB2312" w:cs="Times New Roman"/>
          <w:color w:val="000000"/>
          <w:sz w:val="32"/>
          <w:szCs w:val="32"/>
        </w:rPr>
        <w:t>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auto"/>
          <w:kern w:val="2"/>
          <w:sz w:val="32"/>
          <w:szCs w:val="32"/>
          <w:highlight w:val="none"/>
          <w:lang w:val="en-US" w:eastAsia="zh-CN" w:bidi="ar-SA"/>
        </w:rPr>
        <w:t>，占本年支出合计的0%。与2023年度相比，国有资本经营预算财政拨款支出</w:t>
      </w:r>
      <w:r>
        <w:rPr>
          <w:rFonts w:hint="eastAsia" w:eastAsia="仿宋_GB2312" w:cs="Times New Roman"/>
          <w:color w:val="auto"/>
          <w:kern w:val="2"/>
          <w:sz w:val="32"/>
          <w:szCs w:val="32"/>
          <w:highlight w:val="none"/>
          <w:lang w:val="en-US" w:eastAsia="zh-CN" w:bidi="ar-SA"/>
        </w:rPr>
        <w:t>持平。</w:t>
      </w:r>
    </w:p>
    <w:p w14:paraId="6B006FF6">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outlineLvl w:val="1"/>
        <w:rPr>
          <w:rStyle w:val="33"/>
          <w:rFonts w:ascii="黑体" w:hAnsi="黑体" w:eastAsia="黑体"/>
          <w:highlight w:val="none"/>
        </w:rPr>
      </w:pPr>
      <w:bookmarkStart w:id="108" w:name="_Toc15377221"/>
      <w:bookmarkStart w:id="109" w:name="_Toc12185"/>
      <w:bookmarkStart w:id="110" w:name="_Toc15396612"/>
      <w:bookmarkStart w:id="111" w:name="_Toc24984"/>
      <w:bookmarkStart w:id="112" w:name="_Toc28809"/>
      <w:bookmarkStart w:id="113" w:name="_Toc26100"/>
      <w:r>
        <w:rPr>
          <w:rFonts w:hint="eastAsia" w:ascii="黑体" w:hAnsi="黑体" w:eastAsia="黑体"/>
          <w:color w:val="000000"/>
          <w:sz w:val="32"/>
          <w:szCs w:val="32"/>
          <w:highlight w:val="none"/>
        </w:rPr>
        <w:t>十</w:t>
      </w:r>
      <w:r>
        <w:rPr>
          <w:rStyle w:val="33"/>
          <w:rFonts w:hint="eastAsia" w:ascii="黑体" w:hAnsi="黑体" w:eastAsia="黑体"/>
          <w:highlight w:val="none"/>
        </w:rPr>
        <w:t>、</w:t>
      </w:r>
      <w:r>
        <w:rPr>
          <w:rStyle w:val="33"/>
          <w:rFonts w:hint="eastAsia" w:ascii="黑体" w:hAnsi="黑体" w:eastAsia="黑体"/>
          <w:b w:val="0"/>
          <w:highlight w:val="none"/>
        </w:rPr>
        <w:t>其他重要事项的情况说明</w:t>
      </w:r>
      <w:bookmarkEnd w:id="108"/>
      <w:bookmarkEnd w:id="109"/>
      <w:bookmarkEnd w:id="110"/>
      <w:bookmarkEnd w:id="111"/>
      <w:bookmarkEnd w:id="112"/>
      <w:bookmarkEnd w:id="113"/>
    </w:p>
    <w:p w14:paraId="6CDF0F7B">
      <w:pPr>
        <w:spacing w:line="560" w:lineRule="exact"/>
        <w:ind w:firstLine="643" w:firstLineChars="200"/>
        <w:outlineLvl w:val="2"/>
        <w:rPr>
          <w:rFonts w:hint="eastAsia" w:ascii="楷体" w:hAnsi="楷体" w:eastAsia="楷体" w:cs="楷体"/>
          <w:b/>
          <w:color w:val="000000"/>
          <w:sz w:val="32"/>
          <w:szCs w:val="32"/>
          <w:highlight w:val="none"/>
        </w:rPr>
      </w:pPr>
      <w:bookmarkStart w:id="114" w:name="_Toc15377222"/>
      <w:r>
        <w:rPr>
          <w:rFonts w:hint="eastAsia" w:ascii="楷体" w:hAnsi="楷体" w:eastAsia="楷体" w:cs="楷体"/>
          <w:b/>
          <w:color w:val="000000"/>
          <w:sz w:val="32"/>
          <w:szCs w:val="32"/>
          <w:highlight w:val="none"/>
        </w:rPr>
        <w:t>（一）机关运行经费支出情况</w:t>
      </w:r>
      <w:bookmarkEnd w:id="114"/>
    </w:p>
    <w:p w14:paraId="62D75ECC">
      <w:pPr>
        <w:spacing w:line="560" w:lineRule="exact"/>
        <w:ind w:firstLine="640" w:firstLineChars="200"/>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sz w:val="32"/>
          <w:szCs w:val="32"/>
          <w:highlight w:val="none"/>
          <w:lang w:eastAsia="zh-CN"/>
        </w:rPr>
        <w:t>2024</w:t>
      </w:r>
      <w:r>
        <w:rPr>
          <w:rFonts w:hint="eastAsia" w:ascii="仿宋_GB2312" w:eastAsia="仿宋_GB2312"/>
          <w:color w:val="000000"/>
          <w:sz w:val="32"/>
          <w:szCs w:val="32"/>
          <w:highlight w:val="none"/>
        </w:rPr>
        <w:t>年</w:t>
      </w:r>
      <w:r>
        <w:rPr>
          <w:rFonts w:hint="eastAsia" w:ascii="仿宋_GB2312" w:eastAsia="仿宋_GB2312"/>
          <w:color w:val="000000"/>
          <w:sz w:val="32"/>
          <w:szCs w:val="32"/>
          <w:highlight w:val="none"/>
          <w:lang w:eastAsia="zh-CN"/>
        </w:rPr>
        <w:t>度</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区</w:t>
      </w:r>
      <w:r>
        <w:rPr>
          <w:rFonts w:hint="eastAsia" w:ascii="仿宋_GB2312" w:eastAsia="仿宋_GB2312"/>
          <w:color w:val="000000"/>
          <w:sz w:val="32"/>
          <w:szCs w:val="32"/>
          <w:highlight w:val="none"/>
        </w:rPr>
        <w:t>审计局机关运行经费支出</w:t>
      </w:r>
      <w:r>
        <w:rPr>
          <w:rFonts w:hint="eastAsia" w:ascii="仿宋_GB2312" w:eastAsia="仿宋_GB2312"/>
          <w:b w:val="0"/>
          <w:color w:val="000000"/>
          <w:sz w:val="32"/>
          <w:szCs w:val="32"/>
          <w:highlight w:val="none"/>
          <w:lang w:eastAsia="zh-CN"/>
        </w:rPr>
        <w:t xml:space="preserve">41.05 </w:t>
      </w:r>
      <w:r>
        <w:rPr>
          <w:rFonts w:hint="eastAsia" w:ascii="仿宋_GB2312" w:eastAsia="仿宋_GB2312"/>
          <w:color w:val="000000"/>
          <w:sz w:val="32"/>
          <w:szCs w:val="32"/>
          <w:highlight w:val="none"/>
        </w:rPr>
        <w:t>万元，比</w:t>
      </w:r>
      <w:r>
        <w:rPr>
          <w:rFonts w:hint="eastAsia" w:ascii="仿宋_GB2312" w:eastAsia="仿宋_GB2312"/>
          <w:color w:val="000000"/>
          <w:sz w:val="32"/>
          <w:szCs w:val="32"/>
          <w:highlight w:val="none"/>
          <w:lang w:eastAsia="zh-CN"/>
        </w:rPr>
        <w:t>2023</w:t>
      </w:r>
      <w:r>
        <w:rPr>
          <w:rFonts w:hint="eastAsia" w:ascii="仿宋_GB2312" w:eastAsia="仿宋_GB2312"/>
          <w:color w:val="000000"/>
          <w:sz w:val="32"/>
          <w:szCs w:val="32"/>
          <w:highlight w:val="none"/>
        </w:rPr>
        <w:t>年</w:t>
      </w:r>
      <w:r>
        <w:rPr>
          <w:rFonts w:hint="eastAsia" w:ascii="仿宋_GB2312" w:eastAsia="仿宋_GB2312"/>
          <w:color w:val="000000"/>
          <w:sz w:val="32"/>
          <w:szCs w:val="32"/>
          <w:highlight w:val="none"/>
          <w:lang w:eastAsia="zh-CN"/>
        </w:rPr>
        <w:t>减少1.98万</w:t>
      </w:r>
      <w:r>
        <w:rPr>
          <w:rFonts w:hint="eastAsia" w:ascii="仿宋_GB2312" w:eastAsia="仿宋_GB2312"/>
          <w:color w:val="000000"/>
          <w:sz w:val="32"/>
          <w:szCs w:val="32"/>
          <w:highlight w:val="none"/>
        </w:rPr>
        <w:t>元，</w:t>
      </w:r>
      <w:r>
        <w:rPr>
          <w:rFonts w:hint="eastAsia" w:ascii="仿宋_GB2312" w:eastAsia="仿宋_GB2312"/>
          <w:color w:val="000000"/>
          <w:sz w:val="32"/>
          <w:szCs w:val="32"/>
          <w:highlight w:val="none"/>
          <w:lang w:eastAsia="zh-CN"/>
        </w:rPr>
        <w:t>下降4.61%</w:t>
      </w:r>
      <w:r>
        <w:rPr>
          <w:rFonts w:hint="eastAsia" w:ascii="仿宋_GB2312" w:eastAsia="仿宋_GB2312"/>
          <w:color w:val="000000"/>
          <w:sz w:val="32"/>
          <w:szCs w:val="32"/>
          <w:highlight w:val="none"/>
        </w:rPr>
        <w:t>。</w:t>
      </w:r>
      <w:r>
        <w:rPr>
          <w:rFonts w:hint="eastAsia" w:ascii="仿宋_GB2312" w:eastAsia="仿宋_GB2312"/>
          <w:color w:val="000000" w:themeColor="text1"/>
          <w:sz w:val="32"/>
          <w:szCs w:val="32"/>
          <w:highlight w:val="none"/>
          <w14:textFill>
            <w14:solidFill>
              <w14:schemeClr w14:val="tx1"/>
            </w14:solidFill>
          </w14:textFill>
        </w:rPr>
        <w:t>主要原因是</w:t>
      </w:r>
      <w:r>
        <w:rPr>
          <w:rFonts w:hint="eastAsia" w:ascii="仿宋_GB2312" w:eastAsia="仿宋_GB2312"/>
          <w:color w:val="000000" w:themeColor="text1"/>
          <w:sz w:val="32"/>
          <w:szCs w:val="32"/>
          <w:highlight w:val="none"/>
          <w:lang w:eastAsia="zh-CN"/>
          <w14:textFill>
            <w14:solidFill>
              <w14:schemeClr w14:val="tx1"/>
            </w14:solidFill>
          </w14:textFill>
        </w:rPr>
        <w:t>人员变动。</w:t>
      </w:r>
    </w:p>
    <w:p w14:paraId="056E7921">
      <w:pPr>
        <w:spacing w:line="560" w:lineRule="exact"/>
        <w:ind w:firstLine="643" w:firstLineChars="200"/>
        <w:outlineLvl w:val="2"/>
        <w:rPr>
          <w:rFonts w:hint="eastAsia" w:ascii="楷体" w:hAnsi="楷体" w:eastAsia="楷体" w:cs="楷体"/>
          <w:b/>
          <w:color w:val="000000"/>
          <w:sz w:val="32"/>
          <w:szCs w:val="32"/>
          <w:highlight w:val="none"/>
          <w:lang w:eastAsia="zh-CN"/>
        </w:rPr>
      </w:pPr>
      <w:bookmarkStart w:id="115" w:name="_Toc15377223"/>
      <w:r>
        <w:rPr>
          <w:rFonts w:hint="eastAsia" w:ascii="楷体" w:hAnsi="楷体" w:eastAsia="楷体" w:cs="楷体"/>
          <w:b/>
          <w:color w:val="000000"/>
          <w:sz w:val="32"/>
          <w:szCs w:val="32"/>
          <w:highlight w:val="none"/>
        </w:rPr>
        <w:t>（二）政府采购支出情况</w:t>
      </w:r>
      <w:bookmarkEnd w:id="115"/>
    </w:p>
    <w:p w14:paraId="441C0794">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2024</w:t>
      </w:r>
      <w:r>
        <w:rPr>
          <w:rFonts w:hint="eastAsia" w:ascii="仿宋_GB2312" w:eastAsia="仿宋_GB2312"/>
          <w:color w:val="auto"/>
          <w:sz w:val="32"/>
          <w:szCs w:val="32"/>
          <w:highlight w:val="none"/>
          <w:lang w:val="en-US" w:eastAsia="zh-CN"/>
        </w:rPr>
        <w:t>年度，区审计局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eastAsia="zh-CN"/>
        </w:rPr>
        <w:t>3.</w:t>
      </w:r>
      <w:r>
        <w:rPr>
          <w:rFonts w:hint="eastAsia" w:ascii="仿宋_GB2312" w:eastAsia="仿宋_GB2312"/>
          <w:color w:val="auto"/>
          <w:sz w:val="32"/>
          <w:szCs w:val="32"/>
          <w:highlight w:val="none"/>
          <w:lang w:val="en-US" w:eastAsia="zh-CN"/>
        </w:rPr>
        <w:t>84</w:t>
      </w:r>
      <w:r>
        <w:rPr>
          <w:rFonts w:hint="eastAsia" w:ascii="仿宋_GB2312" w:eastAsia="仿宋_GB2312"/>
          <w:color w:val="auto"/>
          <w:sz w:val="32"/>
          <w:szCs w:val="32"/>
          <w:highlight w:val="none"/>
          <w:lang w:eastAsia="zh-CN"/>
        </w:rPr>
        <w:t>万元</w:t>
      </w:r>
      <w:r>
        <w:rPr>
          <w:rFonts w:hint="eastAsia" w:ascii="仿宋_GB2312" w:eastAsia="仿宋_GB2312"/>
          <w:color w:val="auto"/>
          <w:sz w:val="32"/>
          <w:szCs w:val="32"/>
          <w:highlight w:val="none"/>
        </w:rPr>
        <w:t>，其中：政府采购货物支出</w:t>
      </w:r>
      <w:r>
        <w:rPr>
          <w:rFonts w:hint="eastAsia" w:ascii="仿宋_GB2312" w:eastAsia="仿宋_GB2312"/>
          <w:color w:val="auto"/>
          <w:sz w:val="32"/>
          <w:szCs w:val="32"/>
          <w:highlight w:val="none"/>
          <w:lang w:eastAsia="zh-CN"/>
        </w:rPr>
        <w:t>3.</w:t>
      </w:r>
      <w:r>
        <w:rPr>
          <w:rFonts w:hint="eastAsia" w:ascii="仿宋_GB2312" w:eastAsia="仿宋_GB2312"/>
          <w:color w:val="auto"/>
          <w:sz w:val="32"/>
          <w:szCs w:val="32"/>
          <w:highlight w:val="none"/>
          <w:lang w:val="en-US" w:eastAsia="zh-CN"/>
        </w:rPr>
        <w:t>84</w:t>
      </w:r>
      <w:r>
        <w:rPr>
          <w:rFonts w:hint="eastAsia" w:ascii="仿宋_GB2312" w:eastAsia="仿宋_GB2312"/>
          <w:color w:val="auto"/>
          <w:sz w:val="32"/>
          <w:szCs w:val="32"/>
          <w:highlight w:val="none"/>
          <w:lang w:eastAsia="zh-CN"/>
        </w:rPr>
        <w:t>万元</w:t>
      </w:r>
      <w:r>
        <w:rPr>
          <w:rFonts w:hint="eastAsia" w:ascii="仿宋_GB2312" w:eastAsia="仿宋_GB2312"/>
          <w:color w:val="auto"/>
          <w:sz w:val="32"/>
          <w:szCs w:val="32"/>
          <w:highlight w:val="none"/>
        </w:rPr>
        <w:t>、政府采购工程支出</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eastAsia="zh-CN"/>
        </w:rPr>
        <w:t>0万元整。</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eastAsia="zh-CN"/>
        </w:rPr>
        <w:t>3.84万元</w:t>
      </w:r>
      <w:r>
        <w:rPr>
          <w:rFonts w:hint="eastAsia" w:ascii="仿宋_GB2312" w:eastAsia="仿宋_GB2312"/>
          <w:color w:val="auto"/>
          <w:sz w:val="32"/>
          <w:szCs w:val="32"/>
          <w:highlight w:val="none"/>
        </w:rPr>
        <w:t>，占政府采购支出总额的</w:t>
      </w: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lang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2DC5B2E7">
      <w:pPr>
        <w:spacing w:line="560" w:lineRule="exact"/>
        <w:ind w:firstLine="643" w:firstLineChars="200"/>
        <w:outlineLvl w:val="2"/>
        <w:rPr>
          <w:rFonts w:hint="eastAsia" w:ascii="楷体" w:hAnsi="楷体" w:eastAsia="楷体" w:cs="楷体"/>
          <w:b/>
          <w:color w:val="000000"/>
          <w:sz w:val="32"/>
          <w:szCs w:val="32"/>
          <w:highlight w:val="none"/>
        </w:rPr>
      </w:pPr>
      <w:bookmarkStart w:id="116" w:name="_Toc15377224"/>
      <w:r>
        <w:rPr>
          <w:rFonts w:hint="eastAsia" w:ascii="楷体" w:hAnsi="楷体" w:eastAsia="楷体" w:cs="楷体"/>
          <w:b/>
          <w:color w:val="000000"/>
          <w:sz w:val="32"/>
          <w:szCs w:val="32"/>
          <w:highlight w:val="none"/>
        </w:rPr>
        <w:t>（三）国有资产占有使用情况</w:t>
      </w:r>
      <w:bookmarkEnd w:id="116"/>
    </w:p>
    <w:p w14:paraId="6A30900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eastAsia="仿宋_GB2312"/>
          <w:color w:val="000000"/>
          <w:sz w:val="32"/>
          <w:szCs w:val="32"/>
          <w:highlight w:val="none"/>
          <w:lang w:eastAsia="zh-CN"/>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区审计局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万元以上设备</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台（套）</w:t>
      </w:r>
      <w:r>
        <w:rPr>
          <w:rFonts w:hint="eastAsia" w:ascii="仿宋_GB2312" w:eastAsia="仿宋_GB2312"/>
          <w:color w:val="auto"/>
          <w:sz w:val="32"/>
          <w:szCs w:val="32"/>
          <w:highlight w:val="none"/>
          <w:lang w:eastAsia="zh-CN"/>
        </w:rPr>
        <w:t>。</w:t>
      </w:r>
    </w:p>
    <w:p w14:paraId="678BE40A">
      <w:pPr>
        <w:spacing w:line="560" w:lineRule="exact"/>
        <w:ind w:firstLine="643" w:firstLineChars="200"/>
        <w:outlineLvl w:val="2"/>
        <w:rPr>
          <w:rFonts w:hint="eastAsia" w:ascii="楷体" w:hAnsi="楷体" w:eastAsia="楷体" w:cs="楷体"/>
          <w:b/>
          <w:color w:val="000000"/>
          <w:sz w:val="32"/>
          <w:szCs w:val="32"/>
          <w:highlight w:val="none"/>
        </w:rPr>
      </w:pPr>
      <w:bookmarkStart w:id="117" w:name="_Toc15396613"/>
      <w:bookmarkStart w:id="118" w:name="_Toc15377225"/>
      <w:r>
        <w:rPr>
          <w:rFonts w:hint="eastAsia" w:ascii="楷体" w:hAnsi="楷体" w:eastAsia="楷体" w:cs="楷体"/>
          <w:b/>
          <w:color w:val="000000"/>
          <w:sz w:val="32"/>
          <w:szCs w:val="32"/>
          <w:highlight w:val="none"/>
        </w:rPr>
        <w:t>（四）预算绩效管理情况</w:t>
      </w:r>
    </w:p>
    <w:p w14:paraId="156EE6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根据预算绩效管理要求，</w:t>
      </w:r>
      <w:r>
        <w:rPr>
          <w:rFonts w:hint="eastAsia" w:eastAsia="仿宋_GB2312" w:cs="仿宋_GB2312"/>
          <w:color w:val="auto"/>
          <w:kern w:val="2"/>
          <w:sz w:val="32"/>
          <w:szCs w:val="32"/>
          <w:lang w:val="en-US" w:eastAsia="zh-CN" w:bidi="ar"/>
        </w:rPr>
        <w:t>安居区审计局</w:t>
      </w:r>
      <w:r>
        <w:rPr>
          <w:rFonts w:hint="eastAsia" w:ascii="Times New Roman" w:hAnsi="Times New Roman" w:eastAsia="仿宋_GB2312" w:cs="仿宋_GB2312"/>
          <w:color w:val="auto"/>
          <w:kern w:val="2"/>
          <w:sz w:val="32"/>
          <w:szCs w:val="32"/>
          <w:lang w:val="en-US" w:eastAsia="zh-CN" w:bidi="ar"/>
        </w:rPr>
        <w:t>在</w:t>
      </w:r>
      <w:r>
        <w:rPr>
          <w:rFonts w:hint="eastAsia" w:eastAsia="仿宋_GB2312" w:cs="Times New Roman"/>
          <w:color w:val="auto"/>
          <w:kern w:val="2"/>
          <w:sz w:val="32"/>
          <w:szCs w:val="32"/>
          <w:lang w:val="en-US" w:eastAsia="zh-CN" w:bidi="ar"/>
        </w:rPr>
        <w:t>2024</w:t>
      </w:r>
      <w:r>
        <w:rPr>
          <w:rFonts w:hint="eastAsia" w:ascii="Times New Roman" w:hAnsi="Times New Roman" w:eastAsia="仿宋_GB2312" w:cs="仿宋_GB2312"/>
          <w:color w:val="auto"/>
          <w:kern w:val="2"/>
          <w:sz w:val="32"/>
          <w:szCs w:val="32"/>
          <w:lang w:val="en-US" w:eastAsia="zh-CN" w:bidi="ar"/>
        </w:rPr>
        <w:t>年度预算编制阶段，组织对“审计业务专项经费”“政府投资审计咨询费”“信息化建设”等</w:t>
      </w:r>
      <w:r>
        <w:rPr>
          <w:rFonts w:hint="eastAsia" w:eastAsia="仿宋_GB2312" w:cs="仿宋_GB2312"/>
          <w:color w:val="auto"/>
          <w:kern w:val="2"/>
          <w:sz w:val="32"/>
          <w:szCs w:val="32"/>
          <w:lang w:val="en-US" w:eastAsia="zh-CN" w:bidi="ar"/>
        </w:rPr>
        <w:t>3</w:t>
      </w:r>
      <w:r>
        <w:rPr>
          <w:rFonts w:hint="eastAsia" w:ascii="Times New Roman" w:hAnsi="Times New Roman" w:eastAsia="仿宋_GB2312" w:cs="仿宋_GB2312"/>
          <w:color w:val="auto"/>
          <w:kern w:val="2"/>
          <w:sz w:val="32"/>
          <w:szCs w:val="32"/>
          <w:lang w:val="en-US" w:eastAsia="zh-CN" w:bidi="ar"/>
        </w:rPr>
        <w:t>个项目开展了预算事前绩效评估，对</w:t>
      </w:r>
      <w:r>
        <w:rPr>
          <w:rFonts w:hint="eastAsia" w:eastAsia="仿宋_GB2312" w:cs="仿宋_GB2312"/>
          <w:color w:val="auto"/>
          <w:kern w:val="2"/>
          <w:sz w:val="32"/>
          <w:szCs w:val="32"/>
          <w:lang w:val="en-US" w:eastAsia="zh-CN" w:bidi="ar"/>
        </w:rPr>
        <w:t>3</w:t>
      </w:r>
      <w:r>
        <w:rPr>
          <w:rFonts w:hint="eastAsia" w:ascii="Times New Roman" w:hAnsi="Times New Roman" w:eastAsia="仿宋_GB2312" w:cs="仿宋_GB2312"/>
          <w:color w:val="auto"/>
          <w:kern w:val="2"/>
          <w:sz w:val="32"/>
          <w:szCs w:val="32"/>
          <w:lang w:val="en-US" w:eastAsia="zh-CN" w:bidi="ar"/>
        </w:rPr>
        <w:t>个项目编制了绩效目标，预算执行过程中，选取</w:t>
      </w:r>
      <w:r>
        <w:rPr>
          <w:rFonts w:hint="eastAsia" w:eastAsia="仿宋_GB2312" w:cs="仿宋_GB2312"/>
          <w:color w:val="auto"/>
          <w:kern w:val="2"/>
          <w:sz w:val="32"/>
          <w:szCs w:val="32"/>
          <w:lang w:val="en-US" w:eastAsia="zh-CN" w:bidi="ar"/>
        </w:rPr>
        <w:t>3</w:t>
      </w:r>
      <w:r>
        <w:rPr>
          <w:rFonts w:hint="eastAsia" w:ascii="Times New Roman" w:hAnsi="Times New Roman" w:eastAsia="仿宋_GB2312" w:cs="仿宋_GB2312"/>
          <w:color w:val="auto"/>
          <w:kern w:val="2"/>
          <w:sz w:val="32"/>
          <w:szCs w:val="32"/>
          <w:lang w:val="en-US" w:eastAsia="zh-CN" w:bidi="ar"/>
        </w:rPr>
        <w:t>个项目开展绩效监控。</w:t>
      </w:r>
    </w:p>
    <w:p w14:paraId="5620A9A0">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highlight w:val="none"/>
        </w:rPr>
      </w:pPr>
      <w:bookmarkStart w:id="119" w:name="_Toc3141"/>
      <w:bookmarkStart w:id="120" w:name="_Toc16576"/>
      <w:bookmarkStart w:id="121" w:name="_Toc31349"/>
      <w:r>
        <w:rPr>
          <w:rFonts w:hint="eastAsia" w:ascii="Times New Roman" w:hAnsi="Times New Roman" w:eastAsia="仿宋_GB2312" w:cs="仿宋_GB2312"/>
          <w:kern w:val="2"/>
          <w:sz w:val="32"/>
          <w:szCs w:val="32"/>
          <w:lang w:val="en-US" w:eastAsia="zh-CN" w:bidi="ar"/>
        </w:rPr>
        <w:t>组织对</w:t>
      </w:r>
      <w:r>
        <w:rPr>
          <w:rFonts w:hint="default" w:ascii="Times New Roman" w:hAnsi="Times New Roman" w:eastAsia="仿宋_GB2312" w:cs="仿宋_GB2312"/>
          <w:kern w:val="2"/>
          <w:sz w:val="32"/>
          <w:szCs w:val="32"/>
          <w:lang w:val="en-US" w:eastAsia="zh-CN" w:bidi="ar"/>
        </w:rPr>
        <w:t>202</w:t>
      </w:r>
      <w:r>
        <w:rPr>
          <w:rFonts w:hint="eastAsia" w:ascii="Times New Roman" w:hAnsi="Times New Roman" w:eastAsia="仿宋_GB2312" w:cs="仿宋_GB2312"/>
          <w:kern w:val="2"/>
          <w:sz w:val="32"/>
          <w:szCs w:val="32"/>
          <w:lang w:val="en-US" w:eastAsia="zh-CN" w:bidi="ar"/>
        </w:rPr>
        <w:t>4年度一般公共预算等全面开展绩效自评，形成</w:t>
      </w:r>
      <w:r>
        <w:rPr>
          <w:rFonts w:hint="default" w:ascii="Times New Roman" w:hAnsi="Times New Roman" w:eastAsia="仿宋_GB2312" w:cs="仿宋_GB2312"/>
          <w:kern w:val="2"/>
          <w:sz w:val="32"/>
          <w:szCs w:val="32"/>
          <w:lang w:val="en-US" w:eastAsia="zh-CN" w:bidi="ar"/>
        </w:rPr>
        <w:t>遂宁市安居区审计局</w:t>
      </w:r>
      <w:r>
        <w:rPr>
          <w:rFonts w:hint="eastAsia" w:ascii="Times New Roman" w:hAnsi="Times New Roman" w:eastAsia="仿宋_GB2312" w:cs="仿宋_GB2312"/>
          <w:kern w:val="2"/>
          <w:sz w:val="32"/>
          <w:szCs w:val="32"/>
          <w:lang w:val="en-US" w:eastAsia="zh-CN" w:bidi="ar"/>
        </w:rPr>
        <w:t>部门整体（含部门预算项目）绩效自评报告、“审计业务专项经费”</w:t>
      </w:r>
      <w:r>
        <w:rPr>
          <w:rFonts w:hint="eastAsia" w:eastAsia="仿宋_GB2312" w:cs="仿宋_GB2312"/>
          <w:kern w:val="2"/>
          <w:sz w:val="32"/>
          <w:szCs w:val="32"/>
          <w:lang w:val="en-US" w:eastAsia="zh-CN" w:bidi="ar"/>
        </w:rPr>
        <w:t>“信息化建设”“</w:t>
      </w:r>
      <w:r>
        <w:rPr>
          <w:rFonts w:hint="eastAsia" w:ascii="Times New Roman" w:hAnsi="Times New Roman" w:eastAsia="仿宋_GB2312" w:cs="仿宋_GB2312"/>
          <w:kern w:val="2"/>
          <w:sz w:val="32"/>
          <w:szCs w:val="32"/>
          <w:lang w:val="en-US" w:eastAsia="zh-CN" w:bidi="ar"/>
        </w:rPr>
        <w:t>政府投资审计咨询费”等专项预算项目绩效自评报告，其中，</w:t>
      </w:r>
      <w:r>
        <w:rPr>
          <w:rFonts w:hint="default" w:ascii="Times New Roman" w:hAnsi="Times New Roman" w:eastAsia="仿宋_GB2312" w:cs="仿宋_GB2312"/>
          <w:kern w:val="2"/>
          <w:sz w:val="32"/>
          <w:szCs w:val="32"/>
          <w:lang w:val="en-US" w:eastAsia="zh-CN" w:bidi="ar"/>
        </w:rPr>
        <w:t>遂宁市安居区审计局</w:t>
      </w:r>
      <w:r>
        <w:rPr>
          <w:rFonts w:hint="eastAsia" w:ascii="Times New Roman" w:hAnsi="Times New Roman" w:eastAsia="仿宋_GB2312" w:cs="仿宋_GB2312"/>
          <w:kern w:val="2"/>
          <w:sz w:val="32"/>
          <w:szCs w:val="32"/>
          <w:lang w:val="en-US" w:eastAsia="zh-CN" w:bidi="ar"/>
        </w:rPr>
        <w:t>部门整体（含部门预算项目）绩效自评得分为100分，绩效自评综述：</w:t>
      </w:r>
      <w:r>
        <w:rPr>
          <w:rFonts w:hint="eastAsia" w:eastAsia="仿宋_GB2312" w:cs="仿宋_GB2312"/>
          <w:kern w:val="2"/>
          <w:sz w:val="32"/>
          <w:szCs w:val="32"/>
          <w:lang w:val="en-US" w:eastAsia="zh-CN" w:bidi="ar"/>
        </w:rPr>
        <w:t>区审计局</w:t>
      </w:r>
      <w:r>
        <w:rPr>
          <w:rFonts w:hint="default" w:ascii="Times New Roman" w:hAnsi="Times New Roman" w:eastAsia="仿宋_GB2312" w:cs="仿宋_GB2312"/>
          <w:kern w:val="2"/>
          <w:sz w:val="32"/>
          <w:szCs w:val="32"/>
          <w:lang w:val="en-US" w:eastAsia="zh-CN" w:bidi="ar"/>
        </w:rPr>
        <w:t>202</w:t>
      </w:r>
      <w:r>
        <w:rPr>
          <w:rFonts w:hint="eastAsia" w:ascii="Times New Roman" w:hAnsi="Times New Roman" w:eastAsia="仿宋_GB2312" w:cs="仿宋_GB2312"/>
          <w:kern w:val="2"/>
          <w:sz w:val="32"/>
          <w:szCs w:val="32"/>
          <w:lang w:val="en-US" w:eastAsia="zh-CN" w:bidi="ar"/>
        </w:rPr>
        <w:t>4</w:t>
      </w:r>
      <w:r>
        <w:rPr>
          <w:rFonts w:hint="eastAsia" w:ascii="Times New Roman" w:hAnsi="Times New Roman" w:eastAsia="仿宋_GB2312" w:cs="仿宋_GB2312"/>
          <w:kern w:val="2"/>
          <w:sz w:val="32"/>
          <w:szCs w:val="32"/>
          <w:lang w:val="zh-CN" w:eastAsia="zh-CN" w:bidi="ar"/>
        </w:rPr>
        <w:t>年部门整体支出与年初预算基本一致，总体达到了单位预期的绩效目标，有效地保障了审计工作的顺利完成，充分发挥了财政资金的经济效益、社会效益。积极推动预算绩效管理工作深入开展，切实增强预算编制的科学性、合理性和可行性，提升了编制质量。绩效目标设置完整、明确、量化、合理，覆盖全部项目，能反映年度履行法律监督职能情况。在预算执行管理工作中，严格按照预算确定的资金类别和用途执行，实时监控预算执行进度</w:t>
      </w:r>
      <w:r>
        <w:rPr>
          <w:rFonts w:hint="eastAsia" w:ascii="Times New Roman" w:hAnsi="Times New Roman" w:eastAsia="仿宋_GB2312" w:cs="仿宋_GB2312"/>
          <w:kern w:val="2"/>
          <w:sz w:val="32"/>
          <w:szCs w:val="32"/>
          <w:lang w:val="en-US" w:eastAsia="zh-CN" w:bidi="ar"/>
        </w:rPr>
        <w:t>。“审计业务专项经费”专项预算项目绩效自评得分为100分，绩效自评综述：该项目实施及时保障了各类审计及上级临时交办任务的实施，降低了政府拖欠民营企业工程款风险</w:t>
      </w:r>
      <w:r>
        <w:rPr>
          <w:rFonts w:hint="eastAsia" w:eastAsia="仿宋_GB2312" w:cs="仿宋_GB2312"/>
          <w:kern w:val="2"/>
          <w:sz w:val="32"/>
          <w:szCs w:val="32"/>
          <w:lang w:val="en-US" w:eastAsia="zh-CN" w:bidi="ar"/>
        </w:rPr>
        <w:t>、取得较好的社会效益</w:t>
      </w:r>
      <w:r>
        <w:rPr>
          <w:rFonts w:hint="eastAsia" w:ascii="Times New Roman" w:hAnsi="Times New Roman" w:eastAsia="仿宋_GB2312" w:cs="仿宋_GB2312"/>
          <w:kern w:val="2"/>
          <w:sz w:val="32"/>
          <w:szCs w:val="32"/>
          <w:lang w:val="en-US" w:eastAsia="zh-CN" w:bidi="ar"/>
        </w:rPr>
        <w:t>。“政府投资审计咨询费”专项预算项目绩效自评得分为100分，绩效自评综述：该项目按时按质推进，保证了安居的相关基建工程按质按量完成，同时按照年度工作要求的安排，严格执行专项资金管理制度，充分合理使用该专项资金，真正做到数出有据、数出有理，确保资金发挥了最佳效益。“信息化建设”专项预算项目绩效自评得分为100分，绩效自评综述：2024年度信息化建设项目全力保障了机关网络信息系统运维、终端设备更换等工作，全力保障局内互联网、金审三期等网络信息系统运维和信息网络的有序开展，为全区审计工作高质量发展提供必要保障，实现了年初预期目标（绩效自评报告详见附件）</w:t>
      </w:r>
      <w:r>
        <w:rPr>
          <w:rFonts w:hint="eastAsia" w:ascii="仿宋_GB2312" w:hAnsi="仿宋_GB2312" w:eastAsia="仿宋_GB2312" w:cs="仿宋_GB2312"/>
          <w:kern w:val="2"/>
          <w:sz w:val="32"/>
          <w:szCs w:val="32"/>
          <w:highlight w:val="none"/>
          <w:lang w:val="en-US" w:eastAsia="zh-CN" w:bidi="ar"/>
        </w:rPr>
        <w:t>。</w:t>
      </w:r>
    </w:p>
    <w:p w14:paraId="412CEBBC">
      <w:pPr>
        <w:rPr>
          <w:rFonts w:hint="eastAsia" w:ascii="黑体" w:hAnsi="黑体" w:eastAsia="黑体"/>
          <w:color w:val="000000"/>
          <w:sz w:val="44"/>
          <w:szCs w:val="44"/>
          <w:highlight w:val="none"/>
        </w:rPr>
      </w:pPr>
      <w:r>
        <w:rPr>
          <w:rFonts w:hint="eastAsia" w:ascii="黑体" w:hAnsi="黑体" w:eastAsia="黑体"/>
          <w:color w:val="000000"/>
          <w:sz w:val="44"/>
          <w:szCs w:val="44"/>
          <w:highlight w:val="none"/>
        </w:rPr>
        <w:br w:type="page"/>
      </w:r>
    </w:p>
    <w:p w14:paraId="07F1933C">
      <w:pPr>
        <w:numPr>
          <w:ilvl w:val="0"/>
          <w:numId w:val="0"/>
        </w:numPr>
        <w:spacing w:line="600" w:lineRule="exact"/>
        <w:jc w:val="center"/>
        <w:outlineLvl w:val="0"/>
        <w:rPr>
          <w:rStyle w:val="32"/>
          <w:rFonts w:ascii="黑体" w:hAnsi="黑体" w:eastAsia="黑体"/>
          <w:b w:val="0"/>
          <w:highlight w:val="none"/>
        </w:rPr>
      </w:pPr>
      <w:bookmarkStart w:id="122" w:name="_Toc17983"/>
      <w:r>
        <w:rPr>
          <w:rFonts w:hint="eastAsia" w:ascii="黑体" w:hAnsi="黑体" w:eastAsia="黑体"/>
          <w:color w:val="000000"/>
          <w:sz w:val="44"/>
          <w:szCs w:val="44"/>
          <w:highlight w:val="none"/>
          <w:lang w:eastAsia="zh-CN"/>
        </w:rPr>
        <w:t>第三部分</w:t>
      </w:r>
      <w:r>
        <w:rPr>
          <w:rFonts w:hint="eastAsia" w:ascii="黑体" w:hAnsi="黑体" w:eastAsia="黑体"/>
          <w:color w:val="000000"/>
          <w:sz w:val="44"/>
          <w:szCs w:val="44"/>
          <w:highlight w:val="none"/>
          <w:lang w:val="en-US" w:eastAsia="zh-CN"/>
        </w:rPr>
        <w:t xml:space="preserve"> </w:t>
      </w:r>
      <w:r>
        <w:rPr>
          <w:rFonts w:hint="eastAsia" w:ascii="黑体" w:hAnsi="黑体" w:eastAsia="黑体"/>
          <w:color w:val="000000"/>
          <w:sz w:val="44"/>
          <w:szCs w:val="44"/>
          <w:highlight w:val="none"/>
        </w:rPr>
        <w:t>名</w:t>
      </w:r>
      <w:r>
        <w:rPr>
          <w:rStyle w:val="32"/>
          <w:rFonts w:hint="eastAsia" w:ascii="黑体" w:hAnsi="黑体" w:eastAsia="黑体"/>
          <w:b w:val="0"/>
          <w:highlight w:val="none"/>
        </w:rPr>
        <w:t>词解释</w:t>
      </w:r>
      <w:bookmarkEnd w:id="117"/>
      <w:bookmarkEnd w:id="118"/>
      <w:bookmarkEnd w:id="119"/>
      <w:bookmarkEnd w:id="120"/>
      <w:bookmarkEnd w:id="121"/>
      <w:bookmarkEnd w:id="122"/>
    </w:p>
    <w:p w14:paraId="31702A66">
      <w:pPr>
        <w:spacing w:line="600" w:lineRule="exact"/>
        <w:jc w:val="left"/>
        <w:rPr>
          <w:rFonts w:ascii="宋体"/>
          <w:b/>
          <w:color w:val="000000"/>
          <w:sz w:val="44"/>
          <w:szCs w:val="44"/>
          <w:highlight w:val="none"/>
        </w:rPr>
      </w:pPr>
    </w:p>
    <w:p w14:paraId="2DF770B5">
      <w:pPr>
        <w:pStyle w:val="30"/>
        <w:spacing w:line="560" w:lineRule="exact"/>
        <w:ind w:firstLine="640" w:firstLineChars="200"/>
        <w:outlineLvl w:val="1"/>
        <w:rPr>
          <w:rFonts w:hint="eastAsia" w:ascii="仿宋_GB2312" w:eastAsia="仿宋_GB2312"/>
          <w:color w:val="auto"/>
          <w:sz w:val="32"/>
          <w:szCs w:val="32"/>
          <w:highlight w:val="none"/>
        </w:rPr>
      </w:pPr>
      <w:bookmarkStart w:id="123" w:name="_Toc23885"/>
      <w:bookmarkStart w:id="124" w:name="_Toc16238"/>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财政拨款收入：指单位从同级财政部门取得的财政预算资金。</w:t>
      </w:r>
      <w:bookmarkEnd w:id="123"/>
      <w:bookmarkEnd w:id="124"/>
    </w:p>
    <w:p w14:paraId="38129D6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1BEFC00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6C824DF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14:paraId="2D2AED3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77B0CE6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5FD357A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5B54D7D3">
      <w:pPr>
        <w:spacing w:line="600" w:lineRule="exact"/>
        <w:ind w:firstLine="640"/>
        <w:rPr>
          <w:rFonts w:hint="eastAsia" w:ascii="仿宋_GB2312" w:eastAsia="仿宋_GB2312"/>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3298CC40">
      <w:pPr>
        <w:pStyle w:val="30"/>
        <w:spacing w:line="560" w:lineRule="atLeast"/>
        <w:ind w:firstLine="640" w:firstLineChars="200"/>
        <w:rPr>
          <w:rFonts w:ascii="仿宋_GB2312" w:eastAsia="仿宋_GB2312"/>
          <w:sz w:val="32"/>
          <w:szCs w:val="32"/>
          <w:highlight w:val="none"/>
        </w:rPr>
      </w:pPr>
      <w:r>
        <w:rPr>
          <w:rFonts w:hint="eastAsia" w:ascii="仿宋_GB2312" w:eastAsia="仿宋_GB2312"/>
          <w:color w:val="000000"/>
          <w:sz w:val="32"/>
          <w:szCs w:val="32"/>
          <w:highlight w:val="none"/>
          <w:lang w:val="en-US" w:eastAsia="zh-CN"/>
        </w:rPr>
        <w:t>9</w:t>
      </w:r>
      <w:r>
        <w:rPr>
          <w:rFonts w:hint="eastAsia" w:ascii="仿宋_GB2312" w:eastAsia="仿宋_GB2312"/>
          <w:sz w:val="32"/>
          <w:szCs w:val="32"/>
          <w:highlight w:val="none"/>
        </w:rPr>
        <w:t>.一般公共服务（类）审计事务（款）行政运行（项）:用于单位正常运转的基本支出，包括基本工资、津贴补贴等人员经费以及办公费、印刷费、水电费等日常公用经费。</w:t>
      </w:r>
    </w:p>
    <w:p w14:paraId="7392FA46">
      <w:pPr>
        <w:pStyle w:val="30"/>
        <w:spacing w:line="560" w:lineRule="atLeas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一般公共服务（类）审计事务（款）一般行政管理事务（项）:用于保障区审计单位、下属事业单位为完成特定的行政工作任务或事业发展目标的专项业务工作的经费支出,包括差旅费、公务接待费、公车运行维护费、购买审计专业人员服务经费、会议费、培训费等经费。</w:t>
      </w:r>
    </w:p>
    <w:p w14:paraId="37104F7A">
      <w:pPr>
        <w:pStyle w:val="30"/>
        <w:spacing w:line="560" w:lineRule="atLeas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.一般公共服务（类）审计事务（款）审计业务（项）: 用于开展经济责任审计、政府投资审计、专项审计调查、聘请社会审计机构等方面的支出。</w:t>
      </w:r>
    </w:p>
    <w:p w14:paraId="0074D67E">
      <w:pPr>
        <w:pStyle w:val="30"/>
        <w:spacing w:line="560" w:lineRule="atLeas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12.</w:t>
      </w:r>
      <w:r>
        <w:rPr>
          <w:rFonts w:hint="eastAsia" w:ascii="仿宋_GB2312" w:eastAsia="仿宋_GB2312"/>
          <w:sz w:val="32"/>
          <w:szCs w:val="32"/>
          <w:highlight w:val="none"/>
        </w:rPr>
        <w:t>一般公共服务（类）审计事务（款）一般行政管理事务（项）: 用于开展</w:t>
      </w:r>
      <w:r>
        <w:rPr>
          <w:rFonts w:hint="eastAsia" w:ascii="仿宋_GB2312" w:eastAsia="仿宋_GB2312"/>
          <w:sz w:val="32"/>
          <w:szCs w:val="32"/>
          <w:highlight w:val="none"/>
          <w:lang w:eastAsia="zh-CN"/>
        </w:rPr>
        <w:t>一般性审计业务</w:t>
      </w:r>
      <w:r>
        <w:rPr>
          <w:rFonts w:hint="eastAsia" w:ascii="仿宋_GB2312" w:eastAsia="仿宋_GB2312"/>
          <w:sz w:val="32"/>
          <w:szCs w:val="32"/>
          <w:highlight w:val="none"/>
        </w:rPr>
        <w:t>等方面的支出。</w:t>
      </w:r>
    </w:p>
    <w:p w14:paraId="4B091BB5">
      <w:pPr>
        <w:pStyle w:val="30"/>
        <w:spacing w:line="560" w:lineRule="atLeas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13</w:t>
      </w:r>
      <w:r>
        <w:rPr>
          <w:rFonts w:hint="eastAsia" w:ascii="仿宋_GB2312" w:eastAsia="仿宋_GB2312"/>
          <w:sz w:val="32"/>
          <w:szCs w:val="32"/>
          <w:highlight w:val="none"/>
        </w:rPr>
        <w:t>.一般公共服务（类）审计事务（款）审计管理（项）: 用于部门法制建设、审计质量控制、审计结果公告、宣传、教育、职称考试等方面的支出。</w:t>
      </w:r>
    </w:p>
    <w:p w14:paraId="60FBCC46">
      <w:pPr>
        <w:pStyle w:val="30"/>
        <w:spacing w:line="560" w:lineRule="atLeast"/>
        <w:ind w:firstLine="640" w:firstLineChars="200"/>
        <w:outlineLvl w:val="1"/>
        <w:rPr>
          <w:rFonts w:ascii="仿宋_GB2312" w:eastAsia="仿宋_GB2312"/>
          <w:sz w:val="32"/>
          <w:szCs w:val="32"/>
          <w:highlight w:val="none"/>
        </w:rPr>
      </w:pPr>
      <w:bookmarkStart w:id="125" w:name="_Toc11605"/>
      <w:bookmarkStart w:id="126" w:name="_Toc30194"/>
      <w:bookmarkStart w:id="127" w:name="_Toc12502"/>
      <w:bookmarkStart w:id="128" w:name="_Toc29270"/>
      <w:r>
        <w:rPr>
          <w:rFonts w:hint="eastAsia" w:ascii="仿宋_GB2312" w:eastAsia="仿宋_GB2312"/>
          <w:sz w:val="32"/>
          <w:szCs w:val="32"/>
          <w:highlight w:val="none"/>
          <w:lang w:val="en-US" w:eastAsia="zh-CN"/>
        </w:rPr>
        <w:t>14</w:t>
      </w:r>
      <w:r>
        <w:rPr>
          <w:rFonts w:hint="eastAsia" w:ascii="仿宋_GB2312" w:eastAsia="仿宋_GB2312"/>
          <w:sz w:val="32"/>
          <w:szCs w:val="32"/>
          <w:highlight w:val="none"/>
        </w:rPr>
        <w:t>.一般公共服务（类）审计事务（款）信息化建设（项）:</w:t>
      </w:r>
      <w:bookmarkEnd w:id="125"/>
      <w:bookmarkEnd w:id="126"/>
      <w:bookmarkEnd w:id="127"/>
      <w:bookmarkEnd w:id="128"/>
      <w:r>
        <w:rPr>
          <w:rFonts w:hint="eastAsia" w:ascii="仿宋_GB2312" w:eastAsia="仿宋_GB2312"/>
          <w:sz w:val="32"/>
          <w:szCs w:val="32"/>
          <w:highlight w:val="none"/>
        </w:rPr>
        <w:t xml:space="preserve"> </w:t>
      </w:r>
    </w:p>
    <w:p w14:paraId="73550DC1">
      <w:pPr>
        <w:pStyle w:val="30"/>
        <w:spacing w:line="560" w:lineRule="atLeast"/>
        <w:rPr>
          <w:rFonts w:ascii="仿宋_GB2312" w:eastAsia="仿宋_GB2312"/>
          <w:sz w:val="32"/>
          <w:szCs w:val="32"/>
          <w:highlight w:val="none"/>
        </w:rPr>
      </w:pPr>
      <w:r>
        <w:rPr>
          <w:rFonts w:hint="eastAsia" w:ascii="仿宋_GB2312" w:eastAsia="仿宋_GB2312"/>
          <w:sz w:val="32"/>
          <w:szCs w:val="32"/>
          <w:highlight w:val="none"/>
        </w:rPr>
        <w:t>用于网络信息系统运行与维护和信息网络、计算机及软件购置更新等方面的支出。</w:t>
      </w:r>
    </w:p>
    <w:p w14:paraId="61134BD7">
      <w:pPr>
        <w:pStyle w:val="30"/>
        <w:spacing w:line="560" w:lineRule="atLeas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15</w:t>
      </w:r>
      <w:r>
        <w:rPr>
          <w:rFonts w:hint="eastAsia" w:ascii="仿宋_GB2312" w:eastAsia="仿宋_GB2312"/>
          <w:sz w:val="32"/>
          <w:szCs w:val="32"/>
          <w:highlight w:val="none"/>
        </w:rPr>
        <w:t>.一般公共服务（类）审计事务（款）事业运行（项）: 用于部门下属事业单位机构正常运行、开展日常工作的基本支出。</w:t>
      </w:r>
    </w:p>
    <w:p w14:paraId="57C89869">
      <w:pPr>
        <w:pStyle w:val="30"/>
        <w:spacing w:line="560" w:lineRule="atLeas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16</w:t>
      </w:r>
      <w:r>
        <w:rPr>
          <w:rFonts w:hint="eastAsia" w:ascii="仿宋_GB2312" w:eastAsia="仿宋_GB2312"/>
          <w:sz w:val="32"/>
          <w:szCs w:val="32"/>
          <w:highlight w:val="none"/>
        </w:rPr>
        <w:t>.一般公共服务（类）审计事务（款）其他审计事务支出（项）: 除以上项目以外其他审计事务方面的支出。</w:t>
      </w:r>
    </w:p>
    <w:p w14:paraId="44AE2FF3">
      <w:pPr>
        <w:pStyle w:val="30"/>
        <w:spacing w:line="560" w:lineRule="atLeast"/>
        <w:ind w:firstLine="640" w:firstLineChars="200"/>
        <w:rPr>
          <w:rFonts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.社会保障和就业（类）行政事业单位离退休（款）机关事业单位基本养老保险缴费支出（项）: 用于单位基本养老保险及职业年金的支出。</w:t>
      </w:r>
    </w:p>
    <w:p w14:paraId="5EC59DE3">
      <w:pPr>
        <w:pStyle w:val="30"/>
        <w:spacing w:line="560" w:lineRule="atLeast"/>
        <w:ind w:firstLine="640" w:firstLineChars="200"/>
        <w:rPr>
          <w:rFonts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.社会保障和就业（类）其他社会保障和就业支出（款）其他社会保障和就业支出（项）: 用于单位工伤保险、生育保险、失业保险等支出。</w:t>
      </w:r>
    </w:p>
    <w:p w14:paraId="7090458C">
      <w:pPr>
        <w:pStyle w:val="30"/>
        <w:spacing w:line="560" w:lineRule="atLeas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.卫生健康支出（类）行政事业单位医疗（款）  行政单位医疗（项）:用于单位</w:t>
      </w:r>
      <w:r>
        <w:rPr>
          <w:rFonts w:hint="eastAsia" w:ascii="仿宋_GB2312" w:eastAsia="仿宋_GB2312"/>
          <w:sz w:val="32"/>
          <w:szCs w:val="32"/>
          <w:highlight w:val="none"/>
          <w:lang w:eastAsia="zh-CN"/>
        </w:rPr>
        <w:t>行政人员</w:t>
      </w:r>
      <w:r>
        <w:rPr>
          <w:rFonts w:hint="eastAsia" w:ascii="仿宋_GB2312" w:eastAsia="仿宋_GB2312"/>
          <w:sz w:val="32"/>
          <w:szCs w:val="32"/>
          <w:highlight w:val="none"/>
        </w:rPr>
        <w:t>基本医疗保险缴费支出。</w:t>
      </w:r>
    </w:p>
    <w:p w14:paraId="246EFC30">
      <w:pPr>
        <w:pStyle w:val="30"/>
        <w:spacing w:line="560" w:lineRule="atLeas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20.</w:t>
      </w:r>
      <w:r>
        <w:rPr>
          <w:rFonts w:hint="eastAsia" w:ascii="仿宋_GB2312" w:eastAsia="仿宋_GB2312"/>
          <w:sz w:val="32"/>
          <w:szCs w:val="32"/>
          <w:highlight w:val="none"/>
        </w:rPr>
        <w:t xml:space="preserve">卫生健康支出（类）行政事业单位医疗（款）  </w:t>
      </w:r>
      <w:r>
        <w:rPr>
          <w:rFonts w:hint="eastAsia" w:ascii="仿宋_GB2312" w:eastAsia="仿宋_GB2312"/>
          <w:sz w:val="32"/>
          <w:szCs w:val="32"/>
          <w:highlight w:val="none"/>
          <w:lang w:eastAsia="zh-CN"/>
        </w:rPr>
        <w:t>事业</w:t>
      </w:r>
      <w:r>
        <w:rPr>
          <w:rFonts w:hint="eastAsia" w:ascii="仿宋_GB2312" w:eastAsia="仿宋_GB2312"/>
          <w:sz w:val="32"/>
          <w:szCs w:val="32"/>
          <w:highlight w:val="none"/>
        </w:rPr>
        <w:t>医疗（项）:用于单位</w:t>
      </w:r>
      <w:r>
        <w:rPr>
          <w:rFonts w:hint="eastAsia" w:ascii="仿宋_GB2312" w:eastAsia="仿宋_GB2312"/>
          <w:sz w:val="32"/>
          <w:szCs w:val="32"/>
          <w:highlight w:val="none"/>
          <w:lang w:eastAsia="zh-CN"/>
        </w:rPr>
        <w:t>事业人员</w:t>
      </w:r>
      <w:r>
        <w:rPr>
          <w:rFonts w:hint="eastAsia" w:ascii="仿宋_GB2312" w:eastAsia="仿宋_GB2312"/>
          <w:sz w:val="32"/>
          <w:szCs w:val="32"/>
          <w:highlight w:val="none"/>
        </w:rPr>
        <w:t>基本医疗保险缴费支出。</w:t>
      </w:r>
    </w:p>
    <w:p w14:paraId="4EB2E493">
      <w:pPr>
        <w:pStyle w:val="30"/>
        <w:spacing w:line="560" w:lineRule="atLeas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21</w:t>
      </w:r>
      <w:r>
        <w:rPr>
          <w:rFonts w:hint="eastAsia" w:ascii="仿宋_GB2312" w:eastAsia="仿宋_GB2312"/>
          <w:sz w:val="32"/>
          <w:szCs w:val="32"/>
          <w:highlight w:val="none"/>
        </w:rPr>
        <w:t>.卫生健康支出（类）行政事业单位医疗（款） 公务员医疗补助（项）:用于单位公务员医疗补助支出。</w:t>
      </w:r>
    </w:p>
    <w:p w14:paraId="3CB7F0D0">
      <w:pPr>
        <w:ind w:firstLine="640" w:firstLineChars="200"/>
        <w:rPr>
          <w:rFonts w:ascii="仿宋_GB2312" w:eastAsia="仿宋_GB2312"/>
          <w:color w:val="000000"/>
          <w:sz w:val="32"/>
          <w:szCs w:val="32"/>
          <w:highlight w:val="none"/>
        </w:rPr>
      </w:pPr>
      <w:r>
        <w:rPr>
          <w:rFonts w:hint="eastAsia" w:ascii="仿宋_GB2312" w:eastAsia="仿宋_GB2312"/>
          <w:sz w:val="32"/>
          <w:szCs w:val="32"/>
          <w:highlight w:val="none"/>
          <w:lang w:val="en-US" w:eastAsia="zh-CN"/>
        </w:rPr>
        <w:t>22</w:t>
      </w:r>
      <w:r>
        <w:rPr>
          <w:rFonts w:hint="eastAsia" w:ascii="仿宋_GB2312" w:eastAsia="仿宋_GB2312"/>
          <w:sz w:val="32"/>
          <w:szCs w:val="32"/>
          <w:highlight w:val="none"/>
        </w:rPr>
        <w:t>.住房保障支出（类）住房改革支出（款）住房公积金（项）:用于部门按规定的工资总额以及规定比例为职工缴纳的住房公积金支出。</w:t>
      </w:r>
    </w:p>
    <w:p w14:paraId="704F9A02">
      <w:pPr>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23</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基本支出：指为保障机构正常运转、完成日常工作任务而发生的人员支出和公用支出。</w:t>
      </w:r>
    </w:p>
    <w:p w14:paraId="44C93D4D">
      <w:pPr>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24</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项目支出：指在基本支出之外为完成特定行政任务和事业发展目标所发生的支出。</w:t>
      </w:r>
      <w:r>
        <w:rPr>
          <w:rFonts w:ascii="仿宋_GB2312" w:eastAsia="仿宋_GB2312"/>
          <w:color w:val="000000"/>
          <w:sz w:val="32"/>
          <w:szCs w:val="32"/>
          <w:highlight w:val="none"/>
        </w:rPr>
        <w:t xml:space="preserve"> </w:t>
      </w:r>
    </w:p>
    <w:p w14:paraId="54D32799">
      <w:pPr>
        <w:pStyle w:val="3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25</w:t>
      </w:r>
      <w:r>
        <w:rPr>
          <w:rFonts w:ascii="仿宋_GB2312" w:eastAsia="仿宋_GB2312"/>
          <w:sz w:val="32"/>
          <w:szCs w:val="32"/>
          <w:highlight w:val="none"/>
        </w:rPr>
        <w:t>.</w:t>
      </w:r>
      <w:r>
        <w:rPr>
          <w:rFonts w:hint="eastAsia" w:ascii="仿宋_GB2312" w:eastAsia="仿宋_GB2312"/>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辆购置支出（含车辆购置税）及租用费、燃料费、维修费、过路过桥费、保险费等支出；公务接待费反映单位按规定开支的各类公务接待（含外宾接待）支出。</w:t>
      </w:r>
    </w:p>
    <w:p w14:paraId="62531005">
      <w:pPr>
        <w:pStyle w:val="3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26.</w:t>
      </w:r>
      <w:r>
        <w:rPr>
          <w:rFonts w:hint="eastAsia" w:ascii="仿宋_GB2312" w:eastAsia="仿宋_GB2312"/>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12AD387">
      <w:pPr>
        <w:pStyle w:val="30"/>
        <w:spacing w:line="560" w:lineRule="exact"/>
        <w:ind w:firstLine="640" w:firstLineChars="200"/>
        <w:rPr>
          <w:rFonts w:hint="eastAsia" w:ascii="仿宋_GB2312" w:eastAsia="仿宋_GB2312"/>
          <w:sz w:val="32"/>
          <w:szCs w:val="32"/>
          <w:highlight w:val="none"/>
        </w:rPr>
      </w:pPr>
    </w:p>
    <w:p w14:paraId="23A5F8C9">
      <w:pPr>
        <w:pStyle w:val="30"/>
        <w:spacing w:line="560" w:lineRule="exact"/>
        <w:ind w:firstLine="640" w:firstLineChars="200"/>
        <w:rPr>
          <w:rFonts w:hint="eastAsia" w:ascii="仿宋_GB2312" w:eastAsia="仿宋_GB2312"/>
          <w:sz w:val="32"/>
          <w:szCs w:val="32"/>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3F1068E">
      <w:pPr>
        <w:pStyle w:val="30"/>
        <w:spacing w:line="560" w:lineRule="exact"/>
        <w:ind w:firstLine="640" w:firstLineChars="200"/>
        <w:rPr>
          <w:rFonts w:hint="eastAsia" w:ascii="仿宋_GB2312" w:eastAsia="仿宋_GB2312"/>
          <w:sz w:val="32"/>
          <w:szCs w:val="32"/>
          <w:highlight w:val="none"/>
        </w:rPr>
      </w:pPr>
    </w:p>
    <w:p w14:paraId="31A7B143">
      <w:pPr>
        <w:pageBreakBefore w:val="0"/>
        <w:numPr>
          <w:ilvl w:val="0"/>
          <w:numId w:val="0"/>
        </w:numPr>
        <w:kinsoku/>
        <w:wordWrap/>
        <w:overflowPunct/>
        <w:topLinePunct w:val="0"/>
        <w:bidi w:val="0"/>
        <w:spacing w:line="560" w:lineRule="exact"/>
        <w:jc w:val="center"/>
        <w:textAlignment w:val="auto"/>
        <w:outlineLvl w:val="0"/>
        <w:rPr>
          <w:rFonts w:hint="eastAsia" w:ascii="黑体" w:hAnsi="黑体" w:eastAsia="黑体" w:cs="黑体"/>
          <w:color w:val="000000"/>
          <w:sz w:val="44"/>
          <w:szCs w:val="44"/>
          <w:lang w:eastAsia="zh-CN"/>
        </w:rPr>
      </w:pPr>
      <w:bookmarkStart w:id="129" w:name="_Toc14768"/>
      <w:bookmarkStart w:id="130" w:name="_Toc1550"/>
      <w:bookmarkStart w:id="131" w:name="_Toc21988"/>
      <w:bookmarkStart w:id="132" w:name="_Toc2068"/>
      <w:bookmarkStart w:id="133" w:name="_Toc12047"/>
      <w:bookmarkStart w:id="134" w:name="_Toc17692"/>
      <w:r>
        <w:rPr>
          <w:rFonts w:hint="eastAsia" w:ascii="黑体" w:hAnsi="黑体" w:eastAsia="黑体" w:cs="黑体"/>
          <w:color w:val="000000"/>
          <w:sz w:val="44"/>
          <w:szCs w:val="44"/>
          <w:lang w:eastAsia="zh-CN"/>
        </w:rPr>
        <w:t>第四部分</w:t>
      </w:r>
      <w:r>
        <w:rPr>
          <w:rFonts w:hint="eastAsia" w:ascii="黑体" w:hAnsi="黑体" w:eastAsia="黑体" w:cs="黑体"/>
          <w:color w:val="000000"/>
          <w:sz w:val="44"/>
          <w:szCs w:val="44"/>
          <w:lang w:val="en-US" w:eastAsia="zh-CN"/>
        </w:rPr>
        <w:t xml:space="preserve"> </w:t>
      </w:r>
      <w:r>
        <w:rPr>
          <w:rFonts w:hint="eastAsia" w:ascii="黑体" w:hAnsi="黑体" w:eastAsia="黑体" w:cs="黑体"/>
          <w:color w:val="000000"/>
          <w:sz w:val="44"/>
          <w:szCs w:val="44"/>
          <w:lang w:eastAsia="zh-CN"/>
        </w:rPr>
        <w:t xml:space="preserve"> 附件</w:t>
      </w:r>
      <w:bookmarkEnd w:id="129"/>
      <w:bookmarkEnd w:id="130"/>
      <w:bookmarkEnd w:id="131"/>
      <w:bookmarkEnd w:id="132"/>
      <w:bookmarkEnd w:id="133"/>
      <w:bookmarkEnd w:id="134"/>
    </w:p>
    <w:p w14:paraId="711DD7D3">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Arial Unicode MS" w:cs="Times New Roman"/>
          <w:b w:val="0"/>
          <w:bCs/>
          <w:sz w:val="44"/>
          <w:szCs w:val="44"/>
          <w:highlight w:val="none"/>
          <w:shd w:val="clear" w:color="auto" w:fill="FFFFFF"/>
        </w:rPr>
      </w:pPr>
      <w:bookmarkStart w:id="135" w:name="_Toc16665"/>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bookmarkEnd w:id="135"/>
    </w:p>
    <w:p w14:paraId="04E55714">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方正小标宋简体" w:hAnsi="方正小标宋简体" w:eastAsia="方正小标宋简体" w:cs="方正小标宋简体"/>
          <w:b w:val="0"/>
          <w:bCs/>
          <w:sz w:val="44"/>
          <w:szCs w:val="44"/>
          <w:highlight w:val="none"/>
          <w:shd w:val="clear" w:color="auto" w:fill="FFFFFF"/>
        </w:rPr>
      </w:pPr>
      <w:r>
        <w:rPr>
          <w:rFonts w:hint="eastAsia" w:ascii="方正小标宋简体" w:hAnsi="方正小标宋简体" w:eastAsia="方正小标宋简体" w:cs="方正小标宋简体"/>
          <w:b w:val="0"/>
          <w:bCs/>
          <w:sz w:val="44"/>
          <w:szCs w:val="44"/>
          <w:highlight w:val="none"/>
          <w:shd w:val="clear" w:color="auto" w:fill="FFFFFF"/>
        </w:rPr>
        <w:t>部门</w:t>
      </w:r>
      <w:r>
        <w:rPr>
          <w:rFonts w:hint="eastAsia" w:ascii="方正小标宋简体" w:hAnsi="方正小标宋简体" w:eastAsia="方正小标宋简体" w:cs="方正小标宋简体"/>
          <w:b w:val="0"/>
          <w:bCs/>
          <w:sz w:val="44"/>
          <w:szCs w:val="44"/>
          <w:highlight w:val="none"/>
          <w:shd w:val="clear" w:color="auto" w:fill="FFFFFF"/>
          <w:lang w:eastAsia="zh-CN"/>
        </w:rPr>
        <w:t>预算</w:t>
      </w:r>
      <w:r>
        <w:rPr>
          <w:rFonts w:hint="eastAsia" w:ascii="方正小标宋简体" w:hAnsi="方正小标宋简体" w:eastAsia="方正小标宋简体" w:cs="方正小标宋简体"/>
          <w:b w:val="0"/>
          <w:bCs/>
          <w:sz w:val="44"/>
          <w:szCs w:val="44"/>
          <w:highlight w:val="none"/>
          <w:shd w:val="clear" w:color="auto" w:fill="FFFFFF"/>
        </w:rPr>
        <w:t>绩效</w:t>
      </w:r>
      <w:r>
        <w:rPr>
          <w:rFonts w:hint="eastAsia" w:ascii="方正小标宋简体" w:hAnsi="方正小标宋简体" w:eastAsia="方正小标宋简体" w:cs="方正小标宋简体"/>
          <w:b w:val="0"/>
          <w:bCs/>
          <w:sz w:val="44"/>
          <w:szCs w:val="44"/>
          <w:highlight w:val="none"/>
          <w:shd w:val="clear" w:color="auto" w:fill="FFFFFF"/>
          <w:lang w:eastAsia="zh-CN"/>
        </w:rPr>
        <w:t>评价</w:t>
      </w:r>
      <w:r>
        <w:rPr>
          <w:rFonts w:hint="eastAsia" w:ascii="方正小标宋简体" w:hAnsi="方正小标宋简体" w:eastAsia="方正小标宋简体" w:cs="方正小标宋简体"/>
          <w:b w:val="0"/>
          <w:bCs/>
          <w:sz w:val="44"/>
          <w:szCs w:val="44"/>
          <w:highlight w:val="none"/>
          <w:shd w:val="clear" w:color="auto" w:fill="FFFFFF"/>
        </w:rPr>
        <w:t>报告</w:t>
      </w:r>
    </w:p>
    <w:p w14:paraId="59814ECE">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690F9F2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47371D61">
      <w:pPr>
        <w:pStyle w:val="3"/>
        <w:numPr>
          <w:ilvl w:val="0"/>
          <w:numId w:val="0"/>
        </w:numPr>
        <w:spacing w:before="0" w:beforeLines="0" w:after="0" w:afterLines="0" w:line="560" w:lineRule="exact"/>
        <w:ind w:firstLine="640" w:firstLineChars="200"/>
        <w:rPr>
          <w:rFonts w:hint="eastAsia"/>
          <w:lang w:val="zh-CN"/>
        </w:rPr>
      </w:pPr>
      <w:bookmarkStart w:id="136" w:name="_Toc3076"/>
      <w:r>
        <w:rPr>
          <w:rFonts w:hint="eastAsia" w:ascii="Times New Roman" w:hAnsi="Times New Roman" w:eastAsia="楷体_GB2312" w:cs="Times New Roman"/>
          <w:b w:val="0"/>
          <w:bCs w:val="0"/>
          <w:color w:val="000000"/>
          <w:kern w:val="0"/>
          <w:highlight w:val="none"/>
          <w:shd w:val="clear" w:color="auto" w:fill="FFFFFF"/>
          <w:lang w:val="zh-CN" w:eastAsia="zh-CN"/>
        </w:rPr>
        <w:t>（一）</w:t>
      </w:r>
      <w:r>
        <w:rPr>
          <w:rFonts w:hint="eastAsia" w:ascii="Times New Roman" w:hAnsi="Times New Roman" w:eastAsia="楷体_GB2312" w:cs="Times New Roman"/>
          <w:b w:val="0"/>
          <w:bCs w:val="0"/>
          <w:i w:val="0"/>
          <w:iCs w:val="0"/>
          <w:color w:val="000000"/>
          <w:kern w:val="0"/>
          <w:sz w:val="32"/>
          <w:szCs w:val="32"/>
          <w:highlight w:val="none"/>
          <w:shd w:val="clear" w:color="auto" w:fill="FFFFFF"/>
          <w:lang w:val="zh-CN" w:eastAsia="zh-CN" w:bidi="ar-SA"/>
        </w:rPr>
        <w:t>机构组成</w:t>
      </w:r>
      <w:r>
        <w:rPr>
          <w:rFonts w:hint="eastAsia" w:ascii="Times New Roman" w:hAnsi="Times New Roman"/>
          <w:kern w:val="0"/>
          <w:lang w:eastAsia="zh-CN"/>
        </w:rPr>
        <w:t>。</w:t>
      </w:r>
      <w:bookmarkStart w:id="137" w:name="_Toc5623"/>
      <w:r>
        <w:rPr>
          <w:rFonts w:hint="eastAsia" w:ascii="仿宋_GB2312" w:hAnsi="仿宋_GB2312" w:eastAsia="仿宋_GB2312" w:cs="仿宋_GB2312"/>
          <w:b w:val="0"/>
          <w:bCs w:val="0"/>
          <w:color w:val="auto"/>
          <w:kern w:val="2"/>
          <w:sz w:val="32"/>
          <w:szCs w:val="32"/>
          <w:highlight w:val="none"/>
          <w:shd w:val="clear" w:color="auto" w:fill="FFFFFF"/>
          <w:lang w:val="zh-CN" w:eastAsia="zh-CN" w:bidi="ar-SA"/>
        </w:rPr>
        <w:t>遂宁市安居区审计局内设办公室（法规股）、财政审计股（固定资产投资股）、经济责任审计股（自然资源和社保审计股），下属1个副科级事业单位为遂宁市安居区政府投资审计中心，</w:t>
      </w:r>
      <w:r>
        <w:rPr>
          <w:rFonts w:hint="eastAsia" w:ascii="仿宋_GB2312" w:hAnsi="仿宋_GB2312" w:eastAsia="仿宋_GB2312" w:cs="仿宋_GB2312"/>
          <w:b w:val="0"/>
          <w:bCs w:val="0"/>
          <w:color w:val="auto"/>
          <w:kern w:val="2"/>
          <w:sz w:val="32"/>
          <w:szCs w:val="32"/>
          <w:highlight w:val="none"/>
          <w:shd w:val="clear" w:color="auto" w:fill="FFFFFF"/>
          <w:lang w:val="en-US" w:eastAsia="zh-CN" w:bidi="ar-SA"/>
        </w:rPr>
        <w:t>1个股级事业单位为遂宁市安居区国有企业审计服务中心</w:t>
      </w:r>
      <w:r>
        <w:rPr>
          <w:rFonts w:hint="eastAsia" w:ascii="仿宋_GB2312" w:hAnsi="仿宋_GB2312" w:eastAsia="仿宋_GB2312" w:cs="仿宋_GB2312"/>
          <w:b w:val="0"/>
          <w:bCs w:val="0"/>
          <w:color w:val="auto"/>
          <w:kern w:val="2"/>
          <w:sz w:val="32"/>
          <w:szCs w:val="32"/>
          <w:highlight w:val="none"/>
          <w:shd w:val="clear" w:color="auto" w:fill="FFFFFF"/>
          <w:lang w:val="zh-CN" w:eastAsia="zh-CN" w:bidi="ar-SA"/>
        </w:rPr>
        <w:t>。</w:t>
      </w:r>
      <w:bookmarkEnd w:id="136"/>
      <w:bookmarkEnd w:id="137"/>
    </w:p>
    <w:p w14:paraId="0166E710">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Times New Roman" w:hAnsi="Times New Roman" w:eastAsia="楷体_GB2312"/>
          <w:color w:val="000000"/>
          <w:kern w:val="0"/>
          <w:sz w:val="32"/>
          <w:szCs w:val="32"/>
          <w:highlight w:val="none"/>
          <w:shd w:val="clear" w:color="auto" w:fill="FFFFFF"/>
          <w:lang w:val="zh-CN" w:eastAsia="zh-CN"/>
        </w:rPr>
        <w:t>（二）</w:t>
      </w:r>
      <w:r>
        <w:rPr>
          <w:rFonts w:hint="eastAsia" w:ascii="Times New Roman" w:hAnsi="Times New Roman" w:eastAsia="楷体_GB2312" w:cs="Times New Roman"/>
          <w:b w:val="0"/>
          <w:bCs w:val="0"/>
          <w:i w:val="0"/>
          <w:iCs w:val="0"/>
          <w:color w:val="000000"/>
          <w:kern w:val="0"/>
          <w:sz w:val="32"/>
          <w:szCs w:val="32"/>
          <w:highlight w:val="none"/>
          <w:shd w:val="clear" w:color="auto" w:fill="FFFFFF"/>
          <w:lang w:val="zh-CN" w:eastAsia="zh-CN" w:bidi="ar-SA"/>
        </w:rPr>
        <w:t>机构职能</w:t>
      </w:r>
      <w:r>
        <w:rPr>
          <w:rFonts w:hint="eastAsia" w:ascii="Times New Roman" w:hAnsi="Times New Roman" w:eastAsia="楷体_GB2312"/>
          <w:color w:val="000000"/>
          <w:kern w:val="0"/>
          <w:sz w:val="32"/>
          <w:szCs w:val="32"/>
          <w:highlight w:val="none"/>
          <w:shd w:val="clear" w:color="auto" w:fill="FFFFFF"/>
          <w:lang w:val="zh-CN" w:eastAsia="zh-CN"/>
        </w:rPr>
        <w:t>。</w:t>
      </w:r>
      <w:r>
        <w:rPr>
          <w:rFonts w:hint="eastAsia" w:ascii="仿宋" w:hAnsi="仿宋" w:eastAsia="仿宋"/>
          <w:bCs/>
          <w:sz w:val="32"/>
          <w:szCs w:val="32"/>
          <w:highlight w:val="none"/>
        </w:rPr>
        <w:t>1</w:t>
      </w:r>
      <w:r>
        <w:rPr>
          <w:rFonts w:hint="eastAsia" w:ascii="仿宋" w:hAnsi="仿宋" w:eastAsia="仿宋"/>
          <w:bCs/>
          <w:sz w:val="32"/>
          <w:szCs w:val="32"/>
          <w:highlight w:val="none"/>
          <w:lang w:val="en-US" w:eastAsia="zh-CN"/>
        </w:rPr>
        <w:t>.</w:t>
      </w:r>
      <w:r>
        <w:rPr>
          <w:rFonts w:hint="eastAsia" w:ascii="仿宋" w:hAnsi="仿宋" w:eastAsia="仿宋"/>
          <w:bCs/>
          <w:sz w:val="32"/>
          <w:szCs w:val="32"/>
          <w:highlight w:val="none"/>
        </w:rPr>
        <w:t>负责对全区财政收支和法律、法规规定属于审计监督范围的财务收支的真实、合法、效益进行审计监督。对审计、专项审计调查和核查社会审计机构相关审计报告的结果承担责任，负有督促被审计单位整改的责任。</w:t>
      </w:r>
    </w:p>
    <w:p w14:paraId="2F48AFAB">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2.参与起草审计、财经方面的规章制度、规范性文件，制定并组织实施年度审计计划，对直接审计、调查和核查的事项依法进行审计评价，作出审计决定或审计建议。</w:t>
      </w:r>
    </w:p>
    <w:p w14:paraId="3AD0365D">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3.向区政府提交年度本级预算执行和其他财政收支的审计结果报告。受区政府委托向区人大常委会提交本级预算执行和其他财政收支情况的审计工作报告、审计发现问题的纠正和处理结果报告。向区政府报告其他事项专项审计调查情况及结果，依法向社会公布审计结果。</w:t>
      </w:r>
    </w:p>
    <w:p w14:paraId="4DC1A0F7">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4.直接审计下列事项，出具审计报告，在法定职权范围内作出审计决定或向有关主管机关提出处理处罚的建议：</w:t>
      </w:r>
    </w:p>
    <w:p w14:paraId="27283793">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（1）区本级预算执行情况和其他财政收支情况。</w:t>
      </w:r>
    </w:p>
    <w:p w14:paraId="7DD70FC7">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（2）区本级各部门（含直属单位）和下级政府预算的执行情况和决算以及其他财政收支情况。</w:t>
      </w:r>
    </w:p>
    <w:p w14:paraId="6B382CC5">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（3）使用财政资金的区级事业组织和社会团体的财务收支。</w:t>
      </w:r>
    </w:p>
    <w:p w14:paraId="5475B74B">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（4）区属国有企业和国有资本占控股地位或主导地位的企业的资产负债损益。</w:t>
      </w:r>
    </w:p>
    <w:p w14:paraId="2D22B47D">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（5）以财政资金、国有资产投资或融资为主的基建项目和与其直接有关的建设、勘察、设计、施工、监理、采购、供货等单位的财务收支。</w:t>
      </w:r>
    </w:p>
    <w:p w14:paraId="46EC90D5">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（6）政府管理的和其他单位受政府及其部门委托管理的社会保障基金、社会捐赠资金以及其他有关基金、资金的财务收支。</w:t>
      </w:r>
    </w:p>
    <w:p w14:paraId="36228D8C">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（7）法律、行政法规规定应由审计机关进行审计的其他事项。</w:t>
      </w:r>
    </w:p>
    <w:p w14:paraId="0A635EF9">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5.根据上级审计机关的授权，对区域内国有金融机构或垂直管理企事业组织的资产负债损益以及国际组织和外国政府援助、贷款项目的财务收支进行审计监督。</w:t>
      </w:r>
    </w:p>
    <w:p w14:paraId="473729A6">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6.按照国家有关规定，对国家机关和依法属于审计机关审计监督对象的其他单位的主要负责人，在任职期间对本地区、本部门或者本单位的财政收支、财务收支以及有关经济活动应负经济责任的履行情况进行审计监督。</w:t>
      </w:r>
    </w:p>
    <w:p w14:paraId="591179DA">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7.负责实施对财经法律、法规、规章、政策和宏观调控措施执行情况、财政预算管理</w:t>
      </w:r>
      <w:r>
        <w:rPr>
          <w:rFonts w:hint="eastAsia" w:ascii="仿宋" w:hAnsi="仿宋" w:eastAsia="仿宋"/>
          <w:bCs/>
          <w:sz w:val="32"/>
          <w:szCs w:val="32"/>
          <w:highlight w:val="none"/>
          <w:lang w:eastAsia="zh-CN"/>
        </w:rPr>
        <w:t>和</w:t>
      </w:r>
      <w:r>
        <w:rPr>
          <w:rFonts w:hint="eastAsia" w:ascii="仿宋" w:hAnsi="仿宋" w:eastAsia="仿宋"/>
          <w:bCs/>
          <w:sz w:val="32"/>
          <w:szCs w:val="32"/>
          <w:highlight w:val="none"/>
        </w:rPr>
        <w:t>国有资产管理使用等与区级财政收支有关的特定事项进行专项审计调查。</w:t>
      </w:r>
    </w:p>
    <w:p w14:paraId="5C613051">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8.依法检查审计决定执行情况，督促纠正和处理审计发现的问题，依法办理被审计单位对审计决定提请行政复议、行政诉讼或区政府裁决的有关事项。</w:t>
      </w:r>
    </w:p>
    <w:p w14:paraId="5F97CED4">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9.指导和监督依法属于审计监督对象的单位的内部审计工作，核查社会审计机构对依法属于审计监督对象的单位出具的相关审计报告。</w:t>
      </w:r>
    </w:p>
    <w:p w14:paraId="7D5B7F9F">
      <w:pPr>
        <w:pStyle w:val="7"/>
        <w:adjustRightInd w:val="0"/>
        <w:snapToGrid w:val="0"/>
        <w:spacing w:before="0" w:beforeLines="0" w:afterLines="0" w:line="560" w:lineRule="exact"/>
        <w:ind w:firstLine="672" w:firstLineChars="210"/>
        <w:outlineLvl w:val="2"/>
        <w:rPr>
          <w:rFonts w:hint="eastAsia" w:ascii="Times New Roman" w:hAnsi="Times New Roman"/>
          <w:kern w:val="0"/>
          <w:highlight w:val="none"/>
          <w:lang w:eastAsia="zh-CN"/>
        </w:rPr>
      </w:pPr>
      <w:r>
        <w:rPr>
          <w:rFonts w:hint="eastAsia" w:ascii="仿宋" w:hAnsi="仿宋" w:eastAsia="仿宋"/>
          <w:bCs/>
          <w:sz w:val="32"/>
          <w:szCs w:val="32"/>
          <w:highlight w:val="none"/>
        </w:rPr>
        <w:t>10.承办区委、区政府交办的其他事项；协助配合有关部门查处相关重大案件。</w:t>
      </w:r>
    </w:p>
    <w:p w14:paraId="1F2E1DDE">
      <w:pPr>
        <w:pStyle w:val="9"/>
        <w:widowControl/>
        <w:spacing w:before="0" w:beforeLines="0" w:beforeAutospacing="0" w:after="0" w:afterAutospacing="0" w:line="560" w:lineRule="exact"/>
        <w:ind w:left="0" w:leftChars="0" w:right="0" w:firstLine="632"/>
        <w:rPr>
          <w:rFonts w:hint="eastAsia" w:hAnsi="宋体" w:cs="宋体"/>
          <w:color w:val="auto"/>
          <w:kern w:val="0"/>
          <w:sz w:val="32"/>
          <w:szCs w:val="32"/>
          <w:highlight w:val="none"/>
          <w:shd w:val="clear" w:color="auto" w:fill="FFFFFF"/>
          <w:lang w:val="en-US" w:eastAsia="zh-CN"/>
        </w:rPr>
      </w:pPr>
      <w:r>
        <w:rPr>
          <w:rFonts w:hint="eastAsia" w:ascii="Times New Roman" w:hAnsi="Times New Roman" w:eastAsia="楷体_GB2312"/>
          <w:color w:val="000000"/>
          <w:kern w:val="0"/>
          <w:highlight w:val="none"/>
          <w:shd w:val="clear" w:color="auto" w:fill="FFFFFF"/>
          <w:lang w:val="zh-CN" w:eastAsia="zh-CN" w:bidi="ar-SA"/>
        </w:rPr>
        <w:t>（三）</w:t>
      </w:r>
      <w:r>
        <w:rPr>
          <w:rFonts w:hint="eastAsia" w:ascii="Times New Roman" w:hAnsi="Times New Roman" w:eastAsia="楷体_GB2312" w:cs="Times New Roman"/>
          <w:b w:val="0"/>
          <w:bCs w:val="0"/>
          <w:i w:val="0"/>
          <w:iCs w:val="0"/>
          <w:color w:val="000000"/>
          <w:kern w:val="0"/>
          <w:sz w:val="32"/>
          <w:szCs w:val="32"/>
          <w:highlight w:val="none"/>
          <w:shd w:val="clear" w:color="auto" w:fill="FFFFFF"/>
          <w:lang w:val="zh-CN" w:eastAsia="zh-CN" w:bidi="ar-SA"/>
        </w:rPr>
        <w:t>人员概况</w:t>
      </w:r>
      <w:r>
        <w:rPr>
          <w:rFonts w:hint="eastAsia" w:ascii="Times New Roman" w:hAnsi="Times New Roman" w:eastAsia="楷体_GB2312"/>
          <w:color w:val="000000"/>
          <w:kern w:val="0"/>
          <w:highlight w:val="none"/>
          <w:shd w:val="clear" w:color="auto" w:fill="FFFFFF"/>
          <w:lang w:val="zh-CN" w:eastAsia="zh-CN" w:bidi="ar-SA"/>
        </w:rPr>
        <w:t>。</w:t>
      </w:r>
      <w:r>
        <w:rPr>
          <w:rFonts w:hint="eastAsia" w:ascii="Times New Roman" w:hAnsi="Times New Roman"/>
          <w:kern w:val="0"/>
          <w:highlight w:val="none"/>
          <w:lang w:eastAsia="zh-CN"/>
        </w:rPr>
        <w:t>截至202</w:t>
      </w:r>
      <w:r>
        <w:rPr>
          <w:rFonts w:hint="eastAsia" w:ascii="Times New Roman" w:hAnsi="Times New Roman"/>
          <w:kern w:val="0"/>
          <w:highlight w:val="none"/>
          <w:lang w:val="en-US" w:eastAsia="zh-CN"/>
        </w:rPr>
        <w:t>4</w:t>
      </w:r>
      <w:r>
        <w:rPr>
          <w:rFonts w:hint="eastAsia" w:ascii="Times New Roman" w:hAnsi="Times New Roman"/>
          <w:kern w:val="0"/>
          <w:highlight w:val="none"/>
          <w:lang w:eastAsia="zh-CN"/>
        </w:rPr>
        <w:t>年末，</w:t>
      </w:r>
      <w:r>
        <w:rPr>
          <w:rFonts w:hint="eastAsia" w:hAnsi="宋体" w:cs="宋体"/>
          <w:color w:val="auto"/>
          <w:kern w:val="0"/>
          <w:sz w:val="32"/>
          <w:szCs w:val="32"/>
          <w:highlight w:val="none"/>
          <w:shd w:val="clear" w:color="auto" w:fill="FFFFFF"/>
          <w:lang w:val="zh-CN" w:eastAsia="zh-CN"/>
        </w:rPr>
        <w:t>区审计局编制人员</w:t>
      </w:r>
      <w:r>
        <w:rPr>
          <w:rFonts w:hint="eastAsia" w:hAnsi="宋体" w:cs="宋体"/>
          <w:color w:val="auto"/>
          <w:kern w:val="0"/>
          <w:sz w:val="32"/>
          <w:szCs w:val="32"/>
          <w:highlight w:val="none"/>
          <w:shd w:val="clear" w:color="auto" w:fill="FFFFFF"/>
          <w:lang w:val="en-US" w:eastAsia="zh-CN"/>
        </w:rPr>
        <w:t>20名，年末实有人数20</w:t>
      </w:r>
      <w:r>
        <w:rPr>
          <w:rFonts w:hint="eastAsia" w:hAnsi="宋体" w:cs="宋体"/>
          <w:color w:val="auto"/>
          <w:kern w:val="0"/>
          <w:sz w:val="32"/>
          <w:szCs w:val="32"/>
          <w:highlight w:val="none"/>
          <w:shd w:val="clear" w:color="auto" w:fill="FFFFFF"/>
          <w:lang w:val="zh-CN" w:eastAsia="zh-CN"/>
        </w:rPr>
        <w:t>名。其中局机关行政人员</w:t>
      </w:r>
      <w:r>
        <w:rPr>
          <w:rFonts w:hint="eastAsia" w:hAnsi="宋体" w:cs="宋体"/>
          <w:color w:val="auto"/>
          <w:kern w:val="0"/>
          <w:sz w:val="32"/>
          <w:szCs w:val="32"/>
          <w:highlight w:val="none"/>
          <w:shd w:val="clear" w:color="auto" w:fill="FFFFFF"/>
          <w:lang w:val="en-US" w:eastAsia="zh-CN"/>
        </w:rPr>
        <w:t>7名，机关工勤1名；</w:t>
      </w:r>
      <w:r>
        <w:rPr>
          <w:rFonts w:hint="eastAsia" w:hAnsi="宋体" w:cs="宋体"/>
          <w:color w:val="auto"/>
          <w:kern w:val="0"/>
          <w:sz w:val="32"/>
          <w:szCs w:val="32"/>
          <w:highlight w:val="none"/>
          <w:shd w:val="clear" w:color="auto" w:fill="FFFFFF"/>
          <w:lang w:val="zh-CN" w:eastAsia="zh-CN"/>
        </w:rPr>
        <w:t>下设公益一类事业单位</w:t>
      </w:r>
      <w:r>
        <w:rPr>
          <w:rFonts w:hint="eastAsia" w:hAnsi="宋体" w:cs="宋体"/>
          <w:color w:val="auto"/>
          <w:kern w:val="0"/>
          <w:sz w:val="32"/>
          <w:szCs w:val="32"/>
          <w:highlight w:val="none"/>
          <w:shd w:val="clear" w:color="auto" w:fill="FFFFFF"/>
          <w:lang w:val="en-US" w:eastAsia="zh-CN"/>
        </w:rPr>
        <w:t>2个</w:t>
      </w:r>
      <w:r>
        <w:rPr>
          <w:rFonts w:hint="eastAsia" w:hAnsi="宋体" w:cs="宋体"/>
          <w:color w:val="auto"/>
          <w:kern w:val="0"/>
          <w:sz w:val="32"/>
          <w:szCs w:val="32"/>
          <w:highlight w:val="none"/>
          <w:shd w:val="clear" w:color="auto" w:fill="FFFFFF"/>
          <w:lang w:val="zh-CN" w:eastAsia="zh-CN"/>
        </w:rPr>
        <w:t>，有事业编制人员</w:t>
      </w:r>
      <w:r>
        <w:rPr>
          <w:rFonts w:hint="eastAsia" w:hAnsi="宋体" w:cs="宋体"/>
          <w:color w:val="auto"/>
          <w:kern w:val="0"/>
          <w:sz w:val="32"/>
          <w:szCs w:val="32"/>
          <w:highlight w:val="none"/>
          <w:shd w:val="clear" w:color="auto" w:fill="FFFFFF"/>
          <w:lang w:val="en-US" w:eastAsia="zh-CN"/>
        </w:rPr>
        <w:t>12名。</w:t>
      </w:r>
    </w:p>
    <w:p w14:paraId="7667FDD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4E6AC638">
      <w:pPr>
        <w:spacing w:line="560" w:lineRule="exact"/>
        <w:ind w:firstLine="643" w:firstLineChars="200"/>
        <w:rPr>
          <w:rFonts w:hint="eastAsia" w:ascii="仿宋_GB2312" w:hAnsi="仿宋_GB2312" w:eastAsia="仿宋_GB2312" w:cs="仿宋_GB2312"/>
          <w:color w:val="000000"/>
          <w:sz w:val="32"/>
          <w:szCs w:val="32"/>
          <w:highlight w:val="none"/>
          <w:lang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en-US" w:eastAsia="zh-CN"/>
        </w:rPr>
        <w:t>2024年年初预算收入 512.20</w:t>
      </w:r>
      <w:r>
        <w:rPr>
          <w:rFonts w:hint="eastAsia" w:eastAsia="仿宋_GB2312" w:cs="Times New Roman"/>
          <w:sz w:val="32"/>
          <w:szCs w:val="32"/>
          <w:lang w:val="en-US" w:eastAsia="zh-CN"/>
        </w:rPr>
        <w:t>万元、</w:t>
      </w:r>
      <w:r>
        <w:rPr>
          <w:rFonts w:hint="eastAsia" w:ascii="仿宋_GB2312" w:hAnsi="仿宋_GB2312" w:eastAsia="仿宋_GB2312" w:cs="仿宋_GB2312"/>
          <w:color w:val="000000"/>
          <w:sz w:val="32"/>
          <w:szCs w:val="32"/>
          <w:highlight w:val="none"/>
          <w:lang w:eastAsia="zh-CN"/>
        </w:rPr>
        <w:t>决算收入合计480.48万元，其中：一般公共预算财政拨款收入480.48万元，占</w:t>
      </w:r>
      <w:r>
        <w:rPr>
          <w:rFonts w:hint="eastAsia" w:ascii="仿宋_GB2312" w:hAnsi="仿宋_GB2312" w:eastAsia="仿宋_GB2312" w:cs="仿宋_GB2312"/>
          <w:color w:val="000000"/>
          <w:sz w:val="32"/>
          <w:szCs w:val="32"/>
          <w:highlight w:val="none"/>
          <w:lang w:val="en-US" w:eastAsia="zh-CN"/>
        </w:rPr>
        <w:t>100</w:t>
      </w:r>
      <w:r>
        <w:rPr>
          <w:rFonts w:hint="eastAsia" w:ascii="仿宋_GB2312" w:hAnsi="仿宋_GB2312" w:eastAsia="仿宋_GB2312" w:cs="仿宋_GB2312"/>
          <w:color w:val="000000"/>
          <w:sz w:val="32"/>
          <w:szCs w:val="32"/>
          <w:highlight w:val="none"/>
          <w:lang w:eastAsia="zh-CN"/>
        </w:rPr>
        <w:t>%。</w:t>
      </w:r>
    </w:p>
    <w:p w14:paraId="1C05AAAB">
      <w:pPr>
        <w:spacing w:line="560" w:lineRule="exact"/>
        <w:ind w:firstLine="643" w:firstLineChars="200"/>
        <w:outlineLvl w:val="1"/>
        <w:rPr>
          <w:rFonts w:hint="default" w:ascii="Times New Roman" w:hAnsi="Times New Roman" w:cs="Times New Roman"/>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en-US" w:eastAsia="zh-CN"/>
        </w:rPr>
        <w:t>2024年年初预算支出 512.20</w:t>
      </w:r>
      <w:r>
        <w:rPr>
          <w:rFonts w:hint="eastAsia"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lang w:eastAsia="zh-CN"/>
        </w:rPr>
        <w:t>决算</w:t>
      </w:r>
      <w:r>
        <w:rPr>
          <w:rFonts w:hint="eastAsia" w:ascii="仿宋_GB2312" w:hAnsi="仿宋_GB2312" w:eastAsia="仿宋_GB2312" w:cs="仿宋_GB2312"/>
          <w:sz w:val="32"/>
          <w:szCs w:val="32"/>
        </w:rPr>
        <w:t>支出合计</w:t>
      </w:r>
      <w:r>
        <w:rPr>
          <w:rFonts w:hint="eastAsia" w:ascii="仿宋_GB2312" w:hAnsi="仿宋_GB2312" w:eastAsia="仿宋_GB2312" w:cs="仿宋_GB2312"/>
          <w:b w:val="0"/>
          <w:bCs/>
          <w:sz w:val="32"/>
          <w:szCs w:val="32"/>
          <w:lang w:eastAsia="zh-CN"/>
        </w:rPr>
        <w:t>480.48</w:t>
      </w:r>
      <w:r>
        <w:rPr>
          <w:rFonts w:hint="eastAsia" w:ascii="仿宋_GB2312" w:hAnsi="仿宋_GB2312" w:eastAsia="仿宋_GB2312" w:cs="仿宋_GB2312"/>
          <w:b w:val="0"/>
          <w:bCs/>
          <w:sz w:val="32"/>
          <w:szCs w:val="32"/>
        </w:rPr>
        <w:t>万元，其中：基本支出</w:t>
      </w:r>
      <w:r>
        <w:rPr>
          <w:rFonts w:hint="eastAsia" w:ascii="仿宋_GB2312" w:hAnsi="仿宋_GB2312" w:eastAsia="仿宋_GB2312" w:cs="仿宋_GB2312"/>
          <w:b w:val="0"/>
          <w:bCs/>
          <w:sz w:val="32"/>
          <w:szCs w:val="32"/>
          <w:lang w:eastAsia="zh-CN"/>
        </w:rPr>
        <w:t xml:space="preserve">385.49 </w:t>
      </w:r>
      <w:r>
        <w:rPr>
          <w:rFonts w:hint="eastAsia" w:ascii="仿宋_GB2312" w:hAnsi="仿宋_GB2312" w:eastAsia="仿宋_GB2312" w:cs="仿宋_GB2312"/>
          <w:b w:val="0"/>
          <w:bCs/>
          <w:sz w:val="32"/>
          <w:szCs w:val="32"/>
        </w:rPr>
        <w:t>万元，占</w:t>
      </w:r>
      <w:r>
        <w:rPr>
          <w:rFonts w:hint="eastAsia" w:ascii="仿宋_GB2312" w:hAnsi="仿宋_GB2312" w:eastAsia="仿宋_GB2312" w:cs="仿宋_GB2312"/>
          <w:b w:val="0"/>
          <w:bCs/>
          <w:sz w:val="32"/>
          <w:szCs w:val="32"/>
          <w:lang w:eastAsia="zh-CN"/>
        </w:rPr>
        <w:t>80.23%</w:t>
      </w:r>
      <w:r>
        <w:rPr>
          <w:rFonts w:hint="eastAsia" w:ascii="仿宋_GB2312" w:hAnsi="仿宋_GB2312" w:eastAsia="仿宋_GB2312" w:cs="仿宋_GB2312"/>
          <w:b w:val="0"/>
          <w:bCs/>
          <w:sz w:val="32"/>
          <w:szCs w:val="32"/>
        </w:rPr>
        <w:t>；项目支出</w:t>
      </w:r>
      <w:r>
        <w:rPr>
          <w:rFonts w:hint="eastAsia" w:ascii="仿宋_GB2312" w:hAnsi="仿宋_GB2312" w:eastAsia="仿宋_GB2312" w:cs="仿宋_GB2312"/>
          <w:b w:val="0"/>
          <w:bCs/>
          <w:sz w:val="32"/>
          <w:szCs w:val="32"/>
          <w:lang w:eastAsia="zh-CN"/>
        </w:rPr>
        <w:t>94.99</w:t>
      </w:r>
      <w:r>
        <w:rPr>
          <w:rFonts w:hint="eastAsia" w:ascii="仿宋_GB2312" w:hAnsi="仿宋_GB2312" w:eastAsia="仿宋_GB2312" w:cs="仿宋_GB2312"/>
          <w:b w:val="0"/>
          <w:bCs/>
          <w:sz w:val="32"/>
          <w:szCs w:val="32"/>
        </w:rPr>
        <w:t>万元，占</w:t>
      </w:r>
      <w:r>
        <w:rPr>
          <w:rFonts w:hint="eastAsia" w:ascii="仿宋_GB2312" w:hAnsi="仿宋_GB2312" w:eastAsia="仿宋_GB2312" w:cs="仿宋_GB2312"/>
          <w:b w:val="0"/>
          <w:bCs/>
          <w:sz w:val="32"/>
          <w:szCs w:val="32"/>
          <w:lang w:eastAsia="zh-CN"/>
        </w:rPr>
        <w:t>19.77%。</w:t>
      </w:r>
    </w:p>
    <w:p w14:paraId="54DDC439">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Times New Roman"/>
          <w:sz w:val="32"/>
          <w:szCs w:val="32"/>
          <w:lang w:val="en-US" w:eastAsia="zh-CN"/>
        </w:rPr>
        <w:t>2024年决算报表</w:t>
      </w:r>
      <w:r>
        <w:rPr>
          <w:rFonts w:hint="eastAsia" w:eastAsia="仿宋_GB2312" w:cs="Times New Roman"/>
          <w:sz w:val="32"/>
          <w:szCs w:val="32"/>
          <w:lang w:val="en-US" w:eastAsia="zh-CN"/>
        </w:rPr>
        <w:t>无</w:t>
      </w:r>
      <w:r>
        <w:rPr>
          <w:rFonts w:hint="default" w:ascii="Times New Roman" w:hAnsi="Times New Roman" w:eastAsia="仿宋_GB2312" w:cs="Times New Roman"/>
          <w:sz w:val="32"/>
          <w:szCs w:val="32"/>
          <w:lang w:val="en-US" w:eastAsia="zh-CN"/>
        </w:rPr>
        <w:t>结转结余</w:t>
      </w:r>
      <w:r>
        <w:rPr>
          <w:rFonts w:hint="eastAsia" w:ascii="Times New Roman" w:hAnsi="Times New Roman" w:eastAsia="仿宋_GB2312" w:cs="Times New Roman"/>
          <w:sz w:val="32"/>
          <w:szCs w:val="32"/>
          <w:lang w:val="en-US" w:eastAsia="zh-CN"/>
        </w:rPr>
        <w:t>情况</w:t>
      </w:r>
      <w:r>
        <w:rPr>
          <w:rFonts w:hint="default" w:ascii="Times New Roman" w:hAnsi="Times New Roman" w:eastAsia="仿宋_GB2312" w:cs="Times New Roman"/>
          <w:sz w:val="32"/>
          <w:szCs w:val="32"/>
          <w:lang w:val="en-US" w:eastAsia="zh-CN"/>
        </w:rPr>
        <w:t>。</w:t>
      </w:r>
    </w:p>
    <w:p w14:paraId="7ABD52F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152D630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Times New Roman" w:hAnsi="Times New Roman" w:eastAsia="仿宋_GB2312" w:cs="仿宋_GB2312"/>
          <w:color w:val="auto"/>
          <w:kern w:val="2"/>
          <w:sz w:val="32"/>
          <w:szCs w:val="32"/>
          <w:highlight w:val="none"/>
          <w:lang w:val="zh-CN" w:eastAsia="zh-CN" w:bidi="ar-SA"/>
        </w:rPr>
        <w:t>根据部门预算绩效评价指标体系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总体绩效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，依次包括履职效能、预算管理、财务管理、资产管理、采购管理等情况。</w:t>
      </w:r>
    </w:p>
    <w:p w14:paraId="4A9EBEF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履职效能。部门整体绩效目标中选定3-5个核心职能目标，对职能目标完成效果情况绩效分析。</w:t>
      </w:r>
    </w:p>
    <w:p w14:paraId="3E298B6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。围绕预算编制质量、单位收入统筹、支出执行进度、预算年终结余、严控一般性支出</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10415D9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。围绕财务管理制度、财务岗位设置、资金使用规范</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3D745C6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。围绕人均资产变化率、资产利用率、资产盘活率</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3574382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。围绕支持中小企业发展、采购执行率</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19E614D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249B870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常年项目绩效分析。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eastAsia="仿宋_GB2312" w:cs="仿宋_GB2312"/>
          <w:color w:val="auto"/>
          <w:kern w:val="2"/>
          <w:sz w:val="32"/>
          <w:szCs w:val="32"/>
          <w:highlight w:val="none"/>
          <w:lang w:val="en-US" w:eastAsia="zh-CN" w:bidi="ar-SA"/>
        </w:rPr>
        <w:t>94.99</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zh-CN" w:eastAsia="zh-CN" w:bidi="ar-SA"/>
        </w:rPr>
        <w:t>%，</w:t>
      </w:r>
      <w:r>
        <w:rPr>
          <w:rFonts w:hint="eastAsia" w:eastAsia="仿宋_GB2312" w:cs="仿宋_GB2312"/>
          <w:color w:val="auto"/>
          <w:kern w:val="2"/>
          <w:sz w:val="32"/>
          <w:szCs w:val="32"/>
          <w:highlight w:val="none"/>
          <w:lang w:val="zh-CN" w:eastAsia="zh-CN" w:bidi="ar-SA"/>
        </w:rPr>
        <w:t>所有</w:t>
      </w:r>
      <w:r>
        <w:rPr>
          <w:rFonts w:hint="default" w:ascii="Times New Roman" w:hAnsi="Times New Roman" w:eastAsia="仿宋_GB2312" w:cs="仿宋_GB2312"/>
          <w:color w:val="auto"/>
          <w:kern w:val="2"/>
          <w:sz w:val="32"/>
          <w:szCs w:val="32"/>
          <w:highlight w:val="none"/>
          <w:lang w:val="zh-CN" w:eastAsia="zh-CN" w:bidi="ar-SA"/>
        </w:rPr>
        <w:t>预算</w:t>
      </w:r>
      <w:r>
        <w:rPr>
          <w:rFonts w:hint="eastAsia" w:eastAsia="仿宋_GB2312" w:cs="仿宋_GB2312"/>
          <w:color w:val="auto"/>
          <w:kern w:val="2"/>
          <w:sz w:val="32"/>
          <w:szCs w:val="32"/>
          <w:highlight w:val="none"/>
          <w:lang w:val="zh-CN" w:eastAsia="zh-CN" w:bidi="ar-SA"/>
        </w:rPr>
        <w:t>均无</w:t>
      </w:r>
      <w:r>
        <w:rPr>
          <w:rFonts w:hint="default" w:ascii="Times New Roman" w:hAnsi="Times New Roman" w:eastAsia="仿宋_GB2312" w:cs="仿宋_GB2312"/>
          <w:color w:val="auto"/>
          <w:kern w:val="2"/>
          <w:sz w:val="32"/>
          <w:szCs w:val="32"/>
          <w:highlight w:val="none"/>
          <w:lang w:val="zh-CN" w:eastAsia="zh-CN" w:bidi="ar-SA"/>
        </w:rPr>
        <w:t>结余。</w:t>
      </w:r>
    </w:p>
    <w:p w14:paraId="1481EE0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阶段</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一次性</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default" w:ascii="Times New Roman" w:hAnsi="Times New Roman"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w:t>
      </w:r>
    </w:p>
    <w:p w14:paraId="1EA9357C">
      <w:pPr>
        <w:keepNext w:val="0"/>
        <w:keepLines w:val="0"/>
        <w:widowControl w:val="0"/>
        <w:suppressLineNumbers w:val="0"/>
        <w:spacing w:before="0" w:beforeLines="0" w:beforeAutospacing="0" w:after="0" w:afterLines="0" w:afterAutospacing="0" w:line="560" w:lineRule="exact"/>
        <w:ind w:left="0" w:right="0" w:firstLine="640"/>
        <w:jc w:val="both"/>
        <w:rPr>
          <w:rFonts w:hint="default" w:ascii="Times New Roman" w:hAnsi="Times New Roman" w:cs="Times New Roman"/>
          <w:kern w:val="0"/>
          <w:szCs w:val="32"/>
          <w:lang w:val="zh-CN" w:eastAsia="zh-CN"/>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项目决策。</w:t>
      </w:r>
      <w:r>
        <w:rPr>
          <w:rFonts w:hint="eastAsia" w:eastAsia="仿宋_GB2312" w:cs="仿宋_GB2312"/>
          <w:color w:val="auto"/>
          <w:kern w:val="2"/>
          <w:sz w:val="32"/>
          <w:szCs w:val="32"/>
          <w:highlight w:val="none"/>
          <w:lang w:val="en-US" w:eastAsia="zh-CN" w:bidi="ar-SA"/>
        </w:rPr>
        <w:t>2024年度所有</w:t>
      </w:r>
      <w:r>
        <w:rPr>
          <w:rFonts w:hint="eastAsia" w:eastAsia="仿宋_GB2312" w:cs="仿宋_GB2312"/>
          <w:kern w:val="2"/>
          <w:sz w:val="32"/>
          <w:szCs w:val="32"/>
          <w:lang w:val="en-US" w:eastAsia="zh-CN" w:bidi="ar"/>
        </w:rPr>
        <w:t>项目实施均是根据《中华人民共和国审计法》第十一条：“审计机关履行职责所必须的经费，应当列入预算予以保证”之规定纳入预算，同时结合近三年审计工作业务量，对项目实施的必要性进行充分分析论证确定</w:t>
      </w:r>
      <w:r>
        <w:rPr>
          <w:rFonts w:hint="eastAsia" w:eastAsia="仿宋_GB2312" w:cs="仿宋_GB2312"/>
          <w:kern w:val="0"/>
          <w:sz w:val="32"/>
          <w:szCs w:val="32"/>
          <w:lang w:val="zh-CN" w:eastAsia="zh-CN" w:bidi="ar"/>
        </w:rPr>
        <w:t>，</w:t>
      </w:r>
      <w:r>
        <w:rPr>
          <w:rFonts w:hint="eastAsia" w:eastAsia="仿宋_GB2312" w:cs="仿宋_GB2312"/>
          <w:kern w:val="2"/>
          <w:sz w:val="32"/>
          <w:szCs w:val="32"/>
          <w:lang w:val="en-US" w:eastAsia="zh-CN" w:bidi="ar"/>
        </w:rPr>
        <w:t>对项目资金分配、兑付等均经党组会研究。项目实施理想依据充分。</w:t>
      </w:r>
    </w:p>
    <w:p w14:paraId="35F5F4D1">
      <w:pPr>
        <w:pStyle w:val="9"/>
        <w:widowControl/>
        <w:spacing w:before="0" w:beforeLines="0" w:beforeAutospacing="0" w:after="0" w:afterAutospacing="0" w:line="560" w:lineRule="exact"/>
        <w:ind w:left="0" w:leftChars="0" w:right="0" w:firstLine="632"/>
        <w:rPr>
          <w:rFonts w:hint="eastAsia" w:ascii="Times New Roman" w:hAnsi="Times New Roman"/>
          <w:kern w:val="0"/>
          <w:lang w:eastAsia="zh-CN"/>
        </w:rPr>
      </w:pPr>
      <w:r>
        <w:rPr>
          <w:rFonts w:hint="eastAsia" w:ascii="Times New Roman" w:hAnsi="Times New Roman"/>
          <w:kern w:val="0"/>
          <w:lang w:eastAsia="zh-CN"/>
        </w:rPr>
        <w:t>2.项目执行。全年预算收入与支出一致，不存在随意调整，执行率达到</w:t>
      </w:r>
      <w:r>
        <w:rPr>
          <w:rFonts w:hint="eastAsia" w:ascii="Times New Roman" w:hAnsi="Times New Roman"/>
          <w:kern w:val="0"/>
          <w:lang w:val="en-US" w:eastAsia="zh-CN"/>
        </w:rPr>
        <w:t>100%。全力保障了</w:t>
      </w:r>
      <w:r>
        <w:rPr>
          <w:rFonts w:hint="eastAsia" w:ascii="Times New Roman" w:hAnsi="Times New Roman"/>
          <w:kern w:val="0"/>
          <w:lang w:eastAsia="zh-CN"/>
        </w:rPr>
        <w:t>审计业务工作的正常开展。确保了每一个项目审计开展依法依规、客观公正，审计结果的真实、准确、客观，更好的规范了权力运行，维护群众利益，提高社会认可度，提高审计为民成果，使群众满意度达到</w:t>
      </w:r>
      <w:r>
        <w:rPr>
          <w:rFonts w:hint="eastAsia" w:ascii="Times New Roman" w:hAnsi="Times New Roman"/>
          <w:kern w:val="0"/>
          <w:lang w:val="en-US" w:eastAsia="zh-CN"/>
        </w:rPr>
        <w:t>9</w:t>
      </w:r>
      <w:r>
        <w:rPr>
          <w:rFonts w:hint="eastAsia" w:ascii="Times New Roman" w:hAnsi="Times New Roman"/>
          <w:kern w:val="0"/>
          <w:lang w:eastAsia="zh-CN"/>
        </w:rPr>
        <w:t>5%以上。围绕资金执行同向、项目调整、执行结果进行绩效分析。</w:t>
      </w:r>
    </w:p>
    <w:p w14:paraId="7E1DA630">
      <w:pPr>
        <w:pStyle w:val="9"/>
        <w:widowControl/>
        <w:spacing w:before="0" w:beforeLines="0" w:beforeAutospacing="0" w:after="0" w:afterAutospacing="0" w:line="560" w:lineRule="exact"/>
        <w:ind w:left="0" w:leftChars="0" w:right="0" w:firstLine="632"/>
        <w:rPr>
          <w:rFonts w:hint="eastAsia" w:ascii="Times New Roman" w:hAnsi="Times New Roman"/>
          <w:kern w:val="0"/>
          <w:lang w:eastAsia="zh-CN"/>
        </w:rPr>
      </w:pPr>
      <w:r>
        <w:rPr>
          <w:rFonts w:hint="eastAsia" w:ascii="Times New Roman" w:hAnsi="Times New Roman"/>
          <w:kern w:val="0"/>
          <w:lang w:eastAsia="zh-CN"/>
        </w:rPr>
        <w:t>3.目标实现。全年预算执行高效有序，保障了机关正常运行。推动干部队伍建设，全力保障了机关干部职工社会保险及时缴纳，不存在拖欠等问题。同时有效推动年度审计项目计划实施。</w:t>
      </w:r>
    </w:p>
    <w:p w14:paraId="67F80ABD">
      <w:pPr>
        <w:pStyle w:val="9"/>
        <w:widowControl/>
        <w:spacing w:before="0" w:beforeLines="0" w:beforeAutospacing="0" w:after="0" w:afterAutospacing="0" w:line="560" w:lineRule="exact"/>
        <w:ind w:left="0" w:leftChars="0" w:right="0" w:firstLine="632"/>
        <w:rPr>
          <w:rFonts w:hint="eastAsia" w:ascii="Times New Roman" w:hAnsi="Times New Roman"/>
          <w:kern w:val="0"/>
          <w:lang w:eastAsia="zh-CN"/>
        </w:rPr>
      </w:pPr>
      <w:r>
        <w:rPr>
          <w:rFonts w:hint="eastAsia" w:ascii="楷体" w:hAnsi="楷体" w:eastAsia="楷体" w:cs="楷体"/>
          <w:kern w:val="0"/>
          <w:lang w:eastAsia="zh-CN"/>
        </w:rPr>
        <w:t>（三）绩效结果应用情况。</w:t>
      </w:r>
      <w:r>
        <w:rPr>
          <w:rFonts w:hint="eastAsia" w:ascii="Times New Roman" w:hAnsi="Times New Roman"/>
          <w:kern w:val="0"/>
          <w:lang w:eastAsia="zh-CN"/>
        </w:rPr>
        <w:t>按照相关要求，安居区审计局按时完成了202</w:t>
      </w:r>
      <w:r>
        <w:rPr>
          <w:rFonts w:hint="eastAsia" w:ascii="Times New Roman" w:hAnsi="Times New Roman"/>
          <w:kern w:val="0"/>
          <w:lang w:val="en-US" w:eastAsia="zh-CN"/>
        </w:rPr>
        <w:t>4</w:t>
      </w:r>
      <w:r>
        <w:rPr>
          <w:rFonts w:hint="eastAsia" w:ascii="Times New Roman" w:hAnsi="Times New Roman"/>
          <w:kern w:val="0"/>
          <w:lang w:eastAsia="zh-CN"/>
        </w:rPr>
        <w:t>年部门绩效评价和202</w:t>
      </w:r>
      <w:r>
        <w:rPr>
          <w:rFonts w:hint="eastAsia" w:ascii="Times New Roman" w:hAnsi="Times New Roman"/>
          <w:kern w:val="0"/>
          <w:lang w:val="en-US" w:eastAsia="zh-CN"/>
        </w:rPr>
        <w:t>4</w:t>
      </w:r>
      <w:r>
        <w:rPr>
          <w:rFonts w:hint="eastAsia" w:ascii="Times New Roman" w:hAnsi="Times New Roman"/>
          <w:kern w:val="0"/>
          <w:lang w:eastAsia="zh-CN"/>
        </w:rPr>
        <w:t>年度绩效监控工作，并按要求向财政部门报送，自评报告和项目绩效运行监控分析表等相关绩效信息。同时对绩效自评工作和绩效监控工作中发现的问题进行及时整改。</w:t>
      </w:r>
    </w:p>
    <w:p w14:paraId="77E0FA78">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sz w:val="32"/>
          <w:szCs w:val="32"/>
          <w:highlight w:val="none"/>
          <w:u w:val="none"/>
          <w:lang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Times New Roman"/>
          <w:sz w:val="32"/>
          <w:szCs w:val="32"/>
          <w:highlight w:val="none"/>
          <w:u w:val="none"/>
          <w:lang w:val="zh-CN" w:eastAsia="zh-CN" w:bidi="ar"/>
        </w:rPr>
        <w:t>围绕内部应用情况、</w:t>
      </w:r>
      <w:r>
        <w:rPr>
          <w:rFonts w:hint="default" w:ascii="Times New Roman" w:hAnsi="Times New Roman" w:eastAsia="仿宋_GB2312" w:cs="Times New Roman"/>
          <w:sz w:val="32"/>
          <w:szCs w:val="32"/>
          <w:highlight w:val="none"/>
          <w:u w:val="none"/>
          <w:lang w:val="zh-CN" w:eastAsia="zh-CN" w:bidi="ar"/>
        </w:rPr>
        <w:t>信息公开情况</w:t>
      </w:r>
      <w:r>
        <w:rPr>
          <w:rFonts w:hint="eastAsia" w:ascii="Times New Roman" w:hAnsi="Times New Roman" w:eastAsia="仿宋_GB2312" w:cs="Times New Roman"/>
          <w:sz w:val="32"/>
          <w:szCs w:val="32"/>
          <w:highlight w:val="none"/>
          <w:u w:val="none"/>
          <w:lang w:val="zh-CN" w:eastAsia="zh-CN" w:bidi="ar"/>
        </w:rPr>
        <w:t>、</w:t>
      </w:r>
      <w:r>
        <w:rPr>
          <w:rFonts w:hint="default" w:ascii="Times New Roman" w:hAnsi="Times New Roman" w:eastAsia="仿宋_GB2312" w:cs="Times New Roman"/>
          <w:sz w:val="32"/>
          <w:szCs w:val="32"/>
          <w:highlight w:val="none"/>
          <w:u w:val="none"/>
          <w:lang w:val="zh-CN" w:eastAsia="zh-CN" w:bidi="ar"/>
        </w:rPr>
        <w:t>整改反馈情况</w:t>
      </w:r>
      <w:r>
        <w:rPr>
          <w:rFonts w:hint="eastAsia" w:ascii="Times New Roman" w:hAnsi="Times New Roman" w:eastAsia="仿宋_GB2312" w:cs="Times New Roman"/>
          <w:sz w:val="32"/>
          <w:szCs w:val="32"/>
          <w:highlight w:val="none"/>
          <w:u w:val="none"/>
          <w:lang w:val="zh-CN" w:eastAsia="zh-CN" w:bidi="ar"/>
        </w:rPr>
        <w:t>进行分析。</w:t>
      </w:r>
    </w:p>
    <w:p w14:paraId="03DACCD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7FE9AA77">
      <w:pPr>
        <w:pStyle w:val="9"/>
        <w:widowControl/>
        <w:spacing w:before="0" w:beforeLines="0" w:beforeAutospacing="0" w:after="0" w:afterAutospacing="0" w:line="560" w:lineRule="exact"/>
        <w:ind w:left="0" w:leftChars="0" w:right="0" w:firstLine="632"/>
        <w:rPr>
          <w:rFonts w:hint="eastAsia" w:ascii="Times New Roman" w:hAnsi="Times New Roman"/>
          <w:kern w:val="0"/>
          <w:lang w:eastAsia="zh-CN"/>
        </w:rPr>
      </w:pPr>
      <w:r>
        <w:rPr>
          <w:rFonts w:hint="eastAsia" w:ascii="楷体" w:hAnsi="楷体" w:eastAsia="楷体" w:cs="楷体"/>
          <w:kern w:val="0"/>
          <w:lang w:eastAsia="zh-CN"/>
        </w:rPr>
        <w:t>（一）评价结论。</w:t>
      </w:r>
      <w:r>
        <w:rPr>
          <w:rFonts w:hint="eastAsia" w:ascii="Times New Roman" w:hAnsi="Times New Roman"/>
          <w:kern w:val="0"/>
          <w:lang w:eastAsia="zh-CN"/>
        </w:rPr>
        <w:t>通过自查，202</w:t>
      </w:r>
      <w:r>
        <w:rPr>
          <w:rFonts w:hint="eastAsia" w:ascii="Times New Roman" w:hAnsi="Times New Roman"/>
          <w:kern w:val="0"/>
          <w:lang w:val="en-US" w:eastAsia="zh-CN"/>
        </w:rPr>
        <w:t>4</w:t>
      </w:r>
      <w:r>
        <w:rPr>
          <w:rFonts w:hint="eastAsia" w:ascii="Times New Roman" w:hAnsi="Times New Roman"/>
          <w:kern w:val="0"/>
          <w:lang w:eastAsia="zh-CN"/>
        </w:rPr>
        <w:t>年安居区审计局预算报送及时合规、财政绩效评价工作按时保质推进，基本支出、项目决策、项目管理等方面更加规范有序，财政资金管理严格，程序合法，效果显著，节能降耗效果较明显，内控制度按要求进行了修行完善，较好地完成了各项目标任务,绩效自评得分</w:t>
      </w:r>
      <w:r>
        <w:rPr>
          <w:rFonts w:hint="eastAsia" w:ascii="Times New Roman" w:hAnsi="Times New Roman"/>
          <w:kern w:val="0"/>
          <w:lang w:val="en-US" w:eastAsia="zh-CN"/>
        </w:rPr>
        <w:t>100</w:t>
      </w:r>
      <w:r>
        <w:rPr>
          <w:rFonts w:hint="eastAsia" w:ascii="Times New Roman" w:hAnsi="Times New Roman"/>
          <w:kern w:val="0"/>
          <w:lang w:eastAsia="zh-CN"/>
        </w:rPr>
        <w:t>分。</w:t>
      </w:r>
    </w:p>
    <w:p w14:paraId="014A1C3C">
      <w:pPr>
        <w:pStyle w:val="9"/>
        <w:widowControl/>
        <w:spacing w:before="0" w:beforeLines="0" w:beforeAutospacing="0" w:after="0" w:afterAutospacing="0" w:line="560" w:lineRule="exact"/>
        <w:ind w:left="0" w:leftChars="0" w:right="0" w:firstLine="632"/>
        <w:rPr>
          <w:rFonts w:hint="eastAsia" w:ascii="Times New Roman" w:hAnsi="Times New Roman"/>
          <w:kern w:val="0"/>
          <w:lang w:eastAsia="zh-CN"/>
        </w:rPr>
      </w:pPr>
      <w:r>
        <w:rPr>
          <w:rFonts w:hint="eastAsia" w:ascii="楷体" w:hAnsi="楷体" w:eastAsia="楷体" w:cs="楷体"/>
          <w:kern w:val="0"/>
          <w:lang w:eastAsia="zh-CN"/>
        </w:rPr>
        <w:t>（二）存在问题。</w:t>
      </w:r>
      <w:r>
        <w:rPr>
          <w:rFonts w:hint="eastAsia" w:ascii="Times New Roman" w:hAnsi="Times New Roman"/>
          <w:kern w:val="0"/>
          <w:lang w:eastAsia="zh-CN"/>
        </w:rPr>
        <w:t>一是预算编制精度有待进一步加强。部分项目资金预算不足，政府投资审计咨询项目劳务费、办公费预算不科学。二是绩效评价水平有待进一步提高。预算绩效管理认识不够，导致绩效评价工作质量不高。在开展项目绩效评价时，绩效目标级次不科学，级次目标太低等问题存在，不能充分发挥绩效确定的导向性。</w:t>
      </w:r>
    </w:p>
    <w:p w14:paraId="7C1E9108">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楷体" w:hAnsi="楷体" w:eastAsia="楷体" w:cs="楷体"/>
          <w:kern w:val="0"/>
          <w:sz w:val="32"/>
          <w:szCs w:val="32"/>
          <w:lang w:val="en-US" w:eastAsia="zh-CN" w:bidi="ar"/>
        </w:rPr>
        <w:t>（三）改进建议。</w:t>
      </w:r>
      <w:r>
        <w:rPr>
          <w:rFonts w:hint="eastAsia" w:eastAsia="仿宋_GB2312" w:cs="Times New Roman"/>
          <w:kern w:val="0"/>
          <w:sz w:val="32"/>
          <w:szCs w:val="32"/>
          <w:lang w:val="en-US" w:eastAsia="zh-CN" w:bidi="ar"/>
        </w:rPr>
        <w:t>一是</w:t>
      </w:r>
      <w:r>
        <w:rPr>
          <w:rFonts w:hint="eastAsia" w:ascii="Times New Roman" w:hAnsi="Times New Roman" w:cs="Times New Roman"/>
          <w:kern w:val="0"/>
          <w:sz w:val="32"/>
          <w:szCs w:val="32"/>
          <w:lang w:val="en-US" w:eastAsia="zh-CN" w:bidi="ar"/>
        </w:rPr>
        <w:t>加强年度预算编制研究</w:t>
      </w:r>
      <w:r>
        <w:rPr>
          <w:rFonts w:hint="eastAsia" w:ascii="Times New Roman" w:hAnsi="Times New Roman" w:eastAsia="仿宋_GB2312" w:cs="Times New Roman"/>
          <w:kern w:val="0"/>
          <w:sz w:val="32"/>
          <w:szCs w:val="32"/>
          <w:lang w:val="en-US" w:eastAsia="zh-CN" w:bidi="ar"/>
        </w:rPr>
        <w:t>。</w:t>
      </w:r>
      <w:r>
        <w:rPr>
          <w:rFonts w:hint="eastAsia" w:ascii="Times New Roman" w:hAnsi="Times New Roman" w:cs="Times New Roman"/>
          <w:kern w:val="0"/>
          <w:sz w:val="32"/>
          <w:szCs w:val="32"/>
          <w:lang w:val="en-US" w:eastAsia="zh-CN" w:bidi="ar"/>
        </w:rPr>
        <w:t>通过对近三年的预算及新年度工作的预判，采取党组会、业务会等方式开展集中研究，提高预算编制的精准度。</w:t>
      </w:r>
      <w:r>
        <w:rPr>
          <w:rFonts w:hint="eastAsia" w:eastAsia="仿宋_GB2312" w:cs="Times New Roman"/>
          <w:kern w:val="0"/>
          <w:sz w:val="32"/>
          <w:szCs w:val="32"/>
          <w:lang w:val="en-US" w:eastAsia="zh-CN" w:bidi="ar"/>
        </w:rPr>
        <w:t>二是</w:t>
      </w:r>
      <w:r>
        <w:rPr>
          <w:rFonts w:hint="eastAsia" w:ascii="Times New Roman" w:hAnsi="Times New Roman" w:eastAsia="仿宋_GB2312" w:cs="Times New Roman"/>
          <w:kern w:val="0"/>
          <w:sz w:val="32"/>
          <w:szCs w:val="32"/>
          <w:lang w:val="en-US" w:eastAsia="zh-CN" w:bidi="ar"/>
        </w:rPr>
        <w:t>加强对绩效评价、预算执行、内控制度相关规定的学习培训，提综合业务水平。</w:t>
      </w:r>
    </w:p>
    <w:p w14:paraId="16E38CF7">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eastAsia="仿宋_GB2312" w:cs="Times New Roman"/>
          <w:kern w:val="2"/>
          <w:sz w:val="32"/>
          <w:szCs w:val="32"/>
          <w:u w:val="none"/>
          <w:lang w:val="en-US" w:eastAsia="zh-CN" w:bidi="ar"/>
        </w:rPr>
        <w:t>1</w:t>
      </w:r>
      <w:r>
        <w:rPr>
          <w:rFonts w:hint="eastAsia" w:ascii="Times New Roman" w:eastAsia="仿宋_GB2312" w:cs="Times New Roman"/>
          <w:color w:val="auto"/>
          <w:kern w:val="2"/>
          <w:sz w:val="32"/>
          <w:szCs w:val="32"/>
          <w:highlight w:val="none"/>
          <w:u w:val="none"/>
          <w:lang w:val="en-US" w:eastAsia="zh-CN" w:bidi="ar"/>
        </w:rPr>
        <w:t>.</w:t>
      </w:r>
      <w:r>
        <w:rPr>
          <w:rFonts w:hint="eastAsia" w:ascii="Times New Roman" w:hAnsi="Times New Roman" w:eastAsia="仿宋_GB2312" w:cs="Times New Roman"/>
          <w:color w:val="auto"/>
          <w:kern w:val="2"/>
          <w:sz w:val="32"/>
          <w:szCs w:val="32"/>
          <w:highlight w:val="none"/>
          <w:u w:val="none"/>
          <w:lang w:val="en-US" w:eastAsia="zh-CN" w:bidi="ar"/>
        </w:rPr>
        <w:t>部门整体支出绩效</w:t>
      </w:r>
      <w:r>
        <w:rPr>
          <w:rFonts w:hint="eastAsia" w:ascii="Times New Roman" w:hAnsi="Times New Roman" w:cs="Times New Roman"/>
          <w:color w:val="auto"/>
          <w:kern w:val="2"/>
          <w:sz w:val="32"/>
          <w:szCs w:val="32"/>
          <w:highlight w:val="none"/>
          <w:u w:val="none"/>
          <w:lang w:val="en-US" w:eastAsia="zh-CN" w:bidi="ar"/>
        </w:rPr>
        <w:t>自评</w:t>
      </w:r>
      <w:r>
        <w:rPr>
          <w:rFonts w:hint="eastAsia" w:ascii="Times New Roman" w:eastAsia="仿宋_GB2312" w:cs="Times New Roman"/>
          <w:color w:val="auto"/>
          <w:kern w:val="2"/>
          <w:sz w:val="32"/>
          <w:szCs w:val="32"/>
          <w:highlight w:val="none"/>
          <w:u w:val="none"/>
          <w:lang w:val="en-US" w:eastAsia="zh-CN" w:bidi="ar"/>
        </w:rPr>
        <w:t>表</w:t>
      </w:r>
    </w:p>
    <w:p w14:paraId="0F8B0E31">
      <w:pPr>
        <w:pStyle w:val="9"/>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eastAsia" w:ascii="Times New Roman" w:hAnsi="Times New Roman" w:eastAsia="仿宋_GB2312" w:cs="Times New Roman"/>
          <w:color w:val="auto"/>
          <w:kern w:val="2"/>
          <w:sz w:val="32"/>
          <w:szCs w:val="32"/>
          <w:u w:val="none"/>
          <w:lang w:val="en-US" w:eastAsia="zh-CN" w:bidi="ar"/>
        </w:rPr>
      </w:pPr>
      <w:r>
        <w:rPr>
          <w:rFonts w:hint="eastAsia" w:ascii="Times New Roman" w:hAnsi="Times New Roman" w:cs="Times New Roman"/>
          <w:color w:val="auto"/>
          <w:kern w:val="2"/>
          <w:sz w:val="32"/>
          <w:szCs w:val="32"/>
          <w:u w:val="none"/>
          <w:lang w:val="en-US" w:eastAsia="zh-CN" w:bidi="ar"/>
        </w:rPr>
        <w:t>2.</w:t>
      </w:r>
      <w:r>
        <w:rPr>
          <w:rFonts w:hint="eastAsia" w:ascii="Times New Roman" w:hAnsi="Times New Roman" w:eastAsia="仿宋_GB2312" w:cs="Times New Roman"/>
          <w:color w:val="auto"/>
          <w:kern w:val="2"/>
          <w:sz w:val="32"/>
          <w:szCs w:val="32"/>
          <w:u w:val="none"/>
          <w:lang w:val="en-US" w:eastAsia="zh-CN" w:bidi="ar"/>
        </w:rPr>
        <w:t>部门</w:t>
      </w:r>
      <w:r>
        <w:rPr>
          <w:rFonts w:hint="eastAsia" w:ascii="Times New Roman" w:eastAsia="仿宋_GB2312" w:cs="Times New Roman"/>
          <w:color w:val="auto"/>
          <w:kern w:val="2"/>
          <w:sz w:val="32"/>
          <w:szCs w:val="32"/>
          <w:u w:val="none"/>
          <w:lang w:val="en-US" w:eastAsia="zh-CN" w:bidi="ar"/>
        </w:rPr>
        <w:t>预算项目</w:t>
      </w:r>
      <w:r>
        <w:rPr>
          <w:rFonts w:hint="eastAsia" w:ascii="Times New Roman" w:hAnsi="Times New Roman" w:eastAsia="仿宋_GB2312" w:cs="Times New Roman"/>
          <w:color w:val="auto"/>
          <w:kern w:val="2"/>
          <w:sz w:val="32"/>
          <w:szCs w:val="32"/>
          <w:u w:val="none"/>
          <w:lang w:val="en-US" w:eastAsia="zh-CN" w:bidi="ar"/>
        </w:rPr>
        <w:t>支出绩效自评表（2024年度）</w:t>
      </w:r>
    </w:p>
    <w:p w14:paraId="4604A13B">
      <w:pPr>
        <w:rPr>
          <w:rFonts w:hint="eastAsia" w:ascii="Times New Roman" w:hAnsi="Times New Roman" w:eastAsia="仿宋_GB2312" w:cs="Times New Roman"/>
          <w:color w:val="FF0000"/>
          <w:kern w:val="2"/>
          <w:sz w:val="32"/>
          <w:szCs w:val="32"/>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r>
        <w:rPr>
          <w:rFonts w:hint="eastAsia" w:ascii="Times New Roman" w:hAnsi="Times New Roman" w:eastAsia="仿宋_GB2312" w:cs="Times New Roman"/>
          <w:color w:val="FF0000"/>
          <w:kern w:val="2"/>
          <w:sz w:val="32"/>
          <w:szCs w:val="32"/>
          <w:u w:val="none"/>
          <w:lang w:val="en-US" w:eastAsia="zh-CN" w:bidi="ar"/>
        </w:rPr>
        <w:br w:type="page"/>
      </w: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0"/>
        <w:gridCol w:w="610"/>
        <w:gridCol w:w="219"/>
        <w:gridCol w:w="402"/>
        <w:gridCol w:w="832"/>
        <w:gridCol w:w="832"/>
        <w:gridCol w:w="385"/>
        <w:gridCol w:w="607"/>
        <w:gridCol w:w="1190"/>
        <w:gridCol w:w="1191"/>
        <w:gridCol w:w="856"/>
        <w:gridCol w:w="1008"/>
      </w:tblGrid>
      <w:tr w14:paraId="6F766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12"/>
            <w:tcBorders>
              <w:top w:val="nil"/>
              <w:left w:val="nil"/>
              <w:bottom w:val="single" w:color="auto" w:sz="4" w:space="0"/>
              <w:right w:val="nil"/>
            </w:tcBorders>
            <w:shd w:val="clear" w:color="auto" w:fill="auto"/>
            <w:noWrap/>
            <w:vAlign w:val="center"/>
          </w:tcPr>
          <w:p w14:paraId="1F2127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仿宋_GB2312" w:cs="Times New Roman"/>
                <w:b w:val="0"/>
                <w:bCs w:val="0"/>
                <w:color w:val="auto"/>
                <w:kern w:val="2"/>
                <w:sz w:val="32"/>
                <w:szCs w:val="32"/>
                <w:highlight w:val="none"/>
                <w:u w:val="none"/>
                <w:lang w:val="en-US" w:eastAsia="zh-CN" w:bidi="ar"/>
              </w:rPr>
              <w:t>部门整体支出绩效</w:t>
            </w:r>
            <w:r>
              <w:rPr>
                <w:rFonts w:hint="eastAsia" w:hAnsi="Calibri" w:eastAsia="仿宋_GB2312" w:cs="Times New Roman"/>
                <w:b w:val="0"/>
                <w:bCs w:val="0"/>
                <w:color w:val="auto"/>
                <w:kern w:val="2"/>
                <w:sz w:val="32"/>
                <w:szCs w:val="32"/>
                <w:highlight w:val="none"/>
                <w:u w:val="none"/>
                <w:lang w:val="en-US" w:eastAsia="zh-CN" w:bidi="ar"/>
              </w:rPr>
              <w:t>自评</w:t>
            </w:r>
            <w:r>
              <w:rPr>
                <w:rFonts w:hint="eastAsia" w:ascii="Times New Roman" w:hAnsi="Calibri" w:eastAsia="仿宋_GB2312" w:cs="Times New Roman"/>
                <w:b w:val="0"/>
                <w:bCs w:val="0"/>
                <w:color w:val="auto"/>
                <w:kern w:val="2"/>
                <w:sz w:val="32"/>
                <w:szCs w:val="32"/>
                <w:highlight w:val="none"/>
                <w:u w:val="none"/>
                <w:lang w:val="en-US" w:eastAsia="zh-CN" w:bidi="ar"/>
              </w:rPr>
              <w:t>表</w:t>
            </w:r>
          </w:p>
        </w:tc>
      </w:tr>
      <w:tr w14:paraId="5A33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5" w:type="pct"/>
            <w:gridSpan w:val="3"/>
            <w:tcBorders>
              <w:top w:val="single" w:color="auto" w:sz="4" w:space="0"/>
              <w:left w:val="single" w:color="auto" w:sz="4" w:space="0"/>
              <w:bottom w:val="nil"/>
              <w:right w:val="single" w:color="auto" w:sz="4" w:space="0"/>
            </w:tcBorders>
            <w:shd w:val="clear" w:color="auto" w:fill="auto"/>
            <w:noWrap/>
            <w:vAlign w:val="center"/>
          </w:tcPr>
          <w:p w14:paraId="18715D9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_GB2312" w:cs="Times New Roman"/>
                <w:b w:val="0"/>
                <w:bCs w:val="0"/>
                <w:color w:val="auto"/>
                <w:kern w:val="2"/>
                <w:sz w:val="32"/>
                <w:szCs w:val="32"/>
                <w:highlight w:val="none"/>
                <w:u w:val="none"/>
                <w:lang w:val="en-US" w:eastAsia="zh-CN" w:bidi="ar"/>
              </w:rPr>
            </w:pPr>
            <w:r>
              <w:rPr>
                <w:rFonts w:hint="eastAsia"/>
                <w:lang w:val="en-US" w:eastAsia="zh-CN"/>
              </w:rPr>
              <w:t>预算（单位）名称：</w:t>
            </w:r>
          </w:p>
        </w:tc>
        <w:tc>
          <w:tcPr>
            <w:tcW w:w="4284" w:type="pct"/>
            <w:gridSpan w:val="9"/>
            <w:tcBorders>
              <w:top w:val="single" w:color="auto" w:sz="4" w:space="0"/>
              <w:left w:val="single" w:color="auto" w:sz="4" w:space="0"/>
              <w:bottom w:val="nil"/>
              <w:right w:val="single" w:color="auto" w:sz="4" w:space="0"/>
            </w:tcBorders>
            <w:shd w:val="clear" w:color="auto" w:fill="auto"/>
            <w:noWrap/>
            <w:vAlign w:val="center"/>
          </w:tcPr>
          <w:p w14:paraId="5B3D78A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_GB2312" w:cs="Times New Roman"/>
                <w:b w:val="0"/>
                <w:bCs w:val="0"/>
                <w:color w:val="auto"/>
                <w:kern w:val="2"/>
                <w:sz w:val="32"/>
                <w:szCs w:val="32"/>
                <w:highlight w:val="none"/>
                <w:u w:val="none"/>
                <w:lang w:val="en-US" w:eastAsia="zh-CN" w:bidi="ar"/>
              </w:rPr>
            </w:pPr>
            <w:r>
              <w:rPr>
                <w:rFonts w:hint="eastAsia"/>
                <w:lang w:val="en-US" w:eastAsia="zh-CN"/>
              </w:rPr>
              <w:t>351-遂宁市安居区审计局部门</w:t>
            </w:r>
          </w:p>
        </w:tc>
      </w:tr>
      <w:tr w14:paraId="33DD2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586"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15A4A232">
            <w:pPr>
              <w:keepNext w:val="0"/>
              <w:keepLines w:val="0"/>
              <w:suppressLineNumbers w:val="0"/>
              <w:bidi w:val="0"/>
              <w:spacing w:before="0" w:beforeAutospacing="0" w:after="0" w:afterAutospacing="0"/>
              <w:ind w:left="0" w:right="0"/>
              <w:rPr>
                <w:rFonts w:hint="eastAsia"/>
              </w:rPr>
            </w:pPr>
            <w:r>
              <w:rPr>
                <w:rFonts w:hint="eastAsia"/>
                <w:lang w:val="en-US" w:eastAsia="zh-CN"/>
              </w:rPr>
              <w:t>总体资金情况（元）</w:t>
            </w:r>
          </w:p>
        </w:tc>
        <w:tc>
          <w:tcPr>
            <w:tcW w:w="364" w:type="pct"/>
            <w:gridSpan w:val="2"/>
            <w:vMerge w:val="restart"/>
            <w:tcBorders>
              <w:top w:val="nil"/>
              <w:left w:val="single" w:color="000000" w:sz="4" w:space="0"/>
              <w:bottom w:val="single" w:color="000000" w:sz="4" w:space="0"/>
              <w:right w:val="single" w:color="000000" w:sz="4" w:space="0"/>
            </w:tcBorders>
            <w:shd w:val="clear" w:color="auto" w:fill="FFFFFF"/>
            <w:vAlign w:val="center"/>
          </w:tcPr>
          <w:p w14:paraId="75552841">
            <w:pPr>
              <w:keepNext w:val="0"/>
              <w:keepLines w:val="0"/>
              <w:suppressLineNumbers w:val="0"/>
              <w:bidi w:val="0"/>
              <w:spacing w:before="0" w:beforeAutospacing="0" w:after="0" w:afterAutospacing="0"/>
              <w:ind w:left="0" w:right="0"/>
              <w:rPr>
                <w:rFonts w:hint="eastAsia"/>
              </w:rPr>
            </w:pPr>
            <w:r>
              <w:rPr>
                <w:rFonts w:hint="eastAsia"/>
                <w:lang w:val="en-US" w:eastAsia="zh-CN"/>
              </w:rPr>
              <w:t>预算支出总额</w:t>
            </w:r>
          </w:p>
        </w:tc>
        <w:tc>
          <w:tcPr>
            <w:tcW w:w="1558" w:type="pct"/>
            <w:gridSpan w:val="4"/>
            <w:tcBorders>
              <w:top w:val="nil"/>
              <w:left w:val="single" w:color="000000" w:sz="4" w:space="0"/>
              <w:bottom w:val="single" w:color="000000" w:sz="4" w:space="0"/>
              <w:right w:val="single" w:color="000000" w:sz="4" w:space="0"/>
            </w:tcBorders>
            <w:shd w:val="clear" w:color="auto" w:fill="FFFFFF"/>
            <w:vAlign w:val="center"/>
          </w:tcPr>
          <w:p w14:paraId="6B7B1E16">
            <w:pPr>
              <w:keepNext w:val="0"/>
              <w:keepLines w:val="0"/>
              <w:suppressLineNumbers w:val="0"/>
              <w:bidi w:val="0"/>
              <w:spacing w:before="0" w:beforeAutospacing="0" w:after="0" w:afterAutospacing="0"/>
              <w:ind w:left="0" w:right="0"/>
              <w:rPr>
                <w:rFonts w:hint="eastAsia"/>
              </w:rPr>
            </w:pPr>
            <w:r>
              <w:rPr>
                <w:rFonts w:hint="eastAsia"/>
                <w:lang w:val="en-US" w:eastAsia="zh-CN"/>
              </w:rPr>
              <w:t>基本支出</w:t>
            </w:r>
          </w:p>
        </w:tc>
        <w:tc>
          <w:tcPr>
            <w:tcW w:w="2490" w:type="pct"/>
            <w:gridSpan w:val="4"/>
            <w:tcBorders>
              <w:top w:val="nil"/>
              <w:left w:val="single" w:color="000000" w:sz="4" w:space="0"/>
              <w:bottom w:val="single" w:color="000000" w:sz="4" w:space="0"/>
              <w:right w:val="single" w:color="000000" w:sz="4" w:space="0"/>
            </w:tcBorders>
            <w:shd w:val="clear" w:color="auto" w:fill="auto"/>
            <w:vAlign w:val="center"/>
          </w:tcPr>
          <w:p w14:paraId="29088B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项目支出</w:t>
            </w:r>
          </w:p>
        </w:tc>
      </w:tr>
      <w:tr w14:paraId="3AE30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6" w:type="pct"/>
            <w:gridSpan w:val="2"/>
            <w:vMerge w:val="continue"/>
            <w:tcBorders>
              <w:top w:val="nil"/>
              <w:left w:val="single" w:color="000000" w:sz="4" w:space="0"/>
              <w:bottom w:val="single" w:color="000000" w:sz="4" w:space="0"/>
              <w:right w:val="single" w:color="000000" w:sz="4" w:space="0"/>
            </w:tcBorders>
            <w:shd w:val="clear" w:color="auto" w:fill="auto"/>
            <w:vAlign w:val="center"/>
          </w:tcPr>
          <w:p w14:paraId="55BE4B40">
            <w:pPr>
              <w:keepNext w:val="0"/>
              <w:keepLines w:val="0"/>
              <w:suppressLineNumbers w:val="0"/>
              <w:bidi w:val="0"/>
              <w:spacing w:before="0" w:beforeAutospacing="0" w:after="0" w:afterAutospacing="0"/>
              <w:ind w:left="0" w:right="0"/>
              <w:rPr>
                <w:rFonts w:hint="eastAsia"/>
              </w:rPr>
            </w:pPr>
          </w:p>
        </w:tc>
        <w:tc>
          <w:tcPr>
            <w:tcW w:w="364" w:type="pct"/>
            <w:gridSpan w:val="2"/>
            <w:vMerge w:val="continue"/>
            <w:tcBorders>
              <w:top w:val="nil"/>
              <w:left w:val="single" w:color="000000" w:sz="4" w:space="0"/>
              <w:bottom w:val="single" w:color="000000" w:sz="4" w:space="0"/>
              <w:right w:val="single" w:color="000000" w:sz="4" w:space="0"/>
            </w:tcBorders>
            <w:shd w:val="clear" w:color="auto" w:fill="FFFFFF"/>
            <w:vAlign w:val="center"/>
          </w:tcPr>
          <w:p w14:paraId="7794D0FF">
            <w:pPr>
              <w:keepNext w:val="0"/>
              <w:keepLines w:val="0"/>
              <w:suppressLineNumbers w:val="0"/>
              <w:bidi w:val="0"/>
              <w:spacing w:before="0" w:beforeAutospacing="0" w:after="0" w:afterAutospacing="0"/>
              <w:ind w:left="0" w:right="0"/>
              <w:rPr>
                <w:rFonts w:hint="eastAsia"/>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A709E">
            <w:pPr>
              <w:keepNext w:val="0"/>
              <w:keepLines w:val="0"/>
              <w:suppressLineNumbers w:val="0"/>
              <w:bidi w:val="0"/>
              <w:spacing w:before="0" w:beforeAutospacing="0" w:after="0" w:afterAutospacing="0"/>
              <w:ind w:left="0" w:right="0"/>
              <w:rPr>
                <w:rFonts w:hint="eastAsia"/>
              </w:rPr>
            </w:pPr>
            <w:r>
              <w:rPr>
                <w:rFonts w:hint="eastAsia"/>
                <w:lang w:val="en-US" w:eastAsia="zh-CN"/>
              </w:rPr>
              <w:t>合计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1AC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239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专户资金</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321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单位资金</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A49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DDB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5DE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专户资金</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12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单位资金</w:t>
            </w:r>
          </w:p>
        </w:tc>
      </w:tr>
      <w:tr w14:paraId="7B3AE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6" w:type="pct"/>
            <w:gridSpan w:val="2"/>
            <w:vMerge w:val="continue"/>
            <w:tcBorders>
              <w:top w:val="nil"/>
              <w:left w:val="single" w:color="000000" w:sz="4" w:space="0"/>
              <w:bottom w:val="single" w:color="000000" w:sz="4" w:space="0"/>
              <w:right w:val="single" w:color="000000" w:sz="4" w:space="0"/>
            </w:tcBorders>
            <w:shd w:val="clear" w:color="auto" w:fill="auto"/>
            <w:vAlign w:val="center"/>
          </w:tcPr>
          <w:p w14:paraId="781F5F00">
            <w:pPr>
              <w:keepNext w:val="0"/>
              <w:keepLines w:val="0"/>
              <w:suppressLineNumbers w:val="0"/>
              <w:bidi w:val="0"/>
              <w:spacing w:before="0" w:beforeAutospacing="0" w:after="0" w:afterAutospacing="0"/>
              <w:ind w:left="0" w:right="0"/>
              <w:rPr>
                <w:rFonts w:hint="eastAsia"/>
              </w:rPr>
            </w:pP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D4D526">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4804800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1912E">
            <w:pPr>
              <w:keepNext w:val="0"/>
              <w:keepLines w:val="0"/>
              <w:suppressLineNumbers w:val="0"/>
              <w:bidi w:val="0"/>
              <w:spacing w:before="0" w:beforeAutospacing="0" w:after="0" w:afterAutospacing="0"/>
              <w:ind w:left="0" w:right="0"/>
              <w:rPr>
                <w:rFonts w:hint="eastAsia"/>
              </w:rPr>
            </w:pPr>
            <w:r>
              <w:rPr>
                <w:rFonts w:hint="eastAsia"/>
                <w:lang w:val="en-US" w:eastAsia="zh-CN"/>
              </w:rPr>
              <w:t>3854900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08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right"/>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3854900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27B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right"/>
              <w:rPr>
                <w:rFonts w:hint="eastAsia" w:ascii="宋体" w:hAnsi="宋体" w:eastAsia="宋体" w:cs="宋体"/>
                <w:i w:val="0"/>
                <w:iCs w:val="0"/>
                <w:color w:val="000000"/>
                <w:sz w:val="16"/>
                <w:szCs w:val="16"/>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B54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right"/>
              <w:rPr>
                <w:rFonts w:hint="eastAsia" w:ascii="宋体" w:hAnsi="宋体" w:eastAsia="宋体" w:cs="宋体"/>
                <w:i w:val="0"/>
                <w:iCs w:val="0"/>
                <w:color w:val="000000"/>
                <w:sz w:val="16"/>
                <w:szCs w:val="16"/>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D85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right"/>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949900</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C2A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right"/>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949900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F5B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right"/>
              <w:rPr>
                <w:rFonts w:hint="eastAsia" w:ascii="宋体" w:hAnsi="宋体" w:eastAsia="宋体" w:cs="宋体"/>
                <w:i w:val="0"/>
                <w:iCs w:val="0"/>
                <w:color w:val="000000"/>
                <w:sz w:val="16"/>
                <w:szCs w:val="16"/>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06C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right"/>
              <w:rPr>
                <w:rFonts w:hint="eastAsia" w:ascii="宋体" w:hAnsi="宋体" w:eastAsia="宋体" w:cs="宋体"/>
                <w:i w:val="0"/>
                <w:iCs w:val="0"/>
                <w:color w:val="000000"/>
                <w:sz w:val="16"/>
                <w:szCs w:val="16"/>
                <w:u w:val="none"/>
              </w:rPr>
            </w:pPr>
          </w:p>
        </w:tc>
      </w:tr>
      <w:tr w14:paraId="0223E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310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整体绩效目标</w:t>
            </w:r>
          </w:p>
        </w:tc>
        <w:tc>
          <w:tcPr>
            <w:tcW w:w="4413"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B9757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化建设及维护，确保有效运行。;向区委审计委员会提交年度区级预算执行和其他财政收支情况的审计报告。向区政府和市审计局提交年度区级预算执行和其他财政收支请的审计结果报告。受区政府委托向区人大想委会提交区级预算执行和其他财政收支情况的审计工作报告、审计查出问题整改情况报告。向区委、区政府报告对其他事项的审计和专项审计调查情况及结果。依法向社会公布审计结果。向区委、区政府有关部门和乡镇人民政府（街道办事处）通报审计情况和审计结果。</w:t>
            </w:r>
          </w:p>
        </w:tc>
      </w:tr>
      <w:tr w14:paraId="7311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051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年度主要任务</w:t>
            </w:r>
          </w:p>
        </w:tc>
        <w:tc>
          <w:tcPr>
            <w:tcW w:w="15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78CB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任务名称</w:t>
            </w:r>
          </w:p>
        </w:tc>
        <w:tc>
          <w:tcPr>
            <w:tcW w:w="284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A19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主要内容</w:t>
            </w:r>
          </w:p>
        </w:tc>
      </w:tr>
      <w:tr w14:paraId="3F34F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6" w:type="pct"/>
            <w:gridSpan w:val="2"/>
            <w:vMerge w:val="continue"/>
            <w:tcBorders>
              <w:left w:val="single" w:color="000000" w:sz="4" w:space="0"/>
              <w:right w:val="single" w:color="000000" w:sz="4" w:space="0"/>
            </w:tcBorders>
            <w:shd w:val="clear" w:color="auto" w:fill="auto"/>
            <w:vAlign w:val="center"/>
          </w:tcPr>
          <w:p w14:paraId="3C40AC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4456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审计业务专项经费</w:t>
            </w:r>
          </w:p>
        </w:tc>
        <w:tc>
          <w:tcPr>
            <w:tcW w:w="284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79D5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在实施经责、财政、自然资源审计过程中须要现场查看并涉及外聘专业人员、设备等产生租车、劳务费等相关费用</w:t>
            </w:r>
          </w:p>
        </w:tc>
      </w:tr>
      <w:tr w14:paraId="154DC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6D5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i w:val="0"/>
                <w:iCs w:val="0"/>
                <w:color w:val="000000"/>
                <w:sz w:val="16"/>
                <w:szCs w:val="16"/>
                <w:u w:val="none"/>
              </w:rPr>
            </w:pPr>
          </w:p>
        </w:tc>
        <w:tc>
          <w:tcPr>
            <w:tcW w:w="1566"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34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信息化建设</w:t>
            </w:r>
          </w:p>
        </w:tc>
        <w:tc>
          <w:tcPr>
            <w:tcW w:w="2846"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4D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top"/>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审计专网例行维护，设备购置</w:t>
            </w:r>
          </w:p>
        </w:tc>
      </w:tr>
      <w:tr w14:paraId="250B5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7FE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i w:val="0"/>
                <w:iCs w:val="0"/>
                <w:color w:val="000000"/>
                <w:sz w:val="16"/>
                <w:szCs w:val="16"/>
                <w:u w:val="none"/>
              </w:rPr>
            </w:pPr>
          </w:p>
        </w:tc>
        <w:tc>
          <w:tcPr>
            <w:tcW w:w="1566"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CA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政府投资审计咨询费</w:t>
            </w:r>
          </w:p>
        </w:tc>
        <w:tc>
          <w:tcPr>
            <w:tcW w:w="2846"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60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top"/>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政府投资审计项目咨询费及劳务费等</w:t>
            </w:r>
          </w:p>
        </w:tc>
      </w:tr>
      <w:tr w14:paraId="5CD71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5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04C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i w:val="0"/>
                <w:iCs w:val="0"/>
                <w:color w:val="000000"/>
                <w:sz w:val="16"/>
                <w:szCs w:val="16"/>
                <w:u w:val="none"/>
              </w:rPr>
            </w:pPr>
          </w:p>
        </w:tc>
        <w:tc>
          <w:tcPr>
            <w:tcW w:w="1566"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3E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人员经费</w:t>
            </w:r>
          </w:p>
        </w:tc>
        <w:tc>
          <w:tcPr>
            <w:tcW w:w="2846"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7C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top"/>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保障机关人员基本工资、津补贴、奖金</w:t>
            </w:r>
          </w:p>
        </w:tc>
      </w:tr>
      <w:tr w14:paraId="7203A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586" w:type="pct"/>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4B2A7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i w:val="0"/>
                <w:iCs w:val="0"/>
                <w:color w:val="000000"/>
                <w:sz w:val="16"/>
                <w:szCs w:val="16"/>
                <w:u w:val="none"/>
              </w:rPr>
            </w:pPr>
          </w:p>
        </w:tc>
        <w:tc>
          <w:tcPr>
            <w:tcW w:w="1566"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F3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公用经费</w:t>
            </w:r>
          </w:p>
        </w:tc>
        <w:tc>
          <w:tcPr>
            <w:tcW w:w="2846"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68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top"/>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保障机关工作正常运转办公费、邮电费、公务接待费、差旅费、会议费等</w:t>
            </w:r>
          </w:p>
        </w:tc>
      </w:tr>
      <w:tr w14:paraId="7EE3C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228" w:type="pct"/>
            <w:vMerge w:val="restart"/>
            <w:tcBorders>
              <w:top w:val="single" w:color="auto" w:sz="4" w:space="0"/>
              <w:left w:val="single" w:color="000000" w:sz="4" w:space="0"/>
              <w:right w:val="single" w:color="auto" w:sz="4" w:space="0"/>
            </w:tcBorders>
            <w:shd w:val="clear" w:color="auto" w:fill="auto"/>
            <w:vAlign w:val="center"/>
          </w:tcPr>
          <w:p w14:paraId="48F7C5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rPr>
                <w:rFonts w:hint="eastAsia" w:ascii="宋体" w:hAnsi="宋体" w:eastAsia="宋体" w:cs="宋体"/>
                <w:i w:val="0"/>
                <w:iCs w:val="0"/>
                <w:color w:val="000000"/>
                <w:sz w:val="16"/>
                <w:szCs w:val="16"/>
                <w:u w:val="none"/>
                <w:lang w:eastAsia="zh-CN"/>
              </w:rPr>
            </w:pPr>
          </w:p>
          <w:p w14:paraId="27F3A9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rPr>
                <w:rFonts w:hint="eastAsia" w:ascii="宋体" w:hAnsi="宋体" w:eastAsia="宋体" w:cs="宋体"/>
                <w:i w:val="0"/>
                <w:iCs w:val="0"/>
                <w:color w:val="000000"/>
                <w:sz w:val="16"/>
                <w:szCs w:val="16"/>
                <w:u w:val="none"/>
                <w:lang w:eastAsia="zh-CN"/>
              </w:rPr>
            </w:pPr>
          </w:p>
          <w:p w14:paraId="153B54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rPr>
                <w:rFonts w:hint="eastAsia" w:ascii="宋体" w:hAnsi="宋体" w:eastAsia="宋体" w:cs="宋体"/>
                <w:i w:val="0"/>
                <w:iCs w:val="0"/>
                <w:color w:val="000000"/>
                <w:sz w:val="16"/>
                <w:szCs w:val="16"/>
                <w:u w:val="none"/>
                <w:lang w:eastAsia="zh-CN"/>
              </w:rPr>
            </w:pPr>
          </w:p>
          <w:p w14:paraId="698F60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rPr>
                <w:rFonts w:hint="eastAsia" w:ascii="宋体" w:hAnsi="宋体" w:eastAsia="宋体" w:cs="宋体"/>
                <w:i w:val="0"/>
                <w:iCs w:val="0"/>
                <w:color w:val="000000"/>
                <w:sz w:val="16"/>
                <w:szCs w:val="16"/>
                <w:u w:val="none"/>
                <w:lang w:eastAsia="zh-CN"/>
              </w:rPr>
            </w:pPr>
          </w:p>
          <w:p w14:paraId="65DC2F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rPr>
                <w:rFonts w:hint="eastAsia" w:ascii="宋体" w:hAnsi="宋体" w:eastAsia="宋体" w:cs="宋体"/>
                <w:i w:val="0"/>
                <w:iCs w:val="0"/>
                <w:color w:val="000000"/>
                <w:sz w:val="16"/>
                <w:szCs w:val="16"/>
                <w:u w:val="none"/>
                <w:lang w:eastAsia="zh-CN"/>
              </w:rPr>
            </w:pPr>
          </w:p>
          <w:p w14:paraId="0463A3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rPr>
                <w:rFonts w:hint="eastAsia" w:ascii="宋体" w:hAnsi="宋体" w:eastAsia="宋体" w:cs="宋体"/>
                <w:i w:val="0"/>
                <w:iCs w:val="0"/>
                <w:color w:val="000000"/>
                <w:sz w:val="16"/>
                <w:szCs w:val="16"/>
                <w:u w:val="none"/>
                <w:lang w:eastAsia="zh-CN"/>
              </w:rPr>
            </w:pPr>
          </w:p>
          <w:p w14:paraId="24ADC0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rPr>
                <w:rFonts w:hint="eastAsia" w:ascii="宋体" w:hAnsi="宋体" w:eastAsia="宋体" w:cs="宋体"/>
                <w:i w:val="0"/>
                <w:iCs w:val="0"/>
                <w:color w:val="000000"/>
                <w:sz w:val="16"/>
                <w:szCs w:val="16"/>
                <w:u w:val="none"/>
                <w:lang w:eastAsia="zh-CN"/>
              </w:rPr>
            </w:pPr>
          </w:p>
          <w:p w14:paraId="483F02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rPr>
                <w:rFonts w:hint="eastAsia" w:ascii="宋体" w:hAnsi="宋体" w:eastAsia="宋体" w:cs="宋体"/>
                <w:i w:val="0"/>
                <w:iCs w:val="0"/>
                <w:color w:val="000000"/>
                <w:sz w:val="16"/>
                <w:szCs w:val="16"/>
                <w:u w:val="none"/>
                <w:lang w:eastAsia="zh-CN"/>
              </w:rPr>
            </w:pPr>
          </w:p>
          <w:p w14:paraId="4217A2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rPr>
                <w:rFonts w:hint="eastAsia" w:ascii="宋体" w:hAnsi="宋体" w:eastAsia="宋体" w:cs="宋体"/>
                <w:i w:val="0"/>
                <w:iCs w:val="0"/>
                <w:color w:val="000000"/>
                <w:sz w:val="16"/>
                <w:szCs w:val="16"/>
                <w:u w:val="none"/>
                <w:lang w:eastAsia="zh-CN"/>
              </w:rPr>
            </w:pPr>
          </w:p>
          <w:p w14:paraId="3A63D8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rPr>
                <w:rFonts w:hint="eastAsia" w:ascii="宋体" w:hAnsi="宋体" w:eastAsia="宋体" w:cs="宋体"/>
                <w:i w:val="0"/>
                <w:iCs w:val="0"/>
                <w:color w:val="000000"/>
                <w:sz w:val="16"/>
                <w:szCs w:val="16"/>
                <w:u w:val="none"/>
                <w:lang w:eastAsia="zh-CN"/>
              </w:rPr>
            </w:pPr>
          </w:p>
          <w:p w14:paraId="40A125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部门整体绩效情况</w:t>
            </w:r>
          </w:p>
        </w:tc>
        <w:tc>
          <w:tcPr>
            <w:tcW w:w="4771" w:type="pct"/>
            <w:gridSpan w:val="11"/>
            <w:tcBorders>
              <w:top w:val="single" w:color="auto" w:sz="4" w:space="0"/>
              <w:left w:val="single" w:color="auto" w:sz="4" w:space="0"/>
              <w:right w:val="single" w:color="000000" w:sz="4" w:space="0"/>
            </w:tcBorders>
            <w:shd w:val="clear" w:color="auto" w:fill="auto"/>
            <w:vAlign w:val="center"/>
          </w:tcPr>
          <w:p w14:paraId="280B8C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黑体" w:hAnsi="黑体" w:eastAsia="黑体" w:cs="黑体"/>
                <w:i w:val="0"/>
                <w:iCs w:val="0"/>
                <w:color w:val="000000"/>
                <w:kern w:val="0"/>
                <w:sz w:val="16"/>
                <w:szCs w:val="16"/>
                <w:u w:val="none"/>
                <w:lang w:val="en-US" w:eastAsia="zh-CN" w:bidi="ar"/>
              </w:rPr>
            </w:pPr>
            <w:r>
              <w:rPr>
                <w:rFonts w:hint="eastAsia" w:ascii="黑体" w:hAnsi="黑体" w:eastAsia="黑体" w:cs="黑体"/>
                <w:b/>
                <w:bCs/>
                <w:i w:val="0"/>
                <w:iCs w:val="0"/>
                <w:color w:val="808080"/>
                <w:kern w:val="0"/>
                <w:sz w:val="16"/>
                <w:szCs w:val="16"/>
                <w:u w:val="none"/>
                <w:lang w:val="en-US" w:eastAsia="zh-CN" w:bidi="ar"/>
              </w:rPr>
              <w:t>年度绩效指标</w:t>
            </w:r>
          </w:p>
        </w:tc>
      </w:tr>
      <w:tr w14:paraId="13A96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228" w:type="pct"/>
            <w:vMerge w:val="continue"/>
            <w:tcBorders>
              <w:left w:val="single" w:color="000000" w:sz="4" w:space="0"/>
              <w:right w:val="single" w:color="auto" w:sz="4" w:space="0"/>
            </w:tcBorders>
            <w:shd w:val="clear" w:color="auto" w:fill="auto"/>
            <w:vAlign w:val="center"/>
          </w:tcPr>
          <w:p w14:paraId="0982BC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b/>
                <w:bCs/>
                <w:i w:val="0"/>
                <w:iCs w:val="0"/>
                <w:color w:val="000000"/>
                <w:sz w:val="16"/>
                <w:szCs w:val="16"/>
                <w:u w:val="none"/>
              </w:rPr>
            </w:pPr>
          </w:p>
        </w:tc>
        <w:tc>
          <w:tcPr>
            <w:tcW w:w="357" w:type="pct"/>
            <w:tcBorders>
              <w:top w:val="single" w:color="auto" w:sz="4" w:space="0"/>
              <w:left w:val="single" w:color="auto" w:sz="4" w:space="0"/>
              <w:bottom w:val="single" w:color="auto" w:sz="4" w:space="0"/>
              <w:right w:val="single" w:color="000000" w:sz="4" w:space="0"/>
            </w:tcBorders>
            <w:shd w:val="clear" w:color="auto" w:fill="auto"/>
            <w:vAlign w:val="center"/>
          </w:tcPr>
          <w:p w14:paraId="68D50F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一级指标</w:t>
            </w:r>
          </w:p>
        </w:tc>
        <w:tc>
          <w:tcPr>
            <w:tcW w:w="852" w:type="pct"/>
            <w:gridSpan w:val="3"/>
            <w:tcBorders>
              <w:top w:val="single" w:color="000000" w:sz="4" w:space="0"/>
              <w:left w:val="single" w:color="000000" w:sz="4" w:space="0"/>
              <w:bottom w:val="nil"/>
              <w:right w:val="single" w:color="000000" w:sz="4" w:space="0"/>
            </w:tcBorders>
            <w:shd w:val="clear" w:color="auto" w:fill="auto"/>
            <w:vAlign w:val="center"/>
          </w:tcPr>
          <w:p w14:paraId="0F4DBE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二级指标</w:t>
            </w:r>
          </w:p>
        </w:tc>
        <w:tc>
          <w:tcPr>
            <w:tcW w:w="1070" w:type="pct"/>
            <w:gridSpan w:val="3"/>
            <w:tcBorders>
              <w:top w:val="single" w:color="000000" w:sz="4" w:space="0"/>
              <w:left w:val="single" w:color="000000" w:sz="4" w:space="0"/>
              <w:bottom w:val="nil"/>
              <w:right w:val="single" w:color="000000" w:sz="4" w:space="0"/>
            </w:tcBorders>
            <w:shd w:val="clear" w:color="auto" w:fill="auto"/>
            <w:vAlign w:val="center"/>
          </w:tcPr>
          <w:p w14:paraId="2B4F5A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三级指标</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6FC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绩效指标性质</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E05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绩效指标值</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76C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绩效度量单位</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EFE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权重</w:t>
            </w:r>
          </w:p>
        </w:tc>
      </w:tr>
      <w:tr w14:paraId="55C66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8" w:type="pct"/>
            <w:vMerge w:val="continue"/>
            <w:tcBorders>
              <w:left w:val="single" w:color="000000" w:sz="4" w:space="0"/>
              <w:right w:val="single" w:color="auto" w:sz="4" w:space="0"/>
            </w:tcBorders>
            <w:shd w:val="clear" w:color="auto" w:fill="auto"/>
            <w:vAlign w:val="center"/>
          </w:tcPr>
          <w:p w14:paraId="6BF31D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b/>
                <w:bCs/>
                <w:i w:val="0"/>
                <w:iCs w:val="0"/>
                <w:color w:val="000000"/>
                <w:sz w:val="16"/>
                <w:szCs w:val="16"/>
                <w:u w:val="none"/>
              </w:rPr>
            </w:pPr>
          </w:p>
        </w:tc>
        <w:tc>
          <w:tcPr>
            <w:tcW w:w="357" w:type="pct"/>
            <w:vMerge w:val="restart"/>
            <w:tcBorders>
              <w:top w:val="single" w:color="000000" w:sz="4" w:space="0"/>
              <w:left w:val="single" w:color="000000" w:sz="4" w:space="0"/>
              <w:right w:val="nil"/>
            </w:tcBorders>
            <w:shd w:val="clear" w:color="auto" w:fill="auto"/>
            <w:vAlign w:val="center"/>
          </w:tcPr>
          <w:p w14:paraId="40E389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852" w:type="pct"/>
            <w:gridSpan w:val="3"/>
            <w:vMerge w:val="restart"/>
            <w:tcBorders>
              <w:top w:val="single" w:color="000000" w:sz="4" w:space="0"/>
              <w:left w:val="single" w:color="000000" w:sz="4" w:space="0"/>
              <w:right w:val="nil"/>
            </w:tcBorders>
            <w:shd w:val="clear" w:color="auto" w:fill="auto"/>
            <w:vAlign w:val="center"/>
          </w:tcPr>
          <w:p w14:paraId="5263EF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0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124A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保障机关人员基本工资、津补贴、奖金</w:t>
            </w:r>
          </w:p>
        </w:tc>
        <w:tc>
          <w:tcPr>
            <w:tcW w:w="698" w:type="pct"/>
            <w:tcBorders>
              <w:top w:val="single" w:color="000000" w:sz="4" w:space="0"/>
              <w:left w:val="nil"/>
              <w:bottom w:val="single" w:color="000000" w:sz="4" w:space="0"/>
              <w:right w:val="single" w:color="000000" w:sz="4" w:space="0"/>
            </w:tcBorders>
            <w:shd w:val="clear" w:color="auto" w:fill="auto"/>
            <w:vAlign w:val="center"/>
          </w:tcPr>
          <w:p w14:paraId="423FC8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1EB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D42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0B3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14:paraId="41EAC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8" w:type="pct"/>
            <w:vMerge w:val="continue"/>
            <w:tcBorders>
              <w:left w:val="single" w:color="000000" w:sz="4" w:space="0"/>
              <w:right w:val="single" w:color="auto" w:sz="4" w:space="0"/>
            </w:tcBorders>
            <w:shd w:val="clear" w:color="auto" w:fill="auto"/>
            <w:vAlign w:val="center"/>
          </w:tcPr>
          <w:p w14:paraId="5CBC07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b/>
                <w:bCs/>
                <w:i w:val="0"/>
                <w:iCs w:val="0"/>
                <w:color w:val="000000"/>
                <w:sz w:val="16"/>
                <w:szCs w:val="16"/>
                <w:u w:val="none"/>
              </w:rPr>
            </w:pPr>
          </w:p>
        </w:tc>
        <w:tc>
          <w:tcPr>
            <w:tcW w:w="357" w:type="pct"/>
            <w:vMerge w:val="continue"/>
            <w:tcBorders>
              <w:left w:val="single" w:color="000000" w:sz="4" w:space="0"/>
              <w:right w:val="nil"/>
            </w:tcBorders>
            <w:shd w:val="clear" w:color="auto" w:fill="auto"/>
            <w:vAlign w:val="center"/>
          </w:tcPr>
          <w:p w14:paraId="395A24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b/>
                <w:bCs/>
                <w:i w:val="0"/>
                <w:iCs w:val="0"/>
                <w:color w:val="000000"/>
                <w:sz w:val="16"/>
                <w:szCs w:val="16"/>
                <w:u w:val="none"/>
              </w:rPr>
            </w:pPr>
          </w:p>
        </w:tc>
        <w:tc>
          <w:tcPr>
            <w:tcW w:w="852" w:type="pct"/>
            <w:gridSpan w:val="3"/>
            <w:vMerge w:val="continue"/>
            <w:tcBorders>
              <w:left w:val="single" w:color="000000" w:sz="4" w:space="0"/>
              <w:right w:val="nil"/>
            </w:tcBorders>
            <w:shd w:val="clear" w:color="auto" w:fill="auto"/>
            <w:vAlign w:val="center"/>
          </w:tcPr>
          <w:p w14:paraId="67F62E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宋体" w:hAnsi="宋体" w:eastAsia="宋体" w:cs="宋体"/>
                <w:i w:val="0"/>
                <w:iCs w:val="0"/>
                <w:color w:val="000000"/>
                <w:sz w:val="16"/>
                <w:szCs w:val="16"/>
                <w:u w:val="none"/>
              </w:rPr>
            </w:pPr>
          </w:p>
        </w:tc>
        <w:tc>
          <w:tcPr>
            <w:tcW w:w="10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F09A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严格按照年度计划完成审计项目数量</w:t>
            </w:r>
          </w:p>
        </w:tc>
        <w:tc>
          <w:tcPr>
            <w:tcW w:w="698" w:type="pct"/>
            <w:tcBorders>
              <w:top w:val="single" w:color="000000" w:sz="4" w:space="0"/>
              <w:left w:val="nil"/>
              <w:bottom w:val="single" w:color="000000" w:sz="4" w:space="0"/>
              <w:right w:val="single" w:color="000000" w:sz="4" w:space="0"/>
            </w:tcBorders>
            <w:shd w:val="clear" w:color="auto" w:fill="auto"/>
            <w:vAlign w:val="center"/>
          </w:tcPr>
          <w:p w14:paraId="7E9890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98" w:type="pct"/>
            <w:tcBorders>
              <w:top w:val="single" w:color="000000" w:sz="4" w:space="0"/>
              <w:left w:val="single" w:color="000000" w:sz="4" w:space="0"/>
              <w:bottom w:val="single" w:color="000000" w:sz="4" w:space="0"/>
              <w:right w:val="single" w:color="auto" w:sz="4" w:space="0"/>
            </w:tcBorders>
            <w:shd w:val="clear" w:color="auto" w:fill="auto"/>
            <w:vAlign w:val="center"/>
          </w:tcPr>
          <w:p w14:paraId="1EFCA7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F07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1DF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14:paraId="3D4EE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8" w:type="pct"/>
            <w:vMerge w:val="continue"/>
            <w:tcBorders>
              <w:left w:val="single" w:color="000000" w:sz="4" w:space="0"/>
              <w:right w:val="single" w:color="auto" w:sz="4" w:space="0"/>
            </w:tcBorders>
            <w:shd w:val="clear" w:color="auto" w:fill="auto"/>
            <w:vAlign w:val="center"/>
          </w:tcPr>
          <w:p w14:paraId="6AED4E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b/>
                <w:bCs/>
                <w:i w:val="0"/>
                <w:iCs w:val="0"/>
                <w:color w:val="000000"/>
                <w:sz w:val="16"/>
                <w:szCs w:val="16"/>
                <w:u w:val="none"/>
              </w:rPr>
            </w:pPr>
          </w:p>
        </w:tc>
        <w:tc>
          <w:tcPr>
            <w:tcW w:w="357" w:type="pct"/>
            <w:vMerge w:val="continue"/>
            <w:tcBorders>
              <w:left w:val="single" w:color="000000" w:sz="4" w:space="0"/>
              <w:right w:val="nil"/>
            </w:tcBorders>
            <w:shd w:val="clear" w:color="auto" w:fill="auto"/>
            <w:vAlign w:val="center"/>
          </w:tcPr>
          <w:p w14:paraId="6EED52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b/>
                <w:bCs/>
                <w:i w:val="0"/>
                <w:iCs w:val="0"/>
                <w:color w:val="000000"/>
                <w:sz w:val="16"/>
                <w:szCs w:val="16"/>
                <w:u w:val="none"/>
              </w:rPr>
            </w:pPr>
          </w:p>
        </w:tc>
        <w:tc>
          <w:tcPr>
            <w:tcW w:w="852" w:type="pct"/>
            <w:gridSpan w:val="3"/>
            <w:vMerge w:val="restart"/>
            <w:tcBorders>
              <w:top w:val="single" w:color="000000" w:sz="4" w:space="0"/>
              <w:left w:val="single" w:color="000000" w:sz="4" w:space="0"/>
              <w:bottom w:val="single" w:color="000000" w:sz="4" w:space="0"/>
              <w:right w:val="nil"/>
            </w:tcBorders>
            <w:shd w:val="clear" w:color="auto" w:fill="auto"/>
            <w:vAlign w:val="center"/>
          </w:tcPr>
          <w:p w14:paraId="2F24ED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0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2A64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部门预算执行完成进度与实际偏离</w:t>
            </w:r>
          </w:p>
        </w:tc>
        <w:tc>
          <w:tcPr>
            <w:tcW w:w="698" w:type="pct"/>
            <w:tcBorders>
              <w:top w:val="single" w:color="000000" w:sz="4" w:space="0"/>
              <w:left w:val="nil"/>
              <w:bottom w:val="single" w:color="000000" w:sz="4" w:space="0"/>
              <w:right w:val="single" w:color="000000" w:sz="4" w:space="0"/>
            </w:tcBorders>
            <w:shd w:val="clear" w:color="auto" w:fill="auto"/>
            <w:vAlign w:val="center"/>
          </w:tcPr>
          <w:p w14:paraId="58874A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17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C33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50B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14:paraId="7CD79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8" w:type="pct"/>
            <w:vMerge w:val="continue"/>
            <w:tcBorders>
              <w:left w:val="single" w:color="000000" w:sz="4" w:space="0"/>
              <w:right w:val="single" w:color="auto" w:sz="4" w:space="0"/>
            </w:tcBorders>
            <w:shd w:val="clear" w:color="auto" w:fill="auto"/>
            <w:vAlign w:val="center"/>
          </w:tcPr>
          <w:p w14:paraId="66792D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b/>
                <w:bCs/>
                <w:i w:val="0"/>
                <w:iCs w:val="0"/>
                <w:color w:val="000000"/>
                <w:sz w:val="16"/>
                <w:szCs w:val="16"/>
                <w:u w:val="none"/>
              </w:rPr>
            </w:pPr>
          </w:p>
        </w:tc>
        <w:tc>
          <w:tcPr>
            <w:tcW w:w="357" w:type="pct"/>
            <w:vMerge w:val="continue"/>
            <w:tcBorders>
              <w:left w:val="single" w:color="000000" w:sz="4" w:space="0"/>
              <w:right w:val="nil"/>
            </w:tcBorders>
            <w:shd w:val="clear" w:color="auto" w:fill="auto"/>
            <w:vAlign w:val="center"/>
          </w:tcPr>
          <w:p w14:paraId="5E89ED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b/>
                <w:bCs/>
                <w:i w:val="0"/>
                <w:iCs w:val="0"/>
                <w:color w:val="000000"/>
                <w:sz w:val="16"/>
                <w:szCs w:val="16"/>
                <w:u w:val="none"/>
              </w:rPr>
            </w:pPr>
          </w:p>
        </w:tc>
        <w:tc>
          <w:tcPr>
            <w:tcW w:w="852" w:type="pct"/>
            <w:gridSpan w:val="3"/>
            <w:vMerge w:val="continue"/>
            <w:tcBorders>
              <w:top w:val="single" w:color="000000" w:sz="4" w:space="0"/>
              <w:left w:val="single" w:color="000000" w:sz="4" w:space="0"/>
              <w:bottom w:val="single" w:color="000000" w:sz="4" w:space="0"/>
              <w:right w:val="nil"/>
            </w:tcBorders>
            <w:shd w:val="clear" w:color="auto" w:fill="auto"/>
            <w:vAlign w:val="center"/>
          </w:tcPr>
          <w:p w14:paraId="500C2F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宋体" w:hAnsi="宋体" w:eastAsia="宋体" w:cs="宋体"/>
                <w:i w:val="0"/>
                <w:iCs w:val="0"/>
                <w:color w:val="000000"/>
                <w:sz w:val="16"/>
                <w:szCs w:val="16"/>
                <w:u w:val="none"/>
              </w:rPr>
            </w:pPr>
          </w:p>
        </w:tc>
        <w:tc>
          <w:tcPr>
            <w:tcW w:w="10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DD7B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公用经费、三公经费实际发生数偏离年初预算</w:t>
            </w:r>
          </w:p>
        </w:tc>
        <w:tc>
          <w:tcPr>
            <w:tcW w:w="698" w:type="pct"/>
            <w:tcBorders>
              <w:top w:val="single" w:color="000000" w:sz="4" w:space="0"/>
              <w:left w:val="nil"/>
              <w:bottom w:val="single" w:color="000000" w:sz="4" w:space="0"/>
              <w:right w:val="single" w:color="000000" w:sz="4" w:space="0"/>
            </w:tcBorders>
            <w:shd w:val="clear" w:color="auto" w:fill="auto"/>
            <w:vAlign w:val="center"/>
          </w:tcPr>
          <w:p w14:paraId="4740A6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DBC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6F6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73D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14:paraId="5E499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8" w:type="pct"/>
            <w:vMerge w:val="continue"/>
            <w:tcBorders>
              <w:left w:val="single" w:color="000000" w:sz="4" w:space="0"/>
              <w:right w:val="single" w:color="auto" w:sz="4" w:space="0"/>
            </w:tcBorders>
            <w:shd w:val="clear" w:color="auto" w:fill="auto"/>
            <w:vAlign w:val="center"/>
          </w:tcPr>
          <w:p w14:paraId="137A23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b/>
                <w:bCs/>
                <w:i w:val="0"/>
                <w:iCs w:val="0"/>
                <w:color w:val="000000"/>
                <w:sz w:val="16"/>
                <w:szCs w:val="16"/>
                <w:u w:val="none"/>
              </w:rPr>
            </w:pPr>
          </w:p>
        </w:tc>
        <w:tc>
          <w:tcPr>
            <w:tcW w:w="357" w:type="pct"/>
            <w:vMerge w:val="continue"/>
            <w:tcBorders>
              <w:left w:val="single" w:color="000000" w:sz="4" w:space="0"/>
              <w:right w:val="nil"/>
            </w:tcBorders>
            <w:shd w:val="clear" w:color="auto" w:fill="auto"/>
            <w:vAlign w:val="center"/>
          </w:tcPr>
          <w:p w14:paraId="5D6699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b/>
                <w:bCs/>
                <w:i w:val="0"/>
                <w:iCs w:val="0"/>
                <w:color w:val="000000"/>
                <w:sz w:val="16"/>
                <w:szCs w:val="16"/>
                <w:u w:val="none"/>
              </w:rPr>
            </w:pPr>
          </w:p>
        </w:tc>
        <w:tc>
          <w:tcPr>
            <w:tcW w:w="852" w:type="pct"/>
            <w:gridSpan w:val="3"/>
            <w:vMerge w:val="continue"/>
            <w:tcBorders>
              <w:top w:val="single" w:color="000000" w:sz="4" w:space="0"/>
              <w:left w:val="single" w:color="000000" w:sz="4" w:space="0"/>
              <w:bottom w:val="single" w:color="000000" w:sz="4" w:space="0"/>
              <w:right w:val="nil"/>
            </w:tcBorders>
            <w:shd w:val="clear" w:color="auto" w:fill="auto"/>
            <w:vAlign w:val="center"/>
          </w:tcPr>
          <w:p w14:paraId="0000B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宋体" w:hAnsi="宋体" w:eastAsia="宋体" w:cs="宋体"/>
                <w:i w:val="0"/>
                <w:iCs w:val="0"/>
                <w:color w:val="000000"/>
                <w:sz w:val="16"/>
                <w:szCs w:val="16"/>
                <w:u w:val="none"/>
              </w:rPr>
            </w:pPr>
          </w:p>
        </w:tc>
        <w:tc>
          <w:tcPr>
            <w:tcW w:w="10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C5C2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年终监控取消额度及年末结余注销额度不超过年初预算</w:t>
            </w:r>
          </w:p>
        </w:tc>
        <w:tc>
          <w:tcPr>
            <w:tcW w:w="698" w:type="pct"/>
            <w:tcBorders>
              <w:top w:val="single" w:color="000000" w:sz="4" w:space="0"/>
              <w:left w:val="nil"/>
              <w:bottom w:val="single" w:color="000000" w:sz="4" w:space="0"/>
              <w:right w:val="single" w:color="000000" w:sz="4" w:space="0"/>
            </w:tcBorders>
            <w:shd w:val="clear" w:color="auto" w:fill="auto"/>
            <w:vAlign w:val="center"/>
          </w:tcPr>
          <w:p w14:paraId="31A1EC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500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892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3EC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14:paraId="0C539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8" w:type="pct"/>
            <w:vMerge w:val="continue"/>
            <w:tcBorders>
              <w:left w:val="single" w:color="000000" w:sz="4" w:space="0"/>
              <w:right w:val="single" w:color="auto" w:sz="4" w:space="0"/>
            </w:tcBorders>
            <w:shd w:val="clear" w:color="auto" w:fill="auto"/>
            <w:vAlign w:val="center"/>
          </w:tcPr>
          <w:p w14:paraId="0B9AA8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b/>
                <w:bCs/>
                <w:i w:val="0"/>
                <w:iCs w:val="0"/>
                <w:color w:val="000000"/>
                <w:sz w:val="16"/>
                <w:szCs w:val="16"/>
                <w:u w:val="none"/>
              </w:rPr>
            </w:pPr>
          </w:p>
        </w:tc>
        <w:tc>
          <w:tcPr>
            <w:tcW w:w="357" w:type="pct"/>
            <w:vMerge w:val="continue"/>
            <w:tcBorders>
              <w:left w:val="single" w:color="000000" w:sz="4" w:space="0"/>
              <w:right w:val="nil"/>
            </w:tcBorders>
            <w:shd w:val="clear" w:color="auto" w:fill="auto"/>
            <w:vAlign w:val="center"/>
          </w:tcPr>
          <w:p w14:paraId="000B29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b/>
                <w:bCs/>
                <w:i w:val="0"/>
                <w:iCs w:val="0"/>
                <w:color w:val="000000"/>
                <w:sz w:val="16"/>
                <w:szCs w:val="16"/>
                <w:u w:val="none"/>
              </w:rPr>
            </w:pPr>
          </w:p>
        </w:tc>
        <w:tc>
          <w:tcPr>
            <w:tcW w:w="852" w:type="pct"/>
            <w:gridSpan w:val="3"/>
            <w:vMerge w:val="continue"/>
            <w:tcBorders>
              <w:top w:val="single" w:color="000000" w:sz="4" w:space="0"/>
              <w:left w:val="single" w:color="000000" w:sz="4" w:space="0"/>
              <w:bottom w:val="single" w:color="000000" w:sz="4" w:space="0"/>
              <w:right w:val="nil"/>
            </w:tcBorders>
            <w:shd w:val="clear" w:color="auto" w:fill="auto"/>
            <w:vAlign w:val="center"/>
          </w:tcPr>
          <w:p w14:paraId="5933EC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宋体" w:hAnsi="宋体" w:eastAsia="宋体" w:cs="宋体"/>
                <w:i w:val="0"/>
                <w:iCs w:val="0"/>
                <w:color w:val="000000"/>
                <w:sz w:val="16"/>
                <w:szCs w:val="16"/>
                <w:u w:val="none"/>
              </w:rPr>
            </w:pPr>
          </w:p>
        </w:tc>
        <w:tc>
          <w:tcPr>
            <w:tcW w:w="10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EBB5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审计项目质量</w:t>
            </w:r>
          </w:p>
        </w:tc>
        <w:tc>
          <w:tcPr>
            <w:tcW w:w="698" w:type="pct"/>
            <w:tcBorders>
              <w:top w:val="single" w:color="000000" w:sz="4" w:space="0"/>
              <w:left w:val="nil"/>
              <w:bottom w:val="single" w:color="000000" w:sz="4" w:space="0"/>
              <w:right w:val="single" w:color="000000" w:sz="4" w:space="0"/>
            </w:tcBorders>
            <w:shd w:val="clear" w:color="auto" w:fill="auto"/>
            <w:vAlign w:val="center"/>
          </w:tcPr>
          <w:p w14:paraId="248475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450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E85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eastAsia" w:ascii="宋体" w:hAnsi="宋体" w:eastAsia="宋体" w:cs="宋体"/>
                <w:i w:val="0"/>
                <w:iCs w:val="0"/>
                <w:color w:val="000000"/>
                <w:sz w:val="16"/>
                <w:szCs w:val="16"/>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5A9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14:paraId="2D61B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8" w:type="pct"/>
            <w:vMerge w:val="continue"/>
            <w:tcBorders>
              <w:left w:val="single" w:color="000000" w:sz="4" w:space="0"/>
              <w:right w:val="single" w:color="auto" w:sz="4" w:space="0"/>
            </w:tcBorders>
            <w:shd w:val="clear" w:color="auto" w:fill="auto"/>
            <w:vAlign w:val="center"/>
          </w:tcPr>
          <w:p w14:paraId="3D83A0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b/>
                <w:bCs/>
                <w:i w:val="0"/>
                <w:iCs w:val="0"/>
                <w:color w:val="000000"/>
                <w:sz w:val="16"/>
                <w:szCs w:val="16"/>
                <w:u w:val="none"/>
              </w:rPr>
            </w:pPr>
          </w:p>
        </w:tc>
        <w:tc>
          <w:tcPr>
            <w:tcW w:w="357" w:type="pct"/>
            <w:vMerge w:val="continue"/>
            <w:tcBorders>
              <w:left w:val="single" w:color="000000" w:sz="4" w:space="0"/>
              <w:right w:val="nil"/>
            </w:tcBorders>
            <w:shd w:val="clear" w:color="auto" w:fill="auto"/>
            <w:vAlign w:val="center"/>
          </w:tcPr>
          <w:p w14:paraId="326BB9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b/>
                <w:bCs/>
                <w:i w:val="0"/>
                <w:iCs w:val="0"/>
                <w:color w:val="000000"/>
                <w:sz w:val="16"/>
                <w:szCs w:val="16"/>
                <w:u w:val="none"/>
              </w:rPr>
            </w:pPr>
          </w:p>
        </w:tc>
        <w:tc>
          <w:tcPr>
            <w:tcW w:w="852" w:type="pct"/>
            <w:gridSpan w:val="3"/>
            <w:vMerge w:val="continue"/>
            <w:tcBorders>
              <w:top w:val="single" w:color="000000" w:sz="4" w:space="0"/>
              <w:left w:val="single" w:color="000000" w:sz="4" w:space="0"/>
              <w:bottom w:val="single" w:color="000000" w:sz="4" w:space="0"/>
              <w:right w:val="nil"/>
            </w:tcBorders>
            <w:shd w:val="clear" w:color="auto" w:fill="auto"/>
            <w:vAlign w:val="center"/>
          </w:tcPr>
          <w:p w14:paraId="16A81D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宋体" w:hAnsi="宋体" w:eastAsia="宋体" w:cs="宋体"/>
                <w:i w:val="0"/>
                <w:iCs w:val="0"/>
                <w:color w:val="000000"/>
                <w:sz w:val="16"/>
                <w:szCs w:val="16"/>
                <w:u w:val="none"/>
              </w:rPr>
            </w:pPr>
          </w:p>
        </w:tc>
        <w:tc>
          <w:tcPr>
            <w:tcW w:w="10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1F2A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实际在用固定资产与单位总固定资产占比</w:t>
            </w:r>
          </w:p>
        </w:tc>
        <w:tc>
          <w:tcPr>
            <w:tcW w:w="698" w:type="pct"/>
            <w:tcBorders>
              <w:top w:val="single" w:color="000000" w:sz="4" w:space="0"/>
              <w:left w:val="nil"/>
              <w:bottom w:val="single" w:color="000000" w:sz="4" w:space="0"/>
              <w:right w:val="single" w:color="000000" w:sz="4" w:space="0"/>
            </w:tcBorders>
            <w:shd w:val="clear" w:color="auto" w:fill="auto"/>
            <w:vAlign w:val="center"/>
          </w:tcPr>
          <w:p w14:paraId="1097F1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865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C74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A86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14:paraId="55D8E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8" w:type="pct"/>
            <w:vMerge w:val="continue"/>
            <w:tcBorders>
              <w:left w:val="single" w:color="000000" w:sz="4" w:space="0"/>
              <w:right w:val="single" w:color="auto" w:sz="4" w:space="0"/>
            </w:tcBorders>
            <w:shd w:val="clear" w:color="auto" w:fill="auto"/>
            <w:vAlign w:val="center"/>
          </w:tcPr>
          <w:p w14:paraId="7B337E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b/>
                <w:bCs/>
                <w:i w:val="0"/>
                <w:iCs w:val="0"/>
                <w:color w:val="000000"/>
                <w:sz w:val="16"/>
                <w:szCs w:val="16"/>
                <w:u w:val="none"/>
              </w:rPr>
            </w:pPr>
          </w:p>
        </w:tc>
        <w:tc>
          <w:tcPr>
            <w:tcW w:w="357" w:type="pct"/>
            <w:vMerge w:val="continue"/>
            <w:tcBorders>
              <w:left w:val="single" w:color="000000" w:sz="4" w:space="0"/>
              <w:right w:val="nil"/>
            </w:tcBorders>
            <w:shd w:val="clear" w:color="auto" w:fill="auto"/>
            <w:vAlign w:val="center"/>
          </w:tcPr>
          <w:p w14:paraId="73B65F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b/>
                <w:bCs/>
                <w:i w:val="0"/>
                <w:iCs w:val="0"/>
                <w:color w:val="000000"/>
                <w:sz w:val="16"/>
                <w:szCs w:val="16"/>
                <w:u w:val="none"/>
              </w:rPr>
            </w:pPr>
          </w:p>
        </w:tc>
        <w:tc>
          <w:tcPr>
            <w:tcW w:w="852" w:type="pct"/>
            <w:gridSpan w:val="3"/>
            <w:vMerge w:val="continue"/>
            <w:tcBorders>
              <w:top w:val="single" w:color="000000" w:sz="4" w:space="0"/>
              <w:left w:val="single" w:color="000000" w:sz="4" w:space="0"/>
              <w:bottom w:val="single" w:color="000000" w:sz="4" w:space="0"/>
              <w:right w:val="nil"/>
            </w:tcBorders>
            <w:shd w:val="clear" w:color="auto" w:fill="auto"/>
            <w:vAlign w:val="center"/>
          </w:tcPr>
          <w:p w14:paraId="383659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宋体" w:hAnsi="宋体" w:eastAsia="宋体" w:cs="宋体"/>
                <w:i w:val="0"/>
                <w:iCs w:val="0"/>
                <w:color w:val="000000"/>
                <w:sz w:val="16"/>
                <w:szCs w:val="16"/>
                <w:u w:val="none"/>
              </w:rPr>
            </w:pPr>
          </w:p>
        </w:tc>
        <w:tc>
          <w:tcPr>
            <w:tcW w:w="10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5A0D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项目绩效完成偏离度</w:t>
            </w:r>
          </w:p>
        </w:tc>
        <w:tc>
          <w:tcPr>
            <w:tcW w:w="698" w:type="pct"/>
            <w:tcBorders>
              <w:top w:val="single" w:color="000000" w:sz="4" w:space="0"/>
              <w:left w:val="nil"/>
              <w:bottom w:val="single" w:color="000000" w:sz="4" w:space="0"/>
              <w:right w:val="single" w:color="000000" w:sz="4" w:space="0"/>
            </w:tcBorders>
            <w:shd w:val="clear" w:color="auto" w:fill="auto"/>
            <w:vAlign w:val="center"/>
          </w:tcPr>
          <w:p w14:paraId="05ADD9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187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202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F08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14:paraId="674F4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8" w:type="pct"/>
            <w:vMerge w:val="continue"/>
            <w:tcBorders>
              <w:left w:val="single" w:color="000000" w:sz="4" w:space="0"/>
              <w:right w:val="single" w:color="auto" w:sz="4" w:space="0"/>
            </w:tcBorders>
            <w:shd w:val="clear" w:color="auto" w:fill="auto"/>
            <w:vAlign w:val="center"/>
          </w:tcPr>
          <w:p w14:paraId="328486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b/>
                <w:bCs/>
                <w:i w:val="0"/>
                <w:iCs w:val="0"/>
                <w:color w:val="000000"/>
                <w:sz w:val="16"/>
                <w:szCs w:val="16"/>
                <w:u w:val="none"/>
              </w:rPr>
            </w:pPr>
          </w:p>
        </w:tc>
        <w:tc>
          <w:tcPr>
            <w:tcW w:w="357" w:type="pct"/>
            <w:vMerge w:val="continue"/>
            <w:tcBorders>
              <w:left w:val="single" w:color="000000" w:sz="4" w:space="0"/>
              <w:bottom w:val="single" w:color="auto" w:sz="4" w:space="0"/>
              <w:right w:val="nil"/>
            </w:tcBorders>
            <w:shd w:val="clear" w:color="auto" w:fill="auto"/>
            <w:vAlign w:val="center"/>
          </w:tcPr>
          <w:p w14:paraId="6D13CB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b/>
                <w:bCs/>
                <w:i w:val="0"/>
                <w:iCs w:val="0"/>
                <w:color w:val="000000"/>
                <w:sz w:val="16"/>
                <w:szCs w:val="16"/>
                <w:u w:val="none"/>
              </w:rPr>
            </w:pPr>
          </w:p>
        </w:tc>
        <w:tc>
          <w:tcPr>
            <w:tcW w:w="852" w:type="pct"/>
            <w:gridSpan w:val="3"/>
            <w:vMerge w:val="continue"/>
            <w:tcBorders>
              <w:top w:val="single" w:color="000000" w:sz="4" w:space="0"/>
              <w:left w:val="single" w:color="000000" w:sz="4" w:space="0"/>
              <w:bottom w:val="single" w:color="000000" w:sz="4" w:space="0"/>
              <w:right w:val="nil"/>
            </w:tcBorders>
            <w:shd w:val="clear" w:color="auto" w:fill="auto"/>
            <w:vAlign w:val="center"/>
          </w:tcPr>
          <w:p w14:paraId="39D3CC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宋体" w:hAnsi="宋体" w:eastAsia="宋体" w:cs="宋体"/>
                <w:i w:val="0"/>
                <w:iCs w:val="0"/>
                <w:color w:val="000000"/>
                <w:sz w:val="16"/>
                <w:szCs w:val="16"/>
                <w:u w:val="none"/>
              </w:rPr>
            </w:pPr>
          </w:p>
        </w:tc>
        <w:tc>
          <w:tcPr>
            <w:tcW w:w="10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04AF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预算编制全年调剂金额与年初预算</w:t>
            </w:r>
          </w:p>
        </w:tc>
        <w:tc>
          <w:tcPr>
            <w:tcW w:w="698" w:type="pct"/>
            <w:tcBorders>
              <w:top w:val="single" w:color="000000" w:sz="4" w:space="0"/>
              <w:left w:val="nil"/>
              <w:bottom w:val="single" w:color="000000" w:sz="4" w:space="0"/>
              <w:right w:val="single" w:color="000000" w:sz="4" w:space="0"/>
            </w:tcBorders>
            <w:shd w:val="clear" w:color="auto" w:fill="auto"/>
            <w:vAlign w:val="center"/>
          </w:tcPr>
          <w:p w14:paraId="23C190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FB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61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D11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14:paraId="00126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8" w:type="pct"/>
            <w:vMerge w:val="continue"/>
            <w:tcBorders>
              <w:left w:val="single" w:color="000000" w:sz="4" w:space="0"/>
              <w:right w:val="single" w:color="auto" w:sz="4" w:space="0"/>
            </w:tcBorders>
            <w:shd w:val="clear" w:color="auto" w:fill="auto"/>
            <w:vAlign w:val="center"/>
          </w:tcPr>
          <w:p w14:paraId="63A0F4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b/>
                <w:bCs/>
                <w:i w:val="0"/>
                <w:iCs w:val="0"/>
                <w:color w:val="000000"/>
                <w:sz w:val="16"/>
                <w:szCs w:val="16"/>
                <w:u w:val="none"/>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14:paraId="4E17FD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b/>
                <w:bCs/>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852" w:type="pct"/>
            <w:gridSpan w:val="3"/>
            <w:tcBorders>
              <w:top w:val="single" w:color="000000" w:sz="4" w:space="0"/>
              <w:left w:val="single" w:color="000000" w:sz="4" w:space="0"/>
              <w:bottom w:val="single" w:color="000000" w:sz="4" w:space="0"/>
              <w:right w:val="nil"/>
            </w:tcBorders>
            <w:shd w:val="clear" w:color="auto" w:fill="auto"/>
            <w:vAlign w:val="center"/>
          </w:tcPr>
          <w:p w14:paraId="31FBFF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0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6CAC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对工作的促进作用</w:t>
            </w:r>
          </w:p>
        </w:tc>
        <w:tc>
          <w:tcPr>
            <w:tcW w:w="698" w:type="pct"/>
            <w:tcBorders>
              <w:top w:val="single" w:color="000000" w:sz="4" w:space="0"/>
              <w:left w:val="nil"/>
              <w:bottom w:val="single" w:color="000000" w:sz="4" w:space="0"/>
              <w:right w:val="single" w:color="000000" w:sz="4" w:space="0"/>
            </w:tcBorders>
            <w:shd w:val="clear" w:color="auto" w:fill="auto"/>
            <w:vAlign w:val="center"/>
          </w:tcPr>
          <w:p w14:paraId="265570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6BD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D81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eastAsia" w:ascii="宋体" w:hAnsi="宋体" w:eastAsia="宋体" w:cs="宋体"/>
                <w:i w:val="0"/>
                <w:iCs w:val="0"/>
                <w:color w:val="000000"/>
                <w:sz w:val="16"/>
                <w:szCs w:val="16"/>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981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0BDEB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8" w:type="pct"/>
            <w:vMerge w:val="continue"/>
            <w:tcBorders>
              <w:left w:val="single" w:color="000000" w:sz="4" w:space="0"/>
              <w:right w:val="single" w:color="auto" w:sz="4" w:space="0"/>
            </w:tcBorders>
            <w:shd w:val="clear" w:color="auto" w:fill="auto"/>
            <w:vAlign w:val="center"/>
          </w:tcPr>
          <w:p w14:paraId="6F29FC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b/>
                <w:bCs/>
                <w:i w:val="0"/>
                <w:iCs w:val="0"/>
                <w:color w:val="000000"/>
                <w:sz w:val="16"/>
                <w:szCs w:val="16"/>
                <w:u w:val="none"/>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14:paraId="78A011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b/>
                <w:bCs/>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852" w:type="pct"/>
            <w:gridSpan w:val="3"/>
            <w:tcBorders>
              <w:top w:val="single" w:color="000000" w:sz="4" w:space="0"/>
              <w:left w:val="single" w:color="000000" w:sz="4" w:space="0"/>
              <w:bottom w:val="single" w:color="000000" w:sz="4" w:space="0"/>
              <w:right w:val="nil"/>
            </w:tcBorders>
            <w:shd w:val="clear" w:color="auto" w:fill="auto"/>
            <w:vAlign w:val="center"/>
          </w:tcPr>
          <w:p w14:paraId="568036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10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B89D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698" w:type="pct"/>
            <w:tcBorders>
              <w:top w:val="single" w:color="000000" w:sz="4" w:space="0"/>
              <w:left w:val="nil"/>
              <w:bottom w:val="single" w:color="000000" w:sz="4" w:space="0"/>
              <w:right w:val="single" w:color="000000" w:sz="4" w:space="0"/>
            </w:tcBorders>
            <w:shd w:val="clear" w:color="auto" w:fill="auto"/>
            <w:vAlign w:val="center"/>
          </w:tcPr>
          <w:p w14:paraId="3E8839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3EC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A7C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9D7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10A7E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8" w:type="pct"/>
            <w:vMerge w:val="continue"/>
            <w:tcBorders>
              <w:left w:val="single" w:color="000000" w:sz="4" w:space="0"/>
              <w:right w:val="single" w:color="auto" w:sz="4" w:space="0"/>
            </w:tcBorders>
            <w:shd w:val="clear" w:color="auto" w:fill="auto"/>
            <w:vAlign w:val="center"/>
          </w:tcPr>
          <w:p w14:paraId="48C3F9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b/>
                <w:bCs/>
                <w:i w:val="0"/>
                <w:iCs w:val="0"/>
                <w:color w:val="000000"/>
                <w:sz w:val="16"/>
                <w:szCs w:val="16"/>
                <w:u w:val="none"/>
              </w:rPr>
            </w:pPr>
          </w:p>
        </w:tc>
        <w:tc>
          <w:tcPr>
            <w:tcW w:w="357" w:type="pct"/>
            <w:vMerge w:val="restart"/>
            <w:tcBorders>
              <w:top w:val="single" w:color="auto" w:sz="4" w:space="0"/>
              <w:left w:val="single" w:color="auto" w:sz="4" w:space="0"/>
              <w:right w:val="single" w:color="auto" w:sz="4" w:space="0"/>
            </w:tcBorders>
            <w:shd w:val="clear" w:color="auto" w:fill="auto"/>
            <w:vAlign w:val="center"/>
          </w:tcPr>
          <w:p w14:paraId="16D7A0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b/>
                <w:bCs/>
                <w:i w:val="0"/>
                <w:iCs w:val="0"/>
                <w:color w:val="000000"/>
                <w:sz w:val="16"/>
                <w:szCs w:val="16"/>
                <w:u w:val="none"/>
                <w:lang w:eastAsia="zh-CN"/>
              </w:rPr>
            </w:pPr>
            <w:r>
              <w:rPr>
                <w:rFonts w:hint="eastAsia" w:ascii="宋体" w:hAnsi="宋体" w:eastAsia="宋体" w:cs="宋体"/>
                <w:b/>
                <w:bCs/>
                <w:i w:val="0"/>
                <w:iCs w:val="0"/>
                <w:color w:val="000000"/>
                <w:sz w:val="16"/>
                <w:szCs w:val="16"/>
                <w:u w:val="none"/>
                <w:lang w:eastAsia="zh-CN"/>
              </w:rPr>
              <w:t>成本指标</w:t>
            </w:r>
          </w:p>
        </w:tc>
        <w:tc>
          <w:tcPr>
            <w:tcW w:w="852" w:type="pct"/>
            <w:gridSpan w:val="3"/>
            <w:vMerge w:val="restart"/>
            <w:tcBorders>
              <w:top w:val="single" w:color="000000" w:sz="4" w:space="0"/>
              <w:left w:val="single" w:color="auto" w:sz="4" w:space="0"/>
              <w:right w:val="nil"/>
            </w:tcBorders>
            <w:shd w:val="clear" w:color="auto" w:fill="auto"/>
            <w:vAlign w:val="center"/>
          </w:tcPr>
          <w:p w14:paraId="6AB843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经济成本指标</w:t>
            </w:r>
          </w:p>
        </w:tc>
        <w:tc>
          <w:tcPr>
            <w:tcW w:w="10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766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公用经费</w:t>
            </w:r>
          </w:p>
        </w:tc>
        <w:tc>
          <w:tcPr>
            <w:tcW w:w="698" w:type="pct"/>
            <w:tcBorders>
              <w:top w:val="single" w:color="000000" w:sz="4" w:space="0"/>
              <w:left w:val="nil"/>
              <w:bottom w:val="single" w:color="000000" w:sz="4" w:space="0"/>
              <w:right w:val="single" w:color="000000" w:sz="4" w:space="0"/>
            </w:tcBorders>
            <w:shd w:val="clear" w:color="auto" w:fill="auto"/>
            <w:vAlign w:val="center"/>
          </w:tcPr>
          <w:p w14:paraId="334D40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FF2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40.5</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6EB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万元</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C69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733D0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8" w:type="pct"/>
            <w:vMerge w:val="continue"/>
            <w:tcBorders>
              <w:left w:val="single" w:color="000000" w:sz="4" w:space="0"/>
              <w:right w:val="single" w:color="auto" w:sz="4" w:space="0"/>
            </w:tcBorders>
            <w:shd w:val="clear" w:color="auto" w:fill="auto"/>
            <w:vAlign w:val="center"/>
          </w:tcPr>
          <w:p w14:paraId="277727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b/>
                <w:bCs/>
                <w:i w:val="0"/>
                <w:iCs w:val="0"/>
                <w:color w:val="000000"/>
                <w:sz w:val="16"/>
                <w:szCs w:val="16"/>
                <w:u w:val="none"/>
              </w:rPr>
            </w:pPr>
          </w:p>
        </w:tc>
        <w:tc>
          <w:tcPr>
            <w:tcW w:w="357" w:type="pct"/>
            <w:vMerge w:val="continue"/>
            <w:tcBorders>
              <w:left w:val="single" w:color="auto" w:sz="4" w:space="0"/>
              <w:right w:val="single" w:color="auto" w:sz="4" w:space="0"/>
            </w:tcBorders>
            <w:shd w:val="clear" w:color="auto" w:fill="auto"/>
            <w:vAlign w:val="center"/>
          </w:tcPr>
          <w:p w14:paraId="43C34B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b/>
                <w:bCs/>
                <w:i w:val="0"/>
                <w:iCs w:val="0"/>
                <w:color w:val="000000"/>
                <w:sz w:val="16"/>
                <w:szCs w:val="16"/>
                <w:u w:val="none"/>
                <w:lang w:eastAsia="zh-CN"/>
              </w:rPr>
            </w:pPr>
          </w:p>
        </w:tc>
        <w:tc>
          <w:tcPr>
            <w:tcW w:w="852" w:type="pct"/>
            <w:gridSpan w:val="3"/>
            <w:vMerge w:val="continue"/>
            <w:tcBorders>
              <w:left w:val="single" w:color="auto" w:sz="4" w:space="0"/>
              <w:right w:val="nil"/>
            </w:tcBorders>
            <w:shd w:val="clear" w:color="auto" w:fill="auto"/>
            <w:vAlign w:val="center"/>
          </w:tcPr>
          <w:p w14:paraId="09C8AE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宋体" w:hAnsi="宋体" w:eastAsia="宋体" w:cs="宋体"/>
                <w:i w:val="0"/>
                <w:iCs w:val="0"/>
                <w:color w:val="000000"/>
                <w:sz w:val="16"/>
                <w:szCs w:val="16"/>
                <w:u w:val="none"/>
              </w:rPr>
            </w:pPr>
          </w:p>
        </w:tc>
        <w:tc>
          <w:tcPr>
            <w:tcW w:w="10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D9DA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人员经费</w:t>
            </w:r>
          </w:p>
        </w:tc>
        <w:tc>
          <w:tcPr>
            <w:tcW w:w="698" w:type="pct"/>
            <w:tcBorders>
              <w:top w:val="single" w:color="000000" w:sz="4" w:space="0"/>
              <w:left w:val="nil"/>
              <w:bottom w:val="single" w:color="000000" w:sz="4" w:space="0"/>
              <w:right w:val="single" w:color="000000" w:sz="4" w:space="0"/>
            </w:tcBorders>
            <w:shd w:val="clear" w:color="auto" w:fill="auto"/>
            <w:vAlign w:val="center"/>
          </w:tcPr>
          <w:p w14:paraId="53A89E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A26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341.73</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0E9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万元</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76E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55B3E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8" w:type="pct"/>
            <w:vMerge w:val="continue"/>
            <w:tcBorders>
              <w:left w:val="single" w:color="000000" w:sz="4" w:space="0"/>
              <w:bottom w:val="single" w:color="000000" w:sz="4" w:space="0"/>
              <w:right w:val="single" w:color="auto" w:sz="4" w:space="0"/>
            </w:tcBorders>
            <w:shd w:val="clear" w:color="auto" w:fill="auto"/>
            <w:vAlign w:val="center"/>
          </w:tcPr>
          <w:p w14:paraId="04CC23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b/>
                <w:bCs/>
                <w:i w:val="0"/>
                <w:iCs w:val="0"/>
                <w:color w:val="000000"/>
                <w:sz w:val="16"/>
                <w:szCs w:val="16"/>
                <w:u w:val="none"/>
              </w:rPr>
            </w:pPr>
          </w:p>
        </w:tc>
        <w:tc>
          <w:tcPr>
            <w:tcW w:w="357" w:type="pct"/>
            <w:vMerge w:val="continue"/>
            <w:tcBorders>
              <w:left w:val="single" w:color="auto" w:sz="4" w:space="0"/>
              <w:bottom w:val="single" w:color="auto" w:sz="4" w:space="0"/>
              <w:right w:val="single" w:color="auto" w:sz="4" w:space="0"/>
            </w:tcBorders>
            <w:shd w:val="clear" w:color="auto" w:fill="auto"/>
            <w:vAlign w:val="center"/>
          </w:tcPr>
          <w:p w14:paraId="305208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b/>
                <w:bCs/>
                <w:i w:val="0"/>
                <w:iCs w:val="0"/>
                <w:color w:val="000000"/>
                <w:sz w:val="16"/>
                <w:szCs w:val="16"/>
                <w:u w:val="none"/>
              </w:rPr>
            </w:pPr>
          </w:p>
        </w:tc>
        <w:tc>
          <w:tcPr>
            <w:tcW w:w="852" w:type="pct"/>
            <w:gridSpan w:val="3"/>
            <w:vMerge w:val="continue"/>
            <w:tcBorders>
              <w:left w:val="single" w:color="auto" w:sz="4" w:space="0"/>
              <w:bottom w:val="single" w:color="000000" w:sz="4" w:space="0"/>
              <w:right w:val="nil"/>
            </w:tcBorders>
            <w:shd w:val="clear" w:color="auto" w:fill="auto"/>
            <w:vAlign w:val="center"/>
          </w:tcPr>
          <w:p w14:paraId="63785E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宋体" w:hAnsi="宋体" w:eastAsia="宋体" w:cs="宋体"/>
                <w:i w:val="0"/>
                <w:iCs w:val="0"/>
                <w:color w:val="000000"/>
                <w:sz w:val="16"/>
                <w:szCs w:val="16"/>
                <w:u w:val="none"/>
              </w:rPr>
            </w:pPr>
          </w:p>
        </w:tc>
        <w:tc>
          <w:tcPr>
            <w:tcW w:w="10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21E7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项目经费</w:t>
            </w:r>
          </w:p>
        </w:tc>
        <w:tc>
          <w:tcPr>
            <w:tcW w:w="698" w:type="pct"/>
            <w:tcBorders>
              <w:top w:val="single" w:color="000000" w:sz="4" w:space="0"/>
              <w:left w:val="nil"/>
              <w:bottom w:val="single" w:color="000000" w:sz="4" w:space="0"/>
              <w:right w:val="single" w:color="000000" w:sz="4" w:space="0"/>
            </w:tcBorders>
            <w:shd w:val="clear" w:color="auto" w:fill="auto"/>
            <w:vAlign w:val="center"/>
          </w:tcPr>
          <w:p w14:paraId="75E1D5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BE2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93C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万元</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33B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14:paraId="766A1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EEC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其他说明</w:t>
            </w:r>
          </w:p>
        </w:tc>
        <w:tc>
          <w:tcPr>
            <w:tcW w:w="4413"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0E55D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eastAsia" w:ascii="宋体" w:hAnsi="宋体" w:eastAsia="宋体" w:cs="宋体"/>
                <w:i w:val="0"/>
                <w:iCs w:val="0"/>
                <w:color w:val="000000"/>
                <w:sz w:val="16"/>
                <w:szCs w:val="16"/>
                <w:u w:val="none"/>
              </w:rPr>
            </w:pPr>
          </w:p>
        </w:tc>
      </w:tr>
    </w:tbl>
    <w:p w14:paraId="27CC610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p w14:paraId="51BA13A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p w14:paraId="774CD33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sectPr>
          <w:footerReference r:id="rId8" w:type="firs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p>
    <w:p w14:paraId="23905300">
      <w:pPr>
        <w:pStyle w:val="18"/>
        <w:keepNext w:val="0"/>
        <w:keepLines w:val="0"/>
        <w:widowControl w:val="0"/>
        <w:suppressLineNumbers w:val="0"/>
        <w:spacing w:before="0" w:beforeAutospacing="0" w:after="0" w:afterAutospacing="0" w:line="578" w:lineRule="exact"/>
        <w:ind w:left="0" w:right="0"/>
        <w:jc w:val="center"/>
        <w:rPr>
          <w:rFonts w:hint="eastAsia" w:ascii="Arial Unicode MS" w:hAnsi="Arial Unicode MS" w:eastAsia="Arial Unicode MS" w:cs="Arial Unicode MS"/>
          <w:color w:val="auto"/>
          <w:kern w:val="2"/>
          <w:sz w:val="44"/>
          <w:szCs w:val="44"/>
          <w:highlight w:val="none"/>
          <w:lang w:val="en-US"/>
        </w:rPr>
      </w:pPr>
      <w:r>
        <w:rPr>
          <w:rFonts w:hint="eastAsia" w:ascii="Arial Unicode MS" w:hAnsi="Arial Unicode MS" w:eastAsia="Arial Unicode MS" w:cs="Arial Unicode MS"/>
          <w:color w:val="auto"/>
          <w:kern w:val="2"/>
          <w:sz w:val="44"/>
          <w:szCs w:val="44"/>
          <w:highlight w:val="none"/>
          <w:lang w:val="en-US" w:eastAsia="zh-CN" w:bidi="ar"/>
        </w:rPr>
        <w:t>专项预算项目绩效评价报告</w:t>
      </w:r>
    </w:p>
    <w:p w14:paraId="30CCBF30">
      <w:pPr>
        <w:pStyle w:val="18"/>
        <w:keepNext w:val="0"/>
        <w:keepLines w:val="0"/>
        <w:widowControl w:val="0"/>
        <w:suppressLineNumbers w:val="0"/>
        <w:spacing w:before="0" w:beforeAutospacing="0" w:after="0" w:afterAutospacing="0" w:line="578" w:lineRule="exact"/>
        <w:ind w:left="0" w:right="0" w:firstLine="640"/>
        <w:jc w:val="center"/>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t>（审计业务专项经费）</w:t>
      </w:r>
    </w:p>
    <w:p w14:paraId="533CF02D">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eastAsia="黑体" w:cs="Times New Roman"/>
          <w:szCs w:val="32"/>
          <w:highlight w:val="none"/>
          <w:lang w:val="zh-CN" w:eastAsia="zh-CN"/>
        </w:rPr>
      </w:pPr>
      <w:r>
        <w:rPr>
          <w:rFonts w:hint="eastAsia" w:ascii="Times New Roman" w:hAnsi="Times New Roman" w:eastAsia="黑体" w:cs="黑体"/>
          <w:kern w:val="2"/>
          <w:sz w:val="32"/>
          <w:szCs w:val="32"/>
          <w:highlight w:val="none"/>
          <w:lang w:val="en-US" w:eastAsia="zh-CN" w:bidi="ar"/>
        </w:rPr>
        <w:t>一、</w:t>
      </w:r>
      <w:r>
        <w:rPr>
          <w:rFonts w:hint="eastAsia" w:ascii="Times New Roman" w:hAnsi="Times New Roman" w:eastAsia="黑体" w:cs="黑体"/>
          <w:kern w:val="2"/>
          <w:sz w:val="32"/>
          <w:szCs w:val="32"/>
          <w:highlight w:val="none"/>
          <w:lang w:val="zh-CN" w:eastAsia="zh-CN" w:bidi="ar"/>
        </w:rPr>
        <w:t>项目概况</w:t>
      </w:r>
    </w:p>
    <w:p w14:paraId="5B096390">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eastAsia="楷体_GB2312" w:cs="楷体_GB2312"/>
          <w:sz w:val="32"/>
          <w:szCs w:val="32"/>
          <w:highlight w:val="none"/>
          <w:lang w:val="zh-CN" w:eastAsia="zh-CN"/>
        </w:rPr>
        <w:t>（一）</w:t>
      </w:r>
      <w:r>
        <w:rPr>
          <w:rFonts w:hint="eastAsia" w:ascii="Times New Roman" w:hAnsi="Times New Roman" w:eastAsia="楷体_GB2312" w:cs="楷体_GB2312"/>
          <w:sz w:val="32"/>
          <w:szCs w:val="32"/>
          <w:highlight w:val="none"/>
          <w:lang w:val="zh-CN" w:eastAsia="zh-CN"/>
        </w:rPr>
        <w:t>设立背景及基本情况。</w:t>
      </w:r>
    </w:p>
    <w:p w14:paraId="4A2C27FB">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_GB2312" w:hAnsi="宋体" w:eastAsia="仿宋_GB2312" w:cs="Times New Roman"/>
          <w:color w:val="auto"/>
          <w:kern w:val="2"/>
          <w:sz w:val="32"/>
          <w:szCs w:val="32"/>
          <w:highlight w:val="none"/>
          <w:lang w:val="zh-CN" w:eastAsia="zh-CN" w:bidi="ar-SA"/>
        </w:rPr>
      </w:pPr>
      <w:r>
        <w:rPr>
          <w:rFonts w:hint="eastAsia" w:ascii="仿宋" w:hAnsi="仿宋" w:eastAsia="仿宋" w:cs="仿宋"/>
          <w:i w:val="0"/>
          <w:iCs w:val="0"/>
          <w:caps w:val="0"/>
          <w:color w:val="333333"/>
          <w:spacing w:val="0"/>
          <w:sz w:val="32"/>
          <w:szCs w:val="32"/>
          <w:highlight w:val="none"/>
          <w:shd w:val="clear" w:fill="FFFFFF"/>
          <w:lang w:eastAsia="zh-CN"/>
        </w:rPr>
        <w:t>该项目为审计机关持续性项目，主要根据年度审计项目计划而设立。旨在保障年度</w:t>
      </w:r>
      <w:r>
        <w:rPr>
          <w:rFonts w:hint="eastAsia" w:ascii="仿宋" w:hAnsi="仿宋" w:eastAsia="仿宋" w:cs="仿宋"/>
          <w:i w:val="0"/>
          <w:iCs w:val="0"/>
          <w:caps w:val="0"/>
          <w:color w:val="333333"/>
          <w:spacing w:val="0"/>
          <w:sz w:val="32"/>
          <w:szCs w:val="32"/>
          <w:highlight w:val="none"/>
          <w:shd w:val="clear" w:fill="FFFFFF"/>
          <w:lang w:val="zh-CN" w:eastAsia="zh-CN"/>
        </w:rPr>
        <w:t>经济责任审计、财政审计、自然资源审计及其他各类审计、调查顺利开展。</w:t>
      </w:r>
    </w:p>
    <w:p w14:paraId="3EA7D5AE">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color w:val="auto"/>
          <w:sz w:val="32"/>
          <w:szCs w:val="32"/>
          <w:highlight w:val="none"/>
          <w:u w:val="none"/>
          <w:shd w:val="clear" w:color="auto" w:fill="auto"/>
          <w:lang w:val="zh-CN"/>
        </w:rPr>
      </w:pPr>
      <w:r>
        <w:rPr>
          <w:rFonts w:hint="eastAsia" w:ascii="Times New Roman" w:hAnsi="Times New Roman" w:eastAsia="楷体_GB2312" w:cs="楷体_GB2312"/>
          <w:kern w:val="2"/>
          <w:sz w:val="32"/>
          <w:szCs w:val="32"/>
          <w:highlight w:val="none"/>
          <w:lang w:val="zh-CN" w:eastAsia="zh-CN" w:bidi="ar"/>
        </w:rPr>
        <w:t>（二）</w:t>
      </w:r>
      <w:r>
        <w:rPr>
          <w:rFonts w:hint="eastAsia" w:ascii="Times New Roman" w:hAnsi="Times New Roman" w:eastAsia="楷体_GB2312" w:cs="楷体_GB2312"/>
          <w:kern w:val="2"/>
          <w:sz w:val="32"/>
          <w:szCs w:val="32"/>
          <w:highlight w:val="none"/>
          <w:lang w:val="en-US" w:eastAsia="zh-CN" w:bidi="ar"/>
        </w:rPr>
        <w:t>实施目的及支持方向。</w:t>
      </w:r>
      <w:r>
        <w:rPr>
          <w:rFonts w:hint="eastAsia" w:ascii="Times New Roman" w:hAnsi="Times New Roman" w:eastAsia="仿宋_GB2312" w:cs="仿宋_GB2312"/>
          <w:kern w:val="0"/>
          <w:sz w:val="32"/>
          <w:szCs w:val="32"/>
          <w:highlight w:val="none"/>
          <w:lang w:val="en-US" w:eastAsia="zh-CN" w:bidi="ar"/>
        </w:rPr>
        <w:t>根据安居区审计内部管理制度，对项目资金</w:t>
      </w:r>
      <w:r>
        <w:rPr>
          <w:rFonts w:hint="eastAsia" w:ascii="Times New Roman" w:hAnsi="Times New Roman" w:eastAsia="仿宋_GB2312" w:cs="仿宋_GB2312"/>
          <w:kern w:val="0"/>
          <w:sz w:val="32"/>
          <w:szCs w:val="32"/>
          <w:highlight w:val="none"/>
          <w:lang w:val="zh-CN" w:eastAsia="zh-CN" w:bidi="ar"/>
        </w:rPr>
        <w:t>管理进行了明确，项目</w:t>
      </w:r>
      <w:r>
        <w:rPr>
          <w:rFonts w:hint="eastAsia" w:eastAsia="仿宋_GB2312" w:cs="仿宋_GB2312"/>
          <w:kern w:val="0"/>
          <w:sz w:val="32"/>
          <w:szCs w:val="32"/>
          <w:highlight w:val="none"/>
          <w:lang w:val="zh-CN" w:eastAsia="zh-CN" w:bidi="ar"/>
        </w:rPr>
        <w:t>主要任务是保障全年审计业务开展，及时支付审计业务开展涉及</w:t>
      </w:r>
      <w:r>
        <w:rPr>
          <w:rFonts w:hint="eastAsia" w:ascii="仿宋_GB2312" w:hAnsi="宋体" w:eastAsia="仿宋_GB2312" w:cs="Times New Roman"/>
          <w:color w:val="auto"/>
          <w:kern w:val="2"/>
          <w:sz w:val="32"/>
          <w:szCs w:val="32"/>
          <w:highlight w:val="none"/>
          <w:lang w:val="zh-CN" w:eastAsia="zh-CN" w:bidi="ar-SA"/>
        </w:rPr>
        <w:t>的劳务、印刷、用车、差旅、住宿、误餐等支出</w:t>
      </w:r>
      <w:r>
        <w:rPr>
          <w:rFonts w:hint="eastAsia" w:ascii="仿宋" w:hAnsi="仿宋" w:eastAsia="仿宋" w:cs="仿宋"/>
          <w:b w:val="0"/>
          <w:bCs/>
          <w:color w:val="auto"/>
          <w:sz w:val="32"/>
          <w:szCs w:val="32"/>
          <w:highlight w:val="none"/>
          <w:u w:val="none"/>
          <w:shd w:val="clear" w:color="auto" w:fill="auto"/>
          <w:lang w:val="en-US" w:eastAsia="zh-CN"/>
        </w:rPr>
        <w:t>。</w:t>
      </w:r>
      <w:r>
        <w:rPr>
          <w:rFonts w:hint="eastAsia" w:ascii="仿宋" w:hAnsi="仿宋" w:eastAsia="仿宋" w:cs="仿宋"/>
          <w:b w:val="0"/>
          <w:bCs/>
          <w:color w:val="auto"/>
          <w:sz w:val="32"/>
          <w:szCs w:val="32"/>
          <w:highlight w:val="none"/>
          <w:u w:val="none"/>
          <w:shd w:val="clear" w:color="auto" w:fill="auto"/>
          <w:lang w:val="zh-CN"/>
        </w:rPr>
        <w:t>该项目计划在</w:t>
      </w:r>
      <w:r>
        <w:rPr>
          <w:rFonts w:hint="eastAsia" w:ascii="仿宋" w:hAnsi="仿宋" w:eastAsia="仿宋" w:cs="仿宋"/>
          <w:b w:val="0"/>
          <w:bCs/>
          <w:color w:val="auto"/>
          <w:sz w:val="32"/>
          <w:szCs w:val="32"/>
          <w:highlight w:val="none"/>
          <w:u w:val="none"/>
          <w:shd w:val="clear" w:color="auto" w:fill="auto"/>
          <w:lang w:val="en-US" w:eastAsia="zh-CN"/>
        </w:rPr>
        <w:t>2024年度完成支付</w:t>
      </w:r>
      <w:r>
        <w:rPr>
          <w:rFonts w:hint="eastAsia" w:ascii="仿宋" w:hAnsi="仿宋" w:eastAsia="仿宋" w:cs="仿宋"/>
          <w:b w:val="0"/>
          <w:bCs/>
          <w:color w:val="auto"/>
          <w:sz w:val="32"/>
          <w:szCs w:val="32"/>
          <w:highlight w:val="none"/>
          <w:u w:val="none"/>
          <w:shd w:val="clear" w:color="auto" w:fill="auto"/>
          <w:lang w:val="zh-CN"/>
        </w:rPr>
        <w:t>。申报内容与实际相符，申报目标合理可行。</w:t>
      </w:r>
    </w:p>
    <w:p w14:paraId="382EFC7E">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cs="Times New Roman"/>
          <w:kern w:val="0"/>
          <w:szCs w:val="32"/>
          <w:lang w:val="zh-CN" w:eastAsia="zh-CN"/>
        </w:rPr>
      </w:pPr>
      <w:r>
        <w:rPr>
          <w:rFonts w:hint="eastAsia" w:ascii="Times New Roman" w:hAnsi="Times New Roman" w:eastAsia="楷体_GB2312" w:cs="楷体_GB2312"/>
          <w:sz w:val="32"/>
          <w:szCs w:val="32"/>
          <w:lang w:val="zh-CN" w:eastAsia="zh-CN"/>
        </w:rPr>
        <w:t>（三）</w:t>
      </w:r>
      <w:r>
        <w:rPr>
          <w:rFonts w:hint="eastAsia" w:ascii="Times New Roman" w:hAnsi="Times New Roman" w:eastAsia="楷体_GB2312" w:cs="楷体_GB2312"/>
          <w:sz w:val="32"/>
          <w:szCs w:val="32"/>
          <w:lang w:eastAsia="zh-CN"/>
        </w:rPr>
        <w:t>预算安排及分配管理</w:t>
      </w:r>
      <w:r>
        <w:rPr>
          <w:rFonts w:hint="eastAsia" w:ascii="Times New Roman" w:hAnsi="Times New Roman" w:eastAsia="楷体_GB2312" w:cs="楷体_GB2312"/>
          <w:sz w:val="32"/>
          <w:szCs w:val="32"/>
          <w:lang w:val="zh-CN" w:eastAsia="zh-CN"/>
        </w:rPr>
        <w:t>。</w:t>
      </w:r>
      <w:r>
        <w:rPr>
          <w:rFonts w:hint="eastAsia" w:ascii="仿宋_GB2312" w:hAnsi="仿宋_GB2312" w:eastAsia="仿宋_GB2312" w:cs="仿宋_GB2312"/>
          <w:color w:val="auto"/>
          <w:kern w:val="0"/>
          <w:sz w:val="32"/>
          <w:szCs w:val="32"/>
          <w:highlight w:val="none"/>
          <w:u w:val="none"/>
          <w:shd w:val="clear" w:color="auto" w:fill="auto"/>
          <w:lang w:val="zh-CN"/>
        </w:rPr>
        <w:t>因项目实施紧扣年度审计工作计划，按照审计项目开展进度，采取月结或者项目办结方式进行审批支付，预算项目准确，分配科学合理。</w:t>
      </w:r>
    </w:p>
    <w:p w14:paraId="560414F6">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（四）项目绩效目标设置。</w:t>
      </w:r>
      <w:r>
        <w:rPr>
          <w:rFonts w:hint="eastAsia" w:ascii="Times New Roman" w:hAnsi="Times New Roman" w:eastAsia="仿宋_GB2312" w:cs="仿宋_GB2312"/>
          <w:kern w:val="0"/>
          <w:sz w:val="32"/>
          <w:szCs w:val="32"/>
          <w:lang w:val="zh-CN" w:eastAsia="zh-CN" w:bidi="ar"/>
        </w:rPr>
        <w:t>项目整体</w:t>
      </w:r>
      <w:r>
        <w:rPr>
          <w:rFonts w:hint="eastAsia" w:eastAsia="仿宋_GB2312" w:cs="仿宋_GB2312"/>
          <w:kern w:val="0"/>
          <w:sz w:val="32"/>
          <w:szCs w:val="32"/>
          <w:lang w:val="zh-CN" w:eastAsia="zh-CN" w:bidi="ar"/>
        </w:rPr>
        <w:t>绩效目标：要求根据项目实施情况及时进行结算并支付，坚持专款专用原则，杜绝截留、挤占、挪用、序列名目等违法违规现象，项目执行在一年内完成</w:t>
      </w:r>
      <w:r>
        <w:rPr>
          <w:rFonts w:hint="eastAsia" w:eastAsia="仿宋_GB2312" w:cs="仿宋_GB2312"/>
          <w:kern w:val="0"/>
          <w:sz w:val="32"/>
          <w:szCs w:val="32"/>
          <w:lang w:val="en-US" w:eastAsia="zh-CN" w:bidi="ar"/>
        </w:rPr>
        <w:t>，</w:t>
      </w:r>
      <w:r>
        <w:rPr>
          <w:rFonts w:hint="eastAsia" w:eastAsia="仿宋_GB2312" w:cs="仿宋_GB2312"/>
          <w:kern w:val="0"/>
          <w:sz w:val="32"/>
          <w:szCs w:val="32"/>
          <w:lang w:val="zh-CN" w:eastAsia="zh-CN" w:bidi="ar"/>
        </w:rPr>
        <w:t>各业务项目质量评定等级在优良以上，群众满意度不低于</w:t>
      </w:r>
      <w:r>
        <w:rPr>
          <w:rFonts w:hint="eastAsia" w:eastAsia="仿宋_GB2312" w:cs="仿宋_GB2312"/>
          <w:kern w:val="0"/>
          <w:sz w:val="32"/>
          <w:szCs w:val="32"/>
          <w:lang w:val="en-US" w:eastAsia="zh-CN" w:bidi="ar"/>
        </w:rPr>
        <w:t>95%</w:t>
      </w:r>
      <w:r>
        <w:rPr>
          <w:rFonts w:hint="eastAsia" w:ascii="Times New Roman" w:hAnsi="Times New Roman" w:eastAsia="仿宋_GB2312" w:cs="仿宋_GB2312"/>
          <w:kern w:val="0"/>
          <w:sz w:val="32"/>
          <w:szCs w:val="32"/>
          <w:lang w:val="zh-CN" w:eastAsia="zh-CN" w:bidi="ar"/>
        </w:rPr>
        <w:t>。</w:t>
      </w:r>
    </w:p>
    <w:p w14:paraId="2BE804B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eastAsia="黑体" w:cs="Times New Roman"/>
          <w:szCs w:val="32"/>
          <w:lang w:val="en-US"/>
        </w:rPr>
      </w:pPr>
      <w:r>
        <w:rPr>
          <w:rFonts w:hint="eastAsia" w:ascii="Times New Roman" w:hAnsi="Times New Roman" w:eastAsia="黑体" w:cs="黑体"/>
          <w:kern w:val="2"/>
          <w:sz w:val="32"/>
          <w:szCs w:val="32"/>
          <w:lang w:val="en-US" w:eastAsia="zh-CN" w:bidi="ar"/>
        </w:rPr>
        <w:t>二、评价实施</w:t>
      </w:r>
    </w:p>
    <w:p w14:paraId="2993003B">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（一）评价目的。</w:t>
      </w:r>
      <w:r>
        <w:rPr>
          <w:rFonts w:hint="eastAsia" w:ascii="Times New Roman" w:hAnsi="Times New Roman" w:eastAsia="仿宋_GB2312" w:cs="仿宋_GB2312"/>
          <w:kern w:val="0"/>
          <w:sz w:val="32"/>
          <w:szCs w:val="32"/>
          <w:lang w:val="zh-CN" w:eastAsia="zh-CN" w:bidi="ar"/>
        </w:rPr>
        <w:t>区审计局分别对该项目实施前、中、后进行绩效自评，旨在于通过项目绩效自评</w:t>
      </w:r>
      <w:r>
        <w:rPr>
          <w:rFonts w:hint="eastAsia" w:eastAsia="仿宋_GB2312" w:cs="仿宋_GB2312"/>
          <w:kern w:val="0"/>
          <w:sz w:val="32"/>
          <w:szCs w:val="32"/>
          <w:lang w:val="zh-CN" w:eastAsia="zh-CN" w:bidi="ar"/>
        </w:rPr>
        <w:t>促进项目推动效率，促进所对应工作高效高质开展</w:t>
      </w:r>
      <w:r>
        <w:rPr>
          <w:rFonts w:hint="eastAsia" w:ascii="Times New Roman" w:hAnsi="Times New Roman" w:eastAsia="仿宋_GB2312" w:cs="仿宋_GB2312"/>
          <w:kern w:val="0"/>
          <w:sz w:val="32"/>
          <w:szCs w:val="32"/>
          <w:lang w:val="zh-CN" w:eastAsia="zh-CN" w:bidi="ar"/>
        </w:rPr>
        <w:t>。</w:t>
      </w:r>
    </w:p>
    <w:p w14:paraId="0A3DA03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（二）预设问题及评价重点。</w:t>
      </w:r>
      <w:r>
        <w:rPr>
          <w:rFonts w:hint="eastAsia" w:ascii="Times New Roman" w:hAnsi="Times New Roman" w:eastAsia="仿宋_GB2312" w:cs="仿宋_GB2312"/>
          <w:kern w:val="0"/>
          <w:sz w:val="32"/>
          <w:szCs w:val="32"/>
          <w:lang w:val="zh-CN" w:eastAsia="zh-CN" w:bidi="ar"/>
        </w:rPr>
        <w:t>按照绩效评价指标体系，资金支出使用全过程</w:t>
      </w:r>
      <w:r>
        <w:rPr>
          <w:rFonts w:hint="eastAsia" w:eastAsia="仿宋_GB2312" w:cs="仿宋_GB2312"/>
          <w:kern w:val="0"/>
          <w:sz w:val="32"/>
          <w:szCs w:val="32"/>
          <w:lang w:val="zh-CN" w:eastAsia="zh-CN" w:bidi="ar"/>
        </w:rPr>
        <w:t>均紧扣项目实施进度进行资金结算支付，并严格按照专款专用的原则进行，不存在挪用、截留等违反财经纪律现象。</w:t>
      </w:r>
    </w:p>
    <w:p w14:paraId="1F5EF22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（三）评价选点。</w:t>
      </w:r>
      <w:r>
        <w:rPr>
          <w:rFonts w:hint="eastAsia" w:ascii="Times New Roman" w:hAnsi="Times New Roman" w:eastAsia="仿宋_GB2312" w:cs="仿宋_GB2312"/>
          <w:kern w:val="0"/>
          <w:sz w:val="32"/>
          <w:szCs w:val="32"/>
          <w:lang w:val="zh-CN" w:eastAsia="zh-CN" w:bidi="ar"/>
        </w:rPr>
        <w:t>项目绩效自评</w:t>
      </w:r>
      <w:r>
        <w:rPr>
          <w:rFonts w:hint="eastAsia" w:eastAsia="仿宋_GB2312" w:cs="仿宋_GB2312"/>
          <w:kern w:val="0"/>
          <w:sz w:val="32"/>
          <w:szCs w:val="32"/>
          <w:lang w:val="zh-CN" w:eastAsia="zh-CN" w:bidi="ar"/>
        </w:rPr>
        <w:t>主要通过资金使用进度及适用范围进行了</w:t>
      </w:r>
      <w:r>
        <w:rPr>
          <w:rFonts w:hint="eastAsia" w:ascii="Times New Roman" w:hAnsi="Times New Roman" w:eastAsia="仿宋_GB2312" w:cs="仿宋_GB2312"/>
          <w:kern w:val="0"/>
          <w:sz w:val="32"/>
          <w:szCs w:val="32"/>
          <w:lang w:val="zh-CN" w:eastAsia="zh-CN" w:bidi="ar"/>
        </w:rPr>
        <w:t>抽样</w:t>
      </w:r>
      <w:r>
        <w:rPr>
          <w:rFonts w:hint="eastAsia" w:eastAsia="仿宋_GB2312" w:cs="仿宋_GB2312"/>
          <w:kern w:val="0"/>
          <w:sz w:val="32"/>
          <w:szCs w:val="32"/>
          <w:lang w:val="zh-CN" w:eastAsia="zh-CN" w:bidi="ar"/>
        </w:rPr>
        <w:t>，发现均不存在违规违纪现象，较好保障了项目实施</w:t>
      </w:r>
      <w:r>
        <w:rPr>
          <w:rFonts w:hint="eastAsia" w:ascii="Times New Roman" w:hAnsi="Times New Roman" w:eastAsia="仿宋_GB2312" w:cs="仿宋_GB2312"/>
          <w:kern w:val="0"/>
          <w:sz w:val="32"/>
          <w:szCs w:val="32"/>
          <w:lang w:val="zh-CN" w:eastAsia="zh-CN" w:bidi="ar"/>
        </w:rPr>
        <w:t>。</w:t>
      </w:r>
    </w:p>
    <w:p w14:paraId="3F2C122B">
      <w:pPr>
        <w:keepNext w:val="0"/>
        <w:keepLines w:val="0"/>
        <w:widowControl w:val="0"/>
        <w:suppressLineNumbers w:val="0"/>
        <w:spacing w:before="0" w:beforeAutospacing="0" w:after="0" w:afterAutospacing="0" w:line="560" w:lineRule="exact"/>
        <w:ind w:left="0" w:right="0" w:firstLine="640"/>
        <w:jc w:val="both"/>
        <w:rPr>
          <w:rFonts w:hint="eastAsia" w:ascii="Times New Roman" w:hAnsi="Times New Roman" w:eastAsia="仿宋_GB2312" w:cs="仿宋_GB2312"/>
          <w:kern w:val="0"/>
          <w:sz w:val="32"/>
          <w:szCs w:val="32"/>
          <w:lang w:val="zh-CN" w:eastAsia="zh-CN" w:bidi="ar"/>
        </w:rPr>
      </w:pPr>
      <w:r>
        <w:rPr>
          <w:rFonts w:hint="eastAsia" w:ascii="Times New Roman" w:hAnsi="Times New Roman" w:eastAsia="楷体_GB2312" w:cs="楷体_GB2312"/>
          <w:kern w:val="2"/>
          <w:sz w:val="32"/>
          <w:szCs w:val="32"/>
          <w:lang w:val="zh-CN" w:eastAsia="zh-CN" w:bidi="ar"/>
        </w:rPr>
        <w:t>（四）评价方法。</w:t>
      </w:r>
      <w:r>
        <w:rPr>
          <w:rFonts w:hint="eastAsia" w:ascii="Times New Roman" w:hAnsi="Times New Roman" w:eastAsia="仿宋_GB2312" w:cs="仿宋_GB2312"/>
          <w:kern w:val="0"/>
          <w:sz w:val="32"/>
          <w:szCs w:val="32"/>
          <w:lang w:val="zh-CN" w:eastAsia="zh-CN" w:bidi="ar"/>
        </w:rPr>
        <w:t>按照有关文件的要求，在具体的绩效评价工作中，我们一-般采取如下绩效评价的方法:</w:t>
      </w:r>
      <w:r>
        <w:rPr>
          <w:rFonts w:hint="eastAsia" w:eastAsia="仿宋_GB2312" w:cs="仿宋_GB2312"/>
          <w:kern w:val="0"/>
          <w:sz w:val="32"/>
          <w:szCs w:val="32"/>
          <w:lang w:val="zh-CN" w:eastAsia="zh-CN" w:bidi="ar"/>
        </w:rPr>
        <w:t>一是</w:t>
      </w:r>
      <w:r>
        <w:rPr>
          <w:rFonts w:hint="eastAsia" w:ascii="Times New Roman" w:hAnsi="Times New Roman" w:eastAsia="仿宋_GB2312" w:cs="仿宋_GB2312"/>
          <w:kern w:val="0"/>
          <w:sz w:val="32"/>
          <w:szCs w:val="32"/>
          <w:lang w:val="zh-CN" w:eastAsia="zh-CN" w:bidi="ar"/>
        </w:rPr>
        <w:t>实地收集 证据法。通过项目</w:t>
      </w:r>
      <w:r>
        <w:rPr>
          <w:rFonts w:hint="eastAsia" w:eastAsia="仿宋_GB2312" w:cs="仿宋_GB2312"/>
          <w:kern w:val="0"/>
          <w:sz w:val="32"/>
          <w:szCs w:val="32"/>
          <w:lang w:val="zh-CN" w:eastAsia="zh-CN" w:bidi="ar"/>
        </w:rPr>
        <w:t>实施股室</w:t>
      </w:r>
      <w:r>
        <w:rPr>
          <w:rFonts w:hint="eastAsia" w:ascii="Times New Roman" w:hAnsi="Times New Roman" w:eastAsia="仿宋_GB2312" w:cs="仿宋_GB2312"/>
          <w:kern w:val="0"/>
          <w:sz w:val="32"/>
          <w:szCs w:val="32"/>
          <w:lang w:val="zh-CN" w:eastAsia="zh-CN" w:bidi="ar"/>
        </w:rPr>
        <w:t>，收集项目的组织情况、资金使用情况、款项拨付情况、项目进度及执行情况的相关证据。</w:t>
      </w:r>
      <w:r>
        <w:rPr>
          <w:rFonts w:hint="eastAsia" w:eastAsia="仿宋_GB2312" w:cs="仿宋_GB2312"/>
          <w:kern w:val="0"/>
          <w:sz w:val="32"/>
          <w:szCs w:val="32"/>
          <w:lang w:val="zh-CN" w:eastAsia="zh-CN" w:bidi="ar"/>
        </w:rPr>
        <w:t>二是</w:t>
      </w:r>
      <w:r>
        <w:rPr>
          <w:rFonts w:hint="eastAsia" w:ascii="Times New Roman" w:hAnsi="Times New Roman" w:eastAsia="仿宋_GB2312" w:cs="仿宋_GB2312"/>
          <w:kern w:val="0"/>
          <w:sz w:val="32"/>
          <w:szCs w:val="32"/>
          <w:lang w:val="zh-CN" w:eastAsia="zh-CN" w:bidi="ar"/>
        </w:rPr>
        <w:t>数据分析法。 根据相关档案数据进行分析。</w:t>
      </w:r>
      <w:r>
        <w:rPr>
          <w:rFonts w:hint="eastAsia" w:eastAsia="仿宋_GB2312" w:cs="仿宋_GB2312"/>
          <w:kern w:val="0"/>
          <w:sz w:val="32"/>
          <w:szCs w:val="32"/>
          <w:lang w:val="zh-CN" w:eastAsia="zh-CN" w:bidi="ar"/>
        </w:rPr>
        <w:t>三是</w:t>
      </w:r>
      <w:r>
        <w:rPr>
          <w:rFonts w:hint="eastAsia" w:ascii="Times New Roman" w:hAnsi="Times New Roman" w:eastAsia="仿宋_GB2312" w:cs="仿宋_GB2312"/>
          <w:kern w:val="0"/>
          <w:sz w:val="32"/>
          <w:szCs w:val="32"/>
          <w:lang w:val="zh-CN" w:eastAsia="zh-CN" w:bidi="ar"/>
        </w:rPr>
        <w:t>问卷调查法。采用开放性调查表，主要面向项目的使用</w:t>
      </w:r>
      <w:r>
        <w:rPr>
          <w:rFonts w:hint="eastAsia" w:eastAsia="仿宋_GB2312" w:cs="仿宋_GB2312"/>
          <w:kern w:val="0"/>
          <w:sz w:val="32"/>
          <w:szCs w:val="32"/>
          <w:lang w:val="zh-CN" w:eastAsia="zh-CN" w:bidi="ar"/>
        </w:rPr>
        <w:t>的</w:t>
      </w:r>
      <w:r>
        <w:rPr>
          <w:rFonts w:hint="eastAsia" w:ascii="Times New Roman" w:hAnsi="Times New Roman" w:eastAsia="仿宋_GB2312" w:cs="仿宋_GB2312"/>
          <w:kern w:val="0"/>
          <w:sz w:val="32"/>
          <w:szCs w:val="32"/>
          <w:lang w:val="zh-CN" w:eastAsia="zh-CN" w:bidi="ar"/>
        </w:rPr>
        <w:t>业务部门等，对所收集的调查问卷进行汇总统计并获取相关信息，侧面分析审计业务经费项目的完成情况及产生的效益。</w:t>
      </w:r>
    </w:p>
    <w:p w14:paraId="62F79723">
      <w:pPr>
        <w:keepNext w:val="0"/>
        <w:keepLines w:val="0"/>
        <w:widowControl w:val="0"/>
        <w:suppressLineNumbers w:val="0"/>
        <w:spacing w:before="0" w:beforeAutospacing="0" w:after="0" w:afterAutospacing="0" w:line="560" w:lineRule="exact"/>
        <w:ind w:left="0" w:right="0" w:firstLine="640"/>
        <w:jc w:val="both"/>
        <w:rPr>
          <w:rFonts w:hint="default" w:eastAsia="仿宋_GB2312" w:cs="仿宋_GB2312"/>
          <w:kern w:val="0"/>
          <w:sz w:val="32"/>
          <w:szCs w:val="32"/>
          <w:lang w:val="en-US" w:eastAsia="zh-CN" w:bidi="ar"/>
        </w:rPr>
      </w:pPr>
      <w:r>
        <w:rPr>
          <w:rFonts w:hint="eastAsia" w:ascii="Times New Roman" w:hAnsi="Times New Roman" w:eastAsia="楷体_GB2312" w:cs="楷体_GB2312"/>
          <w:kern w:val="2"/>
          <w:sz w:val="32"/>
          <w:szCs w:val="32"/>
          <w:lang w:val="zh-CN" w:eastAsia="zh-CN" w:bidi="ar"/>
        </w:rPr>
        <w:t>（五）评价组织。</w:t>
      </w:r>
      <w:r>
        <w:rPr>
          <w:rFonts w:hint="eastAsia" w:eastAsia="仿宋_GB2312" w:cs="仿宋_GB2312"/>
          <w:kern w:val="0"/>
          <w:sz w:val="32"/>
          <w:szCs w:val="32"/>
          <w:lang w:val="zh-CN" w:eastAsia="zh-CN" w:bidi="ar"/>
        </w:rPr>
        <w:t>为提高财政资金使用效益，区审计局成立了局长为组长、班子成员为副组长，各股室负责人为成员的绩效评价小组。分别对项目实施绩效进行评价。</w:t>
      </w:r>
    </w:p>
    <w:p w14:paraId="4F261A5A">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cs="Times New Roman"/>
          <w:szCs w:val="32"/>
          <w:lang w:val="zh-CN" w:eastAsia="zh-CN"/>
        </w:rPr>
      </w:pPr>
      <w:r>
        <w:rPr>
          <w:rFonts w:hint="eastAsia" w:ascii="Times New Roman" w:hAnsi="Times New Roman" w:eastAsia="黑体" w:cs="黑体"/>
          <w:kern w:val="2"/>
          <w:sz w:val="32"/>
          <w:szCs w:val="32"/>
          <w:lang w:val="en-US" w:eastAsia="zh-CN" w:bidi="ar"/>
        </w:rPr>
        <w:t>三、绩效分析</w:t>
      </w:r>
      <w:r>
        <w:rPr>
          <w:rFonts w:hint="default" w:ascii="Times New Roman" w:hAnsi="Times New Roman" w:eastAsia="仿宋_GB2312" w:cs="Times New Roman"/>
          <w:kern w:val="2"/>
          <w:sz w:val="32"/>
          <w:szCs w:val="32"/>
          <w:lang w:val="zh-CN" w:eastAsia="zh-CN" w:bidi="ar"/>
        </w:rPr>
        <w:tab/>
      </w:r>
    </w:p>
    <w:p w14:paraId="32C31D6C">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cs="Times New Roman"/>
          <w:kern w:val="0"/>
          <w:szCs w:val="32"/>
          <w:lang w:val="en-US"/>
        </w:rPr>
      </w:pPr>
      <w:r>
        <w:rPr>
          <w:rFonts w:hint="eastAsia" w:ascii="Times New Roman" w:hAnsi="Times New Roman" w:eastAsia="仿宋_GB2312" w:cs="仿宋_GB2312"/>
          <w:kern w:val="0"/>
          <w:sz w:val="32"/>
          <w:szCs w:val="32"/>
          <w:lang w:val="zh-CN" w:eastAsia="zh-CN" w:bidi="ar"/>
        </w:rPr>
        <w:t>根据项目预算绩效评价指标体系</w:t>
      </w:r>
      <w:r>
        <w:rPr>
          <w:rFonts w:hint="default" w:ascii="Times New Roman" w:hAnsi="Times New Roman" w:eastAsia="仿宋_GB2312" w:cs="Times New Roman"/>
          <w:kern w:val="0"/>
          <w:sz w:val="32"/>
          <w:szCs w:val="32"/>
          <w:lang w:val="zh-CN" w:eastAsia="zh-CN" w:bidi="ar"/>
        </w:rPr>
        <w:t>“</w:t>
      </w:r>
      <w:r>
        <w:rPr>
          <w:rFonts w:hint="eastAsia" w:ascii="Times New Roman" w:hAnsi="Times New Roman" w:eastAsia="仿宋_GB2312" w:cs="仿宋_GB2312"/>
          <w:kern w:val="0"/>
          <w:sz w:val="32"/>
          <w:szCs w:val="32"/>
          <w:lang w:val="zh-CN" w:eastAsia="zh-CN" w:bidi="ar"/>
        </w:rPr>
        <w:t>通用指标</w:t>
      </w:r>
      <w:r>
        <w:rPr>
          <w:rFonts w:hint="default" w:ascii="Times New Roman" w:hAnsi="Times New Roman" w:eastAsia="仿宋_GB2312" w:cs="Times New Roman"/>
          <w:kern w:val="0"/>
          <w:sz w:val="32"/>
          <w:szCs w:val="32"/>
          <w:lang w:val="zh-CN" w:eastAsia="zh-CN" w:bidi="ar"/>
        </w:rPr>
        <w:t>”“</w:t>
      </w:r>
      <w:r>
        <w:rPr>
          <w:rFonts w:hint="eastAsia" w:ascii="Times New Roman" w:hAnsi="Times New Roman" w:eastAsia="仿宋_GB2312" w:cs="仿宋_GB2312"/>
          <w:kern w:val="0"/>
          <w:sz w:val="32"/>
          <w:szCs w:val="32"/>
          <w:lang w:val="zh-CN" w:eastAsia="zh-CN" w:bidi="ar"/>
        </w:rPr>
        <w:t>专用指标</w:t>
      </w:r>
      <w:r>
        <w:rPr>
          <w:rFonts w:hint="default" w:ascii="Times New Roman" w:hAnsi="Times New Roman" w:eastAsia="仿宋_GB2312" w:cs="Times New Roman"/>
          <w:kern w:val="0"/>
          <w:sz w:val="32"/>
          <w:szCs w:val="32"/>
          <w:lang w:val="zh-CN" w:eastAsia="zh-CN" w:bidi="ar"/>
        </w:rPr>
        <w:t>”“</w:t>
      </w:r>
      <w:r>
        <w:rPr>
          <w:rFonts w:hint="eastAsia" w:ascii="Times New Roman" w:hAnsi="Times New Roman" w:eastAsia="仿宋_GB2312" w:cs="仿宋_GB2312"/>
          <w:kern w:val="0"/>
          <w:sz w:val="32"/>
          <w:szCs w:val="32"/>
          <w:lang w:val="zh-CN" w:eastAsia="zh-CN" w:bidi="ar"/>
        </w:rPr>
        <w:t>个性指标</w:t>
      </w:r>
      <w:r>
        <w:rPr>
          <w:rFonts w:hint="default" w:ascii="Times New Roman" w:hAnsi="Times New Roman" w:eastAsia="仿宋_GB2312" w:cs="Times New Roman"/>
          <w:kern w:val="0"/>
          <w:sz w:val="32"/>
          <w:szCs w:val="32"/>
          <w:lang w:val="zh-CN" w:eastAsia="zh-CN" w:bidi="ar"/>
        </w:rPr>
        <w:t>”</w:t>
      </w:r>
      <w:r>
        <w:rPr>
          <w:rFonts w:hint="eastAsia" w:ascii="Times New Roman" w:hAnsi="Times New Roman" w:eastAsia="仿宋_GB2312" w:cs="仿宋_GB2312"/>
          <w:kern w:val="0"/>
          <w:sz w:val="32"/>
          <w:szCs w:val="32"/>
          <w:lang w:val="zh-CN" w:eastAsia="zh-CN" w:bidi="ar"/>
        </w:rPr>
        <w:t>涉及二、三级指标进行逐项绩效分析并评分</w:t>
      </w:r>
      <w:r>
        <w:rPr>
          <w:rFonts w:hint="eastAsia" w:eastAsia="仿宋_GB2312" w:cs="仿宋_GB2312"/>
          <w:kern w:val="0"/>
          <w:sz w:val="32"/>
          <w:szCs w:val="32"/>
          <w:lang w:val="zh-CN" w:eastAsia="zh-CN" w:bidi="ar"/>
        </w:rPr>
        <w:t>如下</w:t>
      </w:r>
      <w:r>
        <w:rPr>
          <w:rFonts w:hint="eastAsia" w:ascii="Times New Roman" w:hAnsi="Times New Roman" w:eastAsia="仿宋_GB2312" w:cs="仿宋_GB2312"/>
          <w:kern w:val="0"/>
          <w:sz w:val="32"/>
          <w:szCs w:val="32"/>
          <w:lang w:val="en-US" w:eastAsia="zh-CN" w:bidi="ar"/>
        </w:rPr>
        <w:t>。</w:t>
      </w:r>
    </w:p>
    <w:p w14:paraId="39080BCD">
      <w:pPr>
        <w:keepNext w:val="0"/>
        <w:keepLines w:val="0"/>
        <w:widowControl w:val="0"/>
        <w:suppressLineNumbers w:val="0"/>
        <w:spacing w:before="0" w:beforeAutospacing="0" w:after="0" w:afterAutospacing="0" w:line="560" w:lineRule="exact"/>
        <w:ind w:left="0" w:right="0" w:firstLine="640" w:firstLineChars="200"/>
        <w:jc w:val="both"/>
        <w:outlineLvl w:val="2"/>
        <w:rPr>
          <w:rFonts w:hint="default" w:ascii="Times New Roman" w:hAnsi="Times New Roman" w:eastAsia="楷体_GB2312" w:cs="Times New Roman"/>
          <w:szCs w:val="32"/>
          <w:lang w:val="en-US"/>
        </w:rPr>
      </w:pPr>
      <w:r>
        <w:rPr>
          <w:rFonts w:hint="eastAsia" w:ascii="Times New Roman" w:hAnsi="Times New Roman" w:eastAsia="楷体_GB2312" w:cs="楷体_GB2312"/>
          <w:kern w:val="2"/>
          <w:sz w:val="32"/>
          <w:szCs w:val="32"/>
          <w:lang w:val="zh-CN" w:eastAsia="zh-CN" w:bidi="ar"/>
        </w:rPr>
        <w:t>（一）</w:t>
      </w:r>
      <w:r>
        <w:rPr>
          <w:rFonts w:hint="eastAsia" w:ascii="Times New Roman" w:hAnsi="Times New Roman" w:eastAsia="楷体_GB2312" w:cs="楷体_GB2312"/>
          <w:kern w:val="2"/>
          <w:sz w:val="32"/>
          <w:szCs w:val="32"/>
          <w:lang w:val="en-US" w:eastAsia="zh-CN" w:bidi="ar"/>
        </w:rPr>
        <w:t>通用指标</w:t>
      </w:r>
      <w:r>
        <w:rPr>
          <w:rFonts w:hint="eastAsia" w:ascii="Times New Roman" w:hAnsi="Times New Roman" w:eastAsia="楷体_GB2312" w:cs="楷体_GB2312"/>
          <w:kern w:val="2"/>
          <w:sz w:val="32"/>
          <w:szCs w:val="32"/>
          <w:lang w:val="zh-CN" w:eastAsia="zh-CN" w:bidi="ar"/>
        </w:rPr>
        <w:t>绩效分析。</w:t>
      </w:r>
    </w:p>
    <w:p w14:paraId="042A3C50">
      <w:pPr>
        <w:keepNext w:val="0"/>
        <w:keepLines w:val="0"/>
        <w:widowControl w:val="0"/>
        <w:suppressLineNumbers w:val="0"/>
        <w:spacing w:before="0" w:beforeAutospacing="0" w:after="0" w:afterAutospacing="0" w:line="560" w:lineRule="exact"/>
        <w:ind w:left="0" w:right="0" w:firstLine="640"/>
        <w:jc w:val="both"/>
        <w:rPr>
          <w:rFonts w:hint="eastAsia" w:eastAsia="仿宋_GB2312" w:cs="仿宋_GB2312"/>
          <w:kern w:val="0"/>
          <w:sz w:val="32"/>
          <w:szCs w:val="32"/>
          <w:lang w:val="zh-CN" w:eastAsia="zh-CN" w:bidi="ar"/>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项目决策。</w:t>
      </w:r>
      <w:r>
        <w:rPr>
          <w:rFonts w:hint="eastAsia" w:eastAsia="仿宋_GB2312" w:cs="仿宋_GB2312"/>
          <w:kern w:val="2"/>
          <w:sz w:val="32"/>
          <w:szCs w:val="32"/>
          <w:lang w:val="en-US" w:eastAsia="zh-CN" w:bidi="ar"/>
        </w:rPr>
        <w:t>该项目实施是根据《中华人民共和国审计法》第十一条：“审计机关履行职责所必须的经费，应当列入预算予以保证”之规定纳入预算，同时结合近三年审计工作业务量，对项目实施的必要性进行充分分析论证确定</w:t>
      </w:r>
      <w:r>
        <w:rPr>
          <w:rFonts w:hint="eastAsia" w:eastAsia="仿宋_GB2312" w:cs="仿宋_GB2312"/>
          <w:kern w:val="0"/>
          <w:sz w:val="32"/>
          <w:szCs w:val="32"/>
          <w:lang w:val="zh-CN" w:eastAsia="zh-CN" w:bidi="ar"/>
        </w:rPr>
        <w:t>，立项依据充分。</w:t>
      </w:r>
    </w:p>
    <w:p w14:paraId="3E25DA12">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cs="Times New Roman"/>
          <w:kern w:val="0"/>
          <w:szCs w:val="32"/>
          <w:lang w:val="zh-CN" w:eastAsia="zh-CN"/>
        </w:rPr>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项目管理。</w:t>
      </w:r>
      <w:r>
        <w:rPr>
          <w:rFonts w:hint="eastAsia" w:eastAsia="仿宋_GB2312" w:cs="仿宋_GB2312"/>
          <w:kern w:val="2"/>
          <w:sz w:val="32"/>
          <w:szCs w:val="32"/>
          <w:lang w:val="en-US" w:eastAsia="zh-CN" w:bidi="ar"/>
        </w:rPr>
        <w:t>根据《遂宁市安居区审计局内部管理制度》相关规定依据“三重一大”事项集体决策制度、机关财务等制度，安居区审计局对项目资金分配、拨付等均经党组会研究。对项目立项、实施、结算进行全盘跟踪，并充分听取项目实施业务股室意见，结合项目实施进度，采纳业务股室审批意见进行费用拨付</w:t>
      </w:r>
      <w:r>
        <w:rPr>
          <w:rFonts w:hint="eastAsia" w:ascii="Times New Roman" w:hAnsi="Times New Roman" w:eastAsia="仿宋_GB2312" w:cs="仿宋_GB2312"/>
          <w:kern w:val="0"/>
          <w:sz w:val="32"/>
          <w:szCs w:val="32"/>
          <w:lang w:val="zh-CN" w:eastAsia="zh-CN" w:bidi="ar"/>
        </w:rPr>
        <w:t>。</w:t>
      </w:r>
      <w:r>
        <w:rPr>
          <w:rFonts w:hint="eastAsia" w:eastAsia="仿宋_GB2312" w:cs="仿宋_GB2312"/>
          <w:kern w:val="0"/>
          <w:sz w:val="32"/>
          <w:szCs w:val="32"/>
          <w:lang w:val="zh-CN" w:eastAsia="zh-CN" w:bidi="ar"/>
        </w:rPr>
        <w:t>经查阅资料发现：该项目</w:t>
      </w:r>
      <w:r>
        <w:rPr>
          <w:rFonts w:hint="eastAsia" w:ascii="Times New Roman" w:hAnsi="Times New Roman" w:eastAsia="仿宋_GB2312" w:cs="仿宋_GB2312"/>
          <w:kern w:val="0"/>
          <w:sz w:val="32"/>
          <w:szCs w:val="32"/>
          <w:lang w:val="zh-CN" w:eastAsia="zh-CN" w:bidi="ar"/>
        </w:rPr>
        <w:t>预算与实际支出一致，项目资金使用符合国家财经法规和财务管理制度以及有关专项资金管理办法的规定:资金拨付有完整的审批程序和手续;资金使用符合项目预算批复及合同规定的用途;不存在截留、挤占、挪用、虚列支出等情况。</w:t>
      </w:r>
      <w:r>
        <w:rPr>
          <w:rFonts w:hint="eastAsia" w:eastAsia="仿宋_GB2312" w:cs="仿宋_GB2312"/>
          <w:kern w:val="0"/>
          <w:sz w:val="32"/>
          <w:szCs w:val="32"/>
          <w:lang w:val="zh-CN" w:eastAsia="zh-CN" w:bidi="ar"/>
        </w:rPr>
        <w:t>项目实施程序规范、资金使用合规，资金管理制度完善。</w:t>
      </w:r>
    </w:p>
    <w:p w14:paraId="7F5C521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项目实施。</w:t>
      </w:r>
      <w:r>
        <w:rPr>
          <w:rFonts w:hint="eastAsia" w:eastAsia="仿宋_GB2312" w:cs="仿宋_GB2312"/>
          <w:kern w:val="2"/>
          <w:sz w:val="32"/>
          <w:szCs w:val="32"/>
          <w:lang w:val="en-US" w:eastAsia="zh-CN" w:bidi="ar"/>
        </w:rPr>
        <w:t>安居区审计局坚持预算导向、总量控制，根据项目实施进度进行核算支付，程序规范，保障了项目实施有序开展，基本到达预期效果</w:t>
      </w:r>
      <w:r>
        <w:rPr>
          <w:rFonts w:hint="eastAsia" w:ascii="Times New Roman" w:hAnsi="Times New Roman" w:eastAsia="仿宋_GB2312" w:cs="仿宋_GB2312"/>
          <w:kern w:val="0"/>
          <w:sz w:val="32"/>
          <w:szCs w:val="32"/>
          <w:lang w:val="zh-CN" w:eastAsia="zh-CN" w:bidi="ar"/>
        </w:rPr>
        <w:t>。</w:t>
      </w:r>
    </w:p>
    <w:p w14:paraId="57D2BE7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项目结果。</w:t>
      </w:r>
      <w:r>
        <w:rPr>
          <w:rFonts w:hint="eastAsia" w:eastAsia="仿宋_GB2312" w:cs="仿宋_GB2312"/>
          <w:kern w:val="2"/>
          <w:sz w:val="32"/>
          <w:szCs w:val="32"/>
          <w:lang w:val="en-US" w:eastAsia="zh-CN" w:bidi="ar"/>
        </w:rPr>
        <w:t>该项目全面完成了年度审计项目任务。根据项目实施进度该预算项目实际支出27.94万元，支付率仅达到100%。</w:t>
      </w:r>
    </w:p>
    <w:p w14:paraId="23C8C9F7">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（二）</w:t>
      </w:r>
      <w:r>
        <w:rPr>
          <w:rFonts w:hint="eastAsia" w:ascii="Times New Roman" w:hAnsi="Times New Roman" w:eastAsia="楷体_GB2312" w:cs="楷体_GB2312"/>
          <w:kern w:val="2"/>
          <w:sz w:val="32"/>
          <w:szCs w:val="32"/>
          <w:lang w:val="en-US" w:eastAsia="zh-CN" w:bidi="ar"/>
        </w:rPr>
        <w:t>专用指标</w:t>
      </w:r>
      <w:r>
        <w:rPr>
          <w:rFonts w:hint="eastAsia" w:ascii="Times New Roman" w:hAnsi="Times New Roman" w:eastAsia="楷体_GB2312" w:cs="楷体_GB2312"/>
          <w:kern w:val="2"/>
          <w:sz w:val="32"/>
          <w:szCs w:val="32"/>
          <w:lang w:val="zh-CN" w:eastAsia="zh-CN" w:bidi="ar"/>
        </w:rPr>
        <w:t>绩效分析。</w:t>
      </w:r>
      <w:r>
        <w:rPr>
          <w:rFonts w:hint="eastAsia" w:ascii="Times New Roman" w:hAnsi="Times New Roman" w:eastAsia="仿宋_GB2312" w:cs="仿宋_GB2312"/>
          <w:kern w:val="0"/>
          <w:sz w:val="32"/>
          <w:szCs w:val="32"/>
          <w:lang w:val="zh-CN" w:eastAsia="zh-CN" w:bidi="ar"/>
        </w:rPr>
        <w:t>根据</w:t>
      </w:r>
      <w:r>
        <w:rPr>
          <w:rFonts w:hint="eastAsia" w:ascii="Times New Roman" w:hAnsi="Times New Roman" w:eastAsia="仿宋_GB2312" w:cs="仿宋_GB2312"/>
          <w:kern w:val="0"/>
          <w:sz w:val="32"/>
          <w:szCs w:val="32"/>
          <w:lang w:val="en-US" w:eastAsia="zh-CN" w:bidi="ar"/>
        </w:rPr>
        <w:t>专项预算项目资金支持对象选择所属指标进行绩效分析。</w:t>
      </w:r>
      <w:r>
        <w:rPr>
          <w:rFonts w:hint="eastAsia" w:eastAsia="仿宋_GB2312" w:cs="仿宋_GB2312"/>
          <w:kern w:val="0"/>
          <w:sz w:val="32"/>
          <w:szCs w:val="32"/>
          <w:lang w:val="en-US" w:eastAsia="zh-CN" w:bidi="ar"/>
        </w:rPr>
        <w:t>该项目实施着力规范全区政府投资项目建设，提升政府资金效益，加快项目建设进度，保障项目建设质量，提升项目建设管理水平</w:t>
      </w:r>
      <w:r>
        <w:rPr>
          <w:rFonts w:hint="eastAsia" w:ascii="Times New Roman" w:hAnsi="Times New Roman" w:eastAsia="仿宋_GB2312" w:cs="仿宋_GB2312"/>
          <w:kern w:val="0"/>
          <w:sz w:val="32"/>
          <w:szCs w:val="32"/>
          <w:lang w:val="zh-CN" w:eastAsia="zh-CN" w:bidi="ar"/>
        </w:rPr>
        <w:t>。</w:t>
      </w:r>
    </w:p>
    <w:p w14:paraId="75293628">
      <w:pPr>
        <w:pStyle w:val="18"/>
        <w:keepNext w:val="0"/>
        <w:keepLines w:val="0"/>
        <w:widowControl w:val="0"/>
        <w:suppressLineNumbers w:val="0"/>
        <w:tabs>
          <w:tab w:val="left" w:pos="2160"/>
        </w:tabs>
        <w:spacing w:before="173" w:beforeLines="30" w:beforeAutospacing="0" w:after="0" w:afterAutospacing="0" w:line="560" w:lineRule="exact"/>
        <w:ind w:left="0" w:right="0" w:firstLine="640" w:firstLineChars="200"/>
        <w:jc w:val="both"/>
        <w:outlineLvl w:val="1"/>
        <w:rPr>
          <w:rFonts w:hint="default" w:ascii="Times New Roman" w:hAnsi="Times New Roman" w:eastAsia="黑体" w:cs="Times New Roman"/>
          <w:sz w:val="32"/>
          <w:szCs w:val="32"/>
          <w:lang w:val="en-US"/>
        </w:rPr>
      </w:pPr>
      <w:r>
        <w:rPr>
          <w:rFonts w:hint="eastAsia" w:ascii="Times New Roman" w:hAnsi="Times New Roman" w:eastAsia="黑体" w:cs="黑体"/>
          <w:kern w:val="2"/>
          <w:sz w:val="32"/>
          <w:szCs w:val="32"/>
          <w:lang w:val="en-US" w:eastAsia="zh-CN" w:bidi="ar"/>
        </w:rPr>
        <w:t>四、评价结论</w:t>
      </w:r>
    </w:p>
    <w:p w14:paraId="2B62728C">
      <w:pPr>
        <w:pStyle w:val="18"/>
        <w:keepNext w:val="0"/>
        <w:keepLines w:val="0"/>
        <w:pageBreakBefore w:val="0"/>
        <w:widowControl w:val="0"/>
        <w:suppressLineNumbers w:val="0"/>
        <w:tabs>
          <w:tab w:val="left" w:pos="216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仿宋" w:hAnsi="仿宋" w:eastAsia="仿宋" w:cs="仿宋"/>
          <w:b w:val="0"/>
          <w:bCs/>
          <w:color w:val="auto"/>
          <w:sz w:val="32"/>
          <w:szCs w:val="32"/>
          <w:highlight w:val="none"/>
          <w:u w:val="none"/>
          <w:shd w:val="clear" w:color="auto" w:fill="auto"/>
          <w:lang w:val="en-US" w:eastAsia="zh-CN"/>
        </w:rPr>
      </w:pPr>
      <w:r>
        <w:rPr>
          <w:rFonts w:hint="eastAsia" w:ascii="仿宋" w:hAnsi="仿宋" w:eastAsia="仿宋" w:cs="仿宋"/>
          <w:b w:val="0"/>
          <w:bCs/>
          <w:color w:val="auto"/>
          <w:sz w:val="32"/>
          <w:szCs w:val="32"/>
          <w:highlight w:val="none"/>
          <w:u w:val="none"/>
          <w:shd w:val="clear" w:color="auto" w:fill="auto"/>
          <w:lang w:val="en-US" w:eastAsia="zh-CN"/>
        </w:rPr>
        <w:t>总体来看，本项目取得的绩效是显著的，安居区审计局为解决政府审计项目审计力量的不足，采用聘请中介机构专业技术人员参与编组审计、委托中介机构进行审计的方式进行审计业务。从项目决策方面来看，项目立项依据充分，绩效总目标比较明确。安居区审计局的财务制度及本项目的管理制度比较健全。本项目对成本进行了控制，按项目内容进行成本核算。从项目绩效方面来看，本项目的产出效果良好。</w:t>
      </w:r>
    </w:p>
    <w:p w14:paraId="53DFFCB1">
      <w:pPr>
        <w:pStyle w:val="18"/>
        <w:keepNext w:val="0"/>
        <w:keepLines w:val="0"/>
        <w:pageBreakBefore w:val="0"/>
        <w:widowControl w:val="0"/>
        <w:suppressLineNumbers w:val="0"/>
        <w:tabs>
          <w:tab w:val="left" w:pos="216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default" w:ascii="Times New Roman" w:hAnsi="Times New Roman" w:eastAsia="黑体" w:cs="Times New Roman"/>
          <w:sz w:val="32"/>
          <w:szCs w:val="32"/>
          <w:lang w:val="en-US"/>
        </w:rPr>
      </w:pPr>
      <w:r>
        <w:rPr>
          <w:rFonts w:hint="eastAsia" w:ascii="Times New Roman" w:hAnsi="Times New Roman" w:eastAsia="黑体" w:cs="黑体"/>
          <w:kern w:val="2"/>
          <w:sz w:val="32"/>
          <w:szCs w:val="32"/>
          <w:lang w:val="en-US" w:eastAsia="zh-CN" w:bidi="ar"/>
        </w:rPr>
        <w:t>五、存在主要问题</w:t>
      </w:r>
    </w:p>
    <w:p w14:paraId="1B0A93A3">
      <w:pPr>
        <w:pStyle w:val="18"/>
        <w:keepNext w:val="0"/>
        <w:keepLines w:val="0"/>
        <w:pageBreakBefore w:val="0"/>
        <w:widowControl w:val="0"/>
        <w:suppressLineNumbers w:val="0"/>
        <w:tabs>
          <w:tab w:val="left" w:pos="216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eastAsia="仿宋_GB2312" w:cs="Times New Roman"/>
          <w:kern w:val="0"/>
          <w:sz w:val="32"/>
          <w:szCs w:val="32"/>
          <w:lang w:val="en-US" w:eastAsia="zh-CN" w:bidi="ar"/>
        </w:rPr>
      </w:pPr>
      <w:r>
        <w:rPr>
          <w:rFonts w:hint="eastAsia" w:eastAsia="仿宋_GB2312" w:cs="Times New Roman"/>
          <w:kern w:val="0"/>
          <w:sz w:val="32"/>
          <w:szCs w:val="32"/>
          <w:lang w:val="en-US" w:eastAsia="zh-CN" w:bidi="ar"/>
        </w:rPr>
        <w:t>绩效目标有待进一步细化。</w:t>
      </w:r>
    </w:p>
    <w:p w14:paraId="6FF6A3D6">
      <w:pPr>
        <w:pStyle w:val="18"/>
        <w:keepNext w:val="0"/>
        <w:keepLines w:val="0"/>
        <w:pageBreakBefore w:val="0"/>
        <w:widowControl w:val="0"/>
        <w:suppressLineNumbers w:val="0"/>
        <w:tabs>
          <w:tab w:val="left" w:pos="216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eastAsia="仿宋_GB2312" w:cs="Times New Roman"/>
          <w:kern w:val="0"/>
          <w:sz w:val="32"/>
          <w:szCs w:val="32"/>
          <w:lang w:val="en-US" w:eastAsia="zh-CN" w:bidi="ar"/>
        </w:rPr>
      </w:pPr>
      <w:r>
        <w:rPr>
          <w:rFonts w:hint="eastAsia" w:eastAsia="仿宋_GB2312" w:cs="Times New Roman"/>
          <w:kern w:val="0"/>
          <w:sz w:val="32"/>
          <w:szCs w:val="32"/>
          <w:lang w:val="en-US" w:eastAsia="zh-CN" w:bidi="ar"/>
        </w:rPr>
        <w:t>在实施绩效评价过程中，发现本项目的绩效总目标明确，即通过保障差旅、劳务、用车、住宿、三方公司服务等费用支出，弥补了审计力量的不足、审计经费需求大等问题。但在执行中，执行率偏低，需进一步完善。</w:t>
      </w:r>
    </w:p>
    <w:p w14:paraId="1EA1CB06">
      <w:pPr>
        <w:pStyle w:val="18"/>
        <w:keepNext w:val="0"/>
        <w:keepLines w:val="0"/>
        <w:pageBreakBefore w:val="0"/>
        <w:widowControl w:val="0"/>
        <w:suppressLineNumbers w:val="0"/>
        <w:tabs>
          <w:tab w:val="left" w:pos="216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default" w:ascii="Times New Roman" w:hAnsi="Times New Roman" w:eastAsia="黑体" w:cs="Times New Roman"/>
          <w:kern w:val="0"/>
          <w:position w:val="3"/>
          <w:sz w:val="32"/>
          <w:szCs w:val="32"/>
          <w:lang w:val="zh-CN" w:eastAsia="zh-CN"/>
        </w:rPr>
      </w:pPr>
      <w:r>
        <w:rPr>
          <w:rFonts w:hint="eastAsia" w:ascii="Times New Roman" w:hAnsi="Times New Roman" w:eastAsia="黑体" w:cs="黑体"/>
          <w:kern w:val="0"/>
          <w:position w:val="3"/>
          <w:sz w:val="32"/>
          <w:szCs w:val="32"/>
          <w:lang w:val="zh-CN" w:eastAsia="zh-CN" w:bidi="ar"/>
        </w:rPr>
        <w:t>六、改进建议</w:t>
      </w:r>
    </w:p>
    <w:p w14:paraId="6D6C4E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0"/>
        <w:rPr>
          <w:rFonts w:hint="eastAsia" w:eastAsia="仿宋_GB2312" w:cs="Times New Roman"/>
          <w:kern w:val="0"/>
          <w:sz w:val="32"/>
          <w:szCs w:val="32"/>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r>
        <w:rPr>
          <w:rFonts w:hint="default" w:ascii="Times New Roman" w:hAnsi="Times New Roman" w:eastAsia="仿宋_GB2312" w:cs="Times New Roman"/>
          <w:kern w:val="0"/>
          <w:sz w:val="32"/>
          <w:szCs w:val="32"/>
          <w:lang w:val="zh-CN" w:eastAsia="zh-CN" w:bidi="ar"/>
        </w:rPr>
        <w:t xml:space="preserve"> </w:t>
      </w:r>
      <w:r>
        <w:rPr>
          <w:rFonts w:hint="default" w:ascii="Times New Roman" w:hAnsi="Times New Roman" w:eastAsia="仿宋_GB2312" w:cs="Times New Roman"/>
          <w:kern w:val="0"/>
          <w:sz w:val="32"/>
          <w:szCs w:val="32"/>
          <w:lang w:val="en-US" w:eastAsia="zh-CN" w:bidi="ar"/>
        </w:rPr>
        <w:t xml:space="preserve"> </w:t>
      </w:r>
      <w:r>
        <w:rPr>
          <w:rFonts w:hint="eastAsia" w:eastAsia="仿宋_GB2312" w:cs="Times New Roman"/>
          <w:kern w:val="0"/>
          <w:sz w:val="32"/>
          <w:szCs w:val="32"/>
          <w:lang w:val="en-US" w:eastAsia="zh-CN" w:bidi="ar"/>
        </w:rPr>
        <w:t xml:space="preserve"> 强化预算绩效管理的理念，根据项目要求进一步细化绩效目标。 从本项目的绩效总目标来看比较清晰，但还需要根据实际工作要求进一步细化和设立子项绩效目标。同时加快执行进度。</w:t>
      </w:r>
    </w:p>
    <w:tbl>
      <w:tblPr>
        <w:tblStyle w:val="19"/>
        <w:tblW w:w="490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1"/>
        <w:gridCol w:w="1060"/>
        <w:gridCol w:w="874"/>
        <w:gridCol w:w="1205"/>
        <w:gridCol w:w="400"/>
        <w:gridCol w:w="799"/>
        <w:gridCol w:w="398"/>
        <w:gridCol w:w="863"/>
        <w:gridCol w:w="481"/>
        <w:gridCol w:w="483"/>
        <w:gridCol w:w="1224"/>
      </w:tblGrid>
      <w:tr w14:paraId="26A25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200D4D">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0ADC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27F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项目名称</w:t>
            </w:r>
          </w:p>
        </w:tc>
        <w:tc>
          <w:tcPr>
            <w:tcW w:w="402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1187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审计业务专项经费</w:t>
            </w:r>
          </w:p>
        </w:tc>
      </w:tr>
      <w:tr w14:paraId="70DBD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62A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主管部门</w:t>
            </w:r>
          </w:p>
        </w:tc>
        <w:tc>
          <w:tcPr>
            <w:tcW w:w="21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23F6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遂宁市安居区审计局部门</w:t>
            </w:r>
          </w:p>
        </w:tc>
        <w:tc>
          <w:tcPr>
            <w:tcW w:w="514" w:type="pct"/>
            <w:tcBorders>
              <w:top w:val="nil"/>
              <w:left w:val="nil"/>
              <w:bottom w:val="nil"/>
              <w:right w:val="nil"/>
            </w:tcBorders>
            <w:shd w:val="clear" w:color="auto" w:fill="auto"/>
            <w:vAlign w:val="center"/>
          </w:tcPr>
          <w:p w14:paraId="7EDAD9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实施单位 （盖章）</w:t>
            </w:r>
          </w:p>
        </w:tc>
        <w:tc>
          <w:tcPr>
            <w:tcW w:w="13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151E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遂宁市安居区审计局</w:t>
            </w:r>
          </w:p>
        </w:tc>
      </w:tr>
      <w:tr w14:paraId="3BE6F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2D1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项目基本情况</w:t>
            </w: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FF2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1.项目年度目标完成情况</w:t>
            </w:r>
          </w:p>
        </w:tc>
        <w:tc>
          <w:tcPr>
            <w:tcW w:w="21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929B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项目年度目标</w:t>
            </w:r>
          </w:p>
        </w:tc>
        <w:tc>
          <w:tcPr>
            <w:tcW w:w="18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4792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年度目标完成情况</w:t>
            </w:r>
          </w:p>
        </w:tc>
      </w:tr>
      <w:tr w14:paraId="478FB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FE3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仿宋_GB2312" w:hAnsi="仿宋_GB2312" w:eastAsia="仿宋_GB2312" w:cs="仿宋_GB2312"/>
                <w:b w:val="0"/>
                <w:bCs w:val="0"/>
                <w:i w:val="0"/>
                <w:iCs w:val="0"/>
                <w:color w:val="000000"/>
                <w:sz w:val="16"/>
                <w:szCs w:val="16"/>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91E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仿宋_GB2312" w:hAnsi="仿宋_GB2312" w:eastAsia="仿宋_GB2312" w:cs="仿宋_GB2312"/>
                <w:b w:val="0"/>
                <w:bCs w:val="0"/>
                <w:i w:val="0"/>
                <w:iCs w:val="0"/>
                <w:color w:val="000000"/>
                <w:sz w:val="16"/>
                <w:szCs w:val="16"/>
                <w:u w:val="none"/>
              </w:rPr>
            </w:pPr>
          </w:p>
        </w:tc>
        <w:tc>
          <w:tcPr>
            <w:tcW w:w="21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9234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2024年审计经济责任审计项目、审计项目过程中产生的差旅费、印刷费第三方协审费用</w:t>
            </w:r>
          </w:p>
        </w:tc>
        <w:tc>
          <w:tcPr>
            <w:tcW w:w="18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CBA4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严格执行相关政策，足额按时支付，预算编制科学合理，年末无结余资金。</w:t>
            </w:r>
          </w:p>
        </w:tc>
      </w:tr>
      <w:tr w14:paraId="2EE70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2B9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仿宋_GB2312" w:hAnsi="仿宋_GB2312" w:eastAsia="仿宋_GB2312" w:cs="仿宋_GB2312"/>
                <w:b w:val="0"/>
                <w:bCs w:val="0"/>
                <w:i w:val="0"/>
                <w:iCs w:val="0"/>
                <w:color w:val="000000"/>
                <w:sz w:val="16"/>
                <w:szCs w:val="16"/>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4C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2.项目实施内容及过程概述</w:t>
            </w:r>
          </w:p>
        </w:tc>
        <w:tc>
          <w:tcPr>
            <w:tcW w:w="402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9F1A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严格执行相关政策，足额按时支付，预算编制科学合理，年末无结余资金。</w:t>
            </w:r>
          </w:p>
        </w:tc>
      </w:tr>
      <w:tr w14:paraId="4AD58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951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预算执行情况（10分）</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5F6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年度预算数（万元）</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F6C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年初预算</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A1F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7FDE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预算执行数</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E54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预算执行率</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4D6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权重</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F4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得分</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60B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原因</w:t>
            </w:r>
          </w:p>
        </w:tc>
      </w:tr>
      <w:tr w14:paraId="64991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877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i w:val="0"/>
                <w:iCs w:val="0"/>
                <w:color w:val="000000"/>
                <w:sz w:val="16"/>
                <w:szCs w:val="16"/>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09A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总额</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F7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_GB2312" w:hAnsi="仿宋_GB2312" w:eastAsia="仿宋_GB2312" w:cs="仿宋_GB2312"/>
                <w:b w:val="0"/>
                <w:bCs w:val="0"/>
                <w:i w:val="0"/>
                <w:iCs w:val="0"/>
                <w:color w:val="000000"/>
                <w:sz w:val="16"/>
                <w:szCs w:val="16"/>
                <w:u w:val="none"/>
                <w:lang w:val="en-US"/>
              </w:rPr>
            </w:pPr>
            <w:r>
              <w:rPr>
                <w:rFonts w:hint="eastAsia" w:ascii="仿宋_GB2312" w:hAnsi="仿宋_GB2312" w:eastAsia="仿宋_GB2312" w:cs="仿宋_GB2312"/>
                <w:b w:val="0"/>
                <w:bCs w:val="0"/>
                <w:i w:val="0"/>
                <w:iCs w:val="0"/>
                <w:color w:val="000000"/>
                <w:kern w:val="0"/>
                <w:sz w:val="16"/>
                <w:szCs w:val="16"/>
                <w:u w:val="none"/>
                <w:lang w:val="en-US" w:eastAsia="zh-CN" w:bidi="ar"/>
              </w:rPr>
              <w:t>27.94</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DD0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27.94</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75F8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27.94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90A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100.00%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6CC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C04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10</w:t>
            </w:r>
          </w:p>
        </w:tc>
        <w:tc>
          <w:tcPr>
            <w:tcW w:w="7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030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i w:val="0"/>
                <w:iCs w:val="0"/>
                <w:color w:val="000000"/>
                <w:sz w:val="16"/>
                <w:szCs w:val="16"/>
                <w:u w:val="none"/>
              </w:rPr>
            </w:pPr>
          </w:p>
        </w:tc>
      </w:tr>
      <w:tr w14:paraId="69040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9F8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i w:val="0"/>
                <w:iCs w:val="0"/>
                <w:color w:val="000000"/>
                <w:sz w:val="16"/>
                <w:szCs w:val="16"/>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E60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其中：财政资金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475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27.94</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143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27.94</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6D31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27.94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FB1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100.00%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2DD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167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w:t>
            </w: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62D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仿宋_GB2312" w:hAnsi="仿宋_GB2312" w:eastAsia="仿宋_GB2312" w:cs="仿宋_GB2312"/>
                <w:b w:val="0"/>
                <w:bCs w:val="0"/>
                <w:i w:val="0"/>
                <w:iCs w:val="0"/>
                <w:color w:val="000000"/>
                <w:sz w:val="16"/>
                <w:szCs w:val="16"/>
                <w:u w:val="none"/>
              </w:rPr>
            </w:pPr>
          </w:p>
        </w:tc>
      </w:tr>
      <w:tr w14:paraId="628D9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5E7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i w:val="0"/>
                <w:iCs w:val="0"/>
                <w:color w:val="000000"/>
                <w:sz w:val="16"/>
                <w:szCs w:val="16"/>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60F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财政专户管理资金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23A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0.00</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6A1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5148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0.00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99A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0.00%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6A9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CDB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w:t>
            </w: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306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仿宋_GB2312" w:hAnsi="仿宋_GB2312" w:eastAsia="仿宋_GB2312" w:cs="仿宋_GB2312"/>
                <w:b w:val="0"/>
                <w:bCs w:val="0"/>
                <w:i w:val="0"/>
                <w:iCs w:val="0"/>
                <w:color w:val="000000"/>
                <w:sz w:val="16"/>
                <w:szCs w:val="16"/>
                <w:u w:val="none"/>
              </w:rPr>
            </w:pPr>
          </w:p>
        </w:tc>
      </w:tr>
      <w:tr w14:paraId="56913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718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i w:val="0"/>
                <w:iCs w:val="0"/>
                <w:color w:val="000000"/>
                <w:sz w:val="16"/>
                <w:szCs w:val="16"/>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17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单位资金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239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0.00</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9B3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01D4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0.00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A11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0.00%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260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56B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w:t>
            </w: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A68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仿宋_GB2312" w:hAnsi="仿宋_GB2312" w:eastAsia="仿宋_GB2312" w:cs="仿宋_GB2312"/>
                <w:b w:val="0"/>
                <w:bCs w:val="0"/>
                <w:i w:val="0"/>
                <w:iCs w:val="0"/>
                <w:color w:val="000000"/>
                <w:sz w:val="16"/>
                <w:szCs w:val="16"/>
                <w:u w:val="none"/>
              </w:rPr>
            </w:pPr>
          </w:p>
        </w:tc>
      </w:tr>
      <w:tr w14:paraId="6768E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305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i w:val="0"/>
                <w:iCs w:val="0"/>
                <w:color w:val="000000"/>
                <w:sz w:val="16"/>
                <w:szCs w:val="16"/>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02C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其他资金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CBE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i w:val="0"/>
                <w:iCs w:val="0"/>
                <w:color w:val="000000"/>
                <w:sz w:val="16"/>
                <w:szCs w:val="16"/>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AFF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i w:val="0"/>
                <w:iCs w:val="0"/>
                <w:color w:val="000000"/>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D24D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i w:val="0"/>
                <w:iCs w:val="0"/>
                <w:color w:val="000000"/>
                <w:sz w:val="16"/>
                <w:szCs w:val="16"/>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64A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i w:val="0"/>
                <w:iCs w:val="0"/>
                <w:color w:val="000000"/>
                <w:sz w:val="16"/>
                <w:szCs w:val="16"/>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BA0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19A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w:t>
            </w: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5BF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仿宋_GB2312" w:hAnsi="仿宋_GB2312" w:eastAsia="仿宋_GB2312" w:cs="仿宋_GB2312"/>
                <w:b w:val="0"/>
                <w:bCs w:val="0"/>
                <w:i w:val="0"/>
                <w:iCs w:val="0"/>
                <w:color w:val="000000"/>
                <w:sz w:val="16"/>
                <w:szCs w:val="16"/>
                <w:u w:val="none"/>
              </w:rPr>
            </w:pPr>
          </w:p>
        </w:tc>
      </w:tr>
      <w:tr w14:paraId="720FD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E7A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绩效指标（90分）</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95A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一级指标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674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二级指标</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085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三级指标</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F1C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指标性质</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EDC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指标值</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3E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度量单位</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CDD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完成值</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014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权重</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52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得分</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5A6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未完成原因分析</w:t>
            </w:r>
          </w:p>
        </w:tc>
      </w:tr>
      <w:tr w14:paraId="58867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AFD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i w:val="0"/>
                <w:iCs w:val="0"/>
                <w:color w:val="000000"/>
                <w:sz w:val="16"/>
                <w:szCs w:val="16"/>
                <w:u w:val="none"/>
              </w:rPr>
            </w:pP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9B6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产出指标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C59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数量指标</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0E2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实施经责、财政、自然资源审计</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1A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854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20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801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个</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7FC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i w:val="0"/>
                <w:iCs w:val="0"/>
                <w:color w:val="000000"/>
                <w:sz w:val="16"/>
                <w:szCs w:val="16"/>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6DB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6FC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20</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1C2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i w:val="0"/>
                <w:iCs w:val="0"/>
                <w:color w:val="000000"/>
                <w:sz w:val="16"/>
                <w:szCs w:val="16"/>
                <w:u w:val="none"/>
              </w:rPr>
            </w:pPr>
          </w:p>
        </w:tc>
      </w:tr>
      <w:tr w14:paraId="36CF5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816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i w:val="0"/>
                <w:iCs w:val="0"/>
                <w:color w:val="000000"/>
                <w:sz w:val="16"/>
                <w:szCs w:val="16"/>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81B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i w:val="0"/>
                <w:iCs w:val="0"/>
                <w:color w:val="000000"/>
                <w:sz w:val="16"/>
                <w:szCs w:val="16"/>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2E4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质量指标</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180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审计质量控制</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871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定性</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18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优</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383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i w:val="0"/>
                <w:iCs w:val="0"/>
                <w:color w:val="000000"/>
                <w:sz w:val="16"/>
                <w:szCs w:val="16"/>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FC0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i w:val="0"/>
                <w:iCs w:val="0"/>
                <w:color w:val="000000"/>
                <w:sz w:val="16"/>
                <w:szCs w:val="16"/>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FF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942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20</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AA9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i w:val="0"/>
                <w:iCs w:val="0"/>
                <w:color w:val="000000"/>
                <w:sz w:val="16"/>
                <w:szCs w:val="16"/>
                <w:u w:val="none"/>
              </w:rPr>
            </w:pPr>
          </w:p>
        </w:tc>
      </w:tr>
      <w:tr w14:paraId="1723E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2D2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i w:val="0"/>
                <w:iCs w:val="0"/>
                <w:color w:val="000000"/>
                <w:sz w:val="16"/>
                <w:szCs w:val="16"/>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606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i w:val="0"/>
                <w:iCs w:val="0"/>
                <w:color w:val="000000"/>
                <w:sz w:val="16"/>
                <w:szCs w:val="16"/>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234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时效指标</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FCB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完成时间</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FF7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DD6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1</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C97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年</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3A5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i w:val="0"/>
                <w:iCs w:val="0"/>
                <w:color w:val="000000"/>
                <w:sz w:val="16"/>
                <w:szCs w:val="16"/>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BB1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104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10</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29A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i w:val="0"/>
                <w:iCs w:val="0"/>
                <w:color w:val="000000"/>
                <w:sz w:val="16"/>
                <w:szCs w:val="16"/>
                <w:u w:val="none"/>
              </w:rPr>
            </w:pPr>
          </w:p>
        </w:tc>
      </w:tr>
      <w:tr w14:paraId="104B2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11E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i w:val="0"/>
                <w:iCs w:val="0"/>
                <w:color w:val="000000"/>
                <w:sz w:val="16"/>
                <w:szCs w:val="16"/>
                <w:u w:val="none"/>
              </w:rPr>
            </w:pP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581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效益指标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77D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经济效益指标</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E58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追回财政损失，防止国有资产流失，并杜绝腐败滋生。</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3A8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定性</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1A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优</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A62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i w:val="0"/>
                <w:iCs w:val="0"/>
                <w:color w:val="000000"/>
                <w:sz w:val="16"/>
                <w:szCs w:val="16"/>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770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i w:val="0"/>
                <w:iCs w:val="0"/>
                <w:color w:val="000000"/>
                <w:sz w:val="16"/>
                <w:szCs w:val="16"/>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32D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440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20</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812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i w:val="0"/>
                <w:iCs w:val="0"/>
                <w:color w:val="000000"/>
                <w:sz w:val="16"/>
                <w:szCs w:val="16"/>
                <w:u w:val="none"/>
              </w:rPr>
            </w:pPr>
          </w:p>
        </w:tc>
      </w:tr>
      <w:tr w14:paraId="0291A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957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i w:val="0"/>
                <w:iCs w:val="0"/>
                <w:color w:val="000000"/>
                <w:sz w:val="16"/>
                <w:szCs w:val="16"/>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3CD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i w:val="0"/>
                <w:iCs w:val="0"/>
                <w:color w:val="000000"/>
                <w:sz w:val="16"/>
                <w:szCs w:val="16"/>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6D9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社会效益指标</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F89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提出审计建议和意见</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9FE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816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40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050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条</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D91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i w:val="0"/>
                <w:iCs w:val="0"/>
                <w:color w:val="000000"/>
                <w:sz w:val="16"/>
                <w:szCs w:val="16"/>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28B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A02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10</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CB9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i w:val="0"/>
                <w:iCs w:val="0"/>
                <w:color w:val="000000"/>
                <w:sz w:val="16"/>
                <w:szCs w:val="16"/>
                <w:u w:val="none"/>
              </w:rPr>
            </w:pPr>
          </w:p>
        </w:tc>
      </w:tr>
      <w:tr w14:paraId="229BF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521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i w:val="0"/>
                <w:iCs w:val="0"/>
                <w:color w:val="000000"/>
                <w:sz w:val="16"/>
                <w:szCs w:val="16"/>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0FC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满意度指标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1B9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服务对象满意度指标</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B68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满意度</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D67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835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95</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CA6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414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i w:val="0"/>
                <w:iCs w:val="0"/>
                <w:color w:val="000000"/>
                <w:sz w:val="16"/>
                <w:szCs w:val="16"/>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70C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BA3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10</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8C4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i w:val="0"/>
                <w:iCs w:val="0"/>
                <w:color w:val="000000"/>
                <w:sz w:val="16"/>
                <w:szCs w:val="16"/>
                <w:u w:val="none"/>
              </w:rPr>
            </w:pPr>
          </w:p>
        </w:tc>
      </w:tr>
      <w:tr w14:paraId="62BF2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DA7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i w:val="0"/>
                <w:iCs w:val="0"/>
                <w:color w:val="000000"/>
                <w:sz w:val="16"/>
                <w:szCs w:val="16"/>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BCC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成本指标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C30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经济成本指标</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00E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实施经责、财政、自然资源审计、印刷费第三方协审费成本</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842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_GB2312" w:hAnsi="仿宋_GB2312" w:eastAsia="仿宋_GB2312" w:cs="仿宋_GB2312"/>
                <w:b w:val="0"/>
                <w:bCs w:val="0"/>
                <w:i w:val="0"/>
                <w:iCs w:val="0"/>
                <w:color w:val="000000"/>
                <w:sz w:val="16"/>
                <w:szCs w:val="16"/>
                <w:u w:val="none"/>
                <w:lang w:eastAsia="zh-CN"/>
              </w:rPr>
            </w:pPr>
            <w:r>
              <w:rPr>
                <w:rFonts w:hint="eastAsia" w:ascii="仿宋_GB2312" w:hAnsi="仿宋_GB2312" w:eastAsia="仿宋_GB2312" w:cs="仿宋_GB2312"/>
                <w:b w:val="0"/>
                <w:bCs w:val="0"/>
                <w:i w:val="0"/>
                <w:iCs w:val="0"/>
                <w:color w:val="000000"/>
                <w:sz w:val="16"/>
                <w:szCs w:val="16"/>
                <w:u w:val="none"/>
                <w:lang w:eastAsia="zh-CN"/>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C69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10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7C6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万</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FB5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i w:val="0"/>
                <w:iCs w:val="0"/>
                <w:color w:val="000000"/>
                <w:sz w:val="16"/>
                <w:szCs w:val="16"/>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FBE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940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10</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DFD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hAnsi="仿宋_GB2312" w:eastAsia="仿宋_GB2312" w:cs="仿宋_GB2312"/>
                <w:b w:val="0"/>
                <w:bCs w:val="0"/>
                <w:i w:val="0"/>
                <w:iCs w:val="0"/>
                <w:color w:val="000000"/>
                <w:sz w:val="16"/>
                <w:szCs w:val="16"/>
                <w:u w:val="none"/>
              </w:rPr>
            </w:pPr>
          </w:p>
        </w:tc>
      </w:tr>
      <w:tr w14:paraId="22217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9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7AFF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合计</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14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100</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A9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100</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B56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仿宋_GB2312" w:hAnsi="仿宋_GB2312" w:eastAsia="仿宋_GB2312" w:cs="仿宋_GB2312"/>
                <w:b w:val="0"/>
                <w:bCs w:val="0"/>
                <w:i w:val="0"/>
                <w:iCs w:val="0"/>
                <w:color w:val="000000"/>
                <w:sz w:val="16"/>
                <w:szCs w:val="16"/>
                <w:u w:val="none"/>
              </w:rPr>
            </w:pPr>
          </w:p>
        </w:tc>
      </w:tr>
      <w:tr w14:paraId="6D0D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C27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评价结论</w:t>
            </w:r>
          </w:p>
        </w:tc>
        <w:tc>
          <w:tcPr>
            <w:tcW w:w="46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A4EE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严格执行相关政策规定，足额按时支付，完成预算绩效指标值，年末无结余资金。</w:t>
            </w:r>
          </w:p>
        </w:tc>
      </w:tr>
      <w:tr w14:paraId="5E9F4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F66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存在问题</w:t>
            </w:r>
          </w:p>
        </w:tc>
        <w:tc>
          <w:tcPr>
            <w:tcW w:w="46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671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_GB2312" w:hAnsi="仿宋_GB2312" w:eastAsia="宋体" w:cs="仿宋_GB2312"/>
                <w:b w:val="0"/>
                <w:bCs w:val="0"/>
                <w:i w:val="0"/>
                <w:iCs w:val="0"/>
                <w:color w:val="000000"/>
                <w:sz w:val="16"/>
                <w:szCs w:val="16"/>
                <w:u w:val="none"/>
                <w:lang w:eastAsia="zh-CN"/>
              </w:rPr>
            </w:pPr>
            <w:r>
              <w:rPr>
                <w:rFonts w:hint="eastAsia" w:ascii="仿宋_GB2312" w:hAnsi="仿宋_GB2312" w:cs="仿宋_GB2312"/>
                <w:b w:val="0"/>
                <w:bCs w:val="0"/>
                <w:i w:val="0"/>
                <w:iCs w:val="0"/>
                <w:color w:val="000000"/>
                <w:sz w:val="16"/>
                <w:szCs w:val="16"/>
                <w:u w:val="none"/>
                <w:lang w:eastAsia="zh-CN"/>
              </w:rPr>
              <w:t>无</w:t>
            </w:r>
          </w:p>
        </w:tc>
      </w:tr>
      <w:tr w14:paraId="55A5A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6D6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改进措施</w:t>
            </w:r>
          </w:p>
        </w:tc>
        <w:tc>
          <w:tcPr>
            <w:tcW w:w="46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5668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b w:val="0"/>
                <w:bCs w:val="0"/>
                <w:i w:val="0"/>
                <w:iCs w:val="0"/>
                <w:color w:val="000000"/>
                <w:sz w:val="16"/>
                <w:szCs w:val="16"/>
                <w:u w:val="none"/>
                <w:lang w:eastAsia="zh-CN"/>
              </w:rPr>
            </w:pPr>
            <w:r>
              <w:rPr>
                <w:rFonts w:hint="eastAsia" w:ascii="仿宋_GB2312" w:hAnsi="仿宋_GB2312" w:eastAsia="仿宋_GB2312" w:cs="仿宋_GB2312"/>
                <w:b w:val="0"/>
                <w:bCs w:val="0"/>
                <w:i w:val="0"/>
                <w:iCs w:val="0"/>
                <w:color w:val="000000"/>
                <w:sz w:val="16"/>
                <w:szCs w:val="16"/>
                <w:u w:val="none"/>
                <w:lang w:eastAsia="zh-CN"/>
              </w:rPr>
              <w:t>无</w:t>
            </w:r>
          </w:p>
        </w:tc>
      </w:tr>
      <w:tr w14:paraId="4957A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A6DFE3">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项目负责人：陈建春</w:t>
            </w:r>
          </w:p>
        </w:tc>
        <w:tc>
          <w:tcPr>
            <w:tcW w:w="254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7DD006">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财务负责人：杜勇</w:t>
            </w:r>
          </w:p>
        </w:tc>
      </w:tr>
    </w:tbl>
    <w:p w14:paraId="33B1C6E2">
      <w:pPr>
        <w:rPr>
          <w:rFonts w:hint="eastAsia" w:ascii="仿宋_GB2312" w:hAnsi="仿宋_GB2312" w:eastAsia="仿宋_GB2312" w:cs="仿宋_GB2312"/>
          <w:b w:val="0"/>
          <w:bCs w:val="0"/>
          <w:i w:val="0"/>
          <w:iCs w:val="0"/>
          <w:color w:val="000000"/>
          <w:sz w:val="16"/>
          <w:szCs w:val="16"/>
          <w:u w:val="none"/>
        </w:rPr>
        <w:sectPr>
          <w:footerReference r:id="rId10" w:type="firs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r>
        <w:rPr>
          <w:rFonts w:hint="eastAsia" w:ascii="仿宋_GB2312" w:hAnsi="仿宋_GB2312" w:eastAsia="仿宋_GB2312" w:cs="仿宋_GB2312"/>
          <w:b w:val="0"/>
          <w:bCs w:val="0"/>
          <w:i w:val="0"/>
          <w:iCs w:val="0"/>
          <w:color w:val="000000"/>
          <w:sz w:val="16"/>
          <w:szCs w:val="16"/>
          <w:u w:val="none"/>
        </w:rPr>
        <w:br w:type="page"/>
      </w:r>
    </w:p>
    <w:p w14:paraId="42DD328A">
      <w:pPr>
        <w:pStyle w:val="18"/>
        <w:keepNext w:val="0"/>
        <w:keepLines w:val="0"/>
        <w:widowControl w:val="0"/>
        <w:suppressLineNumbers w:val="0"/>
        <w:spacing w:before="0" w:beforeAutospacing="0" w:after="0" w:afterAutospacing="0" w:line="560" w:lineRule="exact"/>
        <w:ind w:left="0" w:right="0"/>
        <w:jc w:val="center"/>
        <w:rPr>
          <w:rFonts w:hint="eastAsia" w:ascii="Arial Unicode MS" w:hAnsi="Arial Unicode MS" w:eastAsia="Arial Unicode MS" w:cs="Arial Unicode MS"/>
          <w:color w:val="auto"/>
          <w:kern w:val="2"/>
          <w:sz w:val="44"/>
          <w:szCs w:val="44"/>
          <w:lang w:val="en-US"/>
        </w:rPr>
      </w:pPr>
      <w:r>
        <w:rPr>
          <w:rFonts w:hint="eastAsia" w:ascii="Arial Unicode MS" w:hAnsi="Arial Unicode MS" w:eastAsia="Arial Unicode MS" w:cs="Arial Unicode MS"/>
          <w:color w:val="auto"/>
          <w:kern w:val="2"/>
          <w:sz w:val="44"/>
          <w:szCs w:val="44"/>
          <w:lang w:val="en-US" w:eastAsia="zh-CN" w:bidi="ar"/>
        </w:rPr>
        <w:t>专项预算项目绩效评价报告</w:t>
      </w:r>
    </w:p>
    <w:p w14:paraId="52E06976">
      <w:pPr>
        <w:pStyle w:val="18"/>
        <w:keepNext w:val="0"/>
        <w:keepLines w:val="0"/>
        <w:widowControl w:val="0"/>
        <w:suppressLineNumbers w:val="0"/>
        <w:spacing w:before="0" w:beforeAutospacing="0" w:after="0" w:afterAutospacing="0" w:line="560" w:lineRule="exact"/>
        <w:ind w:left="0" w:right="0" w:firstLine="640"/>
        <w:jc w:val="center"/>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eastAsia="zh-CN"/>
        </w:rPr>
        <w:t>（信息化建设）</w:t>
      </w:r>
    </w:p>
    <w:p w14:paraId="694AF34E">
      <w:pPr>
        <w:pStyle w:val="18"/>
        <w:keepNext w:val="0"/>
        <w:keepLines w:val="0"/>
        <w:widowControl w:val="0"/>
        <w:suppressLineNumbers w:val="0"/>
        <w:spacing w:before="0" w:beforeAutospacing="0" w:after="0" w:afterAutospacing="0" w:line="560" w:lineRule="exact"/>
        <w:ind w:left="0" w:right="0" w:firstLine="640"/>
        <w:jc w:val="center"/>
        <w:rPr>
          <w:rFonts w:hint="eastAsia" w:ascii="仿宋_GB2312" w:hAnsi="仿宋_GB2312" w:eastAsia="仿宋_GB2312" w:cs="仿宋_GB2312"/>
          <w:color w:val="auto"/>
          <w:kern w:val="2"/>
          <w:sz w:val="32"/>
          <w:szCs w:val="32"/>
          <w:lang w:eastAsia="zh-CN"/>
        </w:rPr>
      </w:pPr>
    </w:p>
    <w:p w14:paraId="4C22B60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eastAsia="黑体" w:cs="Times New Roman"/>
          <w:szCs w:val="32"/>
          <w:lang w:val="zh-CN" w:eastAsia="zh-CN"/>
        </w:rPr>
      </w:pPr>
      <w:r>
        <w:rPr>
          <w:rFonts w:hint="eastAsia" w:ascii="Times New Roman" w:hAnsi="Times New Roman" w:eastAsia="黑体" w:cs="黑体"/>
          <w:kern w:val="2"/>
          <w:sz w:val="32"/>
          <w:szCs w:val="32"/>
          <w:lang w:val="en-US" w:eastAsia="zh-CN" w:bidi="ar"/>
        </w:rPr>
        <w:t>一、</w:t>
      </w:r>
      <w:r>
        <w:rPr>
          <w:rFonts w:hint="eastAsia" w:ascii="Times New Roman" w:hAnsi="Times New Roman" w:eastAsia="黑体" w:cs="黑体"/>
          <w:kern w:val="2"/>
          <w:sz w:val="32"/>
          <w:szCs w:val="32"/>
          <w:lang w:val="zh-CN" w:eastAsia="zh-CN" w:bidi="ar"/>
        </w:rPr>
        <w:t>项目概况</w:t>
      </w:r>
    </w:p>
    <w:p w14:paraId="7DB8380B">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eastAsia="楷体_GB2312" w:cs="楷体_GB2312"/>
          <w:sz w:val="32"/>
          <w:szCs w:val="32"/>
          <w:lang w:val="zh-CN" w:eastAsia="zh-CN"/>
        </w:rPr>
        <w:t>（一）</w:t>
      </w:r>
      <w:r>
        <w:rPr>
          <w:rFonts w:hint="eastAsia" w:ascii="Times New Roman" w:hAnsi="Times New Roman" w:eastAsia="楷体_GB2312" w:cs="楷体_GB2312"/>
          <w:sz w:val="32"/>
          <w:szCs w:val="32"/>
          <w:lang w:val="zh-CN" w:eastAsia="zh-CN"/>
        </w:rPr>
        <w:t>设立背景及基本情况。</w:t>
      </w:r>
    </w:p>
    <w:p w14:paraId="774C53D3">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color w:val="auto"/>
          <w:sz w:val="32"/>
          <w:szCs w:val="32"/>
          <w:highlight w:val="none"/>
          <w:u w:val="none"/>
          <w:lang w:val="zh-CN"/>
        </w:rPr>
      </w:pPr>
      <w:r>
        <w:rPr>
          <w:rFonts w:hint="eastAsia" w:ascii="仿宋" w:hAnsi="仿宋" w:eastAsia="仿宋" w:cs="仿宋"/>
          <w:i w:val="0"/>
          <w:iCs w:val="0"/>
          <w:caps w:val="0"/>
          <w:color w:val="333333"/>
          <w:spacing w:val="0"/>
          <w:sz w:val="32"/>
          <w:szCs w:val="32"/>
          <w:highlight w:val="none"/>
          <w:shd w:val="clear" w:fill="FFFFFF"/>
          <w:lang w:eastAsia="zh-CN"/>
        </w:rPr>
        <w:t>该项目</w:t>
      </w:r>
      <w:r>
        <w:rPr>
          <w:rFonts w:hint="eastAsia" w:ascii="仿宋" w:hAnsi="仿宋" w:eastAsia="仿宋" w:cs="仿宋"/>
          <w:i w:val="0"/>
          <w:iCs w:val="0"/>
          <w:caps w:val="0"/>
          <w:color w:val="333333"/>
          <w:spacing w:val="0"/>
          <w:sz w:val="32"/>
          <w:szCs w:val="32"/>
          <w:highlight w:val="none"/>
          <w:shd w:val="clear" w:fill="FFFFFF"/>
        </w:rPr>
        <w:t>是</w:t>
      </w:r>
      <w:r>
        <w:rPr>
          <w:rFonts w:hint="eastAsia" w:ascii="仿宋" w:hAnsi="仿宋" w:eastAsia="仿宋" w:cs="仿宋"/>
          <w:i w:val="0"/>
          <w:iCs w:val="0"/>
          <w:caps w:val="0"/>
          <w:color w:val="333333"/>
          <w:spacing w:val="0"/>
          <w:sz w:val="32"/>
          <w:szCs w:val="32"/>
          <w:highlight w:val="none"/>
          <w:shd w:val="clear" w:fill="FFFFFF"/>
        </w:rPr>
        <w:fldChar w:fldCharType="begin"/>
      </w:r>
      <w:r>
        <w:rPr>
          <w:rFonts w:hint="eastAsia" w:ascii="仿宋" w:hAnsi="仿宋" w:eastAsia="仿宋" w:cs="仿宋"/>
          <w:i w:val="0"/>
          <w:iCs w:val="0"/>
          <w:caps w:val="0"/>
          <w:color w:val="333333"/>
          <w:spacing w:val="0"/>
          <w:sz w:val="32"/>
          <w:szCs w:val="32"/>
          <w:highlight w:val="none"/>
          <w:shd w:val="clear" w:fill="FFFFFF"/>
        </w:rPr>
        <w:instrText xml:space="preserve"> HYPERLINK "https://baike.so.com/doc/2874717-3033726.html" \t "https://baike.so.com/doc/_blank" </w:instrText>
      </w:r>
      <w:r>
        <w:rPr>
          <w:rFonts w:hint="eastAsia" w:ascii="仿宋" w:hAnsi="仿宋" w:eastAsia="仿宋" w:cs="仿宋"/>
          <w:i w:val="0"/>
          <w:iCs w:val="0"/>
          <w:caps w:val="0"/>
          <w:color w:val="333333"/>
          <w:spacing w:val="0"/>
          <w:sz w:val="32"/>
          <w:szCs w:val="32"/>
          <w:highlight w:val="none"/>
          <w:shd w:val="clear" w:fill="FFFFFF"/>
        </w:rPr>
        <w:fldChar w:fldCharType="separate"/>
      </w:r>
      <w:r>
        <w:rPr>
          <w:rFonts w:hint="eastAsia" w:ascii="仿宋" w:hAnsi="仿宋" w:eastAsia="仿宋" w:cs="仿宋"/>
          <w:i w:val="0"/>
          <w:iCs w:val="0"/>
          <w:caps w:val="0"/>
          <w:color w:val="333333"/>
          <w:spacing w:val="0"/>
          <w:sz w:val="32"/>
          <w:szCs w:val="32"/>
          <w:highlight w:val="none"/>
          <w:shd w:val="clear" w:fill="FFFFFF"/>
        </w:rPr>
        <w:t>审计</w:t>
      </w:r>
      <w:r>
        <w:rPr>
          <w:rFonts w:hint="eastAsia" w:ascii="仿宋" w:hAnsi="仿宋" w:eastAsia="仿宋" w:cs="仿宋"/>
          <w:i w:val="0"/>
          <w:iCs w:val="0"/>
          <w:caps w:val="0"/>
          <w:color w:val="333333"/>
          <w:spacing w:val="0"/>
          <w:sz w:val="32"/>
          <w:szCs w:val="32"/>
          <w:highlight w:val="none"/>
          <w:shd w:val="clear" w:fill="FFFFFF"/>
        </w:rPr>
        <w:fldChar w:fldCharType="end"/>
      </w:r>
      <w:r>
        <w:rPr>
          <w:rFonts w:hint="eastAsia" w:ascii="仿宋" w:hAnsi="仿宋" w:eastAsia="仿宋" w:cs="仿宋"/>
          <w:i w:val="0"/>
          <w:iCs w:val="0"/>
          <w:caps w:val="0"/>
          <w:color w:val="333333"/>
          <w:spacing w:val="0"/>
          <w:sz w:val="32"/>
          <w:szCs w:val="32"/>
          <w:highlight w:val="none"/>
          <w:shd w:val="clear" w:fill="FFFFFF"/>
          <w:lang w:eastAsia="zh-CN"/>
        </w:rPr>
        <w:t>业务</w:t>
      </w:r>
      <w:r>
        <w:rPr>
          <w:rFonts w:hint="eastAsia" w:ascii="仿宋" w:hAnsi="仿宋" w:eastAsia="仿宋" w:cs="仿宋"/>
          <w:i w:val="0"/>
          <w:iCs w:val="0"/>
          <w:caps w:val="0"/>
          <w:color w:val="333333"/>
          <w:spacing w:val="0"/>
          <w:sz w:val="32"/>
          <w:szCs w:val="32"/>
          <w:highlight w:val="none"/>
          <w:shd w:val="clear" w:fill="FFFFFF"/>
        </w:rPr>
        <w:fldChar w:fldCharType="begin"/>
      </w:r>
      <w:r>
        <w:rPr>
          <w:rFonts w:hint="eastAsia" w:ascii="仿宋" w:hAnsi="仿宋" w:eastAsia="仿宋" w:cs="仿宋"/>
          <w:i w:val="0"/>
          <w:iCs w:val="0"/>
          <w:caps w:val="0"/>
          <w:color w:val="333333"/>
          <w:spacing w:val="0"/>
          <w:sz w:val="32"/>
          <w:szCs w:val="32"/>
          <w:highlight w:val="none"/>
          <w:shd w:val="clear" w:fill="FFFFFF"/>
        </w:rPr>
        <w:instrText xml:space="preserve"> HYPERLINK "https://baike.so.com/doc/2621395-2767929.html" \t "https://baike.so.com/doc/_blank" </w:instrText>
      </w:r>
      <w:r>
        <w:rPr>
          <w:rFonts w:hint="eastAsia" w:ascii="仿宋" w:hAnsi="仿宋" w:eastAsia="仿宋" w:cs="仿宋"/>
          <w:i w:val="0"/>
          <w:iCs w:val="0"/>
          <w:caps w:val="0"/>
          <w:color w:val="333333"/>
          <w:spacing w:val="0"/>
          <w:sz w:val="32"/>
          <w:szCs w:val="32"/>
          <w:highlight w:val="none"/>
          <w:shd w:val="clear" w:fill="FFFFFF"/>
        </w:rPr>
        <w:fldChar w:fldCharType="separate"/>
      </w:r>
      <w:r>
        <w:rPr>
          <w:rFonts w:hint="eastAsia" w:ascii="仿宋" w:hAnsi="仿宋" w:eastAsia="仿宋" w:cs="仿宋"/>
          <w:i w:val="0"/>
          <w:iCs w:val="0"/>
          <w:caps w:val="0"/>
          <w:color w:val="333333"/>
          <w:spacing w:val="0"/>
          <w:sz w:val="32"/>
          <w:szCs w:val="32"/>
          <w:highlight w:val="none"/>
          <w:shd w:val="clear" w:fill="FFFFFF"/>
        </w:rPr>
        <w:t>信息化</w:t>
      </w:r>
      <w:r>
        <w:rPr>
          <w:rFonts w:hint="eastAsia" w:ascii="仿宋" w:hAnsi="仿宋" w:eastAsia="仿宋" w:cs="仿宋"/>
          <w:i w:val="0"/>
          <w:iCs w:val="0"/>
          <w:caps w:val="0"/>
          <w:color w:val="333333"/>
          <w:spacing w:val="0"/>
          <w:sz w:val="32"/>
          <w:szCs w:val="32"/>
          <w:highlight w:val="none"/>
          <w:shd w:val="clear" w:fill="FFFFFF"/>
        </w:rPr>
        <w:fldChar w:fldCharType="end"/>
      </w:r>
      <w:r>
        <w:rPr>
          <w:rFonts w:hint="eastAsia" w:ascii="仿宋" w:hAnsi="仿宋" w:eastAsia="仿宋" w:cs="仿宋"/>
          <w:i w:val="0"/>
          <w:iCs w:val="0"/>
          <w:caps w:val="0"/>
          <w:color w:val="333333"/>
          <w:spacing w:val="0"/>
          <w:sz w:val="32"/>
          <w:szCs w:val="32"/>
          <w:highlight w:val="none"/>
          <w:shd w:val="clear" w:fill="FFFFFF"/>
        </w:rPr>
        <w:t>建设项目，</w:t>
      </w:r>
      <w:r>
        <w:rPr>
          <w:rFonts w:hint="eastAsia" w:ascii="仿宋" w:hAnsi="仿宋" w:eastAsia="仿宋" w:cs="仿宋"/>
          <w:i w:val="0"/>
          <w:iCs w:val="0"/>
          <w:caps w:val="0"/>
          <w:color w:val="333333"/>
          <w:spacing w:val="0"/>
          <w:sz w:val="32"/>
          <w:szCs w:val="32"/>
          <w:highlight w:val="none"/>
          <w:shd w:val="clear" w:fill="FFFFFF"/>
          <w:lang w:eastAsia="zh-CN"/>
        </w:rPr>
        <w:t>包括全局网络信息运维、网络信息终端设备更替，</w:t>
      </w:r>
      <w:r>
        <w:rPr>
          <w:rFonts w:hint="eastAsia" w:ascii="仿宋" w:hAnsi="仿宋" w:eastAsia="仿宋" w:cs="仿宋"/>
          <w:b w:val="0"/>
          <w:bCs/>
          <w:color w:val="auto"/>
          <w:sz w:val="32"/>
          <w:szCs w:val="32"/>
          <w:highlight w:val="none"/>
          <w:u w:val="none"/>
          <w:lang w:val="zh-CN"/>
        </w:rPr>
        <w:t>确保系统正常使用，促进项目审计工作高效高质量开展。该项目预算</w:t>
      </w:r>
      <w:r>
        <w:rPr>
          <w:rFonts w:hint="eastAsia" w:ascii="仿宋" w:hAnsi="仿宋" w:eastAsia="仿宋" w:cs="仿宋"/>
          <w:b w:val="0"/>
          <w:bCs/>
          <w:color w:val="auto"/>
          <w:sz w:val="32"/>
          <w:szCs w:val="32"/>
          <w:highlight w:val="none"/>
          <w:u w:val="none"/>
          <w:lang w:val="en-US" w:eastAsia="zh-CN"/>
        </w:rPr>
        <w:t>13.6</w:t>
      </w:r>
      <w:r>
        <w:rPr>
          <w:rFonts w:hint="eastAsia" w:ascii="仿宋" w:hAnsi="仿宋" w:eastAsia="仿宋" w:cs="仿宋"/>
          <w:b w:val="0"/>
          <w:bCs/>
          <w:color w:val="auto"/>
          <w:sz w:val="32"/>
          <w:szCs w:val="32"/>
          <w:highlight w:val="none"/>
          <w:u w:val="none"/>
          <w:lang w:val="zh-CN"/>
        </w:rPr>
        <w:t>万元，实际使用</w:t>
      </w:r>
      <w:r>
        <w:rPr>
          <w:rFonts w:hint="eastAsia" w:ascii="仿宋" w:hAnsi="仿宋" w:eastAsia="仿宋" w:cs="仿宋"/>
          <w:b w:val="0"/>
          <w:bCs/>
          <w:color w:val="auto"/>
          <w:sz w:val="32"/>
          <w:szCs w:val="32"/>
          <w:highlight w:val="none"/>
          <w:u w:val="none"/>
          <w:lang w:val="en-US" w:eastAsia="zh-CN"/>
        </w:rPr>
        <w:t>13.6</w:t>
      </w:r>
      <w:r>
        <w:rPr>
          <w:rFonts w:hint="eastAsia" w:ascii="仿宋" w:hAnsi="仿宋" w:eastAsia="仿宋" w:cs="仿宋"/>
          <w:b w:val="0"/>
          <w:bCs/>
          <w:color w:val="auto"/>
          <w:sz w:val="32"/>
          <w:szCs w:val="32"/>
          <w:highlight w:val="none"/>
          <w:u w:val="none"/>
          <w:lang w:val="zh-CN"/>
        </w:rPr>
        <w:t>万元，申报内容与实际相符，申报目标合理可行。</w:t>
      </w:r>
    </w:p>
    <w:p w14:paraId="6CA3D857">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color w:val="auto"/>
          <w:sz w:val="32"/>
          <w:szCs w:val="32"/>
          <w:highlight w:val="none"/>
          <w:u w:val="none"/>
          <w:shd w:val="clear" w:color="auto" w:fill="auto"/>
          <w:lang w:val="zh-CN"/>
        </w:rPr>
      </w:pPr>
      <w:r>
        <w:rPr>
          <w:rFonts w:hint="eastAsia" w:ascii="Times New Roman" w:hAnsi="Times New Roman" w:eastAsia="楷体_GB2312" w:cs="楷体_GB2312"/>
          <w:kern w:val="2"/>
          <w:sz w:val="32"/>
          <w:szCs w:val="32"/>
          <w:lang w:val="zh-CN" w:eastAsia="zh-CN" w:bidi="ar"/>
        </w:rPr>
        <w:t>（二）</w:t>
      </w:r>
      <w:r>
        <w:rPr>
          <w:rFonts w:hint="eastAsia" w:ascii="Times New Roman" w:hAnsi="Times New Roman" w:eastAsia="楷体_GB2312" w:cs="楷体_GB2312"/>
          <w:kern w:val="2"/>
          <w:sz w:val="32"/>
          <w:szCs w:val="32"/>
          <w:lang w:val="en-US" w:eastAsia="zh-CN" w:bidi="ar"/>
        </w:rPr>
        <w:t>实施目的及支持方向。</w:t>
      </w:r>
      <w:r>
        <w:rPr>
          <w:rFonts w:hint="eastAsia" w:eastAsia="楷体_GB2312" w:cs="楷体_GB2312"/>
          <w:kern w:val="2"/>
          <w:sz w:val="32"/>
          <w:szCs w:val="32"/>
          <w:lang w:val="en-US" w:eastAsia="zh-CN" w:bidi="ar"/>
        </w:rPr>
        <w:t>根据安居区审计内部管理制度，对</w:t>
      </w:r>
      <w:r>
        <w:rPr>
          <w:rFonts w:hint="eastAsia" w:ascii="Times New Roman" w:hAnsi="Times New Roman" w:eastAsia="仿宋_GB2312" w:cs="仿宋_GB2312"/>
          <w:kern w:val="0"/>
          <w:sz w:val="32"/>
          <w:szCs w:val="32"/>
          <w:lang w:val="en-US" w:eastAsia="zh-CN" w:bidi="ar"/>
        </w:rPr>
        <w:t>项目资金</w:t>
      </w:r>
      <w:r>
        <w:rPr>
          <w:rFonts w:hint="eastAsia" w:ascii="Times New Roman" w:hAnsi="Times New Roman" w:eastAsia="仿宋_GB2312" w:cs="仿宋_GB2312"/>
          <w:kern w:val="0"/>
          <w:sz w:val="32"/>
          <w:szCs w:val="32"/>
          <w:lang w:val="zh-CN" w:eastAsia="zh-CN" w:bidi="ar"/>
        </w:rPr>
        <w:t>管理</w:t>
      </w:r>
      <w:r>
        <w:rPr>
          <w:rFonts w:hint="eastAsia" w:eastAsia="仿宋_GB2312" w:cs="仿宋_GB2312"/>
          <w:kern w:val="0"/>
          <w:sz w:val="32"/>
          <w:szCs w:val="32"/>
          <w:lang w:val="zh-CN" w:eastAsia="zh-CN" w:bidi="ar"/>
        </w:rPr>
        <w:t>进行了明确</w:t>
      </w:r>
      <w:r>
        <w:rPr>
          <w:rFonts w:hint="eastAsia" w:ascii="Times New Roman" w:hAnsi="Times New Roman" w:eastAsia="仿宋_GB2312" w:cs="仿宋_GB2312"/>
          <w:kern w:val="0"/>
          <w:sz w:val="32"/>
          <w:szCs w:val="32"/>
          <w:lang w:val="zh-CN" w:eastAsia="zh-CN" w:bidi="ar"/>
        </w:rPr>
        <w:t>，</w:t>
      </w:r>
      <w:r>
        <w:rPr>
          <w:rFonts w:hint="eastAsia" w:eastAsia="仿宋_GB2312" w:cs="仿宋_GB2312"/>
          <w:kern w:val="0"/>
          <w:sz w:val="32"/>
          <w:szCs w:val="32"/>
          <w:lang w:val="zh-CN" w:eastAsia="zh-CN" w:bidi="ar"/>
        </w:rPr>
        <w:t>项目主要任务包括全局网络信息建设</w:t>
      </w:r>
      <w:r>
        <w:rPr>
          <w:rFonts w:hint="eastAsia" w:ascii="仿宋" w:hAnsi="仿宋" w:eastAsia="仿宋" w:cs="仿宋"/>
          <w:b w:val="0"/>
          <w:bCs/>
          <w:color w:val="auto"/>
          <w:sz w:val="32"/>
          <w:szCs w:val="32"/>
          <w:highlight w:val="none"/>
          <w:u w:val="none"/>
          <w:shd w:val="clear" w:color="auto" w:fill="auto"/>
          <w:lang w:val="zh-CN"/>
        </w:rPr>
        <w:t>及终端设备更新维护等，维护次数不少于</w:t>
      </w:r>
      <w:r>
        <w:rPr>
          <w:rFonts w:hint="eastAsia" w:ascii="仿宋" w:hAnsi="仿宋" w:eastAsia="仿宋" w:cs="仿宋"/>
          <w:b w:val="0"/>
          <w:bCs/>
          <w:color w:val="auto"/>
          <w:sz w:val="32"/>
          <w:szCs w:val="32"/>
          <w:highlight w:val="none"/>
          <w:u w:val="none"/>
          <w:shd w:val="clear" w:color="auto" w:fill="auto"/>
          <w:lang w:val="en-US" w:eastAsia="zh-CN"/>
        </w:rPr>
        <w:t>12次，确保全局审计工作高效高质开展。</w:t>
      </w:r>
      <w:r>
        <w:rPr>
          <w:rFonts w:hint="eastAsia" w:ascii="仿宋" w:hAnsi="仿宋" w:eastAsia="仿宋" w:cs="仿宋"/>
          <w:b w:val="0"/>
          <w:bCs/>
          <w:color w:val="auto"/>
          <w:sz w:val="32"/>
          <w:szCs w:val="32"/>
          <w:highlight w:val="none"/>
          <w:u w:val="none"/>
          <w:shd w:val="clear" w:color="auto" w:fill="auto"/>
          <w:lang w:val="zh-CN"/>
        </w:rPr>
        <w:t>该笔资金计划在</w:t>
      </w:r>
      <w:r>
        <w:rPr>
          <w:rFonts w:hint="eastAsia" w:ascii="仿宋" w:hAnsi="仿宋" w:eastAsia="仿宋" w:cs="仿宋"/>
          <w:b w:val="0"/>
          <w:bCs/>
          <w:color w:val="auto"/>
          <w:sz w:val="32"/>
          <w:szCs w:val="32"/>
          <w:highlight w:val="none"/>
          <w:u w:val="none"/>
          <w:shd w:val="clear" w:color="auto" w:fill="auto"/>
          <w:lang w:val="en-US" w:eastAsia="zh-CN"/>
        </w:rPr>
        <w:t>2024年度完成支付</w:t>
      </w:r>
      <w:r>
        <w:rPr>
          <w:rFonts w:hint="eastAsia" w:ascii="仿宋" w:hAnsi="仿宋" w:eastAsia="仿宋" w:cs="仿宋"/>
          <w:b w:val="0"/>
          <w:bCs/>
          <w:color w:val="auto"/>
          <w:sz w:val="32"/>
          <w:szCs w:val="32"/>
          <w:highlight w:val="none"/>
          <w:u w:val="none"/>
          <w:shd w:val="clear" w:color="auto" w:fill="auto"/>
          <w:lang w:val="zh-CN"/>
        </w:rPr>
        <w:t>。其他项目根据协议相关情况予以结算支付。申报内容与实际相符，申报目标合理可行。</w:t>
      </w:r>
    </w:p>
    <w:p w14:paraId="080315B5">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cs="Times New Roman"/>
          <w:kern w:val="0"/>
          <w:szCs w:val="32"/>
          <w:lang w:val="zh-CN" w:eastAsia="zh-CN"/>
        </w:rPr>
      </w:pPr>
      <w:r>
        <w:rPr>
          <w:rFonts w:hint="eastAsia" w:ascii="Times New Roman" w:hAnsi="Times New Roman" w:eastAsia="楷体_GB2312" w:cs="楷体_GB2312"/>
          <w:sz w:val="32"/>
          <w:szCs w:val="32"/>
          <w:lang w:val="zh-CN" w:eastAsia="zh-CN"/>
        </w:rPr>
        <w:t>（三）</w:t>
      </w:r>
      <w:r>
        <w:rPr>
          <w:rFonts w:hint="eastAsia" w:ascii="Times New Roman" w:hAnsi="Times New Roman" w:eastAsia="楷体_GB2312" w:cs="楷体_GB2312"/>
          <w:sz w:val="32"/>
          <w:szCs w:val="32"/>
          <w:lang w:eastAsia="zh-CN"/>
        </w:rPr>
        <w:t>预算安排及分配管理</w:t>
      </w:r>
      <w:r>
        <w:rPr>
          <w:rFonts w:hint="eastAsia" w:ascii="Times New Roman" w:hAnsi="Times New Roman" w:eastAsia="楷体_GB2312" w:cs="楷体_GB2312"/>
          <w:sz w:val="32"/>
          <w:szCs w:val="32"/>
          <w:lang w:val="zh-CN" w:eastAsia="zh-CN"/>
        </w:rPr>
        <w:t>。</w:t>
      </w:r>
      <w:r>
        <w:rPr>
          <w:rFonts w:hint="eastAsia" w:ascii="仿宋_GB2312" w:hAnsi="仿宋_GB2312" w:eastAsia="仿宋_GB2312" w:cs="仿宋_GB2312"/>
          <w:color w:val="auto"/>
          <w:kern w:val="0"/>
          <w:sz w:val="32"/>
          <w:szCs w:val="32"/>
          <w:highlight w:val="none"/>
          <w:u w:val="none"/>
          <w:shd w:val="clear" w:color="auto" w:fill="auto"/>
          <w:lang w:val="zh-CN"/>
        </w:rPr>
        <w:t>因项目实施采取定期和不定期方式相结合进行，运维业务股室验收签字审核，然后根据项目实施方资金需求进入支付审批程序，分配科学合理，预算下达</w:t>
      </w:r>
      <w:r>
        <w:rPr>
          <w:rFonts w:hint="eastAsia" w:ascii="仿宋_GB2312" w:hAnsi="仿宋_GB2312" w:eastAsia="仿宋_GB2312" w:cs="仿宋_GB2312"/>
          <w:color w:val="auto"/>
          <w:kern w:val="0"/>
          <w:sz w:val="32"/>
          <w:szCs w:val="32"/>
          <w:highlight w:val="none"/>
          <w:u w:val="none"/>
          <w:shd w:val="clear" w:color="auto" w:fill="auto"/>
          <w:lang w:val="en-US" w:eastAsia="zh-CN"/>
        </w:rPr>
        <w:t>13.6</w:t>
      </w:r>
      <w:r>
        <w:rPr>
          <w:rFonts w:hint="eastAsia" w:ascii="仿宋_GB2312" w:hAnsi="仿宋_GB2312" w:eastAsia="仿宋_GB2312" w:cs="仿宋_GB2312"/>
          <w:color w:val="auto"/>
          <w:kern w:val="0"/>
          <w:sz w:val="32"/>
          <w:szCs w:val="32"/>
          <w:highlight w:val="none"/>
          <w:u w:val="none"/>
          <w:shd w:val="clear" w:color="auto" w:fill="auto"/>
          <w:lang w:val="zh-CN"/>
        </w:rPr>
        <w:t>万元实际支出</w:t>
      </w:r>
      <w:r>
        <w:rPr>
          <w:rFonts w:hint="eastAsia" w:ascii="仿宋_GB2312" w:hAnsi="仿宋_GB2312" w:eastAsia="仿宋_GB2312" w:cs="仿宋_GB2312"/>
          <w:color w:val="auto"/>
          <w:kern w:val="0"/>
          <w:sz w:val="32"/>
          <w:szCs w:val="32"/>
          <w:highlight w:val="none"/>
          <w:u w:val="none"/>
          <w:shd w:val="clear" w:color="auto" w:fill="auto"/>
          <w:lang w:val="en-US" w:eastAsia="zh-CN"/>
        </w:rPr>
        <w:t>13.6</w:t>
      </w:r>
      <w:r>
        <w:rPr>
          <w:rFonts w:hint="eastAsia" w:ascii="仿宋_GB2312" w:hAnsi="仿宋_GB2312" w:eastAsia="仿宋_GB2312" w:cs="仿宋_GB2312"/>
          <w:color w:val="auto"/>
          <w:kern w:val="0"/>
          <w:sz w:val="32"/>
          <w:szCs w:val="32"/>
          <w:highlight w:val="none"/>
          <w:u w:val="none"/>
          <w:shd w:val="clear" w:color="auto" w:fill="auto"/>
          <w:lang w:val="zh-CN"/>
        </w:rPr>
        <w:t>万元整。</w:t>
      </w:r>
    </w:p>
    <w:p w14:paraId="56E0B89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（四）项目绩效目标设置。</w:t>
      </w:r>
      <w:r>
        <w:rPr>
          <w:rFonts w:hint="eastAsia" w:ascii="Times New Roman" w:hAnsi="Times New Roman" w:eastAsia="仿宋_GB2312" w:cs="仿宋_GB2312"/>
          <w:kern w:val="0"/>
          <w:sz w:val="32"/>
          <w:szCs w:val="32"/>
          <w:lang w:val="zh-CN" w:eastAsia="zh-CN" w:bidi="ar"/>
        </w:rPr>
        <w:t>项目整体</w:t>
      </w:r>
      <w:r>
        <w:rPr>
          <w:rFonts w:hint="eastAsia" w:eastAsia="仿宋_GB2312" w:cs="仿宋_GB2312"/>
          <w:kern w:val="0"/>
          <w:sz w:val="32"/>
          <w:szCs w:val="32"/>
          <w:lang w:val="zh-CN" w:eastAsia="zh-CN" w:bidi="ar"/>
        </w:rPr>
        <w:t>绩效目标：要求根据项目实施情况及时进行结算并支付，坚持专款专用原则。年度内运维次数不得低于</w:t>
      </w:r>
      <w:r>
        <w:rPr>
          <w:rFonts w:hint="eastAsia" w:eastAsia="仿宋_GB2312" w:cs="仿宋_GB2312"/>
          <w:kern w:val="0"/>
          <w:sz w:val="32"/>
          <w:szCs w:val="32"/>
          <w:lang w:val="en-US" w:eastAsia="zh-CN" w:bidi="ar"/>
        </w:rPr>
        <w:t>12次。</w:t>
      </w:r>
      <w:r>
        <w:rPr>
          <w:rFonts w:hint="eastAsia" w:eastAsia="仿宋_GB2312" w:cs="仿宋_GB2312"/>
          <w:kern w:val="0"/>
          <w:sz w:val="32"/>
          <w:szCs w:val="32"/>
          <w:lang w:val="zh-CN" w:eastAsia="zh-CN" w:bidi="ar"/>
        </w:rPr>
        <w:t>评定等级必须在优良以上，群众满意度不低于</w:t>
      </w:r>
      <w:r>
        <w:rPr>
          <w:rFonts w:hint="eastAsia" w:eastAsia="仿宋_GB2312" w:cs="仿宋_GB2312"/>
          <w:kern w:val="0"/>
          <w:sz w:val="32"/>
          <w:szCs w:val="32"/>
          <w:lang w:val="en-US" w:eastAsia="zh-CN" w:bidi="ar"/>
        </w:rPr>
        <w:t>95%</w:t>
      </w:r>
      <w:r>
        <w:rPr>
          <w:rFonts w:hint="eastAsia" w:ascii="Times New Roman" w:hAnsi="Times New Roman" w:eastAsia="仿宋_GB2312" w:cs="仿宋_GB2312"/>
          <w:kern w:val="0"/>
          <w:sz w:val="32"/>
          <w:szCs w:val="32"/>
          <w:lang w:val="zh-CN" w:eastAsia="zh-CN" w:bidi="ar"/>
        </w:rPr>
        <w:t>。</w:t>
      </w:r>
    </w:p>
    <w:p w14:paraId="7A378411">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eastAsia="黑体" w:cs="Times New Roman"/>
          <w:szCs w:val="32"/>
          <w:lang w:val="en-US"/>
        </w:rPr>
      </w:pPr>
      <w:r>
        <w:rPr>
          <w:rFonts w:hint="eastAsia" w:ascii="Times New Roman" w:hAnsi="Times New Roman" w:eastAsia="黑体" w:cs="黑体"/>
          <w:kern w:val="2"/>
          <w:sz w:val="32"/>
          <w:szCs w:val="32"/>
          <w:lang w:val="en-US" w:eastAsia="zh-CN" w:bidi="ar"/>
        </w:rPr>
        <w:t>二、评价实施</w:t>
      </w:r>
    </w:p>
    <w:p w14:paraId="7CE671CC">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（一）评价目的。</w:t>
      </w:r>
      <w:r>
        <w:rPr>
          <w:rFonts w:hint="eastAsia" w:ascii="Times New Roman" w:hAnsi="Times New Roman" w:eastAsia="仿宋_GB2312" w:cs="仿宋_GB2312"/>
          <w:kern w:val="0"/>
          <w:sz w:val="32"/>
          <w:szCs w:val="32"/>
          <w:lang w:val="zh-CN" w:eastAsia="zh-CN" w:bidi="ar"/>
        </w:rPr>
        <w:t>区审计局分别对该项目实施前、中、后进行绩效自评，旨在于通过项目绩效自评</w:t>
      </w:r>
      <w:r>
        <w:rPr>
          <w:rFonts w:hint="eastAsia" w:eastAsia="仿宋_GB2312" w:cs="仿宋_GB2312"/>
          <w:kern w:val="0"/>
          <w:sz w:val="32"/>
          <w:szCs w:val="32"/>
          <w:lang w:val="zh-CN" w:eastAsia="zh-CN" w:bidi="ar"/>
        </w:rPr>
        <w:t>促进项目推动效率，促进所对应工作高效高质开展</w:t>
      </w:r>
      <w:r>
        <w:rPr>
          <w:rFonts w:hint="eastAsia" w:ascii="Times New Roman" w:hAnsi="Times New Roman" w:eastAsia="仿宋_GB2312" w:cs="仿宋_GB2312"/>
          <w:kern w:val="0"/>
          <w:sz w:val="32"/>
          <w:szCs w:val="32"/>
          <w:lang w:val="zh-CN" w:eastAsia="zh-CN" w:bidi="ar"/>
        </w:rPr>
        <w:t>。</w:t>
      </w:r>
    </w:p>
    <w:p w14:paraId="1FFC9CC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（二）预设问题及评价重点。</w:t>
      </w:r>
      <w:r>
        <w:rPr>
          <w:rFonts w:hint="eastAsia" w:ascii="Times New Roman" w:hAnsi="Times New Roman" w:eastAsia="仿宋_GB2312" w:cs="仿宋_GB2312"/>
          <w:kern w:val="0"/>
          <w:sz w:val="32"/>
          <w:szCs w:val="32"/>
          <w:lang w:val="zh-CN" w:eastAsia="zh-CN" w:bidi="ar"/>
        </w:rPr>
        <w:t>按照绩效评价指标体系，资金支出使用全过程</w:t>
      </w:r>
      <w:r>
        <w:rPr>
          <w:rFonts w:hint="eastAsia" w:eastAsia="仿宋_GB2312" w:cs="仿宋_GB2312"/>
          <w:kern w:val="0"/>
          <w:sz w:val="32"/>
          <w:szCs w:val="32"/>
          <w:lang w:val="zh-CN" w:eastAsia="zh-CN" w:bidi="ar"/>
        </w:rPr>
        <w:t>均紧扣项目实施进度进行资金结算支付，并严格按照专款专用的原则进行，不存在挪用、截留等违反财经纪律现象。</w:t>
      </w:r>
    </w:p>
    <w:p w14:paraId="40B5DAD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（三）评价选点。</w:t>
      </w:r>
      <w:r>
        <w:rPr>
          <w:rFonts w:hint="eastAsia" w:ascii="Times New Roman" w:hAnsi="Times New Roman" w:eastAsia="仿宋_GB2312" w:cs="仿宋_GB2312"/>
          <w:kern w:val="0"/>
          <w:sz w:val="32"/>
          <w:szCs w:val="32"/>
          <w:lang w:val="zh-CN" w:eastAsia="zh-CN" w:bidi="ar"/>
        </w:rPr>
        <w:t>项目绩效自评</w:t>
      </w:r>
      <w:r>
        <w:rPr>
          <w:rFonts w:hint="eastAsia" w:eastAsia="仿宋_GB2312" w:cs="仿宋_GB2312"/>
          <w:kern w:val="0"/>
          <w:sz w:val="32"/>
          <w:szCs w:val="32"/>
          <w:lang w:val="zh-CN" w:eastAsia="zh-CN" w:bidi="ar"/>
        </w:rPr>
        <w:t>主要通过资金使用进度及适用范围进行了</w:t>
      </w:r>
      <w:r>
        <w:rPr>
          <w:rFonts w:hint="eastAsia" w:ascii="Times New Roman" w:hAnsi="Times New Roman" w:eastAsia="仿宋_GB2312" w:cs="仿宋_GB2312"/>
          <w:kern w:val="0"/>
          <w:sz w:val="32"/>
          <w:szCs w:val="32"/>
          <w:lang w:val="zh-CN" w:eastAsia="zh-CN" w:bidi="ar"/>
        </w:rPr>
        <w:t>抽样</w:t>
      </w:r>
      <w:r>
        <w:rPr>
          <w:rFonts w:hint="eastAsia" w:eastAsia="仿宋_GB2312" w:cs="仿宋_GB2312"/>
          <w:kern w:val="0"/>
          <w:sz w:val="32"/>
          <w:szCs w:val="32"/>
          <w:lang w:val="zh-CN" w:eastAsia="zh-CN" w:bidi="ar"/>
        </w:rPr>
        <w:t>，发现均不存在违规违纪现象，较好保障了项目实施</w:t>
      </w:r>
      <w:r>
        <w:rPr>
          <w:rFonts w:hint="eastAsia" w:ascii="Times New Roman" w:hAnsi="Times New Roman" w:eastAsia="仿宋_GB2312" w:cs="仿宋_GB2312"/>
          <w:kern w:val="0"/>
          <w:sz w:val="32"/>
          <w:szCs w:val="32"/>
          <w:lang w:val="zh-CN" w:eastAsia="zh-CN" w:bidi="ar"/>
        </w:rPr>
        <w:t>。</w:t>
      </w:r>
    </w:p>
    <w:p w14:paraId="391D78C6">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（四）评价方法。</w:t>
      </w:r>
      <w:r>
        <w:rPr>
          <w:rFonts w:hint="eastAsia" w:ascii="Times New Roman" w:hAnsi="Times New Roman" w:eastAsia="仿宋_GB2312" w:cs="仿宋_GB2312"/>
          <w:kern w:val="0"/>
          <w:sz w:val="32"/>
          <w:szCs w:val="32"/>
          <w:lang w:val="zh-CN" w:eastAsia="zh-CN" w:bidi="ar"/>
        </w:rPr>
        <w:t>根据项目情况和评价重点，</w:t>
      </w:r>
      <w:r>
        <w:rPr>
          <w:rFonts w:hint="eastAsia" w:eastAsia="仿宋_GB2312" w:cs="仿宋_GB2312"/>
          <w:kern w:val="0"/>
          <w:sz w:val="32"/>
          <w:szCs w:val="32"/>
          <w:lang w:val="zh-CN" w:eastAsia="zh-CN" w:bidi="ar"/>
        </w:rPr>
        <w:t>主要采取座谈调研与现场案卷资料研究，并对项目实施产等的社会效益进行评估</w:t>
      </w:r>
      <w:r>
        <w:rPr>
          <w:rFonts w:hint="eastAsia" w:ascii="Times New Roman" w:hAnsi="Times New Roman" w:eastAsia="仿宋_GB2312" w:cs="仿宋_GB2312"/>
          <w:kern w:val="0"/>
          <w:sz w:val="32"/>
          <w:szCs w:val="32"/>
          <w:lang w:val="zh-CN" w:eastAsia="zh-CN" w:bidi="ar"/>
        </w:rPr>
        <w:t>。</w:t>
      </w:r>
    </w:p>
    <w:p w14:paraId="088C931B">
      <w:pPr>
        <w:keepNext w:val="0"/>
        <w:keepLines w:val="0"/>
        <w:widowControl w:val="0"/>
        <w:suppressLineNumbers w:val="0"/>
        <w:spacing w:before="0" w:beforeAutospacing="0" w:after="0" w:afterAutospacing="0" w:line="560" w:lineRule="exact"/>
        <w:ind w:left="0" w:right="0" w:firstLine="640"/>
        <w:jc w:val="both"/>
        <w:rPr>
          <w:rFonts w:hint="default" w:eastAsia="仿宋_GB2312" w:cs="仿宋_GB2312"/>
          <w:kern w:val="0"/>
          <w:sz w:val="32"/>
          <w:szCs w:val="32"/>
          <w:lang w:val="en-US" w:eastAsia="zh-CN" w:bidi="ar"/>
        </w:rPr>
      </w:pPr>
      <w:r>
        <w:rPr>
          <w:rFonts w:hint="eastAsia" w:ascii="Times New Roman" w:hAnsi="Times New Roman" w:eastAsia="楷体_GB2312" w:cs="楷体_GB2312"/>
          <w:kern w:val="2"/>
          <w:sz w:val="32"/>
          <w:szCs w:val="32"/>
          <w:lang w:val="zh-CN" w:eastAsia="zh-CN" w:bidi="ar"/>
        </w:rPr>
        <w:t>（五）评价组织。</w:t>
      </w:r>
      <w:r>
        <w:rPr>
          <w:rFonts w:hint="eastAsia" w:eastAsia="仿宋_GB2312" w:cs="仿宋_GB2312"/>
          <w:kern w:val="0"/>
          <w:sz w:val="32"/>
          <w:szCs w:val="32"/>
          <w:lang w:val="zh-CN" w:eastAsia="zh-CN" w:bidi="ar"/>
        </w:rPr>
        <w:t>为提高财政资金使用效益，区审计局成立了局长为组长、班子成员为副组长，各股室负责人为成员的绩效评价小组。分别对项目实施绩效进行评价。</w:t>
      </w:r>
    </w:p>
    <w:p w14:paraId="2D7139AD">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cs="Times New Roman"/>
          <w:szCs w:val="32"/>
          <w:lang w:val="zh-CN" w:eastAsia="zh-CN"/>
        </w:rPr>
      </w:pPr>
      <w:r>
        <w:rPr>
          <w:rFonts w:hint="eastAsia" w:ascii="Times New Roman" w:hAnsi="Times New Roman" w:eastAsia="黑体" w:cs="黑体"/>
          <w:kern w:val="2"/>
          <w:sz w:val="32"/>
          <w:szCs w:val="32"/>
          <w:lang w:val="en-US" w:eastAsia="zh-CN" w:bidi="ar"/>
        </w:rPr>
        <w:t>三、绩效分析</w:t>
      </w:r>
      <w:r>
        <w:rPr>
          <w:rFonts w:hint="default" w:ascii="Times New Roman" w:hAnsi="Times New Roman" w:eastAsia="仿宋_GB2312" w:cs="Times New Roman"/>
          <w:kern w:val="2"/>
          <w:sz w:val="32"/>
          <w:szCs w:val="32"/>
          <w:lang w:val="zh-CN" w:eastAsia="zh-CN" w:bidi="ar"/>
        </w:rPr>
        <w:tab/>
      </w:r>
    </w:p>
    <w:p w14:paraId="0C982571">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cs="Times New Roman"/>
          <w:kern w:val="0"/>
          <w:szCs w:val="32"/>
          <w:lang w:val="en-US"/>
        </w:rPr>
      </w:pPr>
      <w:r>
        <w:rPr>
          <w:rFonts w:hint="eastAsia" w:ascii="Times New Roman" w:hAnsi="Times New Roman" w:eastAsia="仿宋_GB2312" w:cs="仿宋_GB2312"/>
          <w:kern w:val="0"/>
          <w:sz w:val="32"/>
          <w:szCs w:val="32"/>
          <w:lang w:val="zh-CN" w:eastAsia="zh-CN" w:bidi="ar"/>
        </w:rPr>
        <w:t>根据项目预算绩效评价指标体系</w:t>
      </w:r>
      <w:r>
        <w:rPr>
          <w:rFonts w:hint="default" w:ascii="Times New Roman" w:hAnsi="Times New Roman" w:eastAsia="仿宋_GB2312" w:cs="Times New Roman"/>
          <w:kern w:val="0"/>
          <w:sz w:val="32"/>
          <w:szCs w:val="32"/>
          <w:lang w:val="zh-CN" w:eastAsia="zh-CN" w:bidi="ar"/>
        </w:rPr>
        <w:t>“</w:t>
      </w:r>
      <w:r>
        <w:rPr>
          <w:rFonts w:hint="eastAsia" w:ascii="Times New Roman" w:hAnsi="Times New Roman" w:eastAsia="仿宋_GB2312" w:cs="仿宋_GB2312"/>
          <w:kern w:val="0"/>
          <w:sz w:val="32"/>
          <w:szCs w:val="32"/>
          <w:lang w:val="zh-CN" w:eastAsia="zh-CN" w:bidi="ar"/>
        </w:rPr>
        <w:t>通用指标</w:t>
      </w:r>
      <w:r>
        <w:rPr>
          <w:rFonts w:hint="default" w:ascii="Times New Roman" w:hAnsi="Times New Roman" w:eastAsia="仿宋_GB2312" w:cs="Times New Roman"/>
          <w:kern w:val="0"/>
          <w:sz w:val="32"/>
          <w:szCs w:val="32"/>
          <w:lang w:val="zh-CN" w:eastAsia="zh-CN" w:bidi="ar"/>
        </w:rPr>
        <w:t>”“</w:t>
      </w:r>
      <w:r>
        <w:rPr>
          <w:rFonts w:hint="eastAsia" w:ascii="Times New Roman" w:hAnsi="Times New Roman" w:eastAsia="仿宋_GB2312" w:cs="仿宋_GB2312"/>
          <w:kern w:val="0"/>
          <w:sz w:val="32"/>
          <w:szCs w:val="32"/>
          <w:lang w:val="zh-CN" w:eastAsia="zh-CN" w:bidi="ar"/>
        </w:rPr>
        <w:t>专用指标</w:t>
      </w:r>
      <w:r>
        <w:rPr>
          <w:rFonts w:hint="default" w:ascii="Times New Roman" w:hAnsi="Times New Roman" w:eastAsia="仿宋_GB2312" w:cs="Times New Roman"/>
          <w:kern w:val="0"/>
          <w:sz w:val="32"/>
          <w:szCs w:val="32"/>
          <w:lang w:val="zh-CN" w:eastAsia="zh-CN" w:bidi="ar"/>
        </w:rPr>
        <w:t>”“</w:t>
      </w:r>
      <w:r>
        <w:rPr>
          <w:rFonts w:hint="eastAsia" w:ascii="Times New Roman" w:hAnsi="Times New Roman" w:eastAsia="仿宋_GB2312" w:cs="仿宋_GB2312"/>
          <w:kern w:val="0"/>
          <w:sz w:val="32"/>
          <w:szCs w:val="32"/>
          <w:lang w:val="zh-CN" w:eastAsia="zh-CN" w:bidi="ar"/>
        </w:rPr>
        <w:t>个性指标</w:t>
      </w:r>
      <w:r>
        <w:rPr>
          <w:rFonts w:hint="default" w:ascii="Times New Roman" w:hAnsi="Times New Roman" w:eastAsia="仿宋_GB2312" w:cs="Times New Roman"/>
          <w:kern w:val="0"/>
          <w:sz w:val="32"/>
          <w:szCs w:val="32"/>
          <w:lang w:val="zh-CN" w:eastAsia="zh-CN" w:bidi="ar"/>
        </w:rPr>
        <w:t>”</w:t>
      </w:r>
      <w:r>
        <w:rPr>
          <w:rFonts w:hint="eastAsia" w:ascii="Times New Roman" w:hAnsi="Times New Roman" w:eastAsia="仿宋_GB2312" w:cs="仿宋_GB2312"/>
          <w:kern w:val="0"/>
          <w:sz w:val="32"/>
          <w:szCs w:val="32"/>
          <w:lang w:val="zh-CN" w:eastAsia="zh-CN" w:bidi="ar"/>
        </w:rPr>
        <w:t>涉及二、三级指标进行逐项绩效分析并评分</w:t>
      </w:r>
      <w:r>
        <w:rPr>
          <w:rFonts w:hint="eastAsia" w:eastAsia="仿宋_GB2312" w:cs="仿宋_GB2312"/>
          <w:kern w:val="0"/>
          <w:sz w:val="32"/>
          <w:szCs w:val="32"/>
          <w:lang w:val="zh-CN" w:eastAsia="zh-CN" w:bidi="ar"/>
        </w:rPr>
        <w:t>如下</w:t>
      </w:r>
      <w:r>
        <w:rPr>
          <w:rFonts w:hint="eastAsia" w:ascii="Times New Roman" w:hAnsi="Times New Roman" w:eastAsia="仿宋_GB2312" w:cs="仿宋_GB2312"/>
          <w:kern w:val="0"/>
          <w:sz w:val="32"/>
          <w:szCs w:val="32"/>
          <w:lang w:val="en-US" w:eastAsia="zh-CN" w:bidi="ar"/>
        </w:rPr>
        <w:t>。</w:t>
      </w:r>
    </w:p>
    <w:p w14:paraId="677140AD">
      <w:pPr>
        <w:keepNext w:val="0"/>
        <w:keepLines w:val="0"/>
        <w:widowControl w:val="0"/>
        <w:suppressLineNumbers w:val="0"/>
        <w:spacing w:before="0" w:beforeAutospacing="0" w:after="0" w:afterAutospacing="0" w:line="560" w:lineRule="exact"/>
        <w:ind w:left="0" w:right="0" w:firstLine="640" w:firstLineChars="200"/>
        <w:jc w:val="both"/>
        <w:outlineLvl w:val="2"/>
        <w:rPr>
          <w:rFonts w:hint="default" w:ascii="Times New Roman" w:hAnsi="Times New Roman" w:eastAsia="楷体_GB2312" w:cs="Times New Roman"/>
          <w:szCs w:val="32"/>
          <w:lang w:val="en-US"/>
        </w:rPr>
      </w:pPr>
      <w:r>
        <w:rPr>
          <w:rFonts w:hint="eastAsia" w:ascii="Times New Roman" w:hAnsi="Times New Roman" w:eastAsia="楷体_GB2312" w:cs="楷体_GB2312"/>
          <w:kern w:val="2"/>
          <w:sz w:val="32"/>
          <w:szCs w:val="32"/>
          <w:lang w:val="zh-CN" w:eastAsia="zh-CN" w:bidi="ar"/>
        </w:rPr>
        <w:t>（一）</w:t>
      </w:r>
      <w:r>
        <w:rPr>
          <w:rFonts w:hint="eastAsia" w:ascii="Times New Roman" w:hAnsi="Times New Roman" w:eastAsia="楷体_GB2312" w:cs="楷体_GB2312"/>
          <w:kern w:val="2"/>
          <w:sz w:val="32"/>
          <w:szCs w:val="32"/>
          <w:lang w:val="en-US" w:eastAsia="zh-CN" w:bidi="ar"/>
        </w:rPr>
        <w:t>通用指标</w:t>
      </w:r>
      <w:r>
        <w:rPr>
          <w:rFonts w:hint="eastAsia" w:ascii="Times New Roman" w:hAnsi="Times New Roman" w:eastAsia="楷体_GB2312" w:cs="楷体_GB2312"/>
          <w:kern w:val="2"/>
          <w:sz w:val="32"/>
          <w:szCs w:val="32"/>
          <w:lang w:val="zh-CN" w:eastAsia="zh-CN" w:bidi="ar"/>
        </w:rPr>
        <w:t>绩效分析。</w:t>
      </w:r>
    </w:p>
    <w:p w14:paraId="215A45B7">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cs="Times New Roman"/>
          <w:kern w:val="0"/>
          <w:szCs w:val="32"/>
          <w:lang w:val="zh-CN" w:eastAsia="zh-CN"/>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项目决策。</w:t>
      </w:r>
      <w:r>
        <w:rPr>
          <w:rFonts w:hint="eastAsia" w:eastAsia="仿宋_GB2312" w:cs="仿宋_GB2312"/>
          <w:kern w:val="2"/>
          <w:sz w:val="32"/>
          <w:szCs w:val="32"/>
          <w:lang w:val="en-US" w:eastAsia="zh-CN" w:bidi="ar"/>
        </w:rPr>
        <w:t>该项目实施是根据《中华人民共和国审计法》第十一条：“审计机关履行职责所必须的经费，应当列入预算予以保证”之规定纳入预算，同时结合近三年审计工作业务量，对项目实施的必要性进行充分分析论证确定</w:t>
      </w:r>
      <w:r>
        <w:rPr>
          <w:rFonts w:hint="eastAsia" w:eastAsia="仿宋_GB2312" w:cs="仿宋_GB2312"/>
          <w:kern w:val="0"/>
          <w:sz w:val="32"/>
          <w:szCs w:val="32"/>
          <w:lang w:val="zh-CN" w:eastAsia="zh-CN" w:bidi="ar"/>
        </w:rPr>
        <w:t>，</w:t>
      </w:r>
      <w:r>
        <w:rPr>
          <w:rFonts w:hint="eastAsia" w:eastAsia="仿宋_GB2312" w:cs="仿宋_GB2312"/>
          <w:kern w:val="2"/>
          <w:sz w:val="32"/>
          <w:szCs w:val="32"/>
          <w:lang w:val="en-US" w:eastAsia="zh-CN" w:bidi="ar"/>
        </w:rPr>
        <w:t>对项目资金分配、拨付等均经党组会研究。</w:t>
      </w:r>
    </w:p>
    <w:p w14:paraId="4B5FB617">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cs="Times New Roman"/>
          <w:kern w:val="0"/>
          <w:szCs w:val="32"/>
          <w:lang w:val="zh-CN" w:eastAsia="zh-CN"/>
        </w:rPr>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项目管理。</w:t>
      </w:r>
      <w:r>
        <w:rPr>
          <w:rFonts w:hint="eastAsia" w:eastAsia="仿宋_GB2312" w:cs="仿宋_GB2312"/>
          <w:kern w:val="2"/>
          <w:sz w:val="32"/>
          <w:szCs w:val="32"/>
          <w:lang w:val="en-US" w:eastAsia="zh-CN" w:bidi="ar"/>
        </w:rPr>
        <w:t>区审计局根据《遂宁市安居区审计局内部管理制度》相关规定依据“三重一大”事项集体决策制度、机关财务等制度对项目立项、实施进行全盘跟踪，并充分听取项目实施业务股室意见，结合项目实施进度，采纳业务股室审批意见进行费用拨付，同时，听取业务股室对项目实施</w:t>
      </w:r>
      <w:r>
        <w:rPr>
          <w:rFonts w:hint="eastAsia" w:ascii="Times New Roman" w:hAnsi="Times New Roman" w:eastAsia="仿宋_GB2312" w:cs="仿宋_GB2312"/>
          <w:kern w:val="0"/>
          <w:sz w:val="32"/>
          <w:szCs w:val="32"/>
          <w:lang w:val="zh-CN" w:eastAsia="zh-CN" w:bidi="ar"/>
        </w:rPr>
        <w:t>绩效分析</w:t>
      </w:r>
      <w:r>
        <w:rPr>
          <w:rFonts w:hint="eastAsia" w:eastAsia="仿宋_GB2312" w:cs="仿宋_GB2312"/>
          <w:kern w:val="0"/>
          <w:sz w:val="32"/>
          <w:szCs w:val="32"/>
          <w:lang w:val="zh-CN" w:eastAsia="zh-CN" w:bidi="ar"/>
        </w:rPr>
        <w:t>意见</w:t>
      </w:r>
      <w:r>
        <w:rPr>
          <w:rFonts w:hint="eastAsia" w:ascii="Times New Roman" w:hAnsi="Times New Roman" w:eastAsia="仿宋_GB2312" w:cs="仿宋_GB2312"/>
          <w:kern w:val="0"/>
          <w:sz w:val="32"/>
          <w:szCs w:val="32"/>
          <w:lang w:val="zh-CN" w:eastAsia="zh-CN" w:bidi="ar"/>
        </w:rPr>
        <w:t>。</w:t>
      </w:r>
    </w:p>
    <w:p w14:paraId="1D29C0B1">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项目实施。</w:t>
      </w:r>
      <w:r>
        <w:rPr>
          <w:rFonts w:hint="eastAsia" w:eastAsia="仿宋_GB2312" w:cs="仿宋_GB2312"/>
          <w:kern w:val="2"/>
          <w:sz w:val="32"/>
          <w:szCs w:val="32"/>
          <w:lang w:val="en-US" w:eastAsia="zh-CN" w:bidi="ar"/>
        </w:rPr>
        <w:t>区审计局坚持预算导向、总量控制，根据项目实施进度进行核算支付，较好保障了项目实施有序开展，基本到达预期效果</w:t>
      </w:r>
      <w:r>
        <w:rPr>
          <w:rFonts w:hint="eastAsia" w:ascii="Times New Roman" w:hAnsi="Times New Roman" w:eastAsia="仿宋_GB2312" w:cs="仿宋_GB2312"/>
          <w:kern w:val="0"/>
          <w:sz w:val="32"/>
          <w:szCs w:val="32"/>
          <w:lang w:val="zh-CN" w:eastAsia="zh-CN" w:bidi="ar"/>
        </w:rPr>
        <w:t>。</w:t>
      </w:r>
    </w:p>
    <w:p w14:paraId="04BE589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项目结果。</w:t>
      </w:r>
      <w:r>
        <w:rPr>
          <w:rFonts w:hint="eastAsia" w:eastAsia="仿宋_GB2312" w:cs="仿宋_GB2312"/>
          <w:kern w:val="2"/>
          <w:sz w:val="32"/>
          <w:szCs w:val="32"/>
          <w:lang w:val="en-US" w:eastAsia="zh-CN" w:bidi="ar"/>
        </w:rPr>
        <w:t>全年，该预算项目资金预算收入与实际支出相符合，执行率达到100%，全力保障了项目实施，实现了年初预算绩效目标</w:t>
      </w:r>
      <w:r>
        <w:rPr>
          <w:rFonts w:hint="eastAsia" w:ascii="Times New Roman" w:hAnsi="Times New Roman" w:eastAsia="仿宋_GB2312" w:cs="仿宋_GB2312"/>
          <w:kern w:val="0"/>
          <w:sz w:val="32"/>
          <w:szCs w:val="32"/>
          <w:lang w:val="zh-CN" w:eastAsia="zh-CN" w:bidi="ar"/>
        </w:rPr>
        <w:t>。</w:t>
      </w:r>
    </w:p>
    <w:p w14:paraId="5511F2B9">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（二）</w:t>
      </w:r>
      <w:r>
        <w:rPr>
          <w:rFonts w:hint="eastAsia" w:ascii="Times New Roman" w:hAnsi="Times New Roman" w:eastAsia="楷体_GB2312" w:cs="楷体_GB2312"/>
          <w:kern w:val="2"/>
          <w:sz w:val="32"/>
          <w:szCs w:val="32"/>
          <w:lang w:val="en-US" w:eastAsia="zh-CN" w:bidi="ar"/>
        </w:rPr>
        <w:t>专用指标</w:t>
      </w:r>
      <w:r>
        <w:rPr>
          <w:rFonts w:hint="eastAsia" w:ascii="Times New Roman" w:hAnsi="Times New Roman" w:eastAsia="楷体_GB2312" w:cs="楷体_GB2312"/>
          <w:kern w:val="2"/>
          <w:sz w:val="32"/>
          <w:szCs w:val="32"/>
          <w:lang w:val="zh-CN" w:eastAsia="zh-CN" w:bidi="ar"/>
        </w:rPr>
        <w:t>绩效分析。</w:t>
      </w:r>
      <w:r>
        <w:rPr>
          <w:rFonts w:hint="eastAsia" w:ascii="Times New Roman" w:hAnsi="Times New Roman" w:eastAsia="仿宋_GB2312" w:cs="仿宋_GB2312"/>
          <w:kern w:val="0"/>
          <w:sz w:val="32"/>
          <w:szCs w:val="32"/>
          <w:lang w:val="zh-CN" w:eastAsia="zh-CN" w:bidi="ar"/>
        </w:rPr>
        <w:t>根据</w:t>
      </w:r>
      <w:r>
        <w:rPr>
          <w:rFonts w:hint="eastAsia" w:ascii="Times New Roman" w:hAnsi="Times New Roman" w:eastAsia="仿宋_GB2312" w:cs="仿宋_GB2312"/>
          <w:kern w:val="0"/>
          <w:sz w:val="32"/>
          <w:szCs w:val="32"/>
          <w:lang w:val="en-US" w:eastAsia="zh-CN" w:bidi="ar"/>
        </w:rPr>
        <w:t>专项预算项目资金支持对象选择所属指标进行绩效分析。</w:t>
      </w:r>
      <w:r>
        <w:rPr>
          <w:rFonts w:hint="eastAsia" w:eastAsia="仿宋_GB2312" w:cs="仿宋_GB2312"/>
          <w:kern w:val="0"/>
          <w:sz w:val="32"/>
          <w:szCs w:val="32"/>
          <w:lang w:val="en-US" w:eastAsia="zh-CN" w:bidi="ar"/>
        </w:rPr>
        <w:t>该项目实施着力规范全区政府投资项目建设，提升政府资金效益，加快项目建设进度，保障项目建设质量，提升项目建设管理水平</w:t>
      </w:r>
      <w:r>
        <w:rPr>
          <w:rFonts w:hint="eastAsia" w:ascii="Times New Roman" w:hAnsi="Times New Roman" w:eastAsia="仿宋_GB2312" w:cs="仿宋_GB2312"/>
          <w:kern w:val="0"/>
          <w:sz w:val="32"/>
          <w:szCs w:val="32"/>
          <w:lang w:val="zh-CN" w:eastAsia="zh-CN" w:bidi="ar"/>
        </w:rPr>
        <w:t>。</w:t>
      </w:r>
    </w:p>
    <w:p w14:paraId="12288B4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en-US"/>
        </w:rPr>
      </w:pPr>
      <w:r>
        <w:rPr>
          <w:rFonts w:hint="eastAsia" w:eastAsia="仿宋_GB2312" w:cs="仿宋_GB2312"/>
          <w:kern w:val="2"/>
          <w:sz w:val="32"/>
          <w:szCs w:val="32"/>
          <w:lang w:val="zh-CN" w:eastAsia="zh-CN" w:bidi="ar"/>
        </w:rPr>
        <w:t>在项目实施过程中，确保全局网络信息化建设高效开展，保障全局网络畅通、设备运转正常，为审计干部队伍建设，审计干部在线学习、业务开展等提供保障，为推动审计工作高质量发展，提高群众幸福感、获得感，提升全区人民幸福指数提供必要保障。</w:t>
      </w:r>
    </w:p>
    <w:p w14:paraId="357A2850">
      <w:pPr>
        <w:pStyle w:val="18"/>
        <w:keepNext w:val="0"/>
        <w:keepLines w:val="0"/>
        <w:widowControl w:val="0"/>
        <w:suppressLineNumbers w:val="0"/>
        <w:tabs>
          <w:tab w:val="left" w:pos="2160"/>
        </w:tabs>
        <w:spacing w:before="173" w:beforeLines="30" w:beforeAutospacing="0" w:after="0" w:afterAutospacing="0" w:line="560" w:lineRule="exact"/>
        <w:ind w:left="0" w:right="0" w:firstLine="640" w:firstLineChars="200"/>
        <w:jc w:val="both"/>
        <w:outlineLvl w:val="1"/>
        <w:rPr>
          <w:rFonts w:hint="default" w:ascii="Times New Roman" w:hAnsi="Times New Roman" w:eastAsia="黑体" w:cs="Times New Roman"/>
          <w:sz w:val="32"/>
          <w:szCs w:val="32"/>
          <w:lang w:val="en-US"/>
        </w:rPr>
      </w:pPr>
      <w:r>
        <w:rPr>
          <w:rFonts w:hint="eastAsia" w:ascii="Times New Roman" w:hAnsi="Times New Roman" w:eastAsia="黑体" w:cs="黑体"/>
          <w:kern w:val="2"/>
          <w:sz w:val="32"/>
          <w:szCs w:val="32"/>
          <w:lang w:val="en-US" w:eastAsia="zh-CN" w:bidi="ar"/>
        </w:rPr>
        <w:t>四、评价结论</w:t>
      </w:r>
    </w:p>
    <w:p w14:paraId="0824F3D0">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auto"/>
          <w:lang w:val="zh-CN"/>
        </w:rPr>
      </w:pPr>
      <w:r>
        <w:rPr>
          <w:rFonts w:hint="eastAsia" w:ascii="仿宋_GB2312" w:hAnsi="仿宋_GB2312" w:eastAsia="仿宋_GB2312" w:cs="仿宋_GB2312"/>
          <w:color w:val="auto"/>
          <w:kern w:val="0"/>
          <w:sz w:val="32"/>
          <w:szCs w:val="32"/>
          <w:highlight w:val="none"/>
          <w:u w:val="none"/>
          <w:shd w:val="clear" w:color="auto" w:fill="auto"/>
          <w:lang w:val="zh-CN" w:eastAsia="zh-CN"/>
        </w:rPr>
        <w:t>项目实施采取按需进行维护</w:t>
      </w:r>
      <w:r>
        <w:rPr>
          <w:rFonts w:hint="eastAsia" w:ascii="仿宋_GB2312" w:hAnsi="仿宋_GB2312" w:eastAsia="仿宋_GB2312" w:cs="仿宋_GB2312"/>
          <w:color w:val="auto"/>
          <w:kern w:val="0"/>
          <w:sz w:val="32"/>
          <w:szCs w:val="32"/>
          <w:highlight w:val="none"/>
          <w:u w:val="none"/>
          <w:shd w:val="clear" w:color="auto" w:fill="auto"/>
          <w:lang w:val="zh-CN"/>
        </w:rPr>
        <w:t>，故而项目资金分配均采取统筹支付，无需进行细化，二项目实施也真实可靠，全年年度预算下达</w:t>
      </w:r>
      <w:r>
        <w:rPr>
          <w:rFonts w:hint="eastAsia" w:ascii="仿宋_GB2312" w:hAnsi="仿宋_GB2312" w:eastAsia="仿宋_GB2312" w:cs="仿宋_GB2312"/>
          <w:color w:val="auto"/>
          <w:kern w:val="0"/>
          <w:sz w:val="32"/>
          <w:szCs w:val="32"/>
          <w:highlight w:val="none"/>
          <w:u w:val="none"/>
          <w:shd w:val="clear" w:color="auto" w:fill="auto"/>
          <w:lang w:val="en-US" w:eastAsia="zh-CN"/>
        </w:rPr>
        <w:t>13.6</w:t>
      </w:r>
      <w:r>
        <w:rPr>
          <w:rFonts w:hint="eastAsia" w:ascii="仿宋_GB2312" w:hAnsi="仿宋_GB2312" w:eastAsia="仿宋_GB2312" w:cs="仿宋_GB2312"/>
          <w:color w:val="auto"/>
          <w:kern w:val="0"/>
          <w:sz w:val="32"/>
          <w:szCs w:val="32"/>
          <w:highlight w:val="none"/>
          <w:u w:val="none"/>
          <w:shd w:val="clear" w:color="auto" w:fill="auto"/>
          <w:lang w:val="zh-CN"/>
        </w:rPr>
        <w:t>万元，实际支出</w:t>
      </w:r>
      <w:r>
        <w:rPr>
          <w:rFonts w:hint="eastAsia" w:ascii="仿宋_GB2312" w:hAnsi="仿宋_GB2312" w:eastAsia="仿宋_GB2312" w:cs="仿宋_GB2312"/>
          <w:color w:val="auto"/>
          <w:kern w:val="0"/>
          <w:sz w:val="32"/>
          <w:szCs w:val="32"/>
          <w:highlight w:val="none"/>
          <w:u w:val="none"/>
          <w:shd w:val="clear" w:color="auto" w:fill="auto"/>
          <w:lang w:val="en-US" w:eastAsia="zh-CN"/>
        </w:rPr>
        <w:t>13.6</w:t>
      </w:r>
      <w:r>
        <w:rPr>
          <w:rFonts w:hint="eastAsia" w:ascii="仿宋_GB2312" w:hAnsi="仿宋_GB2312" w:eastAsia="仿宋_GB2312" w:cs="仿宋_GB2312"/>
          <w:color w:val="auto"/>
          <w:kern w:val="0"/>
          <w:sz w:val="32"/>
          <w:szCs w:val="32"/>
          <w:highlight w:val="none"/>
          <w:u w:val="none"/>
          <w:shd w:val="clear" w:color="auto" w:fill="auto"/>
          <w:lang w:val="zh-CN"/>
        </w:rPr>
        <w:t>万元，项目绩效达到年初预期，总体效果较好。</w:t>
      </w:r>
    </w:p>
    <w:p w14:paraId="00D0E2CE">
      <w:pPr>
        <w:pStyle w:val="18"/>
        <w:keepNext w:val="0"/>
        <w:keepLines w:val="0"/>
        <w:widowControl w:val="0"/>
        <w:suppressLineNumbers w:val="0"/>
        <w:tabs>
          <w:tab w:val="left" w:pos="2160"/>
        </w:tabs>
        <w:spacing w:before="0" w:beforeLines="30" w:beforeAutospacing="0" w:after="0" w:afterAutospacing="0" w:line="560" w:lineRule="exact"/>
        <w:ind w:left="0" w:right="0" w:firstLine="640" w:firstLineChars="200"/>
        <w:jc w:val="both"/>
        <w:outlineLvl w:val="1"/>
        <w:rPr>
          <w:rFonts w:hint="default" w:ascii="Times New Roman" w:hAnsi="Times New Roman" w:eastAsia="黑体" w:cs="Times New Roman"/>
          <w:sz w:val="32"/>
          <w:szCs w:val="32"/>
          <w:lang w:val="en-US"/>
        </w:rPr>
      </w:pPr>
      <w:r>
        <w:rPr>
          <w:rFonts w:hint="eastAsia" w:ascii="Times New Roman" w:hAnsi="Times New Roman" w:eastAsia="黑体" w:cs="黑体"/>
          <w:kern w:val="2"/>
          <w:sz w:val="32"/>
          <w:szCs w:val="32"/>
          <w:lang w:val="en-US" w:eastAsia="zh-CN" w:bidi="ar"/>
        </w:rPr>
        <w:t>五、存在主要问题</w:t>
      </w:r>
    </w:p>
    <w:p w14:paraId="6A8F2CB0">
      <w:pPr>
        <w:pStyle w:val="18"/>
        <w:keepNext w:val="0"/>
        <w:keepLines w:val="0"/>
        <w:widowControl w:val="0"/>
        <w:suppressLineNumbers w:val="0"/>
        <w:tabs>
          <w:tab w:val="left" w:pos="2160"/>
        </w:tabs>
        <w:spacing w:before="0" w:beforeLines="30" w:beforeAutospacing="0" w:after="0" w:afterAutospacing="0" w:line="560" w:lineRule="exact"/>
        <w:ind w:left="0" w:right="0" w:firstLine="640" w:firstLineChars="200"/>
        <w:jc w:val="both"/>
        <w:rPr>
          <w:rFonts w:hint="default" w:ascii="Times New Roman" w:hAnsi="Times New Roman" w:cs="Times New Roman"/>
          <w:sz w:val="32"/>
          <w:szCs w:val="32"/>
          <w:lang w:val="en-US"/>
        </w:rPr>
      </w:pPr>
      <w:r>
        <w:rPr>
          <w:rFonts w:hint="eastAsia" w:eastAsia="仿宋_GB2312" w:cs="Times New Roman"/>
          <w:kern w:val="0"/>
          <w:sz w:val="32"/>
          <w:szCs w:val="32"/>
          <w:lang w:val="en-US" w:eastAsia="zh-CN" w:bidi="ar"/>
        </w:rPr>
        <w:t>通过</w:t>
      </w:r>
      <w:r>
        <w:rPr>
          <w:rFonts w:hint="eastAsia" w:ascii="Times New Roman" w:hAnsi="Times New Roman" w:eastAsia="仿宋_GB2312" w:cs="Times New Roman"/>
          <w:kern w:val="0"/>
          <w:sz w:val="32"/>
          <w:szCs w:val="32"/>
          <w:lang w:val="en-US" w:eastAsia="zh-CN" w:bidi="ar"/>
        </w:rPr>
        <w:t>项目绩效自评发现</w:t>
      </w:r>
      <w:r>
        <w:rPr>
          <w:rFonts w:hint="eastAsia" w:eastAsia="仿宋_GB2312" w:cs="Times New Roman"/>
          <w:kern w:val="0"/>
          <w:sz w:val="32"/>
          <w:szCs w:val="32"/>
          <w:lang w:val="en-US" w:eastAsia="zh-CN" w:bidi="ar"/>
        </w:rPr>
        <w:t>在对项目预算资金量过度依赖以往年度数据，对中央和省、市等重大部署走向考量不足，容易导致预算项目工作与重大决策部署契合度不高，指标细化不够</w:t>
      </w:r>
      <w:r>
        <w:rPr>
          <w:rFonts w:hint="eastAsia" w:ascii="Times New Roman" w:hAnsi="Times New Roman" w:eastAsia="仿宋_GB2312" w:cs="Times New Roman"/>
          <w:kern w:val="0"/>
          <w:sz w:val="32"/>
          <w:szCs w:val="32"/>
          <w:lang w:val="en-US" w:eastAsia="zh-CN" w:bidi="ar"/>
        </w:rPr>
        <w:t>。</w:t>
      </w:r>
    </w:p>
    <w:p w14:paraId="1C8FC413">
      <w:pPr>
        <w:pStyle w:val="18"/>
        <w:keepNext w:val="0"/>
        <w:keepLines w:val="0"/>
        <w:widowControl w:val="0"/>
        <w:suppressLineNumbers w:val="0"/>
        <w:tabs>
          <w:tab w:val="left" w:pos="2160"/>
        </w:tabs>
        <w:spacing w:before="0" w:beforeLines="30" w:beforeAutospacing="0" w:after="0" w:afterAutospacing="0" w:line="560" w:lineRule="exact"/>
        <w:ind w:left="0" w:right="0" w:firstLine="640" w:firstLineChars="200"/>
        <w:jc w:val="both"/>
        <w:outlineLvl w:val="1"/>
        <w:rPr>
          <w:rFonts w:hint="default" w:ascii="Times New Roman" w:hAnsi="Times New Roman" w:eastAsia="黑体" w:cs="Times New Roman"/>
          <w:kern w:val="0"/>
          <w:position w:val="3"/>
          <w:sz w:val="32"/>
          <w:szCs w:val="32"/>
          <w:lang w:val="zh-CN" w:eastAsia="zh-CN"/>
        </w:rPr>
      </w:pPr>
      <w:r>
        <w:rPr>
          <w:rFonts w:hint="eastAsia" w:ascii="Times New Roman" w:hAnsi="Times New Roman" w:eastAsia="黑体" w:cs="黑体"/>
          <w:kern w:val="0"/>
          <w:position w:val="3"/>
          <w:sz w:val="32"/>
          <w:szCs w:val="32"/>
          <w:lang w:val="zh-CN" w:eastAsia="zh-CN" w:bidi="ar"/>
        </w:rPr>
        <w:t>六、改进建议</w:t>
      </w:r>
    </w:p>
    <w:p w14:paraId="0EDF280C">
      <w:pPr>
        <w:keepNext w:val="0"/>
        <w:keepLines w:val="0"/>
        <w:widowControl w:val="0"/>
        <w:suppressLineNumbers w:val="0"/>
        <w:tabs>
          <w:tab w:val="left" w:pos="1911"/>
        </w:tabs>
        <w:spacing w:before="0" w:beforeAutospacing="0" w:after="0" w:afterAutospacing="0" w:line="560" w:lineRule="exact"/>
        <w:ind w:left="0" w:right="0"/>
        <w:jc w:val="left"/>
        <w:rPr>
          <w:rFonts w:hint="default" w:ascii="Times New Roman" w:hAnsi="Times New Roman" w:cs="Times New Roman"/>
          <w:kern w:val="0"/>
          <w:szCs w:val="32"/>
          <w:lang w:val="en-US"/>
        </w:rPr>
      </w:pPr>
      <w:r>
        <w:rPr>
          <w:rFonts w:hint="default" w:ascii="Times New Roman" w:hAnsi="Times New Roman" w:eastAsia="仿宋_GB2312" w:cs="Times New Roman"/>
          <w:kern w:val="0"/>
          <w:sz w:val="32"/>
          <w:szCs w:val="32"/>
          <w:lang w:val="zh-CN" w:eastAsia="zh-CN" w:bidi="ar"/>
        </w:rPr>
        <w:t xml:space="preserve"> </w:t>
      </w:r>
      <w:r>
        <w:rPr>
          <w:rFonts w:hint="default" w:ascii="Times New Roman" w:hAnsi="Times New Roman" w:eastAsia="仿宋_GB2312" w:cs="Times New Roman"/>
          <w:kern w:val="0"/>
          <w:sz w:val="32"/>
          <w:szCs w:val="32"/>
          <w:lang w:val="en-US" w:eastAsia="zh-CN" w:bidi="ar"/>
        </w:rPr>
        <w:t xml:space="preserve"> </w:t>
      </w:r>
      <w:r>
        <w:rPr>
          <w:rFonts w:hint="eastAsia" w:eastAsia="仿宋_GB2312" w:cs="Times New Roman"/>
          <w:kern w:val="0"/>
          <w:sz w:val="32"/>
          <w:szCs w:val="32"/>
          <w:lang w:val="en-US" w:eastAsia="zh-CN" w:bidi="ar"/>
        </w:rPr>
        <w:t xml:space="preserve"> 建议</w:t>
      </w:r>
      <w:r>
        <w:rPr>
          <w:rFonts w:hint="eastAsia" w:ascii="仿宋_GB2312" w:hAnsi="仿宋_GB2312" w:eastAsia="仿宋_GB2312" w:cs="仿宋_GB2312"/>
          <w:color w:val="auto"/>
          <w:kern w:val="0"/>
          <w:sz w:val="32"/>
          <w:szCs w:val="32"/>
          <w:highlight w:val="none"/>
          <w:u w:val="none"/>
          <w:shd w:val="clear" w:color="auto" w:fill="auto"/>
          <w:lang w:val="zh-CN"/>
        </w:rPr>
        <w:t>加大政治理论学习，紧扣新时代对审计工作要求，强化项目绩效评价宣传力度，增强全局上下绩效管理意识，加大对项目实施股室联系，紧盯项目实施进度及资金使用范围，提高资金使用效益。</w:t>
      </w:r>
    </w:p>
    <w:p w14:paraId="0654FBBE">
      <w:pPr>
        <w:keepNext w:val="0"/>
        <w:keepLines w:val="0"/>
        <w:widowControl w:val="0"/>
        <w:suppressLineNumbers w:val="0"/>
        <w:spacing w:before="0" w:beforeAutospacing="0" w:after="0" w:afterAutospacing="0" w:line="560" w:lineRule="exact"/>
        <w:ind w:left="0" w:right="0"/>
        <w:jc w:val="left"/>
        <w:outlineLvl w:val="0"/>
        <w:rPr>
          <w:rFonts w:hint="eastAsia" w:eastAsia="仿宋_GB2312" w:cs="Times New Roman"/>
          <w:kern w:val="0"/>
          <w:sz w:val="32"/>
          <w:szCs w:val="32"/>
          <w:lang w:val="en-US" w:eastAsia="zh-CN" w:bidi="ar"/>
        </w:rPr>
      </w:pPr>
    </w:p>
    <w:p w14:paraId="637BD8CE">
      <w:pPr>
        <w:rPr>
          <w:rFonts w:hint="eastAsia" w:ascii="仿宋_GB2312" w:hAnsi="仿宋_GB2312" w:eastAsia="仿宋_GB2312" w:cs="仿宋_GB2312"/>
          <w:b w:val="0"/>
          <w:bCs w:val="0"/>
          <w:i w:val="0"/>
          <w:iCs w:val="0"/>
          <w:color w:val="000000"/>
          <w:sz w:val="16"/>
          <w:szCs w:val="16"/>
          <w:u w:val="none"/>
        </w:rPr>
        <w:sectPr>
          <w:footerReference r:id="rId12" w:type="first"/>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p>
    <w:p w14:paraId="79F2AF58">
      <w:pPr>
        <w:rPr>
          <w:rFonts w:hint="eastAsia" w:ascii="仿宋_GB2312" w:hAnsi="仿宋_GB2312" w:eastAsia="仿宋_GB2312" w:cs="仿宋_GB2312"/>
          <w:b w:val="0"/>
          <w:bCs w:val="0"/>
          <w:i w:val="0"/>
          <w:iCs w:val="0"/>
          <w:color w:val="000000"/>
          <w:sz w:val="16"/>
          <w:szCs w:val="16"/>
          <w:u w:val="none"/>
        </w:rPr>
      </w:pPr>
    </w:p>
    <w:tbl>
      <w:tblPr>
        <w:tblStyle w:val="19"/>
        <w:tblW w:w="49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4"/>
        <w:gridCol w:w="1059"/>
        <w:gridCol w:w="872"/>
        <w:gridCol w:w="1200"/>
        <w:gridCol w:w="402"/>
        <w:gridCol w:w="799"/>
        <w:gridCol w:w="397"/>
        <w:gridCol w:w="958"/>
        <w:gridCol w:w="440"/>
        <w:gridCol w:w="532"/>
        <w:gridCol w:w="1186"/>
      </w:tblGrid>
      <w:tr w14:paraId="0A56C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8789A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bCs/>
                <w:i w:val="0"/>
                <w:iCs w:val="0"/>
                <w:color w:val="000000"/>
                <w:kern w:val="0"/>
                <w:sz w:val="28"/>
                <w:szCs w:val="28"/>
                <w:u w:val="none"/>
                <w:lang w:val="en-US" w:eastAsia="zh-CN" w:bidi="ar"/>
              </w:rPr>
              <w:t>部门预算项目支出绩效自评表（2024年度）</w:t>
            </w:r>
          </w:p>
        </w:tc>
      </w:tr>
      <w:tr w14:paraId="24E42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75A4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402256">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51090423T000007812295-信息化建设</w:t>
            </w:r>
          </w:p>
        </w:tc>
      </w:tr>
      <w:tr w14:paraId="7490C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F65C7">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主管部门</w:t>
            </w:r>
          </w:p>
        </w:tc>
        <w:tc>
          <w:tcPr>
            <w:tcW w:w="21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6D0DC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遂宁市安居区审计局部门</w:t>
            </w:r>
          </w:p>
        </w:tc>
        <w:tc>
          <w:tcPr>
            <w:tcW w:w="568" w:type="pct"/>
            <w:tcBorders>
              <w:top w:val="nil"/>
              <w:left w:val="nil"/>
              <w:bottom w:val="nil"/>
              <w:right w:val="nil"/>
            </w:tcBorders>
            <w:shd w:val="clear" w:color="auto" w:fill="auto"/>
            <w:vAlign w:val="center"/>
          </w:tcPr>
          <w:p w14:paraId="197E14F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实施单位 （盖章）</w:t>
            </w:r>
          </w:p>
        </w:tc>
        <w:tc>
          <w:tcPr>
            <w:tcW w:w="12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DC49B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遂宁市安居区审计局</w:t>
            </w:r>
          </w:p>
        </w:tc>
      </w:tr>
      <w:tr w14:paraId="2D260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2A380">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项目基本情况</w:t>
            </w: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0D542">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1.项目年度目标完成情况</w:t>
            </w:r>
          </w:p>
        </w:tc>
        <w:tc>
          <w:tcPr>
            <w:tcW w:w="21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C4029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项目年度目标</w:t>
            </w:r>
          </w:p>
        </w:tc>
        <w:tc>
          <w:tcPr>
            <w:tcW w:w="18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3AF76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年度目标完成情况</w:t>
            </w:r>
          </w:p>
        </w:tc>
      </w:tr>
      <w:tr w14:paraId="11625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75E02">
            <w:pPr>
              <w:keepNext w:val="0"/>
              <w:keepLines w:val="0"/>
              <w:suppressLineNumbers w:val="0"/>
              <w:spacing w:before="0" w:beforeAutospacing="0" w:after="0" w:afterAutospacing="0"/>
              <w:ind w:left="0" w:right="0"/>
              <w:rPr>
                <w:rFonts w:hint="eastAsia" w:ascii="仿宋_GB2312" w:hAnsi="仿宋_GB2312" w:eastAsia="仿宋_GB2312" w:cs="仿宋_GB2312"/>
                <w:b w:val="0"/>
                <w:bCs w:val="0"/>
                <w:i w:val="0"/>
                <w:iCs w:val="0"/>
                <w:color w:val="000000"/>
                <w:sz w:val="16"/>
                <w:szCs w:val="16"/>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0757F">
            <w:pPr>
              <w:keepNext w:val="0"/>
              <w:keepLines w:val="0"/>
              <w:suppressLineNumbers w:val="0"/>
              <w:spacing w:before="0" w:beforeAutospacing="0" w:after="0" w:afterAutospacing="0"/>
              <w:ind w:left="0" w:right="0"/>
              <w:rPr>
                <w:rFonts w:hint="eastAsia" w:ascii="仿宋_GB2312" w:hAnsi="仿宋_GB2312" w:eastAsia="仿宋_GB2312" w:cs="仿宋_GB2312"/>
                <w:b w:val="0"/>
                <w:bCs w:val="0"/>
                <w:i w:val="0"/>
                <w:iCs w:val="0"/>
                <w:color w:val="000000"/>
                <w:sz w:val="16"/>
                <w:szCs w:val="16"/>
                <w:u w:val="none"/>
              </w:rPr>
            </w:pPr>
          </w:p>
        </w:tc>
        <w:tc>
          <w:tcPr>
            <w:tcW w:w="21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5C1AC7">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审计专网不定期维护及更新，电脑及打印机须配套更新，计划采购适配金审三期电脑6台。</w:t>
            </w:r>
          </w:p>
        </w:tc>
        <w:tc>
          <w:tcPr>
            <w:tcW w:w="18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6237D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严格执行相关政策，足额按时支付，预算编制科学合理，年末无结余资金。</w:t>
            </w:r>
          </w:p>
        </w:tc>
      </w:tr>
      <w:tr w14:paraId="5CBB3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5740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0C72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E9287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严格执行相关政策，足额按时支付，预算编制科学合理，年末无结余资金。</w:t>
            </w:r>
          </w:p>
        </w:tc>
      </w:tr>
      <w:tr w14:paraId="71A57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CC1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339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F56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9AC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49C4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3BE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EE1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FF8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BC8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7AE12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D79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4D0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565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13.6</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C7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CFD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867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0BC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304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7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08754">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w:t>
            </w:r>
          </w:p>
        </w:tc>
      </w:tr>
      <w:tr w14:paraId="7F122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852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EE6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24D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703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C3AF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3F4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471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ABA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48542">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7501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4B1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944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FE4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20F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7569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B50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9DA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266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BC925">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37A3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216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596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1E1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790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568C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49C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5DD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881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DE02B">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6BD0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165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89B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9288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0957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76A39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BDBC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D64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5AA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AF47E">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F4E0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397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373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2D8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134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8C6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F7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4C0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F3D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930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9AC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EB7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22407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E5C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30D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01C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414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质量按要求保证信息化系统正常运行</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A7F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202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9C5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916A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318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57C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BED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BCE5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A7D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D44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CB0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7DF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计划完成数量</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EF1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BF7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65F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个</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AFBE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344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710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BAA1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8EED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496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4CC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B73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4E5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维护次数</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31D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6CB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7FC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次</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A99F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8FC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EFB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8ACC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389E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E11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0BF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26A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B53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完成时间</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3A8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96E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586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7628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E4C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BF9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C68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711E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69C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1AB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396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可持续发展指标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A77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保证审计网络正常运行</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3C2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9AC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37E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月</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E2CA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683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4F2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B1D2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9F20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906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1C1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D97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D57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54E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C17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96</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014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8564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B9D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FA9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2E0F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865A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4E3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1E7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39A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F97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信息化维护费、打印机、电脑6台</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A5B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D78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B1A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C683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E37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231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9869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5DB7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1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1001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078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1BF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A380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843C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8FF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6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F9868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i w:val="0"/>
                <w:iCs w:val="0"/>
                <w:color w:val="000000"/>
                <w:sz w:val="16"/>
                <w:szCs w:val="16"/>
                <w:u w:val="none"/>
              </w:rPr>
            </w:pPr>
            <w:r>
              <w:rPr>
                <w:rFonts w:hint="eastAsia" w:ascii="仿宋_GB2312" w:hAnsi="仿宋_GB2312" w:eastAsia="仿宋_GB2312" w:cs="仿宋_GB2312"/>
                <w:b w:val="0"/>
                <w:bCs w:val="0"/>
                <w:i w:val="0"/>
                <w:iCs w:val="0"/>
                <w:color w:val="000000"/>
                <w:kern w:val="0"/>
                <w:sz w:val="16"/>
                <w:szCs w:val="16"/>
                <w:u w:val="none"/>
                <w:lang w:val="en-US" w:eastAsia="zh-CN" w:bidi="ar"/>
              </w:rPr>
              <w:t>严格执行相关政策规定，足额按时支付，完成预算绩效指标值，年末无结余资金。</w:t>
            </w:r>
          </w:p>
        </w:tc>
      </w:tr>
      <w:tr w14:paraId="0AFCA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CBE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6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E3D3A6">
            <w:pPr>
              <w:keepNext w:val="0"/>
              <w:keepLines w:val="0"/>
              <w:widowControl/>
              <w:suppressLineNumbers w:val="0"/>
              <w:spacing w:before="0" w:beforeAutospacing="0" w:after="0" w:afterAutospacing="0"/>
              <w:ind w:left="0" w:right="0"/>
              <w:jc w:val="both"/>
              <w:textAlignment w:val="auto"/>
              <w:rPr>
                <w:rFonts w:hint="eastAsia" w:ascii="仿宋_GB2312" w:hAnsi="仿宋_GB2312" w:eastAsia="仿宋_GB2312" w:cs="仿宋_GB2312"/>
                <w:b w:val="0"/>
                <w:bCs w:val="0"/>
                <w:i w:val="0"/>
                <w:iCs w:val="0"/>
                <w:color w:val="000000"/>
                <w:sz w:val="16"/>
                <w:szCs w:val="16"/>
                <w:u w:val="none"/>
                <w:lang w:eastAsia="zh-CN"/>
              </w:rPr>
            </w:pPr>
            <w:r>
              <w:rPr>
                <w:rFonts w:hint="eastAsia" w:ascii="仿宋_GB2312" w:hAnsi="仿宋_GB2312" w:eastAsia="仿宋_GB2312" w:cs="仿宋_GB2312"/>
                <w:b w:val="0"/>
                <w:bCs w:val="0"/>
                <w:i w:val="0"/>
                <w:iCs w:val="0"/>
                <w:color w:val="000000"/>
                <w:sz w:val="16"/>
                <w:szCs w:val="16"/>
                <w:u w:val="none"/>
                <w:lang w:eastAsia="zh-CN"/>
              </w:rPr>
              <w:t>无</w:t>
            </w:r>
          </w:p>
        </w:tc>
      </w:tr>
      <w:tr w14:paraId="62B96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ED2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6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2C158A">
            <w:pPr>
              <w:keepNext w:val="0"/>
              <w:keepLines w:val="0"/>
              <w:widowControl/>
              <w:suppressLineNumbers w:val="0"/>
              <w:spacing w:before="0" w:beforeAutospacing="0" w:after="0" w:afterAutospacing="0"/>
              <w:ind w:left="0" w:right="0"/>
              <w:jc w:val="left"/>
              <w:textAlignment w:val="auto"/>
              <w:rPr>
                <w:rFonts w:hint="eastAsia" w:ascii="仿宋_GB2312" w:hAnsi="仿宋_GB2312" w:eastAsia="仿宋_GB2312" w:cs="仿宋_GB2312"/>
                <w:b w:val="0"/>
                <w:bCs w:val="0"/>
                <w:i w:val="0"/>
                <w:iCs w:val="0"/>
                <w:color w:val="000000"/>
                <w:sz w:val="16"/>
                <w:szCs w:val="16"/>
                <w:u w:val="none"/>
                <w:lang w:eastAsia="zh-CN"/>
              </w:rPr>
            </w:pPr>
            <w:r>
              <w:rPr>
                <w:rFonts w:hint="eastAsia" w:ascii="仿宋_GB2312" w:hAnsi="仿宋_GB2312" w:eastAsia="仿宋_GB2312" w:cs="仿宋_GB2312"/>
                <w:b w:val="0"/>
                <w:bCs w:val="0"/>
                <w:i w:val="0"/>
                <w:iCs w:val="0"/>
                <w:color w:val="000000"/>
                <w:sz w:val="16"/>
                <w:szCs w:val="16"/>
                <w:u w:val="none"/>
                <w:lang w:eastAsia="zh-CN"/>
              </w:rPr>
              <w:t>无</w:t>
            </w:r>
          </w:p>
        </w:tc>
      </w:tr>
      <w:tr w14:paraId="3BDC8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D1D7AA">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项目负责人：唐甜</w:t>
            </w:r>
          </w:p>
        </w:tc>
        <w:tc>
          <w:tcPr>
            <w:tcW w:w="25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BFACD5">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财务负责人：杜勇</w:t>
            </w:r>
          </w:p>
        </w:tc>
      </w:tr>
    </w:tbl>
    <w:p w14:paraId="13FC4442">
      <w:pPr>
        <w:rPr>
          <w:rFonts w:hint="eastAsia" w:ascii="宋体" w:hAnsi="宋体" w:eastAsia="宋体" w:cs="宋体"/>
          <w:i w:val="0"/>
          <w:iCs w:val="0"/>
          <w:color w:val="000000"/>
          <w:sz w:val="18"/>
          <w:szCs w:val="18"/>
          <w:u w:val="none"/>
        </w:rPr>
        <w:sectPr>
          <w:footerReference r:id="rId14" w:type="first"/>
          <w:footerReference r:id="rId1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r>
        <w:rPr>
          <w:rFonts w:hint="eastAsia" w:ascii="宋体" w:hAnsi="宋体" w:eastAsia="宋体" w:cs="宋体"/>
          <w:i w:val="0"/>
          <w:iCs w:val="0"/>
          <w:color w:val="000000"/>
          <w:sz w:val="18"/>
          <w:szCs w:val="18"/>
          <w:u w:val="none"/>
        </w:rPr>
        <w:br w:type="page"/>
      </w:r>
    </w:p>
    <w:p w14:paraId="641F8299">
      <w:pPr>
        <w:pStyle w:val="18"/>
        <w:keepNext w:val="0"/>
        <w:keepLines w:val="0"/>
        <w:widowControl w:val="0"/>
        <w:suppressLineNumbers w:val="0"/>
        <w:spacing w:before="0" w:beforeAutospacing="0" w:after="0" w:afterAutospacing="0" w:line="560" w:lineRule="exact"/>
        <w:ind w:left="0" w:right="0"/>
        <w:jc w:val="center"/>
        <w:rPr>
          <w:rFonts w:hint="eastAsia" w:ascii="Arial Unicode MS" w:hAnsi="Arial Unicode MS" w:eastAsia="Arial Unicode MS" w:cs="Arial Unicode MS"/>
          <w:color w:val="auto"/>
          <w:kern w:val="2"/>
          <w:sz w:val="44"/>
          <w:szCs w:val="44"/>
          <w:lang w:val="en-US"/>
        </w:rPr>
      </w:pPr>
      <w:r>
        <w:rPr>
          <w:rFonts w:hint="eastAsia" w:ascii="Arial Unicode MS" w:hAnsi="Arial Unicode MS" w:eastAsia="Arial Unicode MS" w:cs="Arial Unicode MS"/>
          <w:color w:val="auto"/>
          <w:kern w:val="2"/>
          <w:sz w:val="44"/>
          <w:szCs w:val="44"/>
          <w:lang w:val="en-US" w:eastAsia="zh-CN" w:bidi="ar"/>
        </w:rPr>
        <w:t>专项预算项目绩效评价报告</w:t>
      </w:r>
    </w:p>
    <w:p w14:paraId="67E2AAD3">
      <w:pPr>
        <w:pStyle w:val="18"/>
        <w:keepNext w:val="0"/>
        <w:keepLines w:val="0"/>
        <w:widowControl w:val="0"/>
        <w:suppressLineNumbers w:val="0"/>
        <w:spacing w:before="0" w:beforeAutospacing="0" w:after="0" w:afterAutospacing="0" w:line="560" w:lineRule="exact"/>
        <w:ind w:left="0" w:right="0" w:firstLine="640"/>
        <w:jc w:val="center"/>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eastAsia="zh-CN"/>
        </w:rPr>
        <w:t>（政府投资审计咨询费）</w:t>
      </w:r>
    </w:p>
    <w:p w14:paraId="2457AB8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eastAsia="黑体" w:cs="Times New Roman"/>
          <w:szCs w:val="32"/>
          <w:lang w:val="zh-CN" w:eastAsia="zh-CN"/>
        </w:rPr>
      </w:pPr>
      <w:bookmarkStart w:id="138" w:name="_Toc21982"/>
      <w:r>
        <w:rPr>
          <w:rFonts w:hint="eastAsia" w:ascii="Times New Roman" w:hAnsi="Times New Roman" w:eastAsia="黑体" w:cs="黑体"/>
          <w:kern w:val="2"/>
          <w:sz w:val="32"/>
          <w:szCs w:val="32"/>
          <w:lang w:val="en-US" w:eastAsia="zh-CN" w:bidi="ar"/>
        </w:rPr>
        <w:t>一、</w:t>
      </w:r>
      <w:r>
        <w:rPr>
          <w:rFonts w:hint="eastAsia" w:ascii="Times New Roman" w:hAnsi="Times New Roman" w:eastAsia="黑体" w:cs="黑体"/>
          <w:kern w:val="2"/>
          <w:sz w:val="32"/>
          <w:szCs w:val="32"/>
          <w:lang w:val="zh-CN" w:eastAsia="zh-CN" w:bidi="ar"/>
        </w:rPr>
        <w:t>项目概况</w:t>
      </w:r>
      <w:bookmarkEnd w:id="138"/>
    </w:p>
    <w:p w14:paraId="12C1970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eastAsia="楷体_GB2312" w:cs="楷体_GB2312"/>
          <w:sz w:val="32"/>
          <w:szCs w:val="32"/>
          <w:lang w:val="en-US" w:eastAsia="zh-CN"/>
        </w:rPr>
        <w:t xml:space="preserve">   （一）</w:t>
      </w:r>
      <w:r>
        <w:rPr>
          <w:rFonts w:hint="eastAsia" w:ascii="Times New Roman" w:hAnsi="Times New Roman" w:eastAsia="楷体_GB2312" w:cs="楷体_GB2312"/>
          <w:sz w:val="32"/>
          <w:szCs w:val="32"/>
          <w:lang w:val="zh-CN" w:eastAsia="zh-CN"/>
        </w:rPr>
        <w:t>设立背景及基本情况。</w:t>
      </w:r>
    </w:p>
    <w:p w14:paraId="6E4A642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color w:val="auto"/>
          <w:sz w:val="32"/>
          <w:szCs w:val="32"/>
          <w:highlight w:val="none"/>
          <w:u w:val="none"/>
          <w:shd w:val="clear" w:color="auto" w:fill="auto"/>
          <w:lang w:val="zh-CN"/>
        </w:rPr>
      </w:pPr>
      <w:r>
        <w:rPr>
          <w:rFonts w:hint="eastAsia" w:ascii="仿宋" w:hAnsi="仿宋" w:eastAsia="仿宋" w:cs="仿宋"/>
          <w:b w:val="0"/>
          <w:bCs/>
          <w:color w:val="auto"/>
          <w:sz w:val="32"/>
          <w:szCs w:val="32"/>
          <w:highlight w:val="none"/>
          <w:u w:val="none"/>
          <w:shd w:val="clear" w:color="auto" w:fill="auto"/>
          <w:lang w:val="zh-CN"/>
        </w:rPr>
        <w:t>政府投资审计咨询费项目主要用于支付</w:t>
      </w:r>
      <w:r>
        <w:rPr>
          <w:rFonts w:hint="eastAsia" w:ascii="仿宋" w:hAnsi="仿宋" w:eastAsia="仿宋" w:cs="仿宋"/>
          <w:b w:val="0"/>
          <w:bCs/>
          <w:color w:val="auto"/>
          <w:sz w:val="32"/>
          <w:szCs w:val="32"/>
          <w:highlight w:val="none"/>
          <w:u w:val="none"/>
          <w:shd w:val="clear" w:color="auto" w:fill="auto"/>
          <w:lang w:val="en-US" w:eastAsia="zh-CN"/>
        </w:rPr>
        <w:t>2023年度和2024年度</w:t>
      </w:r>
      <w:r>
        <w:rPr>
          <w:rFonts w:hint="eastAsia" w:ascii="仿宋" w:hAnsi="仿宋" w:eastAsia="仿宋" w:cs="仿宋"/>
          <w:b w:val="0"/>
          <w:bCs/>
          <w:color w:val="auto"/>
          <w:sz w:val="32"/>
          <w:szCs w:val="32"/>
          <w:highlight w:val="none"/>
          <w:u w:val="none"/>
          <w:shd w:val="clear" w:color="auto" w:fill="auto"/>
          <w:lang w:val="zh-CN"/>
        </w:rPr>
        <w:t>政府投资项目审计服务咨询费及在开展审计过程中产生的其他相关的劳务、差旅、用车等业务开展保障支出。</w:t>
      </w:r>
    </w:p>
    <w:p w14:paraId="11D58080">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color w:val="auto"/>
          <w:sz w:val="32"/>
          <w:szCs w:val="32"/>
          <w:highlight w:val="none"/>
          <w:u w:val="none"/>
          <w:shd w:val="clear" w:color="auto" w:fill="auto"/>
          <w:lang w:val="zh-CN"/>
        </w:rPr>
      </w:pPr>
      <w:r>
        <w:rPr>
          <w:rFonts w:hint="eastAsia" w:ascii="Times New Roman" w:hAnsi="Times New Roman" w:eastAsia="楷体_GB2312" w:cs="楷体_GB2312"/>
          <w:kern w:val="2"/>
          <w:sz w:val="32"/>
          <w:szCs w:val="32"/>
          <w:lang w:val="zh-CN" w:eastAsia="zh-CN" w:bidi="ar"/>
        </w:rPr>
        <w:t>（二）</w:t>
      </w:r>
      <w:r>
        <w:rPr>
          <w:rFonts w:hint="eastAsia" w:ascii="Times New Roman" w:hAnsi="Times New Roman" w:eastAsia="楷体_GB2312" w:cs="楷体_GB2312"/>
          <w:kern w:val="2"/>
          <w:sz w:val="32"/>
          <w:szCs w:val="32"/>
          <w:lang w:val="en-US" w:eastAsia="zh-CN" w:bidi="ar"/>
        </w:rPr>
        <w:t>实施目的及支持方向。</w:t>
      </w:r>
      <w:r>
        <w:rPr>
          <w:rFonts w:hint="eastAsia" w:ascii="Times New Roman" w:hAnsi="Times New Roman" w:eastAsia="仿宋_GB2312" w:cs="仿宋_GB2312"/>
          <w:kern w:val="0"/>
          <w:sz w:val="32"/>
          <w:szCs w:val="32"/>
          <w:lang w:val="en-US" w:eastAsia="zh-CN" w:bidi="ar"/>
        </w:rPr>
        <w:t>项目资金</w:t>
      </w:r>
      <w:r>
        <w:rPr>
          <w:rFonts w:hint="eastAsia" w:ascii="Times New Roman" w:hAnsi="Times New Roman" w:eastAsia="仿宋_GB2312" w:cs="仿宋_GB2312"/>
          <w:kern w:val="0"/>
          <w:sz w:val="32"/>
          <w:szCs w:val="32"/>
          <w:lang w:val="zh-CN" w:eastAsia="zh-CN" w:bidi="ar"/>
        </w:rPr>
        <w:t>管理办法制定情况，项目实施目的和主要工作任务，项目支持方向。</w:t>
      </w:r>
      <w:r>
        <w:rPr>
          <w:rFonts w:hint="eastAsia" w:ascii="仿宋" w:hAnsi="仿宋" w:eastAsia="仿宋" w:cs="仿宋"/>
          <w:b w:val="0"/>
          <w:bCs/>
          <w:color w:val="auto"/>
          <w:sz w:val="32"/>
          <w:szCs w:val="32"/>
          <w:highlight w:val="none"/>
          <w:u w:val="none"/>
          <w:shd w:val="clear" w:color="auto" w:fill="auto"/>
          <w:lang w:val="zh-CN"/>
        </w:rPr>
        <w:t>该笔资金计划在</w:t>
      </w:r>
      <w:r>
        <w:rPr>
          <w:rFonts w:hint="eastAsia" w:ascii="仿宋" w:hAnsi="仿宋" w:eastAsia="仿宋" w:cs="仿宋"/>
          <w:b w:val="0"/>
          <w:bCs/>
          <w:color w:val="auto"/>
          <w:sz w:val="32"/>
          <w:szCs w:val="32"/>
          <w:highlight w:val="none"/>
          <w:u w:val="none"/>
          <w:shd w:val="clear" w:color="auto" w:fill="auto"/>
          <w:lang w:val="en-US" w:eastAsia="zh-CN"/>
        </w:rPr>
        <w:t>2024年度完成支付，年初拟定开展</w:t>
      </w:r>
      <w:r>
        <w:rPr>
          <w:rFonts w:hint="eastAsia" w:ascii="仿宋" w:hAnsi="仿宋" w:eastAsia="仿宋" w:cs="仿宋"/>
          <w:b w:val="0"/>
          <w:bCs/>
          <w:color w:val="auto"/>
          <w:sz w:val="32"/>
          <w:szCs w:val="32"/>
          <w:highlight w:val="none"/>
          <w:u w:val="none"/>
          <w:shd w:val="clear" w:color="auto" w:fill="auto"/>
          <w:lang w:val="zh-CN"/>
        </w:rPr>
        <w:t>政府投资项目审计和固定资产投资跟踪审计项目不少于</w:t>
      </w:r>
      <w:r>
        <w:rPr>
          <w:rFonts w:hint="eastAsia" w:ascii="仿宋" w:hAnsi="仿宋" w:eastAsia="仿宋" w:cs="仿宋"/>
          <w:b w:val="0"/>
          <w:bCs/>
          <w:color w:val="auto"/>
          <w:sz w:val="32"/>
          <w:szCs w:val="32"/>
          <w:highlight w:val="none"/>
          <w:u w:val="none"/>
          <w:shd w:val="clear" w:color="auto" w:fill="auto"/>
          <w:lang w:val="en-US" w:eastAsia="zh-CN"/>
        </w:rPr>
        <w:t>5</w:t>
      </w:r>
      <w:r>
        <w:rPr>
          <w:rFonts w:hint="eastAsia" w:ascii="仿宋" w:hAnsi="仿宋" w:eastAsia="仿宋" w:cs="仿宋"/>
          <w:b w:val="0"/>
          <w:bCs/>
          <w:color w:val="auto"/>
          <w:sz w:val="32"/>
          <w:szCs w:val="32"/>
          <w:highlight w:val="none"/>
          <w:u w:val="none"/>
          <w:shd w:val="clear" w:color="auto" w:fill="auto"/>
          <w:lang w:val="zh-CN"/>
        </w:rPr>
        <w:t>个。固定资产投资审计项目咨询费按照项目审减金额比例计算，其他项目根据协议相关情况予以结算支付。</w:t>
      </w:r>
    </w:p>
    <w:p w14:paraId="6858D7D2">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color w:val="auto"/>
          <w:sz w:val="32"/>
          <w:szCs w:val="32"/>
          <w:highlight w:val="none"/>
          <w:u w:val="none"/>
          <w:shd w:val="clear" w:color="auto" w:fill="auto"/>
          <w:lang w:val="zh-CN"/>
        </w:rPr>
      </w:pPr>
      <w:r>
        <w:rPr>
          <w:rFonts w:hint="eastAsia" w:ascii="仿宋" w:hAnsi="仿宋" w:eastAsia="仿宋" w:cs="仿宋"/>
          <w:b w:val="0"/>
          <w:bCs/>
          <w:color w:val="auto"/>
          <w:sz w:val="32"/>
          <w:szCs w:val="32"/>
          <w:highlight w:val="none"/>
          <w:u w:val="none"/>
          <w:shd w:val="clear" w:color="auto" w:fill="auto"/>
          <w:lang w:val="zh-CN"/>
        </w:rPr>
        <w:t>年度审计项目结果须达到优良等级，所支付的三方公司咨询服务费和劳务费控制在</w:t>
      </w:r>
      <w:r>
        <w:rPr>
          <w:rFonts w:hint="eastAsia" w:ascii="仿宋" w:hAnsi="仿宋" w:eastAsia="仿宋" w:cs="仿宋"/>
          <w:b w:val="0"/>
          <w:bCs/>
          <w:color w:val="auto"/>
          <w:sz w:val="32"/>
          <w:szCs w:val="32"/>
          <w:highlight w:val="none"/>
          <w:u w:val="none"/>
          <w:shd w:val="clear" w:color="auto" w:fill="auto"/>
          <w:lang w:val="en-US" w:eastAsia="zh-CN"/>
        </w:rPr>
        <w:t>预算金额以内，所产生的结果需对全区行业治理能力产生促进作用，服务对象满意度需达到95%及以上。</w:t>
      </w:r>
      <w:r>
        <w:rPr>
          <w:rFonts w:hint="eastAsia" w:ascii="仿宋" w:hAnsi="仿宋" w:eastAsia="仿宋" w:cs="仿宋"/>
          <w:b w:val="0"/>
          <w:bCs/>
          <w:color w:val="auto"/>
          <w:sz w:val="32"/>
          <w:szCs w:val="32"/>
          <w:highlight w:val="none"/>
          <w:u w:val="none"/>
          <w:shd w:val="clear" w:color="auto" w:fill="auto"/>
          <w:lang w:val="zh-CN"/>
        </w:rPr>
        <w:t>202</w:t>
      </w:r>
      <w:r>
        <w:rPr>
          <w:rFonts w:hint="eastAsia" w:ascii="仿宋" w:hAnsi="仿宋" w:eastAsia="仿宋" w:cs="仿宋"/>
          <w:b w:val="0"/>
          <w:bCs/>
          <w:color w:val="auto"/>
          <w:sz w:val="32"/>
          <w:szCs w:val="32"/>
          <w:highlight w:val="none"/>
          <w:u w:val="none"/>
          <w:shd w:val="clear" w:color="auto" w:fill="auto"/>
          <w:lang w:val="en-US" w:eastAsia="zh-CN"/>
        </w:rPr>
        <w:t>4</w:t>
      </w:r>
      <w:r>
        <w:rPr>
          <w:rFonts w:hint="eastAsia" w:ascii="仿宋" w:hAnsi="仿宋" w:eastAsia="仿宋" w:cs="仿宋"/>
          <w:b w:val="0"/>
          <w:bCs/>
          <w:color w:val="auto"/>
          <w:sz w:val="32"/>
          <w:szCs w:val="32"/>
          <w:highlight w:val="none"/>
          <w:u w:val="none"/>
          <w:shd w:val="clear" w:color="auto" w:fill="auto"/>
          <w:lang w:val="zh-CN"/>
        </w:rPr>
        <w:t>年该项目预算为</w:t>
      </w:r>
      <w:r>
        <w:rPr>
          <w:rFonts w:hint="eastAsia" w:ascii="仿宋" w:hAnsi="仿宋" w:eastAsia="仿宋" w:cs="仿宋"/>
          <w:b w:val="0"/>
          <w:bCs/>
          <w:color w:val="auto"/>
          <w:sz w:val="32"/>
          <w:szCs w:val="32"/>
          <w:highlight w:val="none"/>
          <w:u w:val="none"/>
          <w:shd w:val="clear" w:color="auto" w:fill="auto"/>
          <w:lang w:val="en-US" w:eastAsia="zh-CN"/>
        </w:rPr>
        <w:t>53.45</w:t>
      </w:r>
      <w:r>
        <w:rPr>
          <w:rFonts w:hint="eastAsia" w:ascii="仿宋" w:hAnsi="仿宋" w:eastAsia="仿宋" w:cs="仿宋"/>
          <w:b w:val="0"/>
          <w:bCs/>
          <w:color w:val="auto"/>
          <w:sz w:val="32"/>
          <w:szCs w:val="32"/>
          <w:highlight w:val="none"/>
          <w:u w:val="none"/>
          <w:shd w:val="clear" w:color="auto" w:fill="auto"/>
          <w:lang w:val="zh-CN"/>
        </w:rPr>
        <w:t>万元，实际使用资金</w:t>
      </w:r>
      <w:r>
        <w:rPr>
          <w:rFonts w:hint="eastAsia" w:ascii="仿宋" w:hAnsi="仿宋" w:eastAsia="仿宋" w:cs="仿宋"/>
          <w:b w:val="0"/>
          <w:bCs/>
          <w:color w:val="auto"/>
          <w:sz w:val="32"/>
          <w:szCs w:val="32"/>
          <w:highlight w:val="none"/>
          <w:u w:val="none"/>
          <w:shd w:val="clear" w:color="auto" w:fill="auto"/>
          <w:lang w:val="en-US" w:eastAsia="zh-CN"/>
        </w:rPr>
        <w:t>53.45</w:t>
      </w:r>
      <w:r>
        <w:rPr>
          <w:rFonts w:hint="eastAsia" w:ascii="仿宋" w:hAnsi="仿宋" w:eastAsia="仿宋" w:cs="仿宋"/>
          <w:b w:val="0"/>
          <w:bCs/>
          <w:color w:val="auto"/>
          <w:sz w:val="32"/>
          <w:szCs w:val="32"/>
          <w:highlight w:val="none"/>
          <w:u w:val="none"/>
          <w:shd w:val="clear" w:color="auto" w:fill="auto"/>
          <w:lang w:val="zh-CN"/>
        </w:rPr>
        <w:t>万元，申报内容与实际相符，申报目标合理可行。</w:t>
      </w:r>
    </w:p>
    <w:p w14:paraId="6C63506D">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cs="Times New Roman"/>
          <w:kern w:val="0"/>
          <w:szCs w:val="32"/>
          <w:lang w:val="zh-CN" w:eastAsia="zh-CN"/>
        </w:rPr>
      </w:pPr>
      <w:r>
        <w:rPr>
          <w:rFonts w:hint="eastAsia" w:ascii="Times New Roman" w:hAnsi="Times New Roman" w:eastAsia="楷体_GB2312" w:cs="楷体_GB2312"/>
          <w:sz w:val="32"/>
          <w:szCs w:val="32"/>
          <w:lang w:val="zh-CN" w:eastAsia="zh-CN"/>
        </w:rPr>
        <w:t>（三）</w:t>
      </w:r>
      <w:r>
        <w:rPr>
          <w:rFonts w:hint="eastAsia" w:ascii="Times New Roman" w:hAnsi="Times New Roman" w:eastAsia="楷体_GB2312" w:cs="楷体_GB2312"/>
          <w:sz w:val="32"/>
          <w:szCs w:val="32"/>
          <w:lang w:eastAsia="zh-CN"/>
        </w:rPr>
        <w:t>预算安排及分配管理</w:t>
      </w:r>
      <w:r>
        <w:rPr>
          <w:rFonts w:hint="eastAsia" w:ascii="Times New Roman" w:hAnsi="Times New Roman" w:eastAsia="楷体_GB2312" w:cs="楷体_GB2312"/>
          <w:sz w:val="32"/>
          <w:szCs w:val="32"/>
          <w:lang w:val="zh-CN" w:eastAsia="zh-CN"/>
        </w:rPr>
        <w:t>。</w:t>
      </w:r>
      <w:r>
        <w:rPr>
          <w:rFonts w:hint="eastAsia" w:ascii="仿宋_GB2312" w:hAnsi="仿宋_GB2312" w:eastAsia="仿宋_GB2312" w:cs="仿宋_GB2312"/>
          <w:color w:val="auto"/>
          <w:kern w:val="0"/>
          <w:sz w:val="32"/>
          <w:szCs w:val="32"/>
          <w:highlight w:val="none"/>
          <w:u w:val="none"/>
          <w:shd w:val="clear" w:color="auto" w:fill="auto"/>
          <w:lang w:val="zh-CN"/>
        </w:rPr>
        <w:t>因项目均是完工验收后再进行审计，故而项目决策的资金分配完全按照项目实际进度进行支付，特殊情况可由项目实施股室向局党组会提出请示研究决定。</w:t>
      </w:r>
    </w:p>
    <w:p w14:paraId="4FE2874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（四）项目绩效目标设置。</w:t>
      </w:r>
      <w:r>
        <w:rPr>
          <w:rFonts w:hint="eastAsia" w:ascii="Times New Roman" w:hAnsi="Times New Roman" w:eastAsia="仿宋_GB2312" w:cs="仿宋_GB2312"/>
          <w:kern w:val="0"/>
          <w:sz w:val="32"/>
          <w:szCs w:val="32"/>
          <w:lang w:val="zh-CN" w:eastAsia="zh-CN" w:bidi="ar"/>
        </w:rPr>
        <w:t>项目整体</w:t>
      </w:r>
      <w:r>
        <w:rPr>
          <w:rFonts w:hint="eastAsia" w:eastAsia="仿宋_GB2312" w:cs="仿宋_GB2312"/>
          <w:kern w:val="0"/>
          <w:sz w:val="32"/>
          <w:szCs w:val="32"/>
          <w:lang w:val="zh-CN" w:eastAsia="zh-CN" w:bidi="ar"/>
        </w:rPr>
        <w:t>绩效目标：要求根据项目实施情况及时进行结算并支付，坚持专款专用原则。年度内完成政府投资建设项目审计个数不得低于</w:t>
      </w:r>
      <w:r>
        <w:rPr>
          <w:rFonts w:hint="eastAsia" w:eastAsia="仿宋_GB2312" w:cs="仿宋_GB2312"/>
          <w:kern w:val="0"/>
          <w:sz w:val="32"/>
          <w:szCs w:val="32"/>
          <w:lang w:val="en-US" w:eastAsia="zh-CN" w:bidi="ar"/>
        </w:rPr>
        <w:t>5个，</w:t>
      </w:r>
      <w:r>
        <w:rPr>
          <w:rFonts w:hint="eastAsia" w:eastAsia="仿宋_GB2312" w:cs="仿宋_GB2312"/>
          <w:kern w:val="0"/>
          <w:sz w:val="32"/>
          <w:szCs w:val="32"/>
          <w:lang w:val="zh-CN" w:eastAsia="zh-CN" w:bidi="ar"/>
        </w:rPr>
        <w:t>审计结果评定必须在优良以上，被审计（监督）单位对所提建议接受个数不低于</w:t>
      </w:r>
      <w:r>
        <w:rPr>
          <w:rFonts w:hint="eastAsia" w:eastAsia="仿宋_GB2312" w:cs="仿宋_GB2312"/>
          <w:kern w:val="0"/>
          <w:sz w:val="32"/>
          <w:szCs w:val="32"/>
          <w:lang w:val="en-US" w:eastAsia="zh-CN" w:bidi="ar"/>
        </w:rPr>
        <w:t>95%</w:t>
      </w:r>
      <w:r>
        <w:rPr>
          <w:rFonts w:hint="eastAsia" w:ascii="Times New Roman" w:hAnsi="Times New Roman" w:eastAsia="仿宋_GB2312" w:cs="仿宋_GB2312"/>
          <w:kern w:val="0"/>
          <w:sz w:val="32"/>
          <w:szCs w:val="32"/>
          <w:lang w:val="zh-CN" w:eastAsia="zh-CN" w:bidi="ar"/>
        </w:rPr>
        <w:t>，</w:t>
      </w:r>
      <w:r>
        <w:rPr>
          <w:rFonts w:hint="eastAsia" w:eastAsia="仿宋_GB2312" w:cs="仿宋_GB2312"/>
          <w:kern w:val="0"/>
          <w:sz w:val="32"/>
          <w:szCs w:val="32"/>
          <w:lang w:val="zh-CN" w:eastAsia="zh-CN" w:bidi="ar"/>
        </w:rPr>
        <w:t>群众满意度不低于</w:t>
      </w:r>
      <w:r>
        <w:rPr>
          <w:rFonts w:hint="eastAsia" w:eastAsia="仿宋_GB2312" w:cs="仿宋_GB2312"/>
          <w:kern w:val="0"/>
          <w:sz w:val="32"/>
          <w:szCs w:val="32"/>
          <w:lang w:val="en-US" w:eastAsia="zh-CN" w:bidi="ar"/>
        </w:rPr>
        <w:t>95%</w:t>
      </w:r>
      <w:r>
        <w:rPr>
          <w:rFonts w:hint="eastAsia" w:ascii="Times New Roman" w:hAnsi="Times New Roman" w:eastAsia="仿宋_GB2312" w:cs="仿宋_GB2312"/>
          <w:kern w:val="0"/>
          <w:sz w:val="32"/>
          <w:szCs w:val="32"/>
          <w:lang w:val="zh-CN" w:eastAsia="zh-CN" w:bidi="ar"/>
        </w:rPr>
        <w:t>。</w:t>
      </w:r>
    </w:p>
    <w:p w14:paraId="16315A0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eastAsia="黑体" w:cs="Times New Roman"/>
          <w:szCs w:val="32"/>
          <w:lang w:val="en-US"/>
        </w:rPr>
      </w:pPr>
      <w:bookmarkStart w:id="139" w:name="_Toc19829"/>
      <w:r>
        <w:rPr>
          <w:rFonts w:hint="eastAsia" w:ascii="Times New Roman" w:hAnsi="Times New Roman" w:eastAsia="黑体" w:cs="黑体"/>
          <w:kern w:val="2"/>
          <w:sz w:val="32"/>
          <w:szCs w:val="32"/>
          <w:lang w:val="en-US" w:eastAsia="zh-CN" w:bidi="ar"/>
        </w:rPr>
        <w:t>二、评价实施</w:t>
      </w:r>
      <w:bookmarkEnd w:id="139"/>
    </w:p>
    <w:p w14:paraId="706F3C3B">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（一）评价目的。</w:t>
      </w:r>
      <w:r>
        <w:rPr>
          <w:rFonts w:hint="eastAsia" w:eastAsia="楷体_GB2312" w:cs="楷体_GB2312"/>
          <w:kern w:val="2"/>
          <w:sz w:val="32"/>
          <w:szCs w:val="32"/>
          <w:lang w:val="zh-CN" w:eastAsia="zh-CN" w:bidi="ar"/>
        </w:rPr>
        <w:t>区审计局分别对该项目实施前、中、后进行绩效自评，旨在于</w:t>
      </w:r>
      <w:r>
        <w:rPr>
          <w:rFonts w:hint="eastAsia" w:ascii="Times New Roman" w:hAnsi="Times New Roman" w:eastAsia="仿宋_GB2312" w:cs="仿宋_GB2312"/>
          <w:kern w:val="0"/>
          <w:sz w:val="32"/>
          <w:szCs w:val="32"/>
          <w:lang w:val="zh-CN" w:eastAsia="zh-CN" w:bidi="ar"/>
        </w:rPr>
        <w:t>通过项目绩效自评</w:t>
      </w:r>
      <w:r>
        <w:rPr>
          <w:rFonts w:hint="eastAsia" w:eastAsia="仿宋_GB2312" w:cs="仿宋_GB2312"/>
          <w:kern w:val="0"/>
          <w:sz w:val="32"/>
          <w:szCs w:val="32"/>
          <w:lang w:val="zh-CN" w:eastAsia="zh-CN" w:bidi="ar"/>
        </w:rPr>
        <w:t>促进项目推动效率，促进所对应工作高效高质开展</w:t>
      </w:r>
      <w:r>
        <w:rPr>
          <w:rFonts w:hint="eastAsia" w:ascii="Times New Roman" w:hAnsi="Times New Roman" w:eastAsia="仿宋_GB2312" w:cs="仿宋_GB2312"/>
          <w:kern w:val="0"/>
          <w:sz w:val="32"/>
          <w:szCs w:val="32"/>
          <w:lang w:val="zh-CN" w:eastAsia="zh-CN" w:bidi="ar"/>
        </w:rPr>
        <w:t>。</w:t>
      </w:r>
    </w:p>
    <w:p w14:paraId="28E2F802">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（二）预设问题及评价重点。</w:t>
      </w:r>
      <w:r>
        <w:rPr>
          <w:rFonts w:hint="eastAsia" w:ascii="Times New Roman" w:hAnsi="Times New Roman" w:eastAsia="仿宋_GB2312" w:cs="仿宋_GB2312"/>
          <w:kern w:val="0"/>
          <w:sz w:val="32"/>
          <w:szCs w:val="32"/>
          <w:lang w:val="zh-CN" w:eastAsia="zh-CN" w:bidi="ar"/>
        </w:rPr>
        <w:t>按照绩效评价指标体系，资金支出使用全过程</w:t>
      </w:r>
      <w:r>
        <w:rPr>
          <w:rFonts w:hint="eastAsia" w:eastAsia="仿宋_GB2312" w:cs="仿宋_GB2312"/>
          <w:kern w:val="0"/>
          <w:sz w:val="32"/>
          <w:szCs w:val="32"/>
          <w:lang w:val="zh-CN" w:eastAsia="zh-CN" w:bidi="ar"/>
        </w:rPr>
        <w:t>均紧扣项目实施进度进行资金结算支付，并严格按照专款专用的原则进行，不存在挪用、截留等违反财经纪律现象。</w:t>
      </w:r>
    </w:p>
    <w:p w14:paraId="7AA01956">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（三）评价选点。</w:t>
      </w:r>
      <w:r>
        <w:rPr>
          <w:rFonts w:hint="eastAsia" w:ascii="Times New Roman" w:hAnsi="Times New Roman" w:eastAsia="仿宋_GB2312" w:cs="仿宋_GB2312"/>
          <w:kern w:val="0"/>
          <w:sz w:val="32"/>
          <w:szCs w:val="32"/>
          <w:lang w:val="zh-CN" w:eastAsia="zh-CN" w:bidi="ar"/>
        </w:rPr>
        <w:t>项目绩效自评</w:t>
      </w:r>
      <w:r>
        <w:rPr>
          <w:rFonts w:hint="eastAsia" w:eastAsia="仿宋_GB2312" w:cs="仿宋_GB2312"/>
          <w:kern w:val="0"/>
          <w:sz w:val="32"/>
          <w:szCs w:val="32"/>
          <w:lang w:val="zh-CN" w:eastAsia="zh-CN" w:bidi="ar"/>
        </w:rPr>
        <w:t>主要通过资金使用进度及适用范围进行了</w:t>
      </w:r>
      <w:r>
        <w:rPr>
          <w:rFonts w:hint="eastAsia" w:ascii="Times New Roman" w:hAnsi="Times New Roman" w:eastAsia="仿宋_GB2312" w:cs="仿宋_GB2312"/>
          <w:kern w:val="0"/>
          <w:sz w:val="32"/>
          <w:szCs w:val="32"/>
          <w:lang w:val="zh-CN" w:eastAsia="zh-CN" w:bidi="ar"/>
        </w:rPr>
        <w:t>抽样</w:t>
      </w:r>
      <w:r>
        <w:rPr>
          <w:rFonts w:hint="eastAsia" w:eastAsia="仿宋_GB2312" w:cs="仿宋_GB2312"/>
          <w:kern w:val="0"/>
          <w:sz w:val="32"/>
          <w:szCs w:val="32"/>
          <w:lang w:val="zh-CN" w:eastAsia="zh-CN" w:bidi="ar"/>
        </w:rPr>
        <w:t>，发现均不存在违规违纪现象，较好保障了项目实施</w:t>
      </w:r>
      <w:r>
        <w:rPr>
          <w:rFonts w:hint="eastAsia" w:ascii="Times New Roman" w:hAnsi="Times New Roman" w:eastAsia="仿宋_GB2312" w:cs="仿宋_GB2312"/>
          <w:kern w:val="0"/>
          <w:sz w:val="32"/>
          <w:szCs w:val="32"/>
          <w:lang w:val="zh-CN" w:eastAsia="zh-CN" w:bidi="ar"/>
        </w:rPr>
        <w:t>。</w:t>
      </w:r>
    </w:p>
    <w:p w14:paraId="106645DC">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（四）评价方法。</w:t>
      </w:r>
      <w:r>
        <w:rPr>
          <w:rFonts w:hint="eastAsia" w:ascii="Times New Roman" w:hAnsi="Times New Roman" w:eastAsia="仿宋_GB2312" w:cs="仿宋_GB2312"/>
          <w:kern w:val="0"/>
          <w:sz w:val="32"/>
          <w:szCs w:val="32"/>
          <w:lang w:val="zh-CN" w:eastAsia="zh-CN" w:bidi="ar"/>
        </w:rPr>
        <w:t>根据项目情况和评价重点，</w:t>
      </w:r>
      <w:r>
        <w:rPr>
          <w:rFonts w:hint="eastAsia" w:eastAsia="仿宋_GB2312" w:cs="仿宋_GB2312"/>
          <w:kern w:val="0"/>
          <w:sz w:val="32"/>
          <w:szCs w:val="32"/>
          <w:lang w:val="zh-CN" w:eastAsia="zh-CN" w:bidi="ar"/>
        </w:rPr>
        <w:t>主要采取座谈调研与现场案卷资料研究，并对项目实施产等的社会效益进行评估</w:t>
      </w:r>
      <w:r>
        <w:rPr>
          <w:rFonts w:hint="eastAsia" w:ascii="Times New Roman" w:hAnsi="Times New Roman" w:eastAsia="仿宋_GB2312" w:cs="仿宋_GB2312"/>
          <w:kern w:val="0"/>
          <w:sz w:val="32"/>
          <w:szCs w:val="32"/>
          <w:lang w:val="zh-CN" w:eastAsia="zh-CN" w:bidi="ar"/>
        </w:rPr>
        <w:t>。</w:t>
      </w:r>
    </w:p>
    <w:p w14:paraId="48A3CD7F">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kern w:val="0"/>
          <w:sz w:val="32"/>
          <w:szCs w:val="32"/>
          <w:lang w:val="en-US" w:eastAsia="zh-CN" w:bidi="ar"/>
        </w:rPr>
      </w:pPr>
      <w:r>
        <w:rPr>
          <w:rFonts w:hint="eastAsia" w:ascii="Times New Roman" w:hAnsi="Times New Roman" w:eastAsia="楷体_GB2312" w:cs="楷体_GB2312"/>
          <w:kern w:val="2"/>
          <w:sz w:val="32"/>
          <w:szCs w:val="32"/>
          <w:lang w:val="zh-CN" w:eastAsia="zh-CN" w:bidi="ar"/>
        </w:rPr>
        <w:t>（五）评价组织。</w:t>
      </w:r>
      <w:r>
        <w:rPr>
          <w:rFonts w:hint="eastAsia" w:ascii="Times New Roman" w:hAnsi="Times New Roman" w:eastAsia="仿宋_GB2312" w:cs="仿宋_GB2312"/>
          <w:kern w:val="0"/>
          <w:sz w:val="32"/>
          <w:szCs w:val="32"/>
          <w:lang w:val="zh-CN" w:eastAsia="zh-CN" w:bidi="ar"/>
        </w:rPr>
        <w:t>为提高财政资金使用效益，区审计局成立了局长为组长、班子成员为副组长，各股室负责人为成员的绩效评价小组。分别对项目实施绩效进行评价。</w:t>
      </w:r>
    </w:p>
    <w:p w14:paraId="56C0974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cs="Times New Roman"/>
          <w:szCs w:val="32"/>
          <w:lang w:val="zh-CN" w:eastAsia="zh-CN"/>
        </w:rPr>
      </w:pPr>
      <w:bookmarkStart w:id="140" w:name="_Toc19719"/>
      <w:r>
        <w:rPr>
          <w:rFonts w:hint="eastAsia" w:ascii="Times New Roman" w:hAnsi="Times New Roman" w:eastAsia="黑体" w:cs="黑体"/>
          <w:kern w:val="2"/>
          <w:sz w:val="32"/>
          <w:szCs w:val="32"/>
          <w:lang w:val="en-US" w:eastAsia="zh-CN" w:bidi="ar"/>
        </w:rPr>
        <w:t>三、绩效分析</w:t>
      </w:r>
      <w:bookmarkEnd w:id="140"/>
      <w:r>
        <w:rPr>
          <w:rFonts w:hint="default" w:ascii="Times New Roman" w:hAnsi="Times New Roman" w:eastAsia="仿宋_GB2312" w:cs="Times New Roman"/>
          <w:kern w:val="2"/>
          <w:sz w:val="32"/>
          <w:szCs w:val="32"/>
          <w:lang w:val="zh-CN" w:eastAsia="zh-CN" w:bidi="ar"/>
        </w:rPr>
        <w:tab/>
      </w:r>
    </w:p>
    <w:p w14:paraId="24345C74">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cs="Times New Roman"/>
          <w:kern w:val="0"/>
          <w:szCs w:val="32"/>
          <w:lang w:val="en-US"/>
        </w:rPr>
      </w:pPr>
      <w:r>
        <w:rPr>
          <w:rFonts w:hint="eastAsia" w:ascii="Times New Roman" w:hAnsi="Times New Roman" w:eastAsia="仿宋_GB2312" w:cs="仿宋_GB2312"/>
          <w:kern w:val="0"/>
          <w:sz w:val="32"/>
          <w:szCs w:val="32"/>
          <w:lang w:val="zh-CN" w:eastAsia="zh-CN" w:bidi="ar"/>
        </w:rPr>
        <w:t>根据项目预算绩效评价指标体系</w:t>
      </w:r>
      <w:r>
        <w:rPr>
          <w:rFonts w:hint="default" w:ascii="Times New Roman" w:hAnsi="Times New Roman" w:eastAsia="仿宋_GB2312" w:cs="Times New Roman"/>
          <w:kern w:val="0"/>
          <w:sz w:val="32"/>
          <w:szCs w:val="32"/>
          <w:lang w:val="zh-CN" w:eastAsia="zh-CN" w:bidi="ar"/>
        </w:rPr>
        <w:t>“</w:t>
      </w:r>
      <w:r>
        <w:rPr>
          <w:rFonts w:hint="eastAsia" w:ascii="Times New Roman" w:hAnsi="Times New Roman" w:eastAsia="仿宋_GB2312" w:cs="仿宋_GB2312"/>
          <w:kern w:val="0"/>
          <w:sz w:val="32"/>
          <w:szCs w:val="32"/>
          <w:lang w:val="zh-CN" w:eastAsia="zh-CN" w:bidi="ar"/>
        </w:rPr>
        <w:t>通用指标</w:t>
      </w:r>
      <w:r>
        <w:rPr>
          <w:rFonts w:hint="default" w:ascii="Times New Roman" w:hAnsi="Times New Roman" w:eastAsia="仿宋_GB2312" w:cs="Times New Roman"/>
          <w:kern w:val="0"/>
          <w:sz w:val="32"/>
          <w:szCs w:val="32"/>
          <w:lang w:val="zh-CN" w:eastAsia="zh-CN" w:bidi="ar"/>
        </w:rPr>
        <w:t>”“</w:t>
      </w:r>
      <w:r>
        <w:rPr>
          <w:rFonts w:hint="eastAsia" w:ascii="Times New Roman" w:hAnsi="Times New Roman" w:eastAsia="仿宋_GB2312" w:cs="仿宋_GB2312"/>
          <w:kern w:val="0"/>
          <w:sz w:val="32"/>
          <w:szCs w:val="32"/>
          <w:lang w:val="zh-CN" w:eastAsia="zh-CN" w:bidi="ar"/>
        </w:rPr>
        <w:t>专用指标</w:t>
      </w:r>
      <w:r>
        <w:rPr>
          <w:rFonts w:hint="default" w:ascii="Times New Roman" w:hAnsi="Times New Roman" w:eastAsia="仿宋_GB2312" w:cs="Times New Roman"/>
          <w:kern w:val="0"/>
          <w:sz w:val="32"/>
          <w:szCs w:val="32"/>
          <w:lang w:val="zh-CN" w:eastAsia="zh-CN" w:bidi="ar"/>
        </w:rPr>
        <w:t>”“</w:t>
      </w:r>
      <w:r>
        <w:rPr>
          <w:rFonts w:hint="eastAsia" w:ascii="Times New Roman" w:hAnsi="Times New Roman" w:eastAsia="仿宋_GB2312" w:cs="仿宋_GB2312"/>
          <w:kern w:val="0"/>
          <w:sz w:val="32"/>
          <w:szCs w:val="32"/>
          <w:lang w:val="zh-CN" w:eastAsia="zh-CN" w:bidi="ar"/>
        </w:rPr>
        <w:t>个性指标</w:t>
      </w:r>
      <w:r>
        <w:rPr>
          <w:rFonts w:hint="default" w:ascii="Times New Roman" w:hAnsi="Times New Roman" w:eastAsia="仿宋_GB2312" w:cs="Times New Roman"/>
          <w:kern w:val="0"/>
          <w:sz w:val="32"/>
          <w:szCs w:val="32"/>
          <w:lang w:val="zh-CN" w:eastAsia="zh-CN" w:bidi="ar"/>
        </w:rPr>
        <w:t>”</w:t>
      </w:r>
      <w:r>
        <w:rPr>
          <w:rFonts w:hint="eastAsia" w:ascii="Times New Roman" w:hAnsi="Times New Roman" w:eastAsia="仿宋_GB2312" w:cs="仿宋_GB2312"/>
          <w:kern w:val="0"/>
          <w:sz w:val="32"/>
          <w:szCs w:val="32"/>
          <w:lang w:val="zh-CN" w:eastAsia="zh-CN" w:bidi="ar"/>
        </w:rPr>
        <w:t>涉及二、三级指标进行逐项绩效分析并评分</w:t>
      </w:r>
      <w:r>
        <w:rPr>
          <w:rFonts w:hint="eastAsia" w:eastAsia="仿宋_GB2312" w:cs="仿宋_GB2312"/>
          <w:kern w:val="0"/>
          <w:sz w:val="32"/>
          <w:szCs w:val="32"/>
          <w:lang w:val="zh-CN" w:eastAsia="zh-CN" w:bidi="ar"/>
        </w:rPr>
        <w:t>如下</w:t>
      </w:r>
      <w:r>
        <w:rPr>
          <w:rFonts w:hint="eastAsia" w:ascii="Times New Roman" w:hAnsi="Times New Roman" w:eastAsia="仿宋_GB2312" w:cs="仿宋_GB2312"/>
          <w:kern w:val="0"/>
          <w:sz w:val="32"/>
          <w:szCs w:val="32"/>
          <w:lang w:val="en-US" w:eastAsia="zh-CN" w:bidi="ar"/>
        </w:rPr>
        <w:t>。</w:t>
      </w:r>
    </w:p>
    <w:p w14:paraId="086A8414">
      <w:pPr>
        <w:keepNext w:val="0"/>
        <w:keepLines w:val="0"/>
        <w:widowControl w:val="0"/>
        <w:suppressLineNumbers w:val="0"/>
        <w:spacing w:before="0" w:beforeAutospacing="0" w:after="0" w:afterAutospacing="0" w:line="560" w:lineRule="exact"/>
        <w:ind w:left="0" w:right="0" w:firstLine="640" w:firstLineChars="200"/>
        <w:jc w:val="both"/>
        <w:outlineLvl w:val="2"/>
        <w:rPr>
          <w:rFonts w:hint="default" w:ascii="Times New Roman" w:hAnsi="Times New Roman" w:eastAsia="楷体_GB2312" w:cs="Times New Roman"/>
          <w:szCs w:val="32"/>
          <w:lang w:val="en-US"/>
        </w:rPr>
      </w:pPr>
      <w:r>
        <w:rPr>
          <w:rFonts w:hint="eastAsia" w:ascii="Times New Roman" w:hAnsi="Times New Roman" w:eastAsia="楷体_GB2312" w:cs="楷体_GB2312"/>
          <w:kern w:val="2"/>
          <w:sz w:val="32"/>
          <w:szCs w:val="32"/>
          <w:lang w:val="zh-CN" w:eastAsia="zh-CN" w:bidi="ar"/>
        </w:rPr>
        <w:t>（一）</w:t>
      </w:r>
      <w:r>
        <w:rPr>
          <w:rFonts w:hint="eastAsia" w:ascii="Times New Roman" w:hAnsi="Times New Roman" w:eastAsia="楷体_GB2312" w:cs="楷体_GB2312"/>
          <w:kern w:val="2"/>
          <w:sz w:val="32"/>
          <w:szCs w:val="32"/>
          <w:lang w:val="en-US" w:eastAsia="zh-CN" w:bidi="ar"/>
        </w:rPr>
        <w:t>通用指标</w:t>
      </w:r>
      <w:r>
        <w:rPr>
          <w:rFonts w:hint="eastAsia" w:ascii="Times New Roman" w:hAnsi="Times New Roman" w:eastAsia="楷体_GB2312" w:cs="楷体_GB2312"/>
          <w:kern w:val="2"/>
          <w:sz w:val="32"/>
          <w:szCs w:val="32"/>
          <w:lang w:val="zh-CN" w:eastAsia="zh-CN" w:bidi="ar"/>
        </w:rPr>
        <w:t>绩效分析。</w:t>
      </w:r>
    </w:p>
    <w:p w14:paraId="44B0E3B6">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cs="Times New Roman"/>
          <w:kern w:val="0"/>
          <w:szCs w:val="32"/>
          <w:lang w:val="zh-CN" w:eastAsia="zh-CN"/>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项目决策。</w:t>
      </w:r>
      <w:r>
        <w:rPr>
          <w:rFonts w:hint="eastAsia" w:eastAsia="仿宋_GB2312" w:cs="仿宋_GB2312"/>
          <w:kern w:val="2"/>
          <w:sz w:val="32"/>
          <w:szCs w:val="32"/>
          <w:lang w:val="en-US" w:eastAsia="zh-CN" w:bidi="ar"/>
        </w:rPr>
        <w:t>该项目实施是根据《中华人民共和国审计法》第十一条：“审计机关履行职责所必须的经费，应当列入预算予以保证”之规定纳入预算，同时结合近三年审计工作业务量，对项目实施的必要性进行充分分析论证确定</w:t>
      </w:r>
      <w:r>
        <w:rPr>
          <w:rFonts w:hint="eastAsia" w:eastAsia="仿宋_GB2312" w:cs="仿宋_GB2312"/>
          <w:kern w:val="0"/>
          <w:sz w:val="32"/>
          <w:szCs w:val="32"/>
          <w:lang w:val="zh-CN" w:eastAsia="zh-CN" w:bidi="ar"/>
        </w:rPr>
        <w:t>，</w:t>
      </w:r>
      <w:r>
        <w:rPr>
          <w:rFonts w:hint="eastAsia" w:eastAsia="仿宋_GB2312" w:cs="仿宋_GB2312"/>
          <w:kern w:val="2"/>
          <w:sz w:val="32"/>
          <w:szCs w:val="32"/>
          <w:lang w:val="en-US" w:eastAsia="zh-CN" w:bidi="ar"/>
        </w:rPr>
        <w:t>对项目资金分配、兑付等均经党组会研究。</w:t>
      </w:r>
    </w:p>
    <w:p w14:paraId="303BD0BC">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cs="Times New Roman"/>
          <w:kern w:val="0"/>
          <w:szCs w:val="32"/>
          <w:lang w:val="zh-CN" w:eastAsia="zh-CN"/>
        </w:rPr>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项目管理。</w:t>
      </w:r>
      <w:r>
        <w:rPr>
          <w:rFonts w:hint="eastAsia" w:eastAsia="仿宋_GB2312" w:cs="仿宋_GB2312"/>
          <w:kern w:val="2"/>
          <w:sz w:val="32"/>
          <w:szCs w:val="32"/>
          <w:lang w:val="en-US" w:eastAsia="zh-CN" w:bidi="ar"/>
        </w:rPr>
        <w:t>安居区审计局根据《遂宁市安居区审计局内部管理制度》相关规定依据“三重一大”事项集体决策制度、机关财务等制度对项目立项、实施进行全盘跟踪，并充分听取项目实施业务股室意见，结合项目实施进度，采纳业务股室审批意见进行费用拨付，同时，听取业务股室对项目实施</w:t>
      </w:r>
      <w:r>
        <w:rPr>
          <w:rFonts w:hint="eastAsia" w:ascii="Times New Roman" w:hAnsi="Times New Roman" w:eastAsia="仿宋_GB2312" w:cs="仿宋_GB2312"/>
          <w:kern w:val="0"/>
          <w:sz w:val="32"/>
          <w:szCs w:val="32"/>
          <w:lang w:val="zh-CN" w:eastAsia="zh-CN" w:bidi="ar"/>
        </w:rPr>
        <w:t>绩效分析</w:t>
      </w:r>
      <w:r>
        <w:rPr>
          <w:rFonts w:hint="eastAsia" w:eastAsia="仿宋_GB2312" w:cs="仿宋_GB2312"/>
          <w:kern w:val="0"/>
          <w:sz w:val="32"/>
          <w:szCs w:val="32"/>
          <w:lang w:val="zh-CN" w:eastAsia="zh-CN" w:bidi="ar"/>
        </w:rPr>
        <w:t>意见</w:t>
      </w:r>
      <w:r>
        <w:rPr>
          <w:rFonts w:hint="eastAsia" w:ascii="Times New Roman" w:hAnsi="Times New Roman" w:eastAsia="仿宋_GB2312" w:cs="仿宋_GB2312"/>
          <w:kern w:val="0"/>
          <w:sz w:val="32"/>
          <w:szCs w:val="32"/>
          <w:lang w:val="zh-CN" w:eastAsia="zh-CN" w:bidi="ar"/>
        </w:rPr>
        <w:t>。</w:t>
      </w:r>
    </w:p>
    <w:p w14:paraId="258DC5A9">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项目实施。</w:t>
      </w:r>
      <w:r>
        <w:rPr>
          <w:rFonts w:hint="eastAsia" w:eastAsia="仿宋_GB2312" w:cs="仿宋_GB2312"/>
          <w:kern w:val="2"/>
          <w:sz w:val="32"/>
          <w:szCs w:val="32"/>
          <w:lang w:val="en-US" w:eastAsia="zh-CN" w:bidi="ar"/>
        </w:rPr>
        <w:t>安居区审计局坚持预算导向、总量控制，根据项目实施进度进行核算支付，较好保障了项目实施有序开展，基本到达预期效果</w:t>
      </w:r>
      <w:r>
        <w:rPr>
          <w:rFonts w:hint="eastAsia" w:ascii="Times New Roman" w:hAnsi="Times New Roman" w:eastAsia="仿宋_GB2312" w:cs="仿宋_GB2312"/>
          <w:kern w:val="0"/>
          <w:sz w:val="32"/>
          <w:szCs w:val="32"/>
          <w:lang w:val="zh-CN" w:eastAsia="zh-CN" w:bidi="ar"/>
        </w:rPr>
        <w:t>。</w:t>
      </w:r>
    </w:p>
    <w:p w14:paraId="5CA3846A">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项目结果。</w:t>
      </w:r>
      <w:r>
        <w:rPr>
          <w:rFonts w:hint="eastAsia" w:eastAsia="仿宋_GB2312" w:cs="仿宋_GB2312"/>
          <w:kern w:val="2"/>
          <w:sz w:val="32"/>
          <w:szCs w:val="32"/>
          <w:lang w:val="en-US" w:eastAsia="zh-CN" w:bidi="ar"/>
        </w:rPr>
        <w:t>该预算项目资金预算收入与实际支出相符合，执行率达到100%，全力保障了项目实施，实现了年初预算绩效目标</w:t>
      </w:r>
      <w:r>
        <w:rPr>
          <w:rFonts w:hint="eastAsia" w:ascii="Times New Roman" w:hAnsi="Times New Roman" w:eastAsia="仿宋_GB2312" w:cs="仿宋_GB2312"/>
          <w:kern w:val="0"/>
          <w:sz w:val="32"/>
          <w:szCs w:val="32"/>
          <w:lang w:val="zh-CN" w:eastAsia="zh-CN" w:bidi="ar"/>
        </w:rPr>
        <w:t>。</w:t>
      </w:r>
    </w:p>
    <w:p w14:paraId="1DAABD1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（二）</w:t>
      </w:r>
      <w:r>
        <w:rPr>
          <w:rFonts w:hint="eastAsia" w:ascii="Times New Roman" w:hAnsi="Times New Roman" w:eastAsia="楷体_GB2312" w:cs="楷体_GB2312"/>
          <w:kern w:val="2"/>
          <w:sz w:val="32"/>
          <w:szCs w:val="32"/>
          <w:lang w:val="en-US" w:eastAsia="zh-CN" w:bidi="ar"/>
        </w:rPr>
        <w:t>专用指标</w:t>
      </w:r>
      <w:r>
        <w:rPr>
          <w:rFonts w:hint="eastAsia" w:ascii="Times New Roman" w:hAnsi="Times New Roman" w:eastAsia="楷体_GB2312" w:cs="楷体_GB2312"/>
          <w:kern w:val="2"/>
          <w:sz w:val="32"/>
          <w:szCs w:val="32"/>
          <w:lang w:val="zh-CN" w:eastAsia="zh-CN" w:bidi="ar"/>
        </w:rPr>
        <w:t>绩效分析。</w:t>
      </w:r>
      <w:r>
        <w:rPr>
          <w:rFonts w:hint="eastAsia" w:ascii="Times New Roman" w:hAnsi="Times New Roman" w:eastAsia="仿宋_GB2312" w:cs="仿宋_GB2312"/>
          <w:kern w:val="0"/>
          <w:sz w:val="32"/>
          <w:szCs w:val="32"/>
          <w:lang w:val="zh-CN" w:eastAsia="zh-CN" w:bidi="ar"/>
        </w:rPr>
        <w:t>根据</w:t>
      </w:r>
      <w:r>
        <w:rPr>
          <w:rFonts w:hint="eastAsia" w:ascii="Times New Roman" w:hAnsi="Times New Roman" w:eastAsia="仿宋_GB2312" w:cs="仿宋_GB2312"/>
          <w:kern w:val="0"/>
          <w:sz w:val="32"/>
          <w:szCs w:val="32"/>
          <w:lang w:val="en-US" w:eastAsia="zh-CN" w:bidi="ar"/>
        </w:rPr>
        <w:t>专项预算项目资金支持对象选择所属指标进行绩效分析。</w:t>
      </w:r>
      <w:r>
        <w:rPr>
          <w:rFonts w:hint="eastAsia" w:eastAsia="仿宋_GB2312" w:cs="仿宋_GB2312"/>
          <w:kern w:val="0"/>
          <w:sz w:val="32"/>
          <w:szCs w:val="32"/>
          <w:lang w:val="en-US" w:eastAsia="zh-CN" w:bidi="ar"/>
        </w:rPr>
        <w:t>该项目实施着力规范全区政府投资项目建设，提升政府资金效益，加快项目建设进度，保障项目建设质量，提升项目建设管理水平</w:t>
      </w:r>
      <w:r>
        <w:rPr>
          <w:rFonts w:hint="eastAsia" w:ascii="Times New Roman" w:hAnsi="Times New Roman" w:eastAsia="仿宋_GB2312" w:cs="仿宋_GB2312"/>
          <w:kern w:val="0"/>
          <w:sz w:val="32"/>
          <w:szCs w:val="32"/>
          <w:lang w:val="zh-CN" w:eastAsia="zh-CN" w:bidi="ar"/>
        </w:rPr>
        <w:t>。</w:t>
      </w:r>
    </w:p>
    <w:p w14:paraId="5D1092A8">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en-US"/>
        </w:rPr>
      </w:pPr>
      <w:r>
        <w:rPr>
          <w:rFonts w:hint="eastAsia" w:eastAsia="仿宋_GB2312" w:cs="仿宋_GB2312"/>
          <w:kern w:val="2"/>
          <w:sz w:val="32"/>
          <w:szCs w:val="32"/>
          <w:lang w:val="zh-CN" w:eastAsia="zh-CN" w:bidi="ar"/>
        </w:rPr>
        <w:t>在项目实施过程中，推动社会审计力量、政府力量、群众力量融合，全力保障全区教育、水利建设项目和交通、城市管网等基础设施等重大</w:t>
      </w:r>
      <w:r>
        <w:rPr>
          <w:rFonts w:hint="eastAsia" w:ascii="Times New Roman" w:hAnsi="Times New Roman" w:eastAsia="仿宋_GB2312" w:cs="仿宋_GB2312"/>
          <w:kern w:val="2"/>
          <w:sz w:val="32"/>
          <w:szCs w:val="32"/>
          <w:lang w:val="zh-CN" w:eastAsia="zh-CN" w:bidi="ar"/>
        </w:rPr>
        <w:t>民生</w:t>
      </w:r>
      <w:r>
        <w:rPr>
          <w:rFonts w:hint="eastAsia" w:eastAsia="仿宋_GB2312" w:cs="仿宋_GB2312"/>
          <w:kern w:val="2"/>
          <w:sz w:val="32"/>
          <w:szCs w:val="32"/>
          <w:lang w:val="zh-CN" w:eastAsia="zh-CN" w:bidi="ar"/>
        </w:rPr>
        <w:t>工程建设</w:t>
      </w:r>
      <w:r>
        <w:rPr>
          <w:rFonts w:hint="eastAsia" w:ascii="Times New Roman" w:hAnsi="Times New Roman" w:eastAsia="仿宋_GB2312" w:cs="仿宋_GB2312"/>
          <w:kern w:val="2"/>
          <w:sz w:val="32"/>
          <w:szCs w:val="32"/>
          <w:lang w:val="zh-CN" w:eastAsia="zh-CN" w:bidi="ar"/>
        </w:rPr>
        <w:t>。</w:t>
      </w:r>
      <w:r>
        <w:rPr>
          <w:rFonts w:hint="eastAsia" w:eastAsia="仿宋_GB2312" w:cs="仿宋_GB2312"/>
          <w:kern w:val="2"/>
          <w:sz w:val="32"/>
          <w:szCs w:val="32"/>
          <w:lang w:val="zh-CN" w:eastAsia="zh-CN" w:bidi="ar"/>
        </w:rPr>
        <w:t>提高群众幸福感、获得感，提升全区人民幸福指数。</w:t>
      </w:r>
    </w:p>
    <w:p w14:paraId="4FF9E57A">
      <w:pPr>
        <w:pStyle w:val="18"/>
        <w:keepNext w:val="0"/>
        <w:keepLines w:val="0"/>
        <w:widowControl w:val="0"/>
        <w:suppressLineNumbers w:val="0"/>
        <w:tabs>
          <w:tab w:val="left" w:pos="2160"/>
        </w:tabs>
        <w:spacing w:before="173" w:beforeLines="30" w:beforeAutospacing="0" w:after="0" w:afterAutospacing="0" w:line="560" w:lineRule="exact"/>
        <w:ind w:left="0" w:right="0" w:firstLine="640" w:firstLineChars="200"/>
        <w:jc w:val="both"/>
        <w:outlineLvl w:val="1"/>
        <w:rPr>
          <w:rFonts w:hint="default" w:ascii="Times New Roman" w:hAnsi="Times New Roman" w:eastAsia="黑体" w:cs="Times New Roman"/>
          <w:sz w:val="32"/>
          <w:szCs w:val="32"/>
          <w:lang w:val="en-US"/>
        </w:rPr>
      </w:pPr>
      <w:bookmarkStart w:id="141" w:name="_Toc14143"/>
      <w:r>
        <w:rPr>
          <w:rFonts w:hint="eastAsia" w:ascii="Times New Roman" w:hAnsi="Times New Roman" w:eastAsia="黑体" w:cs="黑体"/>
          <w:kern w:val="2"/>
          <w:sz w:val="32"/>
          <w:szCs w:val="32"/>
          <w:lang w:val="en-US" w:eastAsia="zh-CN" w:bidi="ar"/>
        </w:rPr>
        <w:t>四、评价结论</w:t>
      </w:r>
      <w:bookmarkEnd w:id="141"/>
    </w:p>
    <w:p w14:paraId="04470736">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auto"/>
          <w:lang w:val="zh-CN"/>
        </w:rPr>
      </w:pPr>
      <w:bookmarkStart w:id="142" w:name="_Toc10752"/>
      <w:r>
        <w:rPr>
          <w:rFonts w:hint="eastAsia" w:ascii="仿宋_GB2312" w:hAnsi="仿宋_GB2312" w:eastAsia="仿宋_GB2312" w:cs="仿宋_GB2312"/>
          <w:color w:val="auto"/>
          <w:kern w:val="0"/>
          <w:sz w:val="32"/>
          <w:szCs w:val="32"/>
          <w:highlight w:val="none"/>
          <w:u w:val="none"/>
          <w:shd w:val="clear" w:color="auto" w:fill="auto"/>
          <w:lang w:val="zh-CN"/>
        </w:rPr>
        <w:t>因项目均是完工验收后再进行审计，故而项目决策的资金分配完全按照实际完成审计数量支付，真实可靠，项目绩效总体效果较好。</w:t>
      </w:r>
    </w:p>
    <w:p w14:paraId="72EF6997">
      <w:pPr>
        <w:pStyle w:val="18"/>
        <w:keepNext w:val="0"/>
        <w:keepLines w:val="0"/>
        <w:widowControl w:val="0"/>
        <w:suppressLineNumbers w:val="0"/>
        <w:tabs>
          <w:tab w:val="left" w:pos="2160"/>
        </w:tabs>
        <w:spacing w:before="0" w:beforeLines="30" w:beforeAutospacing="0" w:after="0" w:afterAutospacing="0" w:line="560" w:lineRule="exact"/>
        <w:ind w:left="0" w:right="0" w:firstLine="640" w:firstLineChars="200"/>
        <w:jc w:val="both"/>
        <w:outlineLvl w:val="1"/>
        <w:rPr>
          <w:rFonts w:hint="default" w:ascii="Times New Roman" w:hAnsi="Times New Roman" w:eastAsia="黑体" w:cs="Times New Roman"/>
          <w:sz w:val="32"/>
          <w:szCs w:val="32"/>
          <w:lang w:val="en-US"/>
        </w:rPr>
      </w:pPr>
      <w:r>
        <w:rPr>
          <w:rFonts w:hint="eastAsia" w:ascii="Times New Roman" w:hAnsi="Times New Roman" w:eastAsia="黑体" w:cs="黑体"/>
          <w:kern w:val="2"/>
          <w:sz w:val="32"/>
          <w:szCs w:val="32"/>
          <w:lang w:val="en-US" w:eastAsia="zh-CN" w:bidi="ar"/>
        </w:rPr>
        <w:t>五、存在主要问题</w:t>
      </w:r>
      <w:bookmarkEnd w:id="142"/>
    </w:p>
    <w:p w14:paraId="6837CDF6">
      <w:pPr>
        <w:pStyle w:val="18"/>
        <w:keepNext w:val="0"/>
        <w:keepLines w:val="0"/>
        <w:widowControl w:val="0"/>
        <w:suppressLineNumbers w:val="0"/>
        <w:tabs>
          <w:tab w:val="left" w:pos="2160"/>
        </w:tabs>
        <w:spacing w:before="0" w:beforeLines="30" w:beforeAutospacing="0" w:after="0" w:afterAutospacing="0" w:line="560" w:lineRule="exact"/>
        <w:ind w:left="0" w:right="0" w:firstLine="640" w:firstLineChars="200"/>
        <w:jc w:val="both"/>
        <w:rPr>
          <w:rFonts w:hint="default" w:ascii="Times New Roman" w:hAnsi="Times New Roman" w:cs="Times New Roman"/>
          <w:sz w:val="32"/>
          <w:szCs w:val="32"/>
          <w:lang w:val="en-US"/>
        </w:rPr>
      </w:pPr>
      <w:r>
        <w:rPr>
          <w:rFonts w:hint="eastAsia" w:eastAsia="仿宋_GB2312" w:cs="Times New Roman"/>
          <w:kern w:val="0"/>
          <w:sz w:val="32"/>
          <w:szCs w:val="32"/>
          <w:lang w:val="en-US" w:eastAsia="zh-CN" w:bidi="ar"/>
        </w:rPr>
        <w:t>通过</w:t>
      </w:r>
      <w:r>
        <w:rPr>
          <w:rFonts w:hint="eastAsia" w:ascii="Times New Roman" w:hAnsi="Times New Roman" w:eastAsia="仿宋_GB2312" w:cs="Times New Roman"/>
          <w:kern w:val="0"/>
          <w:sz w:val="32"/>
          <w:szCs w:val="32"/>
          <w:lang w:val="en-US" w:eastAsia="zh-CN" w:bidi="ar"/>
        </w:rPr>
        <w:t>项目绩效自评发现</w:t>
      </w:r>
      <w:r>
        <w:rPr>
          <w:rFonts w:hint="eastAsia" w:eastAsia="仿宋_GB2312" w:cs="Times New Roman"/>
          <w:kern w:val="0"/>
          <w:sz w:val="32"/>
          <w:szCs w:val="32"/>
          <w:lang w:val="en-US" w:eastAsia="zh-CN" w:bidi="ar"/>
        </w:rPr>
        <w:t>在对项目预算资金量过度依赖以往年度数据，对中央和省、市等重大部署走向考量不足，容易导致预算项目工作与重大决策部署契合度不高，指标细化不够</w:t>
      </w:r>
      <w:r>
        <w:rPr>
          <w:rFonts w:hint="eastAsia" w:ascii="Times New Roman" w:hAnsi="Times New Roman" w:eastAsia="仿宋_GB2312" w:cs="Times New Roman"/>
          <w:kern w:val="0"/>
          <w:sz w:val="32"/>
          <w:szCs w:val="32"/>
          <w:lang w:val="en-US" w:eastAsia="zh-CN" w:bidi="ar"/>
        </w:rPr>
        <w:t>。</w:t>
      </w:r>
    </w:p>
    <w:p w14:paraId="3004AD9D">
      <w:pPr>
        <w:pStyle w:val="18"/>
        <w:keepNext w:val="0"/>
        <w:keepLines w:val="0"/>
        <w:widowControl w:val="0"/>
        <w:suppressLineNumbers w:val="0"/>
        <w:tabs>
          <w:tab w:val="left" w:pos="2160"/>
        </w:tabs>
        <w:spacing w:before="0" w:beforeLines="30" w:beforeAutospacing="0" w:after="0" w:afterAutospacing="0" w:line="560" w:lineRule="exact"/>
        <w:ind w:left="0" w:right="0" w:firstLine="640" w:firstLineChars="200"/>
        <w:jc w:val="both"/>
        <w:outlineLvl w:val="1"/>
        <w:rPr>
          <w:rFonts w:hint="default" w:ascii="Times New Roman" w:hAnsi="Times New Roman" w:eastAsia="黑体" w:cs="Times New Roman"/>
          <w:kern w:val="0"/>
          <w:position w:val="3"/>
          <w:sz w:val="32"/>
          <w:szCs w:val="32"/>
          <w:lang w:val="zh-CN" w:eastAsia="zh-CN"/>
        </w:rPr>
      </w:pPr>
      <w:bookmarkStart w:id="143" w:name="_Toc14580"/>
      <w:r>
        <w:rPr>
          <w:rFonts w:hint="eastAsia" w:ascii="Times New Roman" w:hAnsi="Times New Roman" w:eastAsia="黑体" w:cs="黑体"/>
          <w:kern w:val="0"/>
          <w:position w:val="3"/>
          <w:sz w:val="32"/>
          <w:szCs w:val="32"/>
          <w:lang w:val="zh-CN" w:eastAsia="zh-CN" w:bidi="ar"/>
        </w:rPr>
        <w:t>六、改进建议</w:t>
      </w:r>
      <w:bookmarkEnd w:id="143"/>
    </w:p>
    <w:p w14:paraId="3710707F">
      <w:pPr>
        <w:keepNext w:val="0"/>
        <w:keepLines w:val="0"/>
        <w:widowControl w:val="0"/>
        <w:suppressLineNumbers w:val="0"/>
        <w:tabs>
          <w:tab w:val="left" w:pos="1911"/>
        </w:tabs>
        <w:spacing w:before="0" w:beforeAutospacing="0" w:after="0" w:afterAutospacing="0" w:line="560" w:lineRule="exact"/>
        <w:ind w:left="0" w:right="0"/>
        <w:jc w:val="left"/>
        <w:rPr>
          <w:rFonts w:hint="default" w:ascii="Times New Roman" w:hAnsi="Times New Roman" w:cs="Times New Roman"/>
          <w:kern w:val="0"/>
          <w:szCs w:val="32"/>
          <w:lang w:val="en-US"/>
        </w:rPr>
      </w:pPr>
      <w:r>
        <w:rPr>
          <w:rFonts w:hint="default" w:ascii="Times New Roman" w:hAnsi="Times New Roman" w:eastAsia="仿宋_GB2312" w:cs="Times New Roman"/>
          <w:kern w:val="0"/>
          <w:sz w:val="32"/>
          <w:szCs w:val="32"/>
          <w:lang w:val="zh-CN" w:eastAsia="zh-CN" w:bidi="ar"/>
        </w:rPr>
        <w:t xml:space="preserve"> </w:t>
      </w:r>
      <w:r>
        <w:rPr>
          <w:rFonts w:hint="default" w:ascii="Times New Roman" w:hAnsi="Times New Roman" w:eastAsia="仿宋_GB2312" w:cs="Times New Roman"/>
          <w:kern w:val="0"/>
          <w:sz w:val="32"/>
          <w:szCs w:val="32"/>
          <w:lang w:val="en-US" w:eastAsia="zh-CN" w:bidi="ar"/>
        </w:rPr>
        <w:t xml:space="preserve"> </w:t>
      </w:r>
      <w:r>
        <w:rPr>
          <w:rFonts w:hint="eastAsia" w:eastAsia="仿宋_GB2312" w:cs="Times New Roman"/>
          <w:kern w:val="0"/>
          <w:sz w:val="32"/>
          <w:szCs w:val="32"/>
          <w:lang w:val="en-US" w:eastAsia="zh-CN" w:bidi="ar"/>
        </w:rPr>
        <w:t xml:space="preserve"> 建议</w:t>
      </w:r>
      <w:r>
        <w:rPr>
          <w:rFonts w:hint="eastAsia" w:ascii="仿宋_GB2312" w:hAnsi="仿宋_GB2312" w:eastAsia="仿宋_GB2312" w:cs="仿宋_GB2312"/>
          <w:color w:val="auto"/>
          <w:kern w:val="0"/>
          <w:sz w:val="32"/>
          <w:szCs w:val="32"/>
          <w:highlight w:val="none"/>
          <w:u w:val="none"/>
          <w:shd w:val="clear" w:color="auto" w:fill="auto"/>
          <w:lang w:val="zh-CN"/>
        </w:rPr>
        <w:t>加大政治理论学习，紧扣新时代对审计工作要求，强化项目绩效评价宣传力度，增强全局上下绩效管理意识，加大对项目实施股室联系，紧盯项目实施进度及资金使用范围，提高资金使用效益。</w:t>
      </w:r>
    </w:p>
    <w:p w14:paraId="4F5B3206">
      <w:pPr>
        <w:rPr>
          <w:rFonts w:hint="eastAsia" w:ascii="宋体" w:hAnsi="宋体" w:eastAsia="宋体" w:cs="宋体"/>
          <w:i w:val="0"/>
          <w:iCs w:val="0"/>
          <w:color w:val="000000"/>
          <w:sz w:val="18"/>
          <w:szCs w:val="18"/>
          <w:u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p>
    <w:p w14:paraId="0D318E26">
      <w:pPr>
        <w:rPr>
          <w:rFonts w:hint="eastAsia" w:ascii="宋体" w:hAnsi="宋体" w:eastAsia="宋体" w:cs="宋体"/>
          <w:i w:val="0"/>
          <w:iCs w:val="0"/>
          <w:color w:val="000000"/>
          <w:sz w:val="18"/>
          <w:szCs w:val="18"/>
          <w:u w:val="none"/>
        </w:rPr>
      </w:pPr>
    </w:p>
    <w:tbl>
      <w:tblPr>
        <w:tblStyle w:val="19"/>
        <w:tblW w:w="488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3"/>
        <w:gridCol w:w="1059"/>
        <w:gridCol w:w="869"/>
        <w:gridCol w:w="1198"/>
        <w:gridCol w:w="405"/>
        <w:gridCol w:w="798"/>
        <w:gridCol w:w="398"/>
        <w:gridCol w:w="868"/>
        <w:gridCol w:w="483"/>
        <w:gridCol w:w="483"/>
        <w:gridCol w:w="1194"/>
      </w:tblGrid>
      <w:tr w14:paraId="0B4AE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188AF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C751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25F07">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项目名称</w:t>
            </w:r>
          </w:p>
        </w:tc>
        <w:tc>
          <w:tcPr>
            <w:tcW w:w="401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3E1F7D">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51090423T000007812354-政府投资审计咨询费</w:t>
            </w:r>
          </w:p>
        </w:tc>
      </w:tr>
      <w:tr w14:paraId="7AB59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76F8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主管部门</w:t>
            </w:r>
          </w:p>
        </w:tc>
        <w:tc>
          <w:tcPr>
            <w:tcW w:w="22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8A9A3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遂宁市安居区审计局部门</w:t>
            </w:r>
          </w:p>
        </w:tc>
        <w:tc>
          <w:tcPr>
            <w:tcW w:w="519" w:type="pct"/>
            <w:tcBorders>
              <w:top w:val="nil"/>
              <w:left w:val="nil"/>
              <w:bottom w:val="nil"/>
              <w:right w:val="nil"/>
            </w:tcBorders>
            <w:shd w:val="clear" w:color="auto" w:fill="auto"/>
            <w:vAlign w:val="center"/>
          </w:tcPr>
          <w:p w14:paraId="546E53BD">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实施单位 （盖章）</w:t>
            </w:r>
          </w:p>
        </w:tc>
        <w:tc>
          <w:tcPr>
            <w:tcW w:w="12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A26C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遂宁市安居区审计局</w:t>
            </w:r>
          </w:p>
        </w:tc>
      </w:tr>
      <w:tr w14:paraId="03C3A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8E663">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项目基本情况</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82A94">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1.项目年度目标完成情况</w:t>
            </w:r>
          </w:p>
        </w:tc>
        <w:tc>
          <w:tcPr>
            <w:tcW w:w="22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BA309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项目年度目标</w:t>
            </w:r>
          </w:p>
        </w:tc>
        <w:tc>
          <w:tcPr>
            <w:tcW w:w="18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347E3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年度目标完成情况</w:t>
            </w:r>
          </w:p>
        </w:tc>
      </w:tr>
      <w:tr w14:paraId="0A13A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27452">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16"/>
                <w:szCs w:val="16"/>
                <w:u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4F447">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16"/>
                <w:szCs w:val="16"/>
                <w:u w:val="none"/>
              </w:rPr>
            </w:pPr>
          </w:p>
        </w:tc>
        <w:tc>
          <w:tcPr>
            <w:tcW w:w="22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B8C1D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2024年政府投资项目，固定资产投资跟踪审计项目；固定资产投资审计项目咨询费按照项目审减金额比例计算。</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 xml:space="preserve"> </w:t>
            </w:r>
          </w:p>
        </w:tc>
        <w:tc>
          <w:tcPr>
            <w:tcW w:w="18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4B6633">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严格执行相关政策，足额按时支付，预算编制科学合理，年末无结余资金。</w:t>
            </w:r>
          </w:p>
        </w:tc>
      </w:tr>
      <w:tr w14:paraId="31007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AA804">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16"/>
                <w:szCs w:val="16"/>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FE162">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2.项目实施内容及过程概述</w:t>
            </w:r>
          </w:p>
        </w:tc>
        <w:tc>
          <w:tcPr>
            <w:tcW w:w="401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1C8EC5">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严格执行相关政策，足额按时支付，预算编制科学合理，年末无结余资金。</w:t>
            </w:r>
          </w:p>
        </w:tc>
      </w:tr>
      <w:tr w14:paraId="1EFBD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5608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预算执行情况（10分）</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9CDA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年度预算数（万元）</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21E6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年初预算</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7305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调整后预算数</w:t>
            </w: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2DDB6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预算执行数</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0D92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预算执行率</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FF57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权重</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2EAE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得分</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2167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原因</w:t>
            </w:r>
          </w:p>
        </w:tc>
      </w:tr>
      <w:tr w14:paraId="3D1D8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F8C8A">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D585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总额</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43DA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53.45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0FBF9">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z w:val="16"/>
                <w:szCs w:val="16"/>
                <w:u w:val="none"/>
                <w:lang w:val="en-US"/>
              </w:rPr>
            </w:pPr>
            <w:r>
              <w:rPr>
                <w:rFonts w:hint="eastAsia" w:ascii="仿宋_GB2312" w:hAnsi="仿宋_GB2312" w:eastAsia="仿宋_GB2312" w:cs="仿宋_GB2312"/>
                <w:i w:val="0"/>
                <w:iCs w:val="0"/>
                <w:color w:val="000000"/>
                <w:kern w:val="0"/>
                <w:sz w:val="16"/>
                <w:szCs w:val="16"/>
                <w:u w:val="none"/>
                <w:lang w:val="en-US" w:eastAsia="zh-CN" w:bidi="ar"/>
              </w:rPr>
              <w:t>53.45</w:t>
            </w: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3DB41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53.45</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D27D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8F03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1E3F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w:t>
            </w: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DA7E4">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16"/>
                <w:szCs w:val="16"/>
                <w:u w:val="none"/>
              </w:rPr>
            </w:pPr>
          </w:p>
        </w:tc>
      </w:tr>
      <w:tr w14:paraId="52087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91B14">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DE75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其中：财政资金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0E58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53.45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4016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53.45</w:t>
            </w: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6EA05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53.45</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804F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8301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4058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w:t>
            </w: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596D6">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16"/>
                <w:szCs w:val="16"/>
                <w:u w:val="none"/>
              </w:rPr>
            </w:pPr>
          </w:p>
        </w:tc>
      </w:tr>
      <w:tr w14:paraId="6E76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552B0">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AB50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财政专户管理资金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6970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0.00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3727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0.00</w:t>
            </w: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B3780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E016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0.00%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1B30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8AA5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w:t>
            </w: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2B8E0">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16"/>
                <w:szCs w:val="16"/>
                <w:u w:val="none"/>
              </w:rPr>
            </w:pPr>
          </w:p>
        </w:tc>
      </w:tr>
      <w:tr w14:paraId="59AA6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DB1C4">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082B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单位资金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8B83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0.00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106D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0.00</w:t>
            </w: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EE161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00F1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0.00%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2460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FAC4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w:t>
            </w: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8F0CE">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16"/>
                <w:szCs w:val="16"/>
                <w:u w:val="none"/>
              </w:rPr>
            </w:pPr>
          </w:p>
        </w:tc>
      </w:tr>
      <w:tr w14:paraId="0BFE2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A9C5D">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34A0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其他资金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D0E44">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B4B4E">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E8BBE9">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4DB95">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5584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FC6F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w:t>
            </w: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7517E">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16"/>
                <w:szCs w:val="16"/>
                <w:u w:val="none"/>
              </w:rPr>
            </w:pPr>
          </w:p>
        </w:tc>
      </w:tr>
      <w:tr w14:paraId="62A95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5137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绩效指标（90分）</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7F7E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一级指标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C1B2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二级指标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6DCA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三级指标</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DAC9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指标性质</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1BE6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指标值</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E4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度量单位</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B71A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完成值</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9EC3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权重</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2051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得分</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4E87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未完成原因分析</w:t>
            </w:r>
          </w:p>
        </w:tc>
      </w:tr>
      <w:tr w14:paraId="74B27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4D4B8">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D232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产出指标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5F72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数量指标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C68B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政府投资项目</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1797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082A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5</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5BDD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个</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40307">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4859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0E1A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63D34">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r>
      <w:tr w14:paraId="182F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D1FBC">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DAF08">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09CD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质量指标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6919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固定资产投资跟踪审计项目</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B881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3987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3</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C456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个</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0F710">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4868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A953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0F692">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r>
      <w:tr w14:paraId="0C082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3257C">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90AB3">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70C5E">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B2B0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审计项目完成率</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AAAE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4DD3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96</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B74E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70FE2">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A7E5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92DA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56874">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r>
      <w:tr w14:paraId="18923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D3158">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871B5">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5204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时效指标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4616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完成时间</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7788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73A2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5271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年</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D3CA4">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9148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E689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BF971">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r>
      <w:tr w14:paraId="429BA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59E51">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9E18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效益指标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2E04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社会效益指标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617B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促进被审计单位完善制度机制</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5CBD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定性</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A444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优</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94979">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EC22E">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B937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2561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1C168">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r>
      <w:tr w14:paraId="19A99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79CCC">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6449D">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7D6F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可持续影响指标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FD71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充分发挥审计监督保障经济社会健康运行的“免疫系统”功能</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8015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定性</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BD85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优</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1BFFD">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108A0">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33EC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5E48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65EBE">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r>
      <w:tr w14:paraId="3F69A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C76F1">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127E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满意度指标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D7D0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服务对象满意度指标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99BD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满意度</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9CA9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10E8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95</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28E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0EF22">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54F4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1CB8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FCB31">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r>
      <w:tr w14:paraId="638C4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63235">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EC37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成本指标</w:t>
            </w: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5ACE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经济成本指标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BAEC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政府投资审计第三方劳务费</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818C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E16C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34F7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1C425">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0958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lang w:val="en-US"/>
              </w:rPr>
            </w:pPr>
            <w:r>
              <w:rPr>
                <w:rFonts w:hint="eastAsia" w:ascii="仿宋_GB2312" w:hAnsi="仿宋_GB2312" w:eastAsia="仿宋_GB2312" w:cs="仿宋_GB2312"/>
                <w:i w:val="0"/>
                <w:iCs w:val="0"/>
                <w:color w:val="000000"/>
                <w:kern w:val="0"/>
                <w:sz w:val="16"/>
                <w:szCs w:val="16"/>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19C6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lang w:val="en-US"/>
              </w:rPr>
            </w:pPr>
            <w:r>
              <w:rPr>
                <w:rFonts w:hint="eastAsia" w:ascii="仿宋_GB2312" w:hAnsi="仿宋_GB2312" w:eastAsia="仿宋_GB2312" w:cs="仿宋_GB2312"/>
                <w:i w:val="0"/>
                <w:iCs w:val="0"/>
                <w:color w:val="000000"/>
                <w:kern w:val="0"/>
                <w:sz w:val="16"/>
                <w:szCs w:val="16"/>
                <w:u w:val="none"/>
                <w:lang w:val="en-US" w:eastAsia="zh-CN" w:bidi="ar"/>
              </w:rPr>
              <w:t>10</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B0524">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r>
      <w:tr w14:paraId="280F2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2332D">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3E1D2">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F0ECC">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0030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政府投资审计第三方咨询费</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CCEC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780E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80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D509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FF426">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E69E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lang w:val="en-US"/>
              </w:rPr>
            </w:pPr>
            <w:r>
              <w:rPr>
                <w:rFonts w:hint="eastAsia" w:ascii="仿宋_GB2312" w:hAnsi="仿宋_GB2312" w:eastAsia="仿宋_GB2312" w:cs="仿宋_GB2312"/>
                <w:i w:val="0"/>
                <w:iCs w:val="0"/>
                <w:color w:val="000000"/>
                <w:kern w:val="0"/>
                <w:sz w:val="16"/>
                <w:szCs w:val="16"/>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A6BD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lang w:val="en-US"/>
              </w:rPr>
            </w:pPr>
            <w:r>
              <w:rPr>
                <w:rFonts w:hint="eastAsia" w:ascii="仿宋_GB2312" w:hAnsi="仿宋_GB2312" w:eastAsia="仿宋_GB2312" w:cs="仿宋_GB2312"/>
                <w:i w:val="0"/>
                <w:iCs w:val="0"/>
                <w:color w:val="000000"/>
                <w:kern w:val="0"/>
                <w:sz w:val="16"/>
                <w:szCs w:val="16"/>
                <w:u w:val="none"/>
                <w:lang w:val="en-US" w:eastAsia="zh-CN" w:bidi="ar"/>
              </w:rPr>
              <w:t>10</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B39F0">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r>
      <w:tr w14:paraId="73EA2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80799">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D4B5A">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6CB28">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9155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政府投资审计第三方办公费</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2D9D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BE9B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27FB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ED0BB">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B4B3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8247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116F5">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16"/>
                <w:szCs w:val="16"/>
                <w:u w:val="none"/>
              </w:rPr>
            </w:pPr>
          </w:p>
        </w:tc>
      </w:tr>
      <w:tr w14:paraId="1CA7E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CD785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合计</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C099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1C01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100</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C6A98">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16"/>
                <w:szCs w:val="16"/>
                <w:u w:val="none"/>
              </w:rPr>
            </w:pPr>
          </w:p>
        </w:tc>
      </w:tr>
      <w:tr w14:paraId="79B5A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D336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评价结论</w:t>
            </w:r>
          </w:p>
        </w:tc>
        <w:tc>
          <w:tcPr>
            <w:tcW w:w="465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BF8C27">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严格执行相关政策规定，足额按时支付，完成预算绩效指标值，年末无结余资金。</w:t>
            </w:r>
          </w:p>
        </w:tc>
      </w:tr>
      <w:tr w14:paraId="526D0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0680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存在问题</w:t>
            </w:r>
          </w:p>
        </w:tc>
        <w:tc>
          <w:tcPr>
            <w:tcW w:w="465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1611E3">
            <w:pPr>
              <w:keepNext w:val="0"/>
              <w:keepLines w:val="0"/>
              <w:widowControl/>
              <w:suppressLineNumbers w:val="0"/>
              <w:spacing w:before="0" w:beforeAutospacing="0" w:after="0" w:afterAutospacing="0" w:line="200" w:lineRule="exact"/>
              <w:ind w:left="0" w:right="0"/>
              <w:jc w:val="both"/>
              <w:textAlignment w:val="center"/>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i w:val="0"/>
                <w:iCs w:val="0"/>
                <w:color w:val="000000"/>
                <w:sz w:val="16"/>
                <w:szCs w:val="16"/>
                <w:u w:val="none"/>
                <w:lang w:eastAsia="zh-CN"/>
              </w:rPr>
              <w:t>无</w:t>
            </w:r>
          </w:p>
        </w:tc>
      </w:tr>
      <w:tr w14:paraId="54755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85DF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改进措施</w:t>
            </w:r>
          </w:p>
        </w:tc>
        <w:tc>
          <w:tcPr>
            <w:tcW w:w="465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1AC541">
            <w:pPr>
              <w:pStyle w:val="18"/>
              <w:keepNext w:val="0"/>
              <w:keepLines w:val="0"/>
              <w:widowControl w:val="0"/>
              <w:suppressLineNumbers w:val="0"/>
              <w:tabs>
                <w:tab w:val="left" w:pos="2160"/>
              </w:tabs>
              <w:spacing w:beforeLines="30" w:afterAutospacing="0" w:line="200" w:lineRule="exact"/>
              <w:jc w:val="both"/>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i w:val="0"/>
                <w:iCs w:val="0"/>
                <w:color w:val="000000"/>
                <w:sz w:val="16"/>
                <w:szCs w:val="16"/>
                <w:u w:val="none"/>
                <w:lang w:eastAsia="zh-CN"/>
              </w:rPr>
              <w:t>无</w:t>
            </w:r>
          </w:p>
        </w:tc>
      </w:tr>
      <w:tr w14:paraId="1C224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6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B9BFF5">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项目负责人：袁蓉</w:t>
            </w:r>
          </w:p>
        </w:tc>
        <w:tc>
          <w:tcPr>
            <w:tcW w:w="253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3C27C3">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财务负责人：杜勇</w:t>
            </w:r>
          </w:p>
        </w:tc>
      </w:tr>
    </w:tbl>
    <w:p w14:paraId="489FE7D9">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p w14:paraId="7BB3A9FD">
      <w:pPr>
        <w:keepNext w:val="0"/>
        <w:keepLines w:val="0"/>
        <w:widowControl w:val="0"/>
        <w:suppressLineNumbers w:val="0"/>
        <w:spacing w:before="0" w:beforeAutospacing="0" w:after="0" w:afterAutospacing="0"/>
        <w:ind w:left="0" w:right="0"/>
        <w:jc w:val="both"/>
        <w:outlineLvl w:val="1"/>
        <w:rPr>
          <w:rFonts w:hint="eastAsia" w:ascii="Times New Roman" w:hAnsi="Times New Roman" w:eastAsia="黑体" w:cs="黑体"/>
          <w:kern w:val="0"/>
          <w:sz w:val="32"/>
          <w:szCs w:val="32"/>
          <w:shd w:val="clear" w:fill="FFFFFF"/>
          <w:lang w:val="zh-CN" w:eastAsia="zh-CN" w:bidi="ar"/>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p>
    <w:p w14:paraId="566F9DC3">
      <w:pPr>
        <w:pageBreakBefore w:val="0"/>
        <w:numPr>
          <w:ilvl w:val="0"/>
          <w:numId w:val="4"/>
        </w:numPr>
        <w:kinsoku/>
        <w:wordWrap/>
        <w:overflowPunct/>
        <w:topLinePunct w:val="0"/>
        <w:bidi w:val="0"/>
        <w:spacing w:line="560" w:lineRule="exact"/>
        <w:jc w:val="center"/>
        <w:textAlignment w:val="auto"/>
        <w:outlineLvl w:val="0"/>
        <w:rPr>
          <w:rFonts w:hint="default" w:ascii="Times New Roman" w:hAnsi="Times New Roman" w:eastAsia="微软雅黑" w:cs="Times New Roman"/>
          <w:color w:val="000000"/>
          <w:sz w:val="44"/>
          <w:szCs w:val="44"/>
          <w:lang w:eastAsia="zh-CN"/>
        </w:rPr>
      </w:pPr>
      <w:bookmarkStart w:id="144" w:name="_Toc30531"/>
      <w:bookmarkStart w:id="145" w:name="_Toc1694"/>
      <w:bookmarkStart w:id="146" w:name="_Toc16206"/>
      <w:bookmarkStart w:id="147" w:name="_Toc31539"/>
      <w:bookmarkStart w:id="148" w:name="_Toc9744"/>
      <w:bookmarkStart w:id="149" w:name="_Toc3928"/>
      <w:bookmarkStart w:id="150" w:name="_Toc31749"/>
      <w:r>
        <w:rPr>
          <w:rFonts w:hint="default" w:ascii="Times New Roman" w:hAnsi="Times New Roman" w:eastAsia="微软雅黑" w:cs="Times New Roman"/>
          <w:color w:val="000000"/>
          <w:sz w:val="44"/>
          <w:szCs w:val="44"/>
          <w:lang w:eastAsia="zh-CN"/>
        </w:rPr>
        <w:t>附表</w:t>
      </w:r>
      <w:bookmarkEnd w:id="144"/>
      <w:bookmarkEnd w:id="145"/>
      <w:bookmarkEnd w:id="146"/>
      <w:bookmarkEnd w:id="147"/>
      <w:bookmarkEnd w:id="148"/>
      <w:bookmarkEnd w:id="149"/>
      <w:bookmarkEnd w:id="150"/>
    </w:p>
    <w:p w14:paraId="2A29048E">
      <w:pPr>
        <w:pStyle w:val="17"/>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textAlignment w:val="auto"/>
        <w:rPr>
          <w:rStyle w:val="33"/>
          <w:rFonts w:hint="default" w:ascii="Times New Roman" w:hAnsi="Times New Roman" w:eastAsia="黑体" w:cs="Times New Roman"/>
          <w:b w:val="0"/>
          <w:lang w:val="en-US" w:eastAsia="zh-CN" w:bidi="ar-SA"/>
        </w:rPr>
      </w:pPr>
    </w:p>
    <w:p w14:paraId="33243F80">
      <w:pPr>
        <w:pStyle w:val="17"/>
        <w:keepNext w:val="0"/>
        <w:keepLines w:val="0"/>
        <w:pageBreakBefore w:val="0"/>
        <w:numPr>
          <w:ilvl w:val="0"/>
          <w:numId w:val="5"/>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3"/>
          <w:rFonts w:hint="default" w:ascii="Times New Roman" w:hAnsi="Times New Roman" w:eastAsia="仿宋_GB2312" w:cs="Times New Roman"/>
          <w:b w:val="0"/>
          <w:lang w:val="en-US" w:eastAsia="zh-CN" w:bidi="ar-SA"/>
        </w:rPr>
      </w:pPr>
      <w:bookmarkStart w:id="151" w:name="_Toc14565"/>
      <w:bookmarkStart w:id="152" w:name="_Toc22625"/>
      <w:bookmarkStart w:id="153" w:name="_Toc1830"/>
      <w:r>
        <w:rPr>
          <w:rStyle w:val="33"/>
          <w:rFonts w:hint="default" w:ascii="Times New Roman" w:hAnsi="Times New Roman" w:eastAsia="仿宋_GB2312" w:cs="Times New Roman"/>
          <w:b w:val="0"/>
          <w:lang w:val="en-US" w:eastAsia="zh-CN" w:bidi="ar-SA"/>
        </w:rPr>
        <w:t>收入支出决算总表</w:t>
      </w:r>
    </w:p>
    <w:bookmarkEnd w:id="151"/>
    <w:bookmarkEnd w:id="152"/>
    <w:bookmarkEnd w:id="153"/>
    <w:p w14:paraId="232C430F">
      <w:pPr>
        <w:pStyle w:val="17"/>
        <w:keepNext w:val="0"/>
        <w:keepLines w:val="0"/>
        <w:pageBreakBefore w:val="0"/>
        <w:numPr>
          <w:ilvl w:val="0"/>
          <w:numId w:val="5"/>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3"/>
          <w:rFonts w:hint="default" w:ascii="Times New Roman" w:hAnsi="Times New Roman" w:eastAsia="仿宋_GB2312" w:cs="Times New Roman"/>
          <w:b w:val="0"/>
          <w:lang w:val="en-US" w:eastAsia="zh-CN" w:bidi="ar-SA"/>
        </w:rPr>
      </w:pPr>
      <w:bookmarkStart w:id="154" w:name="_Toc13257"/>
      <w:bookmarkStart w:id="155" w:name="_Toc1"/>
      <w:bookmarkStart w:id="156" w:name="_Toc18461"/>
      <w:r>
        <w:rPr>
          <w:rStyle w:val="33"/>
          <w:rFonts w:hint="default" w:ascii="Times New Roman" w:hAnsi="Times New Roman" w:eastAsia="仿宋_GB2312" w:cs="Times New Roman"/>
          <w:b w:val="0"/>
          <w:lang w:val="en-US" w:eastAsia="zh-CN" w:bidi="ar-SA"/>
        </w:rPr>
        <w:t>收入决算表</w:t>
      </w:r>
    </w:p>
    <w:bookmarkEnd w:id="154"/>
    <w:bookmarkEnd w:id="155"/>
    <w:bookmarkEnd w:id="156"/>
    <w:p w14:paraId="636E3572">
      <w:pPr>
        <w:pStyle w:val="17"/>
        <w:keepNext w:val="0"/>
        <w:keepLines w:val="0"/>
        <w:pageBreakBefore w:val="0"/>
        <w:numPr>
          <w:ilvl w:val="0"/>
          <w:numId w:val="5"/>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3"/>
          <w:rFonts w:hint="default" w:ascii="Times New Roman" w:hAnsi="Times New Roman" w:eastAsia="仿宋_GB2312" w:cs="Times New Roman"/>
          <w:b w:val="0"/>
          <w:lang w:val="en-US" w:eastAsia="zh-CN" w:bidi="ar-SA"/>
        </w:rPr>
      </w:pPr>
      <w:bookmarkStart w:id="157" w:name="_Toc3999"/>
      <w:bookmarkStart w:id="158" w:name="_Toc26312"/>
      <w:bookmarkStart w:id="159" w:name="_Toc2316"/>
      <w:r>
        <w:rPr>
          <w:rStyle w:val="33"/>
          <w:rFonts w:hint="default" w:ascii="Times New Roman" w:hAnsi="Times New Roman" w:eastAsia="仿宋_GB2312" w:cs="Times New Roman"/>
          <w:b w:val="0"/>
          <w:lang w:val="en-US" w:eastAsia="zh-CN" w:bidi="ar-SA"/>
        </w:rPr>
        <w:t>支出决算表</w:t>
      </w:r>
    </w:p>
    <w:bookmarkEnd w:id="157"/>
    <w:bookmarkEnd w:id="158"/>
    <w:bookmarkEnd w:id="159"/>
    <w:p w14:paraId="1EF7BA35">
      <w:pPr>
        <w:pStyle w:val="17"/>
        <w:keepNext w:val="0"/>
        <w:keepLines w:val="0"/>
        <w:pageBreakBefore w:val="0"/>
        <w:numPr>
          <w:ilvl w:val="0"/>
          <w:numId w:val="5"/>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3"/>
          <w:rFonts w:hint="default" w:ascii="Times New Roman" w:hAnsi="Times New Roman" w:eastAsia="仿宋_GB2312" w:cs="Times New Roman"/>
          <w:b w:val="0"/>
          <w:lang w:val="en-US" w:eastAsia="zh-CN" w:bidi="ar-SA"/>
        </w:rPr>
      </w:pPr>
      <w:bookmarkStart w:id="160" w:name="_Toc14059"/>
      <w:bookmarkStart w:id="161" w:name="_Toc31149"/>
      <w:bookmarkStart w:id="162" w:name="_Toc8848"/>
      <w:r>
        <w:rPr>
          <w:rStyle w:val="33"/>
          <w:rFonts w:hint="default" w:ascii="Times New Roman" w:hAnsi="Times New Roman" w:eastAsia="仿宋_GB2312" w:cs="Times New Roman"/>
          <w:b w:val="0"/>
          <w:lang w:val="en-US" w:eastAsia="zh-CN" w:bidi="ar-SA"/>
        </w:rPr>
        <w:t>财政拨款收入支出决算总表</w:t>
      </w:r>
    </w:p>
    <w:bookmarkEnd w:id="160"/>
    <w:bookmarkEnd w:id="161"/>
    <w:bookmarkEnd w:id="162"/>
    <w:p w14:paraId="74E9B9BD">
      <w:pPr>
        <w:pStyle w:val="17"/>
        <w:keepNext w:val="0"/>
        <w:keepLines w:val="0"/>
        <w:pageBreakBefore w:val="0"/>
        <w:numPr>
          <w:ilvl w:val="0"/>
          <w:numId w:val="5"/>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3"/>
          <w:rFonts w:hint="default" w:ascii="Times New Roman" w:hAnsi="Times New Roman" w:eastAsia="仿宋_GB2312" w:cs="Times New Roman"/>
          <w:b w:val="0"/>
          <w:lang w:val="en-US" w:eastAsia="zh-CN" w:bidi="ar-SA"/>
        </w:rPr>
      </w:pPr>
      <w:bookmarkStart w:id="163" w:name="_Toc21332"/>
      <w:bookmarkStart w:id="164" w:name="_Toc20464"/>
      <w:bookmarkStart w:id="165" w:name="_Toc8400"/>
      <w:r>
        <w:rPr>
          <w:rStyle w:val="33"/>
          <w:rFonts w:hint="default" w:ascii="Times New Roman" w:hAnsi="Times New Roman" w:eastAsia="仿宋_GB2312" w:cs="Times New Roman"/>
          <w:b w:val="0"/>
          <w:lang w:val="en-US" w:eastAsia="zh-CN" w:bidi="ar-SA"/>
        </w:rPr>
        <w:t>财政拨款支出决算明细表</w:t>
      </w:r>
    </w:p>
    <w:bookmarkEnd w:id="163"/>
    <w:bookmarkEnd w:id="164"/>
    <w:bookmarkEnd w:id="165"/>
    <w:p w14:paraId="6A6D2254">
      <w:pPr>
        <w:pStyle w:val="17"/>
        <w:keepNext w:val="0"/>
        <w:keepLines w:val="0"/>
        <w:pageBreakBefore w:val="0"/>
        <w:numPr>
          <w:ilvl w:val="0"/>
          <w:numId w:val="5"/>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3"/>
          <w:rFonts w:hint="default" w:ascii="Times New Roman" w:hAnsi="Times New Roman" w:eastAsia="仿宋_GB2312" w:cs="Times New Roman"/>
          <w:b w:val="0"/>
          <w:lang w:val="en-US" w:eastAsia="zh-CN" w:bidi="ar-SA"/>
        </w:rPr>
      </w:pPr>
      <w:bookmarkStart w:id="166" w:name="_Toc11631"/>
      <w:bookmarkStart w:id="167" w:name="_Toc23849"/>
      <w:bookmarkStart w:id="168" w:name="_Toc19812"/>
      <w:r>
        <w:rPr>
          <w:rStyle w:val="33"/>
          <w:rFonts w:hint="default" w:ascii="Times New Roman" w:hAnsi="Times New Roman" w:eastAsia="仿宋_GB2312" w:cs="Times New Roman"/>
          <w:b w:val="0"/>
          <w:lang w:val="en-US" w:eastAsia="zh-CN" w:bidi="ar-SA"/>
        </w:rPr>
        <w:t>一般公共预算财政拨款支出决算表</w:t>
      </w:r>
    </w:p>
    <w:bookmarkEnd w:id="166"/>
    <w:bookmarkEnd w:id="167"/>
    <w:bookmarkEnd w:id="168"/>
    <w:p w14:paraId="41254479">
      <w:pPr>
        <w:pStyle w:val="17"/>
        <w:keepNext w:val="0"/>
        <w:keepLines w:val="0"/>
        <w:pageBreakBefore w:val="0"/>
        <w:numPr>
          <w:ilvl w:val="0"/>
          <w:numId w:val="5"/>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3"/>
          <w:rFonts w:hint="default" w:ascii="Times New Roman" w:hAnsi="Times New Roman" w:eastAsia="仿宋_GB2312" w:cs="Times New Roman"/>
          <w:b w:val="0"/>
          <w:lang w:val="en-US" w:eastAsia="zh-CN" w:bidi="ar-SA"/>
        </w:rPr>
      </w:pPr>
      <w:bookmarkStart w:id="169" w:name="_Toc24375"/>
      <w:bookmarkStart w:id="170" w:name="_Toc10819"/>
      <w:bookmarkStart w:id="171" w:name="_Toc7771"/>
      <w:r>
        <w:rPr>
          <w:rStyle w:val="33"/>
          <w:rFonts w:hint="default" w:ascii="Times New Roman" w:hAnsi="Times New Roman" w:eastAsia="仿宋_GB2312" w:cs="Times New Roman"/>
          <w:b w:val="0"/>
          <w:lang w:val="en-US" w:eastAsia="zh-CN" w:bidi="ar-SA"/>
        </w:rPr>
        <w:t>一般公共预算财政拨款支出决算明细表</w:t>
      </w:r>
    </w:p>
    <w:bookmarkEnd w:id="169"/>
    <w:bookmarkEnd w:id="170"/>
    <w:bookmarkEnd w:id="171"/>
    <w:p w14:paraId="6533EA3D">
      <w:pPr>
        <w:pStyle w:val="17"/>
        <w:keepNext w:val="0"/>
        <w:keepLines w:val="0"/>
        <w:pageBreakBefore w:val="0"/>
        <w:numPr>
          <w:ilvl w:val="0"/>
          <w:numId w:val="5"/>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3"/>
          <w:rFonts w:hint="default" w:ascii="Times New Roman" w:hAnsi="Times New Roman" w:eastAsia="仿宋_GB2312" w:cs="Times New Roman"/>
          <w:b w:val="0"/>
          <w:lang w:val="en-US" w:eastAsia="zh-CN" w:bidi="ar-SA"/>
        </w:rPr>
      </w:pPr>
      <w:bookmarkStart w:id="172" w:name="_Toc1071"/>
      <w:bookmarkStart w:id="173" w:name="_Toc16528"/>
      <w:bookmarkStart w:id="174" w:name="_Toc21032"/>
      <w:r>
        <w:rPr>
          <w:rStyle w:val="33"/>
          <w:rFonts w:hint="default" w:ascii="Times New Roman" w:hAnsi="Times New Roman" w:eastAsia="仿宋_GB2312" w:cs="Times New Roman"/>
          <w:b w:val="0"/>
          <w:lang w:val="en-US" w:eastAsia="zh-CN" w:bidi="ar-SA"/>
        </w:rPr>
        <w:t>一般公共预算财政拨款基本支出决算表</w:t>
      </w:r>
    </w:p>
    <w:bookmarkEnd w:id="172"/>
    <w:bookmarkEnd w:id="173"/>
    <w:bookmarkEnd w:id="174"/>
    <w:p w14:paraId="0B81B113">
      <w:pPr>
        <w:pStyle w:val="17"/>
        <w:keepNext w:val="0"/>
        <w:keepLines w:val="0"/>
        <w:pageBreakBefore w:val="0"/>
        <w:numPr>
          <w:ilvl w:val="0"/>
          <w:numId w:val="5"/>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3"/>
          <w:rFonts w:hint="default" w:ascii="Times New Roman" w:hAnsi="Times New Roman" w:eastAsia="仿宋_GB2312" w:cs="Times New Roman"/>
          <w:b w:val="0"/>
          <w:lang w:val="en-US" w:eastAsia="zh-CN" w:bidi="ar-SA"/>
        </w:rPr>
      </w:pPr>
      <w:bookmarkStart w:id="175" w:name="_Toc25228"/>
      <w:bookmarkStart w:id="176" w:name="_Toc25333"/>
      <w:bookmarkStart w:id="177" w:name="_Toc9313"/>
      <w:r>
        <w:rPr>
          <w:rStyle w:val="33"/>
          <w:rFonts w:hint="default" w:ascii="Times New Roman" w:hAnsi="Times New Roman" w:eastAsia="仿宋_GB2312" w:cs="Times New Roman"/>
          <w:b w:val="0"/>
          <w:lang w:val="en-US" w:eastAsia="zh-CN" w:bidi="ar-SA"/>
        </w:rPr>
        <w:t>一般公共预算财政拨款项目支出决算表</w:t>
      </w:r>
    </w:p>
    <w:bookmarkEnd w:id="175"/>
    <w:bookmarkEnd w:id="176"/>
    <w:bookmarkEnd w:id="177"/>
    <w:p w14:paraId="5B3CE935">
      <w:pPr>
        <w:pStyle w:val="17"/>
        <w:keepNext w:val="0"/>
        <w:keepLines w:val="0"/>
        <w:pageBreakBefore w:val="0"/>
        <w:numPr>
          <w:ilvl w:val="0"/>
          <w:numId w:val="5"/>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3"/>
          <w:rFonts w:hint="default" w:ascii="Times New Roman" w:hAnsi="Times New Roman" w:eastAsia="仿宋_GB2312" w:cs="Times New Roman"/>
          <w:b w:val="0"/>
          <w:lang w:val="en-US" w:eastAsia="zh-CN" w:bidi="ar-SA"/>
        </w:rPr>
      </w:pPr>
      <w:bookmarkStart w:id="178" w:name="_Toc13208"/>
      <w:bookmarkStart w:id="179" w:name="_Toc32686"/>
      <w:bookmarkStart w:id="180" w:name="_Toc26856"/>
      <w:r>
        <w:rPr>
          <w:rStyle w:val="33"/>
          <w:rFonts w:hint="default" w:ascii="Times New Roman" w:hAnsi="Times New Roman" w:eastAsia="仿宋_GB2312" w:cs="Times New Roman"/>
          <w:b w:val="0"/>
          <w:lang w:val="en-US" w:eastAsia="zh-CN" w:bidi="ar-SA"/>
        </w:rPr>
        <w:t>政府性基金预算财政拨款收入支出决算表</w:t>
      </w:r>
    </w:p>
    <w:bookmarkEnd w:id="178"/>
    <w:bookmarkEnd w:id="179"/>
    <w:bookmarkEnd w:id="180"/>
    <w:p w14:paraId="4744E405">
      <w:pPr>
        <w:pStyle w:val="17"/>
        <w:keepNext w:val="0"/>
        <w:keepLines w:val="0"/>
        <w:pageBreakBefore w:val="0"/>
        <w:numPr>
          <w:ilvl w:val="0"/>
          <w:numId w:val="5"/>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3"/>
          <w:rFonts w:hint="default" w:ascii="Times New Roman" w:hAnsi="Times New Roman" w:eastAsia="仿宋_GB2312" w:cs="Times New Roman"/>
          <w:b w:val="0"/>
          <w:lang w:val="en-US" w:eastAsia="zh-CN" w:bidi="ar-SA"/>
        </w:rPr>
      </w:pPr>
      <w:bookmarkStart w:id="181" w:name="_Toc14102"/>
      <w:bookmarkStart w:id="182" w:name="_Toc10448"/>
      <w:bookmarkStart w:id="183" w:name="_Toc16443"/>
      <w:r>
        <w:rPr>
          <w:rStyle w:val="33"/>
          <w:rFonts w:hint="default" w:ascii="Times New Roman" w:hAnsi="Times New Roman" w:eastAsia="仿宋_GB2312" w:cs="Times New Roman"/>
          <w:b w:val="0"/>
          <w:lang w:val="en-US" w:eastAsia="zh-CN" w:bidi="ar-SA"/>
        </w:rPr>
        <w:t>国有资本经营预算财政拨款收入支出决算表</w:t>
      </w:r>
    </w:p>
    <w:bookmarkEnd w:id="181"/>
    <w:bookmarkEnd w:id="182"/>
    <w:bookmarkEnd w:id="183"/>
    <w:p w14:paraId="2516EF9F">
      <w:pPr>
        <w:pStyle w:val="17"/>
        <w:keepNext w:val="0"/>
        <w:keepLines w:val="0"/>
        <w:pageBreakBefore w:val="0"/>
        <w:numPr>
          <w:ilvl w:val="0"/>
          <w:numId w:val="5"/>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3"/>
          <w:rFonts w:hint="default" w:ascii="Times New Roman" w:hAnsi="Times New Roman" w:eastAsia="仿宋_GB2312" w:cs="Times New Roman"/>
          <w:b w:val="0"/>
          <w:lang w:val="en-US" w:eastAsia="zh-CN" w:bidi="ar-SA"/>
        </w:rPr>
      </w:pPr>
      <w:bookmarkStart w:id="184" w:name="_Toc3695"/>
      <w:bookmarkStart w:id="185" w:name="_Toc10621"/>
      <w:bookmarkStart w:id="186" w:name="_Toc30250"/>
      <w:r>
        <w:rPr>
          <w:rStyle w:val="33"/>
          <w:rFonts w:hint="default" w:ascii="Times New Roman" w:hAnsi="Times New Roman" w:eastAsia="仿宋_GB2312" w:cs="Times New Roman"/>
          <w:b w:val="0"/>
          <w:lang w:val="en-US" w:eastAsia="zh-CN" w:bidi="ar-SA"/>
        </w:rPr>
        <w:t>国有资本经营预算财政拨款支出决算表</w:t>
      </w:r>
    </w:p>
    <w:bookmarkEnd w:id="184"/>
    <w:bookmarkEnd w:id="185"/>
    <w:bookmarkEnd w:id="186"/>
    <w:p w14:paraId="43842102">
      <w:pPr>
        <w:pStyle w:val="17"/>
        <w:keepNext w:val="0"/>
        <w:keepLines w:val="0"/>
        <w:pageBreakBefore w:val="0"/>
        <w:numPr>
          <w:ilvl w:val="0"/>
          <w:numId w:val="5"/>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3"/>
          <w:rFonts w:hint="default" w:ascii="Times New Roman" w:hAnsi="Times New Roman" w:eastAsia="仿宋_GB2312" w:cs="Times New Roman"/>
          <w:b w:val="0"/>
          <w:lang w:val="en-US" w:eastAsia="zh-CN" w:bidi="ar-SA"/>
        </w:rPr>
      </w:pPr>
      <w:bookmarkStart w:id="187" w:name="_Toc11562"/>
      <w:bookmarkStart w:id="188" w:name="_Toc7946"/>
      <w:bookmarkStart w:id="189" w:name="_Toc27562"/>
      <w:r>
        <w:rPr>
          <w:rStyle w:val="33"/>
          <w:rFonts w:hint="default" w:ascii="Times New Roman" w:hAnsi="Times New Roman" w:eastAsia="仿宋_GB2312" w:cs="Times New Roman"/>
          <w:b w:val="0"/>
          <w:lang w:val="en-US" w:eastAsia="zh-CN" w:bidi="ar-SA"/>
        </w:rPr>
        <w:t>财政拨款“三公”经费支出决算表</w:t>
      </w:r>
      <w:bookmarkEnd w:id="187"/>
      <w:bookmarkEnd w:id="188"/>
      <w:bookmarkEnd w:id="189"/>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A9323B-A8F5-4E3F-AD60-16EB55265B7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217AB59D-3C9C-4B9F-B146-BA6D13678996}"/>
  </w:font>
  <w:font w:name="Cambria">
    <w:panose1 w:val="02040503050406030204"/>
    <w:charset w:val="00"/>
    <w:family w:val="roman"/>
    <w:pitch w:val="default"/>
    <w:sig w:usb0="E00002FF" w:usb1="400004FF" w:usb2="00000000" w:usb3="00000000" w:csb0="2000019F" w:csb1="00000000"/>
    <w:embedRegular r:id="rId3" w:fontKey="{12A19C22-D34B-4A6F-BF1B-4EC7F52EF6C1}"/>
  </w:font>
  <w:font w:name="仿宋_GB2312">
    <w:altName w:val="仿宋"/>
    <w:panose1 w:val="02010609030101010101"/>
    <w:charset w:val="86"/>
    <w:family w:val="auto"/>
    <w:pitch w:val="default"/>
    <w:sig w:usb0="00000000" w:usb1="00000000" w:usb2="00000000" w:usb3="00000000" w:csb0="00040000" w:csb1="00000000"/>
    <w:embedRegular r:id="rId4" w:fontKey="{34842708-1FA0-475F-98FC-B6EC1575F075}"/>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5" w:fontKey="{840C8EF8-AE4C-4BB0-BCF1-2A9B3DEAD448}"/>
  </w:font>
  <w:font w:name="??">
    <w:altName w:val="Segoe Print"/>
    <w:panose1 w:val="00000000000000000000"/>
    <w:charset w:val="00"/>
    <w:family w:val="roman"/>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embedRegular r:id="rId6" w:fontKey="{16AF1966-380A-4AAE-9B1D-2548B8388DB6}"/>
  </w:font>
  <w:font w:name="DejaVu Sans">
    <w:altName w:val="Segoe Print"/>
    <w:panose1 w:val="020B0603030804020204"/>
    <w:charset w:val="00"/>
    <w:family w:val="auto"/>
    <w:pitch w:val="default"/>
    <w:sig w:usb0="00000000" w:usb1="00000000" w:usb2="0A246029" w:usb3="0400200C" w:csb0="600001FF" w:csb1="DFFF0000"/>
  </w:font>
  <w:font w:name="方正小标宋简体">
    <w:altName w:val="黑体"/>
    <w:panose1 w:val="02000000000000000000"/>
    <w:charset w:val="86"/>
    <w:family w:val="auto"/>
    <w:pitch w:val="default"/>
    <w:sig w:usb0="00000000" w:usb1="00000000" w:usb2="00000012" w:usb3="00000000" w:csb0="00040001" w:csb1="00000000"/>
    <w:embedRegular r:id="rId7" w:fontKey="{3FF87496-DB25-4568-8FEC-341F82E57288}"/>
  </w:font>
  <w:font w:name="楷体">
    <w:panose1 w:val="02010609060101010101"/>
    <w:charset w:val="86"/>
    <w:family w:val="auto"/>
    <w:pitch w:val="default"/>
    <w:sig w:usb0="800002BF" w:usb1="38CF7CFA" w:usb2="00000016" w:usb3="00000000" w:csb0="00040001" w:csb1="00000000"/>
    <w:embedRegular r:id="rId8" w:fontKey="{12912FDF-7EEE-4CAF-B0F5-5016E5234B22}"/>
  </w:font>
  <w:font w:name="楷体_GB2312">
    <w:altName w:val="楷体"/>
    <w:panose1 w:val="02010609030101010101"/>
    <w:charset w:val="86"/>
    <w:family w:val="auto"/>
    <w:pitch w:val="default"/>
    <w:sig w:usb0="00000000" w:usb1="00000000" w:usb2="00000000" w:usb3="00000000" w:csb0="00040000" w:csb1="00000000"/>
    <w:embedRegular r:id="rId9" w:fontKey="{EB027A6B-28F3-44BF-8B3F-8D123C820546}"/>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10" w:fontKey="{2B0E8FA9-5643-4FEB-A623-886C29BF16D2}"/>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E2563">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156BE9">
                          <w:pPr>
                            <w:pStyle w:val="1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0156BE9">
                    <w:pPr>
                      <w:pStyle w:val="1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r>
      <w:br w:type="textWrapping"/>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6D780">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DBAAE">
                          <w:pPr>
                            <w:pStyle w:val="1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8FDBAAE">
                    <w:pPr>
                      <w:pStyle w:val="1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D20EE">
    <w:pPr>
      <w:pStyle w:val="13"/>
      <w:tabs>
        <w:tab w:val="clear" w:pos="4153"/>
      </w:tabs>
      <w:jc w:val="center"/>
      <w:rPr>
        <w:rFonts w:hint="default"/>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4B68C">
    <w:pPr>
      <w:pStyle w:val="13"/>
      <w:tabs>
        <w:tab w:val="clear" w:pos="4153"/>
      </w:tabs>
      <w:jc w:val="center"/>
      <w:rPr>
        <w:rFonts w:hint="default"/>
        <w:lang w:val="en-US" w:eastAsia="zh-CN"/>
      </w:rPr>
    </w:pPr>
    <w:r>
      <w:rPr>
        <w:rFonts w:hint="eastAsia"/>
        <w:lang w:val="en-US" w:eastAsia="zh-CN"/>
      </w:rPr>
      <w:t xml:space="preserve">                                                                                      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419DB">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937BA">
                          <w:pPr>
                            <w:pStyle w:val="1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CA937BA">
                    <w:pPr>
                      <w:pStyle w:val="1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1648A">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827549">
                          <w:pPr>
                            <w:pStyle w:val="1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26</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5827549">
                    <w:pPr>
                      <w:pStyle w:val="1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26</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AD64F">
    <w:pPr>
      <w:pStyle w:val="13"/>
      <w:tabs>
        <w:tab w:val="clear" w:pos="4153"/>
      </w:tabs>
      <w:jc w:val="center"/>
      <w:rPr>
        <w:rFonts w:hint="default"/>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C1932">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FFC1932">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4916F">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56198">
                          <w:pPr>
                            <w:pStyle w:val="1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A156198">
                    <w:pPr>
                      <w:pStyle w:val="1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29F42">
    <w:pPr>
      <w:pStyle w:val="13"/>
      <w:tabs>
        <w:tab w:val="clear" w:pos="4153"/>
      </w:tabs>
      <w:jc w:val="center"/>
      <w:rPr>
        <w:rFonts w:hint="default"/>
        <w:lang w:val="en-US" w:eastAsia="zh-C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0870F">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27A2F7">
                          <w:pPr>
                            <w:pStyle w:val="1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34</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A27A2F7">
                    <w:pPr>
                      <w:pStyle w:val="1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34</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748BC">
    <w:pPr>
      <w:pStyle w:val="13"/>
      <w:tabs>
        <w:tab w:val="clear" w:pos="4153"/>
      </w:tabs>
      <w:jc w:val="center"/>
      <w:rPr>
        <w:rFonts w:hint="default"/>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48C9A7">
                          <w:pPr>
                            <w:pStyle w:val="13"/>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33</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248C9A7">
                    <w:pPr>
                      <w:pStyle w:val="13"/>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33</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BBC56">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F7B7C"/>
    <w:multiLevelType w:val="singleLevel"/>
    <w:tmpl w:val="9DCF7B7C"/>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2EF769D1"/>
    <w:multiLevelType w:val="singleLevel"/>
    <w:tmpl w:val="2EF769D1"/>
    <w:lvl w:ilvl="0" w:tentative="0">
      <w:start w:val="5"/>
      <w:numFmt w:val="chineseCounting"/>
      <w:suff w:val="nothing"/>
      <w:lvlText w:val="%1、"/>
      <w:lvlJc w:val="left"/>
      <w:rPr>
        <w:rFonts w:hint="eastAsia"/>
      </w:rPr>
    </w:lvl>
  </w:abstractNum>
  <w:abstractNum w:abstractNumId="3">
    <w:nsid w:val="33FEEEC9"/>
    <w:multiLevelType w:val="singleLevel"/>
    <w:tmpl w:val="33FEEEC9"/>
    <w:lvl w:ilvl="0" w:tentative="0">
      <w:start w:val="5"/>
      <w:numFmt w:val="chineseCounting"/>
      <w:suff w:val="space"/>
      <w:lvlText w:val="第%1部分"/>
      <w:lvlJc w:val="left"/>
      <w:rPr>
        <w:rFonts w:hint="eastAsia"/>
      </w:rPr>
    </w:lvl>
  </w:abstractNum>
  <w:abstractNum w:abstractNumId="4">
    <w:nsid w:val="78B2AC06"/>
    <w:multiLevelType w:val="singleLevel"/>
    <w:tmpl w:val="78B2AC06"/>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2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jY2RkYjFjZTU3YWE4ODNhOTk5MDQ2NzFiZGRjZG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A2D64"/>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413C"/>
    <w:rsid w:val="00B57DAF"/>
    <w:rsid w:val="00B77EA6"/>
    <w:rsid w:val="00B81598"/>
    <w:rsid w:val="00B841F1"/>
    <w:rsid w:val="00B944D6"/>
    <w:rsid w:val="00BB4DF0"/>
    <w:rsid w:val="00BB64A6"/>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021BE"/>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0459"/>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7A49"/>
    <w:rsid w:val="00FA23E8"/>
    <w:rsid w:val="00FD3CC1"/>
    <w:rsid w:val="00FF1E02"/>
    <w:rsid w:val="00FF30B4"/>
    <w:rsid w:val="01B42948"/>
    <w:rsid w:val="01DB6127"/>
    <w:rsid w:val="01F47A32"/>
    <w:rsid w:val="02231AD0"/>
    <w:rsid w:val="022C21A4"/>
    <w:rsid w:val="027433E3"/>
    <w:rsid w:val="02867E41"/>
    <w:rsid w:val="029772D3"/>
    <w:rsid w:val="02A35910"/>
    <w:rsid w:val="02D301AB"/>
    <w:rsid w:val="02FD563D"/>
    <w:rsid w:val="032D3B34"/>
    <w:rsid w:val="03F64211"/>
    <w:rsid w:val="04537F00"/>
    <w:rsid w:val="04B70785"/>
    <w:rsid w:val="05317604"/>
    <w:rsid w:val="059D3E1F"/>
    <w:rsid w:val="05A76A4C"/>
    <w:rsid w:val="05BB148A"/>
    <w:rsid w:val="05CF4A99"/>
    <w:rsid w:val="05D62E8D"/>
    <w:rsid w:val="06027F9D"/>
    <w:rsid w:val="063619E2"/>
    <w:rsid w:val="06475909"/>
    <w:rsid w:val="0687687D"/>
    <w:rsid w:val="068F01E4"/>
    <w:rsid w:val="06A0494E"/>
    <w:rsid w:val="06BF13F2"/>
    <w:rsid w:val="085B78B2"/>
    <w:rsid w:val="08857DC1"/>
    <w:rsid w:val="08D1490C"/>
    <w:rsid w:val="08D535A0"/>
    <w:rsid w:val="0911212F"/>
    <w:rsid w:val="096C0C2E"/>
    <w:rsid w:val="098F00C8"/>
    <w:rsid w:val="09CC0F71"/>
    <w:rsid w:val="0A222B45"/>
    <w:rsid w:val="0A3854AE"/>
    <w:rsid w:val="0A416254"/>
    <w:rsid w:val="0A475730"/>
    <w:rsid w:val="0A4D4BA7"/>
    <w:rsid w:val="0A81452A"/>
    <w:rsid w:val="0ABD35A1"/>
    <w:rsid w:val="0B333027"/>
    <w:rsid w:val="0B5C3E34"/>
    <w:rsid w:val="0B7F7B23"/>
    <w:rsid w:val="0B9E0043"/>
    <w:rsid w:val="0BB63239"/>
    <w:rsid w:val="0C1B361A"/>
    <w:rsid w:val="0C75623D"/>
    <w:rsid w:val="0CCC6D98"/>
    <w:rsid w:val="0CF6273A"/>
    <w:rsid w:val="0D011EC0"/>
    <w:rsid w:val="0D3D5EE8"/>
    <w:rsid w:val="0D5D1466"/>
    <w:rsid w:val="0D67181D"/>
    <w:rsid w:val="0D990B37"/>
    <w:rsid w:val="0DF4504A"/>
    <w:rsid w:val="0E2772E2"/>
    <w:rsid w:val="0E3345D1"/>
    <w:rsid w:val="0E4D5376"/>
    <w:rsid w:val="0EA917EE"/>
    <w:rsid w:val="0EEB52EC"/>
    <w:rsid w:val="0F2154C8"/>
    <w:rsid w:val="0F60625B"/>
    <w:rsid w:val="0F726D5E"/>
    <w:rsid w:val="0F8C6CB2"/>
    <w:rsid w:val="0FB84C78"/>
    <w:rsid w:val="0FD04DF1"/>
    <w:rsid w:val="0FD0583E"/>
    <w:rsid w:val="0FE8038D"/>
    <w:rsid w:val="100D2627"/>
    <w:rsid w:val="10463305"/>
    <w:rsid w:val="10C055FF"/>
    <w:rsid w:val="10D309F1"/>
    <w:rsid w:val="10E0436E"/>
    <w:rsid w:val="11093E88"/>
    <w:rsid w:val="116C5FA3"/>
    <w:rsid w:val="11A43CB5"/>
    <w:rsid w:val="12366443"/>
    <w:rsid w:val="126172BA"/>
    <w:rsid w:val="127B44A2"/>
    <w:rsid w:val="12E06340"/>
    <w:rsid w:val="12FC31AA"/>
    <w:rsid w:val="13B011C1"/>
    <w:rsid w:val="13CA0AC8"/>
    <w:rsid w:val="147A532B"/>
    <w:rsid w:val="148514B5"/>
    <w:rsid w:val="1493300D"/>
    <w:rsid w:val="14F56DE4"/>
    <w:rsid w:val="15EE7D7F"/>
    <w:rsid w:val="15F12192"/>
    <w:rsid w:val="160B5ABA"/>
    <w:rsid w:val="16161084"/>
    <w:rsid w:val="161B48EC"/>
    <w:rsid w:val="16770D10"/>
    <w:rsid w:val="16842491"/>
    <w:rsid w:val="16917AAF"/>
    <w:rsid w:val="16BB723D"/>
    <w:rsid w:val="16DA0B4B"/>
    <w:rsid w:val="16F00ED4"/>
    <w:rsid w:val="16F35733"/>
    <w:rsid w:val="170B4235"/>
    <w:rsid w:val="17553ED8"/>
    <w:rsid w:val="178331BB"/>
    <w:rsid w:val="17CE7E68"/>
    <w:rsid w:val="17FF2717"/>
    <w:rsid w:val="186A4CB6"/>
    <w:rsid w:val="18BA4D45"/>
    <w:rsid w:val="19050E78"/>
    <w:rsid w:val="190538A8"/>
    <w:rsid w:val="195F3CB4"/>
    <w:rsid w:val="19763A42"/>
    <w:rsid w:val="19F945AB"/>
    <w:rsid w:val="1A295ED9"/>
    <w:rsid w:val="1A4C776A"/>
    <w:rsid w:val="1A7F369B"/>
    <w:rsid w:val="1A952356"/>
    <w:rsid w:val="1AC90DBB"/>
    <w:rsid w:val="1ACE5EE7"/>
    <w:rsid w:val="1B62610C"/>
    <w:rsid w:val="1BA11DBE"/>
    <w:rsid w:val="1BC33A5C"/>
    <w:rsid w:val="1BC712F3"/>
    <w:rsid w:val="1C0157E8"/>
    <w:rsid w:val="1C0368FA"/>
    <w:rsid w:val="1C113856"/>
    <w:rsid w:val="1C1C3CBE"/>
    <w:rsid w:val="1C4774AC"/>
    <w:rsid w:val="1C6F7740"/>
    <w:rsid w:val="1C747071"/>
    <w:rsid w:val="1C8A1AE9"/>
    <w:rsid w:val="1CA21935"/>
    <w:rsid w:val="1CBF0F54"/>
    <w:rsid w:val="1D0172CF"/>
    <w:rsid w:val="1D183933"/>
    <w:rsid w:val="1D4C33E9"/>
    <w:rsid w:val="1D734BC2"/>
    <w:rsid w:val="1DA453C5"/>
    <w:rsid w:val="1DB8698F"/>
    <w:rsid w:val="1DCA47FF"/>
    <w:rsid w:val="1DDF07A3"/>
    <w:rsid w:val="1DE42414"/>
    <w:rsid w:val="1E330D5C"/>
    <w:rsid w:val="1F0C3225"/>
    <w:rsid w:val="1F166CAD"/>
    <w:rsid w:val="1F7852C1"/>
    <w:rsid w:val="1F9A1603"/>
    <w:rsid w:val="2016568A"/>
    <w:rsid w:val="20340A84"/>
    <w:rsid w:val="20543B65"/>
    <w:rsid w:val="20660802"/>
    <w:rsid w:val="20D307A1"/>
    <w:rsid w:val="21026F3C"/>
    <w:rsid w:val="2103799D"/>
    <w:rsid w:val="21AD4F92"/>
    <w:rsid w:val="21D42C11"/>
    <w:rsid w:val="21ED5390"/>
    <w:rsid w:val="220A4192"/>
    <w:rsid w:val="22235A95"/>
    <w:rsid w:val="222373EF"/>
    <w:rsid w:val="222D074A"/>
    <w:rsid w:val="22AF0896"/>
    <w:rsid w:val="22FD3CF7"/>
    <w:rsid w:val="23874BE6"/>
    <w:rsid w:val="23C910A8"/>
    <w:rsid w:val="240371BF"/>
    <w:rsid w:val="240D7BC5"/>
    <w:rsid w:val="24635DDC"/>
    <w:rsid w:val="247E6772"/>
    <w:rsid w:val="24877D1C"/>
    <w:rsid w:val="24A7216D"/>
    <w:rsid w:val="24B1324D"/>
    <w:rsid w:val="24B76F46"/>
    <w:rsid w:val="24D25252"/>
    <w:rsid w:val="24DC2EA1"/>
    <w:rsid w:val="25295853"/>
    <w:rsid w:val="254E777D"/>
    <w:rsid w:val="258673AF"/>
    <w:rsid w:val="25E707F7"/>
    <w:rsid w:val="260558B0"/>
    <w:rsid w:val="263A337B"/>
    <w:rsid w:val="26612378"/>
    <w:rsid w:val="26666435"/>
    <w:rsid w:val="26A00E19"/>
    <w:rsid w:val="26B172D2"/>
    <w:rsid w:val="26F83F35"/>
    <w:rsid w:val="279C2907"/>
    <w:rsid w:val="27A97FAA"/>
    <w:rsid w:val="27BE4A5D"/>
    <w:rsid w:val="27DA4F84"/>
    <w:rsid w:val="28017DE6"/>
    <w:rsid w:val="283C0E1E"/>
    <w:rsid w:val="284D37F9"/>
    <w:rsid w:val="28616AD6"/>
    <w:rsid w:val="28662BB9"/>
    <w:rsid w:val="287E31E4"/>
    <w:rsid w:val="2958608A"/>
    <w:rsid w:val="297445E7"/>
    <w:rsid w:val="29B63325"/>
    <w:rsid w:val="29C2554C"/>
    <w:rsid w:val="29EA4E06"/>
    <w:rsid w:val="29FD04D3"/>
    <w:rsid w:val="2A257690"/>
    <w:rsid w:val="2A3E4394"/>
    <w:rsid w:val="2A475858"/>
    <w:rsid w:val="2A657BC2"/>
    <w:rsid w:val="2A863C09"/>
    <w:rsid w:val="2AAF1930"/>
    <w:rsid w:val="2ABE0ADA"/>
    <w:rsid w:val="2ACB6B89"/>
    <w:rsid w:val="2B0D1BFD"/>
    <w:rsid w:val="2B474184"/>
    <w:rsid w:val="2B4F70BA"/>
    <w:rsid w:val="2B516423"/>
    <w:rsid w:val="2BA2543C"/>
    <w:rsid w:val="2BBF39C9"/>
    <w:rsid w:val="2BC07233"/>
    <w:rsid w:val="2BE97E64"/>
    <w:rsid w:val="2C036327"/>
    <w:rsid w:val="2C275941"/>
    <w:rsid w:val="2C672279"/>
    <w:rsid w:val="2CA55ABB"/>
    <w:rsid w:val="2CCE400E"/>
    <w:rsid w:val="2DAC25A2"/>
    <w:rsid w:val="2DC34E71"/>
    <w:rsid w:val="2E8F75BB"/>
    <w:rsid w:val="2ECD5689"/>
    <w:rsid w:val="2EE4364A"/>
    <w:rsid w:val="2EE45BBD"/>
    <w:rsid w:val="2F092ED8"/>
    <w:rsid w:val="2F20292E"/>
    <w:rsid w:val="2F7D6D71"/>
    <w:rsid w:val="2F833C5E"/>
    <w:rsid w:val="2FAD6812"/>
    <w:rsid w:val="2FC16DE4"/>
    <w:rsid w:val="30184D8C"/>
    <w:rsid w:val="30405A22"/>
    <w:rsid w:val="30475DB2"/>
    <w:rsid w:val="30780C48"/>
    <w:rsid w:val="307903B1"/>
    <w:rsid w:val="30B509A3"/>
    <w:rsid w:val="30BD3CF4"/>
    <w:rsid w:val="30C55B0E"/>
    <w:rsid w:val="30FB68FF"/>
    <w:rsid w:val="311F12DD"/>
    <w:rsid w:val="31423060"/>
    <w:rsid w:val="316D7640"/>
    <w:rsid w:val="319551CC"/>
    <w:rsid w:val="319F7F4E"/>
    <w:rsid w:val="31C85D8D"/>
    <w:rsid w:val="31C91B6E"/>
    <w:rsid w:val="32121EC4"/>
    <w:rsid w:val="3230694E"/>
    <w:rsid w:val="32944916"/>
    <w:rsid w:val="332C7D4E"/>
    <w:rsid w:val="337771AE"/>
    <w:rsid w:val="33AA215C"/>
    <w:rsid w:val="33BF1FAA"/>
    <w:rsid w:val="33E4723E"/>
    <w:rsid w:val="33EC25EA"/>
    <w:rsid w:val="34C45FB2"/>
    <w:rsid w:val="34CD641D"/>
    <w:rsid w:val="35711FD2"/>
    <w:rsid w:val="35DE0D9F"/>
    <w:rsid w:val="35DF1DC3"/>
    <w:rsid w:val="36252EF1"/>
    <w:rsid w:val="364D70D8"/>
    <w:rsid w:val="368239A3"/>
    <w:rsid w:val="36BE5CD6"/>
    <w:rsid w:val="36FB64FE"/>
    <w:rsid w:val="37ED3BC6"/>
    <w:rsid w:val="37F904E8"/>
    <w:rsid w:val="38060B00"/>
    <w:rsid w:val="385156A3"/>
    <w:rsid w:val="386531AE"/>
    <w:rsid w:val="38830CAC"/>
    <w:rsid w:val="38926838"/>
    <w:rsid w:val="38D21F6E"/>
    <w:rsid w:val="39110095"/>
    <w:rsid w:val="39202096"/>
    <w:rsid w:val="39432B08"/>
    <w:rsid w:val="3A02117F"/>
    <w:rsid w:val="3A1F043C"/>
    <w:rsid w:val="3A285BA6"/>
    <w:rsid w:val="3A2A31CC"/>
    <w:rsid w:val="3AEC7550"/>
    <w:rsid w:val="3AF0626F"/>
    <w:rsid w:val="3AF45588"/>
    <w:rsid w:val="3B363EA0"/>
    <w:rsid w:val="3B590826"/>
    <w:rsid w:val="3B79050B"/>
    <w:rsid w:val="3BA10975"/>
    <w:rsid w:val="3BC51569"/>
    <w:rsid w:val="3BC63EA0"/>
    <w:rsid w:val="3BD056AD"/>
    <w:rsid w:val="3BDB42A9"/>
    <w:rsid w:val="3C120CA5"/>
    <w:rsid w:val="3C5F2ED5"/>
    <w:rsid w:val="3CEA438B"/>
    <w:rsid w:val="3D1F34ED"/>
    <w:rsid w:val="3D254AA6"/>
    <w:rsid w:val="3D4C34A8"/>
    <w:rsid w:val="3D6C48C0"/>
    <w:rsid w:val="3D8B6752"/>
    <w:rsid w:val="3DA037A5"/>
    <w:rsid w:val="3DE2791A"/>
    <w:rsid w:val="3DE36FEC"/>
    <w:rsid w:val="3DE80734"/>
    <w:rsid w:val="3DEF33E4"/>
    <w:rsid w:val="3E344619"/>
    <w:rsid w:val="3E6D3160"/>
    <w:rsid w:val="3E720C9E"/>
    <w:rsid w:val="3E8A31A2"/>
    <w:rsid w:val="3F012022"/>
    <w:rsid w:val="3F6470F9"/>
    <w:rsid w:val="3F67457A"/>
    <w:rsid w:val="40403EA9"/>
    <w:rsid w:val="40E165AE"/>
    <w:rsid w:val="410236AA"/>
    <w:rsid w:val="41742367"/>
    <w:rsid w:val="41F71606"/>
    <w:rsid w:val="41F9275B"/>
    <w:rsid w:val="42310E70"/>
    <w:rsid w:val="430A1DED"/>
    <w:rsid w:val="43AD2D63"/>
    <w:rsid w:val="43C75FCF"/>
    <w:rsid w:val="4425481C"/>
    <w:rsid w:val="4447792F"/>
    <w:rsid w:val="44585541"/>
    <w:rsid w:val="4464334A"/>
    <w:rsid w:val="44651978"/>
    <w:rsid w:val="44900789"/>
    <w:rsid w:val="44A27F0F"/>
    <w:rsid w:val="44A818BD"/>
    <w:rsid w:val="44D206E8"/>
    <w:rsid w:val="44D55476"/>
    <w:rsid w:val="44DE5E0D"/>
    <w:rsid w:val="45087433"/>
    <w:rsid w:val="45113E8C"/>
    <w:rsid w:val="452E1696"/>
    <w:rsid w:val="459B4B29"/>
    <w:rsid w:val="45A42D22"/>
    <w:rsid w:val="4600257C"/>
    <w:rsid w:val="462B6F7C"/>
    <w:rsid w:val="46305236"/>
    <w:rsid w:val="46444CA4"/>
    <w:rsid w:val="46BE34E7"/>
    <w:rsid w:val="46C978C9"/>
    <w:rsid w:val="46D30CFB"/>
    <w:rsid w:val="47120417"/>
    <w:rsid w:val="4779533E"/>
    <w:rsid w:val="47BA7D25"/>
    <w:rsid w:val="47C35282"/>
    <w:rsid w:val="47D76157"/>
    <w:rsid w:val="47E562EF"/>
    <w:rsid w:val="48010673"/>
    <w:rsid w:val="480237C0"/>
    <w:rsid w:val="48B34DE1"/>
    <w:rsid w:val="48DF33D4"/>
    <w:rsid w:val="48FB0953"/>
    <w:rsid w:val="491A56D9"/>
    <w:rsid w:val="493A68E9"/>
    <w:rsid w:val="49425710"/>
    <w:rsid w:val="49543DC1"/>
    <w:rsid w:val="49774C46"/>
    <w:rsid w:val="49962188"/>
    <w:rsid w:val="49EE6E87"/>
    <w:rsid w:val="4A6A4F1F"/>
    <w:rsid w:val="4AB66842"/>
    <w:rsid w:val="4AB86B18"/>
    <w:rsid w:val="4AEF3676"/>
    <w:rsid w:val="4B0A1D54"/>
    <w:rsid w:val="4B241012"/>
    <w:rsid w:val="4B5F346F"/>
    <w:rsid w:val="4B6C54B6"/>
    <w:rsid w:val="4BBE3774"/>
    <w:rsid w:val="4BD262FF"/>
    <w:rsid w:val="4C5B7D23"/>
    <w:rsid w:val="4C715CE7"/>
    <w:rsid w:val="4D441182"/>
    <w:rsid w:val="4D4B0A94"/>
    <w:rsid w:val="4D4F3A52"/>
    <w:rsid w:val="4D707FFE"/>
    <w:rsid w:val="4DB3585A"/>
    <w:rsid w:val="4E092269"/>
    <w:rsid w:val="4E0D1C22"/>
    <w:rsid w:val="4E5C54C6"/>
    <w:rsid w:val="4E7A75BE"/>
    <w:rsid w:val="4E984B10"/>
    <w:rsid w:val="4EB90223"/>
    <w:rsid w:val="4ECE2238"/>
    <w:rsid w:val="4EFB4CDF"/>
    <w:rsid w:val="4F0E02C1"/>
    <w:rsid w:val="4F18763F"/>
    <w:rsid w:val="4F5A383F"/>
    <w:rsid w:val="4F6E3703"/>
    <w:rsid w:val="4F7D0C6B"/>
    <w:rsid w:val="50855B82"/>
    <w:rsid w:val="50A1286C"/>
    <w:rsid w:val="50E247B4"/>
    <w:rsid w:val="51167555"/>
    <w:rsid w:val="5156397E"/>
    <w:rsid w:val="516717E4"/>
    <w:rsid w:val="518B5EA5"/>
    <w:rsid w:val="5192129A"/>
    <w:rsid w:val="51F638A3"/>
    <w:rsid w:val="520E6AD8"/>
    <w:rsid w:val="52A54DFD"/>
    <w:rsid w:val="52B90B5A"/>
    <w:rsid w:val="52BD164F"/>
    <w:rsid w:val="52CA1F01"/>
    <w:rsid w:val="52CD5618"/>
    <w:rsid w:val="534C4BB5"/>
    <w:rsid w:val="536D5E88"/>
    <w:rsid w:val="53755FED"/>
    <w:rsid w:val="5392346A"/>
    <w:rsid w:val="53DF6281"/>
    <w:rsid w:val="54040192"/>
    <w:rsid w:val="543B1AEC"/>
    <w:rsid w:val="54406721"/>
    <w:rsid w:val="545C7FCE"/>
    <w:rsid w:val="54857525"/>
    <w:rsid w:val="54B41EB6"/>
    <w:rsid w:val="54C840AA"/>
    <w:rsid w:val="54D61DED"/>
    <w:rsid w:val="54DB15D7"/>
    <w:rsid w:val="55940062"/>
    <w:rsid w:val="56625829"/>
    <w:rsid w:val="57405C41"/>
    <w:rsid w:val="57544F8D"/>
    <w:rsid w:val="576A186B"/>
    <w:rsid w:val="57C53ED7"/>
    <w:rsid w:val="57ED3220"/>
    <w:rsid w:val="581206DE"/>
    <w:rsid w:val="58332D0B"/>
    <w:rsid w:val="584E40D2"/>
    <w:rsid w:val="590B249C"/>
    <w:rsid w:val="5961532E"/>
    <w:rsid w:val="596C2A61"/>
    <w:rsid w:val="59FE5684"/>
    <w:rsid w:val="5A597744"/>
    <w:rsid w:val="5A647B9C"/>
    <w:rsid w:val="5AD33E06"/>
    <w:rsid w:val="5AE725D9"/>
    <w:rsid w:val="5AFE7F6B"/>
    <w:rsid w:val="5B025D53"/>
    <w:rsid w:val="5B140904"/>
    <w:rsid w:val="5B24736C"/>
    <w:rsid w:val="5B6060F2"/>
    <w:rsid w:val="5B6E411E"/>
    <w:rsid w:val="5C05719D"/>
    <w:rsid w:val="5C166CB5"/>
    <w:rsid w:val="5C286247"/>
    <w:rsid w:val="5C614932"/>
    <w:rsid w:val="5C852AE5"/>
    <w:rsid w:val="5C896961"/>
    <w:rsid w:val="5CB53FD1"/>
    <w:rsid w:val="5D53655F"/>
    <w:rsid w:val="5DE71B75"/>
    <w:rsid w:val="5E2A3B29"/>
    <w:rsid w:val="5E381A8A"/>
    <w:rsid w:val="5E557003"/>
    <w:rsid w:val="5E7555DF"/>
    <w:rsid w:val="5E83181A"/>
    <w:rsid w:val="5E8F2D4E"/>
    <w:rsid w:val="5EB45738"/>
    <w:rsid w:val="5EB94BF5"/>
    <w:rsid w:val="5EE140E7"/>
    <w:rsid w:val="5F050AA1"/>
    <w:rsid w:val="5F1917F3"/>
    <w:rsid w:val="5FC657DD"/>
    <w:rsid w:val="60514A1D"/>
    <w:rsid w:val="606275C2"/>
    <w:rsid w:val="608A48AD"/>
    <w:rsid w:val="60B82D68"/>
    <w:rsid w:val="611214B4"/>
    <w:rsid w:val="617F7164"/>
    <w:rsid w:val="61E94AAC"/>
    <w:rsid w:val="61F549C1"/>
    <w:rsid w:val="61FA2B4F"/>
    <w:rsid w:val="621621FE"/>
    <w:rsid w:val="62210161"/>
    <w:rsid w:val="62260D99"/>
    <w:rsid w:val="625D43F5"/>
    <w:rsid w:val="6276786E"/>
    <w:rsid w:val="62D93A21"/>
    <w:rsid w:val="63430958"/>
    <w:rsid w:val="63B81CCF"/>
    <w:rsid w:val="64203F13"/>
    <w:rsid w:val="642D031A"/>
    <w:rsid w:val="644B41C7"/>
    <w:rsid w:val="64587C66"/>
    <w:rsid w:val="64A86497"/>
    <w:rsid w:val="64C63D5F"/>
    <w:rsid w:val="65066DF6"/>
    <w:rsid w:val="65207F1C"/>
    <w:rsid w:val="65450B1C"/>
    <w:rsid w:val="657008EE"/>
    <w:rsid w:val="65743324"/>
    <w:rsid w:val="6598698C"/>
    <w:rsid w:val="65B9717C"/>
    <w:rsid w:val="65DD20EE"/>
    <w:rsid w:val="666B4F3D"/>
    <w:rsid w:val="66B9577F"/>
    <w:rsid w:val="66CB6980"/>
    <w:rsid w:val="670963AD"/>
    <w:rsid w:val="671A63CB"/>
    <w:rsid w:val="671C5C0C"/>
    <w:rsid w:val="677B47B7"/>
    <w:rsid w:val="6793252D"/>
    <w:rsid w:val="67D11C12"/>
    <w:rsid w:val="688B5020"/>
    <w:rsid w:val="68FE018F"/>
    <w:rsid w:val="6901315B"/>
    <w:rsid w:val="6931512E"/>
    <w:rsid w:val="6959011D"/>
    <w:rsid w:val="69612B39"/>
    <w:rsid w:val="69AB1384"/>
    <w:rsid w:val="69AF284A"/>
    <w:rsid w:val="69D141AC"/>
    <w:rsid w:val="6A4033A0"/>
    <w:rsid w:val="6A624C42"/>
    <w:rsid w:val="6B146D21"/>
    <w:rsid w:val="6B8A6D77"/>
    <w:rsid w:val="6B90226A"/>
    <w:rsid w:val="6BA208B3"/>
    <w:rsid w:val="6BC73637"/>
    <w:rsid w:val="6C2E26DB"/>
    <w:rsid w:val="6C344421"/>
    <w:rsid w:val="6C3951F9"/>
    <w:rsid w:val="6C400DED"/>
    <w:rsid w:val="6C7628B8"/>
    <w:rsid w:val="6CC17684"/>
    <w:rsid w:val="6D1D2CF5"/>
    <w:rsid w:val="6D341004"/>
    <w:rsid w:val="6D846FBC"/>
    <w:rsid w:val="6D8F68C7"/>
    <w:rsid w:val="6D9C609D"/>
    <w:rsid w:val="6DF578D0"/>
    <w:rsid w:val="6E3D156E"/>
    <w:rsid w:val="6E6910B0"/>
    <w:rsid w:val="6E833036"/>
    <w:rsid w:val="6F215C44"/>
    <w:rsid w:val="6F2856E0"/>
    <w:rsid w:val="6F320876"/>
    <w:rsid w:val="6F3C2A7E"/>
    <w:rsid w:val="6F3F3A91"/>
    <w:rsid w:val="6F457B85"/>
    <w:rsid w:val="6F4D6A39"/>
    <w:rsid w:val="6F547DC8"/>
    <w:rsid w:val="6F5A3FE2"/>
    <w:rsid w:val="6F5F1F11"/>
    <w:rsid w:val="6F6D03D1"/>
    <w:rsid w:val="6F8D32DA"/>
    <w:rsid w:val="6FAF152A"/>
    <w:rsid w:val="6FC968FE"/>
    <w:rsid w:val="70207AAC"/>
    <w:rsid w:val="711144A7"/>
    <w:rsid w:val="7140061E"/>
    <w:rsid w:val="7182710E"/>
    <w:rsid w:val="71A863FB"/>
    <w:rsid w:val="72075644"/>
    <w:rsid w:val="72243351"/>
    <w:rsid w:val="723B701D"/>
    <w:rsid w:val="72734D90"/>
    <w:rsid w:val="728D32E8"/>
    <w:rsid w:val="729837A7"/>
    <w:rsid w:val="72CD6775"/>
    <w:rsid w:val="72DC417A"/>
    <w:rsid w:val="7304185E"/>
    <w:rsid w:val="73246E8B"/>
    <w:rsid w:val="73697BBA"/>
    <w:rsid w:val="737722D7"/>
    <w:rsid w:val="73C10302"/>
    <w:rsid w:val="73D96AEE"/>
    <w:rsid w:val="74021175"/>
    <w:rsid w:val="7463550A"/>
    <w:rsid w:val="74FC62F8"/>
    <w:rsid w:val="750676B8"/>
    <w:rsid w:val="75072F75"/>
    <w:rsid w:val="755B5DCD"/>
    <w:rsid w:val="762208BE"/>
    <w:rsid w:val="76713BA5"/>
    <w:rsid w:val="768C22EE"/>
    <w:rsid w:val="76912E91"/>
    <w:rsid w:val="769D2054"/>
    <w:rsid w:val="76A50E7A"/>
    <w:rsid w:val="76CC7942"/>
    <w:rsid w:val="77216EC3"/>
    <w:rsid w:val="773F310C"/>
    <w:rsid w:val="776B1C7F"/>
    <w:rsid w:val="77E52B87"/>
    <w:rsid w:val="780D32CE"/>
    <w:rsid w:val="782642CC"/>
    <w:rsid w:val="784E2D87"/>
    <w:rsid w:val="78631218"/>
    <w:rsid w:val="78A7489E"/>
    <w:rsid w:val="78ED0288"/>
    <w:rsid w:val="79546740"/>
    <w:rsid w:val="797A2D67"/>
    <w:rsid w:val="79DD26B2"/>
    <w:rsid w:val="79F30242"/>
    <w:rsid w:val="7A023763"/>
    <w:rsid w:val="7A673F00"/>
    <w:rsid w:val="7ACB2997"/>
    <w:rsid w:val="7B0C59FB"/>
    <w:rsid w:val="7BA67044"/>
    <w:rsid w:val="7BE349AD"/>
    <w:rsid w:val="7C9F1BBB"/>
    <w:rsid w:val="7CAA6FB2"/>
    <w:rsid w:val="7CB71996"/>
    <w:rsid w:val="7CE4105E"/>
    <w:rsid w:val="7D68403E"/>
    <w:rsid w:val="7D947CF3"/>
    <w:rsid w:val="7DBF0B02"/>
    <w:rsid w:val="7DD65E4C"/>
    <w:rsid w:val="7DEC7621"/>
    <w:rsid w:val="7E0975CF"/>
    <w:rsid w:val="7E6A3164"/>
    <w:rsid w:val="7EA31836"/>
    <w:rsid w:val="7EE057AB"/>
    <w:rsid w:val="7F4734A5"/>
    <w:rsid w:val="7F4A6AF1"/>
    <w:rsid w:val="7F5C6021"/>
    <w:rsid w:val="7FA56256"/>
    <w:rsid w:val="7FDC5C54"/>
    <w:rsid w:val="DFFF617C"/>
    <w:rsid w:val="F937952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9"/>
    <w:pPr>
      <w:keepNext/>
      <w:keepLines/>
      <w:spacing w:before="340" w:after="330" w:line="578" w:lineRule="auto"/>
      <w:outlineLvl w:val="0"/>
    </w:pPr>
    <w:rPr>
      <w:rFonts w:ascii="Times New Roman" w:hAnsi="Times New Roman" w:eastAsia="黑体"/>
      <w:b/>
      <w:bCs/>
      <w:kern w:val="44"/>
      <w:sz w:val="44"/>
      <w:szCs w:val="44"/>
    </w:rPr>
  </w:style>
  <w:style w:type="paragraph" w:styleId="3">
    <w:name w:val="heading 2"/>
    <w:basedOn w:val="1"/>
    <w:next w:val="1"/>
    <w:link w:val="4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5">
    <w:name w:val="caption"/>
    <w:basedOn w:val="1"/>
    <w:next w:val="1"/>
    <w:unhideWhenUsed/>
    <w:qFormat/>
    <w:uiPriority w:val="35"/>
    <w:rPr>
      <w:rFonts w:eastAsia="黑体" w:asciiTheme="majorHAnsi" w:hAnsiTheme="majorHAnsi" w:cstheme="majorBidi"/>
      <w:sz w:val="20"/>
      <w:szCs w:val="20"/>
    </w:rPr>
  </w:style>
  <w:style w:type="paragraph" w:styleId="6">
    <w:name w:val="annotation text"/>
    <w:basedOn w:val="1"/>
    <w:semiHidden/>
    <w:unhideWhenUsed/>
    <w:qFormat/>
    <w:uiPriority w:val="99"/>
    <w:pPr>
      <w:jc w:val="left"/>
    </w:pPr>
  </w:style>
  <w:style w:type="paragraph" w:styleId="7">
    <w:name w:val="Body Text"/>
    <w:basedOn w:val="1"/>
    <w:next w:val="1"/>
    <w:link w:val="29"/>
    <w:qFormat/>
    <w:uiPriority w:val="99"/>
    <w:pPr>
      <w:spacing w:beforeLines="30"/>
    </w:pPr>
    <w:rPr>
      <w:rFonts w:ascii="仿宋_GB2312" w:eastAsia="仿宋_GB2312"/>
      <w:kern w:val="0"/>
      <w:sz w:val="30"/>
    </w:rPr>
  </w:style>
  <w:style w:type="paragraph" w:styleId="8">
    <w:name w:val="Body Text Indent"/>
    <w:basedOn w:val="1"/>
    <w:next w:val="9"/>
    <w:link w:val="47"/>
    <w:qFormat/>
    <w:uiPriority w:val="0"/>
    <w:pPr>
      <w:spacing w:after="120" w:afterLines="0"/>
      <w:ind w:left="420" w:leftChars="200"/>
    </w:pPr>
  </w:style>
  <w:style w:type="paragraph" w:styleId="9">
    <w:name w:val="Body Text First Indent 2"/>
    <w:basedOn w:val="8"/>
    <w:link w:val="48"/>
    <w:qFormat/>
    <w:uiPriority w:val="0"/>
    <w:pPr>
      <w:keepNext w:val="0"/>
      <w:keepLines w:val="0"/>
      <w:widowControl w:val="0"/>
      <w:suppressLineNumbers w:val="0"/>
      <w:spacing w:before="0" w:beforeAutospacing="0" w:after="120" w:afterAutospacing="0"/>
      <w:ind w:left="0" w:leftChars="200" w:right="0" w:firstLine="420" w:firstLineChars="200"/>
      <w:jc w:val="both"/>
    </w:pPr>
    <w:rPr>
      <w:rFonts w:hint="eastAsia" w:ascii="仿宋_GB2312" w:hAnsi="Calibri" w:eastAsia="仿宋_GB2312" w:cs="Times New Roman"/>
      <w:kern w:val="2"/>
      <w:sz w:val="32"/>
      <w:szCs w:val="32"/>
      <w:lang w:val="en-US" w:eastAsia="zh-CN" w:bidi="ar"/>
    </w:rPr>
  </w:style>
  <w:style w:type="paragraph" w:styleId="10">
    <w:name w:val="toc 3"/>
    <w:basedOn w:val="1"/>
    <w:next w:val="1"/>
    <w:unhideWhenUsed/>
    <w:qFormat/>
    <w:uiPriority w:val="39"/>
    <w:pPr>
      <w:tabs>
        <w:tab w:val="right" w:leader="dot" w:pos="8296"/>
      </w:tabs>
      <w:ind w:left="840" w:leftChars="400"/>
    </w:pPr>
  </w:style>
  <w:style w:type="paragraph" w:styleId="11">
    <w:name w:val="Plain Text"/>
    <w:basedOn w:val="1"/>
    <w:next w:val="1"/>
    <w:qFormat/>
    <w:uiPriority w:val="99"/>
    <w:rPr>
      <w:rFonts w:ascii="宋体" w:hAnsi="Courier New" w:cs="宋体"/>
      <w:sz w:val="32"/>
      <w:szCs w:val="32"/>
    </w:rPr>
  </w:style>
  <w:style w:type="paragraph" w:styleId="12">
    <w:name w:val="Balloon Text"/>
    <w:basedOn w:val="1"/>
    <w:link w:val="35"/>
    <w:semiHidden/>
    <w:unhideWhenUsed/>
    <w:qFormat/>
    <w:uiPriority w:val="99"/>
    <w:rPr>
      <w:sz w:val="18"/>
      <w:szCs w:val="18"/>
    </w:rPr>
  </w:style>
  <w:style w:type="paragraph" w:styleId="13">
    <w:name w:val="footer"/>
    <w:basedOn w:val="1"/>
    <w:next w:val="1"/>
    <w:link w:val="27"/>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footnote text"/>
    <w:basedOn w:val="1"/>
    <w:next w:val="9"/>
    <w:link w:val="46"/>
    <w:qFormat/>
    <w:uiPriority w:val="0"/>
    <w:pPr>
      <w:keepNext w:val="0"/>
      <w:keepLines w:val="0"/>
      <w:widowControl w:val="0"/>
      <w:suppressLineNumbers w:val="0"/>
      <w:snapToGrid w:val="0"/>
      <w:spacing w:before="0" w:beforeAutospacing="0" w:after="0" w:afterAutospacing="0"/>
      <w:ind w:left="0" w:right="0"/>
      <w:jc w:val="left"/>
    </w:pPr>
    <w:rPr>
      <w:rFonts w:hint="default" w:ascii="Calibri" w:hAnsi="Calibri" w:eastAsia="仿宋_GB2312" w:cs="Times New Roman"/>
      <w:kern w:val="2"/>
      <w:sz w:val="18"/>
      <w:szCs w:val="18"/>
      <w:lang w:val="en-US" w:eastAsia="zh-CN" w:bidi="ar"/>
    </w:rPr>
  </w:style>
  <w:style w:type="paragraph" w:styleId="17">
    <w:name w:val="toc 2"/>
    <w:basedOn w:val="1"/>
    <w:next w:val="1"/>
    <w:unhideWhenUsed/>
    <w:qFormat/>
    <w:uiPriority w:val="39"/>
    <w:pPr>
      <w:tabs>
        <w:tab w:val="right" w:leader="dot" w:pos="8296"/>
      </w:tabs>
      <w:ind w:left="420" w:leftChars="200"/>
    </w:p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paragraph" w:customStyle="1" w:styleId="23">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4">
    <w:name w:val="Header Char"/>
    <w:basedOn w:val="20"/>
    <w:semiHidden/>
    <w:qFormat/>
    <w:uiPriority w:val="99"/>
    <w:rPr>
      <w:rFonts w:ascii="Times New Roman" w:hAnsi="Times New Roman"/>
      <w:sz w:val="18"/>
      <w:szCs w:val="18"/>
    </w:rPr>
  </w:style>
  <w:style w:type="character" w:customStyle="1" w:styleId="25">
    <w:name w:val="页眉 Char"/>
    <w:link w:val="14"/>
    <w:semiHidden/>
    <w:qFormat/>
    <w:locked/>
    <w:uiPriority w:val="99"/>
    <w:rPr>
      <w:sz w:val="18"/>
    </w:rPr>
  </w:style>
  <w:style w:type="character" w:customStyle="1" w:styleId="26">
    <w:name w:val="Footer Char"/>
    <w:basedOn w:val="20"/>
    <w:semiHidden/>
    <w:qFormat/>
    <w:uiPriority w:val="99"/>
    <w:rPr>
      <w:rFonts w:ascii="Times New Roman" w:hAnsi="Times New Roman"/>
      <w:sz w:val="18"/>
      <w:szCs w:val="18"/>
    </w:rPr>
  </w:style>
  <w:style w:type="character" w:customStyle="1" w:styleId="27">
    <w:name w:val="页脚 Char"/>
    <w:link w:val="13"/>
    <w:qFormat/>
    <w:locked/>
    <w:uiPriority w:val="99"/>
    <w:rPr>
      <w:sz w:val="18"/>
    </w:rPr>
  </w:style>
  <w:style w:type="character" w:customStyle="1" w:styleId="28">
    <w:name w:val="Body Text Char"/>
    <w:basedOn w:val="20"/>
    <w:semiHidden/>
    <w:qFormat/>
    <w:uiPriority w:val="99"/>
    <w:rPr>
      <w:rFonts w:ascii="Times New Roman" w:hAnsi="Times New Roman"/>
      <w:szCs w:val="24"/>
    </w:rPr>
  </w:style>
  <w:style w:type="character" w:customStyle="1" w:styleId="29">
    <w:name w:val="正文文本 Char"/>
    <w:link w:val="7"/>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Char"/>
    <w:basedOn w:val="20"/>
    <w:link w:val="2"/>
    <w:qFormat/>
    <w:uiPriority w:val="9"/>
    <w:rPr>
      <w:rFonts w:ascii="Times New Roman" w:hAnsi="Times New Roman" w:eastAsia="黑体"/>
      <w:b/>
      <w:bCs/>
      <w:kern w:val="44"/>
      <w:sz w:val="44"/>
      <w:szCs w:val="44"/>
    </w:rPr>
  </w:style>
  <w:style w:type="character" w:customStyle="1" w:styleId="33">
    <w:name w:val="标题 2 Char"/>
    <w:basedOn w:val="20"/>
    <w:link w:val="3"/>
    <w:qFormat/>
    <w:uiPriority w:val="9"/>
    <w:rPr>
      <w:rFonts w:asciiTheme="majorHAnsi" w:hAnsiTheme="majorHAnsi" w:eastAsiaTheme="majorEastAsia" w:cstheme="majorBidi"/>
      <w:b/>
      <w:bCs/>
      <w:kern w:val="2"/>
      <w:sz w:val="32"/>
      <w:szCs w:val="32"/>
    </w:rPr>
  </w:style>
  <w:style w:type="paragraph" w:customStyle="1" w:styleId="34">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0"/>
    <w:link w:val="12"/>
    <w:semiHidden/>
    <w:qFormat/>
    <w:uiPriority w:val="99"/>
    <w:rPr>
      <w:rFonts w:ascii="Times New Roman" w:hAnsi="Times New Roman"/>
      <w:kern w:val="2"/>
      <w:sz w:val="18"/>
      <w:szCs w:val="18"/>
    </w:rPr>
  </w:style>
  <w:style w:type="character" w:customStyle="1" w:styleId="36">
    <w:name w:val="标题 3 Char"/>
    <w:basedOn w:val="20"/>
    <w:link w:val="4"/>
    <w:qFormat/>
    <w:uiPriority w:val="9"/>
    <w:rPr>
      <w:rFonts w:ascii="Times New Roman" w:hAnsi="Times New Roman"/>
      <w:b/>
      <w:bCs/>
      <w:kern w:val="2"/>
      <w:sz w:val="32"/>
      <w:szCs w:val="32"/>
    </w:rPr>
  </w:style>
  <w:style w:type="paragraph" w:customStyle="1" w:styleId="37">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普通(网站)1"/>
    <w:basedOn w:val="1"/>
    <w:qFormat/>
    <w:uiPriority w:val="0"/>
    <w:pPr>
      <w:spacing w:before="100" w:beforeAutospacing="1" w:after="100" w:afterAutospacing="1"/>
    </w:pPr>
  </w:style>
  <w:style w:type="paragraph" w:customStyle="1" w:styleId="39">
    <w:name w:val="列出段落1"/>
    <w:basedOn w:val="1"/>
    <w:qFormat/>
    <w:uiPriority w:val="34"/>
    <w:pPr>
      <w:ind w:firstLine="420" w:firstLineChars="200"/>
    </w:pPr>
  </w:style>
  <w:style w:type="paragraph" w:customStyle="1" w:styleId="40">
    <w:name w:val="WPSOffice手动目录 1"/>
    <w:qFormat/>
    <w:uiPriority w:val="0"/>
    <w:pPr>
      <w:ind w:leftChars="0"/>
    </w:pPr>
    <w:rPr>
      <w:rFonts w:ascii="Calibri" w:hAnsi="Calibri" w:eastAsia="宋体" w:cs="Times New Roman"/>
      <w:sz w:val="20"/>
      <w:szCs w:val="20"/>
    </w:rPr>
  </w:style>
  <w:style w:type="paragraph" w:customStyle="1" w:styleId="41">
    <w:name w:val="WPSOffice手动目录 2"/>
    <w:qFormat/>
    <w:uiPriority w:val="0"/>
    <w:pPr>
      <w:ind w:leftChars="200"/>
    </w:pPr>
    <w:rPr>
      <w:rFonts w:ascii="Calibri" w:hAnsi="Calibri" w:eastAsia="宋体" w:cs="Times New Roman"/>
      <w:sz w:val="20"/>
      <w:szCs w:val="20"/>
    </w:rPr>
  </w:style>
  <w:style w:type="character" w:customStyle="1" w:styleId="42">
    <w:name w:val=" Char Char5"/>
    <w:basedOn w:val="20"/>
    <w:link w:val="3"/>
    <w:qFormat/>
    <w:locked/>
    <w:uiPriority w:val="9"/>
    <w:rPr>
      <w:rFonts w:ascii="Cambria" w:hAnsi="Cambria" w:eastAsia="宋体" w:cs="Times New Roman"/>
      <w:b/>
      <w:bCs/>
      <w:kern w:val="2"/>
      <w:sz w:val="32"/>
      <w:szCs w:val="32"/>
    </w:rPr>
  </w:style>
  <w:style w:type="character" w:customStyle="1" w:styleId="43">
    <w:name w:val="font21"/>
    <w:basedOn w:val="20"/>
    <w:qFormat/>
    <w:uiPriority w:val="0"/>
    <w:rPr>
      <w:rFonts w:ascii="Arial" w:hAnsi="Arial" w:cs="Arial"/>
      <w:color w:val="000000"/>
      <w:sz w:val="20"/>
      <w:szCs w:val="20"/>
      <w:u w:val="none"/>
    </w:rPr>
  </w:style>
  <w:style w:type="paragraph" w:customStyle="1" w:styleId="44">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45">
    <w:name w:val="font71"/>
    <w:basedOn w:val="20"/>
    <w:qFormat/>
    <w:uiPriority w:val="0"/>
    <w:rPr>
      <w:rFonts w:ascii="Arial" w:hAnsi="Arial" w:cs="Arial"/>
      <w:color w:val="000000"/>
      <w:sz w:val="18"/>
      <w:szCs w:val="18"/>
      <w:u w:val="none"/>
    </w:rPr>
  </w:style>
  <w:style w:type="character" w:customStyle="1" w:styleId="46">
    <w:name w:val="脚注文本 Char"/>
    <w:basedOn w:val="20"/>
    <w:link w:val="16"/>
    <w:qFormat/>
    <w:uiPriority w:val="0"/>
    <w:rPr>
      <w:rFonts w:hint="eastAsia" w:ascii="仿宋_GB2312" w:eastAsia="仿宋_GB2312" w:cs="仿宋_GB2312"/>
      <w:kern w:val="2"/>
      <w:sz w:val="18"/>
      <w:szCs w:val="18"/>
    </w:rPr>
  </w:style>
  <w:style w:type="character" w:customStyle="1" w:styleId="47">
    <w:name w:val="正文文本缩进 Char"/>
    <w:basedOn w:val="20"/>
    <w:link w:val="8"/>
    <w:qFormat/>
    <w:uiPriority w:val="0"/>
    <w:rPr>
      <w:rFonts w:hint="eastAsia" w:ascii="仿宋_GB2312" w:eastAsia="仿宋_GB2312" w:cs="仿宋_GB2312"/>
      <w:kern w:val="2"/>
      <w:sz w:val="32"/>
      <w:szCs w:val="24"/>
    </w:rPr>
  </w:style>
  <w:style w:type="character" w:customStyle="1" w:styleId="48">
    <w:name w:val="正文首行缩进 2 Char"/>
    <w:basedOn w:val="47"/>
    <w:link w:val="9"/>
    <w:qFormat/>
    <w:uiPriority w:val="0"/>
    <w:rPr>
      <w:rFonts w:hint="eastAsia" w:ascii="仿宋_GB2312" w:eastAsia="仿宋_GB2312" w:cs="仿宋_GB2312"/>
      <w:kern w:val="2"/>
      <w:sz w:val="32"/>
      <w:szCs w:val="32"/>
    </w:rPr>
  </w:style>
  <w:style w:type="paragraph" w:customStyle="1" w:styleId="49">
    <w:name w:val="页脚1"/>
    <w:basedOn w:val="1"/>
    <w:qFormat/>
    <w:uiPriority w:val="99"/>
    <w:pPr>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7.xml"/><Relationship Id="rId21" Type="http://schemas.openxmlformats.org/officeDocument/2006/relationships/chart" Target="charts/chart6.xml"/><Relationship Id="rId20" Type="http://schemas.openxmlformats.org/officeDocument/2006/relationships/chart" Target="charts/chart5.xml"/><Relationship Id="rId2" Type="http://schemas.openxmlformats.org/officeDocument/2006/relationships/settings" Target="settings.xml"/><Relationship Id="rId19" Type="http://schemas.openxmlformats.org/officeDocument/2006/relationships/chart" Target="charts/chart4.xml"/><Relationship Id="rId18" Type="http://schemas.openxmlformats.org/officeDocument/2006/relationships/chart" Target="charts/chart3.xml"/><Relationship Id="rId17" Type="http://schemas.openxmlformats.org/officeDocument/2006/relationships/chart" Target="charts/chart2.xml"/><Relationship Id="rId16" Type="http://schemas.openxmlformats.org/officeDocument/2006/relationships/chart" Target="charts/chart1.xml"/><Relationship Id="rId15" Type="http://schemas.openxmlformats.org/officeDocument/2006/relationships/theme" Target="theme/theme1.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858840669864"/>
          <c:y val="0.124079895418478"/>
          <c:w val="0.871141159330136"/>
          <c:h val="0.647561081891791"/>
        </c:manualLayout>
      </c:layout>
      <c:barChart>
        <c:barDir val="col"/>
        <c:grouping val="clustered"/>
        <c:varyColors val="0"/>
        <c:ser>
          <c:idx val="0"/>
          <c:order val="0"/>
          <c:tx>
            <c:strRef>
              <c:f>Sheet1!$B$1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Sheet1!$B$2:$B$5</c:f>
              <c:numCache>
                <c:formatCode>General</c:formatCode>
                <c:ptCount val="4"/>
                <c:pt idx="0">
                  <c:v>480.48</c:v>
                </c:pt>
                <c:pt idx="1">
                  <c:v>480.48</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Sheet1!$C$2:$C$5</c:f>
              <c:numCache>
                <c:formatCode>General</c:formatCode>
                <c:ptCount val="4"/>
                <c:pt idx="0">
                  <c:v>462.06</c:v>
                </c:pt>
                <c:pt idx="1">
                  <c:v>462.06</c:v>
                </c:pt>
              </c:numCache>
            </c:numRef>
          </c:val>
        </c:ser>
        <c:dLbls>
          <c:showLegendKey val="0"/>
          <c:showVal val="1"/>
          <c:showCatName val="0"/>
          <c:showSerName val="0"/>
          <c:showPercent val="0"/>
          <c:showBubbleSize val="0"/>
        </c:dLbls>
        <c:gapWidth val="75"/>
        <c:overlap val="-25"/>
        <c:axId val="123022720"/>
        <c:axId val="123028608"/>
      </c:barChart>
      <c:catAx>
        <c:axId val="12302272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3028608"/>
        <c:crosses val="autoZero"/>
        <c:auto val="1"/>
        <c:lblAlgn val="ctr"/>
        <c:lblOffset val="100"/>
        <c:noMultiLvlLbl val="0"/>
      </c:catAx>
      <c:valAx>
        <c:axId val="123028608"/>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302272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2d69e074-805c-4d24-bc38-2cccf428dac8}"/>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3239988146643"/>
          <c:y val="0.0905974558058294"/>
          <c:w val="0.323360638387944"/>
          <c:h val="0.558839291430035"/>
        </c:manualLayout>
      </c:layout>
      <c:pieChart>
        <c:varyColors val="1"/>
        <c:ser>
          <c:idx val="0"/>
          <c:order val="0"/>
          <c:tx>
            <c:strRef>
              <c:f>Sheet1!$B$1</c:f>
              <c:strCache>
                <c:ptCount val="1"/>
                <c:pt idx="0">
                  <c:v>列1</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一般公共预算财政拨款收入</c:v>
                </c:pt>
              </c:strCache>
            </c:strRef>
          </c:cat>
          <c:val>
            <c:numRef>
              <c:f>Sheet1!$B$2</c:f>
              <c:numCache>
                <c:formatCode>0.00%</c:formatCode>
                <c:ptCount val="1"/>
                <c:pt idx="0">
                  <c:v>1</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b5295f04-ee75-4196-bfde-abbc373bbf3a}"/>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0.00%</c:formatCode>
                <c:ptCount val="2"/>
                <c:pt idx="0">
                  <c:v>0.8023</c:v>
                </c:pt>
                <c:pt idx="1">
                  <c:v>0.197698135198135</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405e4f72-4253-4fc7-ab6b-a34f8c95f008}"/>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3668101778341"/>
          <c:y val="0.17555994689853"/>
          <c:w val="0.871141159330137"/>
          <c:h val="0.647561081891791"/>
        </c:manualLayout>
      </c:layout>
      <c:barChart>
        <c:barDir val="col"/>
        <c:grouping val="clustered"/>
        <c:varyColors val="0"/>
        <c:ser>
          <c:idx val="0"/>
          <c:order val="0"/>
          <c:tx>
            <c:strRef>
              <c:f>Sheet1!$B$1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Sheet1!$B$2:$B$5</c:f>
              <c:numCache>
                <c:formatCode>General</c:formatCode>
                <c:ptCount val="4"/>
                <c:pt idx="0">
                  <c:v>480.48</c:v>
                </c:pt>
                <c:pt idx="1">
                  <c:v>480.48</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Sheet1!$C$2:$C$5</c:f>
              <c:numCache>
                <c:formatCode>General</c:formatCode>
                <c:ptCount val="4"/>
                <c:pt idx="0">
                  <c:v>462.06</c:v>
                </c:pt>
                <c:pt idx="1">
                  <c:v>462.06</c:v>
                </c:pt>
              </c:numCache>
            </c:numRef>
          </c:val>
        </c:ser>
        <c:dLbls>
          <c:showLegendKey val="0"/>
          <c:showVal val="1"/>
          <c:showCatName val="0"/>
          <c:showSerName val="0"/>
          <c:showPercent val="0"/>
          <c:showBubbleSize val="0"/>
        </c:dLbls>
        <c:gapWidth val="75"/>
        <c:overlap val="-25"/>
        <c:axId val="129960192"/>
        <c:axId val="129970176"/>
      </c:barChart>
      <c:catAx>
        <c:axId val="12996019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9970176"/>
        <c:crosses val="autoZero"/>
        <c:auto val="1"/>
        <c:lblAlgn val="ctr"/>
        <c:lblOffset val="100"/>
        <c:noMultiLvlLbl val="0"/>
      </c:catAx>
      <c:valAx>
        <c:axId val="129970176"/>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9960192"/>
        <c:crosses val="autoZero"/>
        <c:crossBetween val="between"/>
      </c:valAx>
    </c:plotArea>
    <c:legend>
      <c:legendPos val="b"/>
      <c:layout>
        <c:manualLayout>
          <c:xMode val="edge"/>
          <c:yMode val="edge"/>
          <c:x val="0.498565870534375"/>
          <c:y val="0.906909068798833"/>
          <c:w val="0.274524530587523"/>
          <c:h val="0.093090931201167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606ca1f-f233-4898-825b-8e01b6388c02}"/>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一般公共预算财政拨款支出</a:t>
            </a:r>
            <a:endParaRPr lang="zh-CN" altLang="en-US"/>
          </a:p>
        </c:rich>
      </c:tx>
      <c:layout>
        <c:manualLayout>
          <c:xMode val="edge"/>
          <c:yMode val="edge"/>
          <c:x val="0.191198891198891"/>
          <c:y val="0.00823045267489712"/>
        </c:manualLayout>
      </c:layout>
      <c:overlay val="0"/>
    </c:title>
    <c:autoTitleDeleted val="0"/>
    <c:plotArea>
      <c:layout/>
      <c:barChart>
        <c:barDir val="col"/>
        <c:grouping val="clustered"/>
        <c:varyColors val="0"/>
        <c:ser>
          <c:idx val="0"/>
          <c:order val="0"/>
          <c:tx>
            <c:strRef>
              <c:f>Sheet1!$B$1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4"/>
              </c:numCache>
            </c:numRef>
          </c:cat>
          <c:val>
            <c:numRef>
              <c:f>Sheet1!$B$2:$B$5</c:f>
              <c:numCache>
                <c:formatCode>#,##0.00_ </c:formatCode>
                <c:ptCount val="4"/>
                <c:pt idx="0">
                  <c:v>480.48</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4"/>
              </c:numCache>
            </c:numRef>
          </c:cat>
          <c:val>
            <c:numRef>
              <c:f>Sheet1!$C$2:$C$5</c:f>
              <c:numCache>
                <c:formatCode>#,##0.00_ </c:formatCode>
                <c:ptCount val="4"/>
                <c:pt idx="0">
                  <c:v>462.06</c:v>
                </c:pt>
              </c:numCache>
            </c:numRef>
          </c:val>
        </c:ser>
        <c:dLbls>
          <c:showLegendKey val="0"/>
          <c:showVal val="1"/>
          <c:showCatName val="0"/>
          <c:showSerName val="0"/>
          <c:showPercent val="0"/>
          <c:showBubbleSize val="0"/>
        </c:dLbls>
        <c:gapWidth val="75"/>
        <c:overlap val="-25"/>
        <c:axId val="130000384"/>
        <c:axId val="130001920"/>
      </c:barChart>
      <c:catAx>
        <c:axId val="130000384"/>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0001920"/>
        <c:crosses val="autoZero"/>
        <c:auto val="1"/>
        <c:lblAlgn val="ctr"/>
        <c:lblOffset val="100"/>
        <c:noMultiLvlLbl val="0"/>
      </c:catAx>
      <c:valAx>
        <c:axId val="130001920"/>
        <c:scaling>
          <c:orientation val="minMax"/>
        </c:scaling>
        <c:delete val="0"/>
        <c:axPos val="l"/>
        <c:majorGridlines/>
        <c:numFmt formatCode="#,##0.00_ "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0000384"/>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da23010-82f1-4aa8-9ebd-5f067fe6b951}"/>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Lbls>
            <c:dLbl>
              <c:idx val="1"/>
              <c:layout>
                <c:manualLayout>
                  <c:x val="-0.00711014476267789"/>
                  <c:y val="0.026533604444519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2459167992602"/>
                  <c:y val="-0.0099470848150059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730221805175908"/>
                  <c:y val="0.0098952679458757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一般公共服务</c:v>
                </c:pt>
                <c:pt idx="1">
                  <c:v>社会保障和就业</c:v>
                </c:pt>
                <c:pt idx="2">
                  <c:v>卫生健康支出</c:v>
                </c:pt>
                <c:pt idx="3">
                  <c:v>住房保障支出</c:v>
                </c:pt>
              </c:strCache>
            </c:strRef>
          </c:cat>
          <c:val>
            <c:numRef>
              <c:f>Sheet1!$B$2:$B$5</c:f>
              <c:numCache>
                <c:formatCode>0.00%</c:formatCode>
                <c:ptCount val="4"/>
                <c:pt idx="0">
                  <c:v>0.80779637029637</c:v>
                </c:pt>
                <c:pt idx="1">
                  <c:v>0.0887445887445887</c:v>
                </c:pt>
                <c:pt idx="2">
                  <c:v>0.0430611055611056</c:v>
                </c:pt>
                <c:pt idx="3">
                  <c:v>0.0603979353979354</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4fa6ba5a-30da-405c-9095-1d60c11d463a}"/>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Lbls>
            <c:dLbl>
              <c:idx val="0"/>
              <c:delete val="1"/>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2" c:formatCode="0.00%">
                  <c:v>1</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57663220072439"/>
          <c:y val="0.259266437849115"/>
          <c:w val="0.321274739306236"/>
          <c:h val="0.56384722937670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f2962f62-27cc-4268-a85b-9dcf190125aa}"/>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48</Pages>
  <Words>5426</Words>
  <Characters>5903</Characters>
  <Lines>7</Lines>
  <Paragraphs>17</Paragraphs>
  <TotalTime>5</TotalTime>
  <ScaleCrop>false</ScaleCrop>
  <LinksUpToDate>false</LinksUpToDate>
  <CharactersWithSpaces>6093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2020-08-04T17:49:00Z</dcterms:created>
  <dc:creator>曹颖</dc:creator>
  <cp:lastModifiedBy>Administrator</cp:lastModifiedBy>
  <cp:lastPrinted>2025-08-22T16:12:00Z</cp:lastPrinted>
  <dcterms:modified xsi:type="dcterms:W3CDTF">2025-08-27T01:46:00Z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DCC9C8A1001B4559BBF57EBE15442D70_13</vt:lpwstr>
  </property>
  <property fmtid="{D5CDD505-2E9C-101B-9397-08002B2CF9AE}" pid="4" name="KSOTemplateDocerSaveRecord">
    <vt:lpwstr>eyJoZGlkIjoiZGM4NjUzNDA1NDkyY2MxZmJmZThlN2U3ZTFkMjcwOGYifQ==</vt:lpwstr>
  </property>
</Properties>
</file>