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52FB">
      <w:pPr>
        <w:spacing w:line="600" w:lineRule="exact"/>
        <w:jc w:val="center"/>
        <w:outlineLvl w:val="9"/>
        <w:rPr>
          <w:rFonts w:ascii="方正小标宋简体" w:hAnsi="宋体" w:eastAsia="方正小标宋简体"/>
          <w:sz w:val="72"/>
          <w:szCs w:val="72"/>
        </w:rPr>
      </w:pPr>
      <w:bookmarkStart w:id="0" w:name="_Toc15378441"/>
      <w:bookmarkStart w:id="1" w:name="_Toc15377425"/>
      <w:bookmarkStart w:id="2" w:name="_Toc15377193"/>
      <w:bookmarkStart w:id="3" w:name="_Toc15396597"/>
      <w:bookmarkStart w:id="4" w:name="_Toc15396475"/>
      <w:bookmarkStart w:id="5" w:name="_Toc15306267"/>
    </w:p>
    <w:p w14:paraId="617D6E56">
      <w:pPr>
        <w:pStyle w:val="2"/>
        <w:spacing w:before="93"/>
      </w:pPr>
    </w:p>
    <w:p w14:paraId="377414C2">
      <w:pPr>
        <w:spacing w:line="600" w:lineRule="exact"/>
        <w:jc w:val="center"/>
        <w:outlineLvl w:val="9"/>
        <w:rPr>
          <w:rFonts w:ascii="方正小标宋简体" w:hAnsi="宋体" w:eastAsia="方正小标宋简体"/>
          <w:sz w:val="72"/>
          <w:szCs w:val="72"/>
        </w:rPr>
      </w:pPr>
    </w:p>
    <w:p w14:paraId="14D7F27B">
      <w:pPr>
        <w:spacing w:line="600" w:lineRule="exact"/>
        <w:jc w:val="center"/>
        <w:outlineLvl w:val="9"/>
        <w:rPr>
          <w:rFonts w:ascii="方正小标宋简体" w:hAnsi="宋体" w:eastAsia="方正小标宋简体"/>
          <w:sz w:val="72"/>
          <w:szCs w:val="72"/>
        </w:rPr>
      </w:pPr>
    </w:p>
    <w:p w14:paraId="66C03EDB">
      <w:pPr>
        <w:pStyle w:val="2"/>
        <w:spacing w:before="93"/>
        <w:jc w:val="center"/>
        <w:rPr>
          <w:rFonts w:hint="eastAsia" w:ascii="Times New Roman" w:hAnsi="Times New Roman" w:eastAsia="方正小标宋简体" w:cs="Times New Roman"/>
          <w:kern w:val="2"/>
          <w:sz w:val="44"/>
          <w:szCs w:val="44"/>
        </w:rPr>
      </w:pPr>
      <w:bookmarkStart w:id="6" w:name="_Toc4027"/>
      <w:r>
        <w:rPr>
          <w:rFonts w:hint="eastAsia" w:ascii="Times New Roman" w:hAnsi="Times New Roman" w:eastAsia="方正小标宋简体" w:cs="Times New Roman"/>
          <w:kern w:val="2"/>
          <w:sz w:val="44"/>
          <w:szCs w:val="44"/>
        </w:rPr>
        <w:t>202</w:t>
      </w:r>
      <w:r>
        <w:rPr>
          <w:rFonts w:hint="eastAsia" w:ascii="Times New Roman" w:hAnsi="Times New Roman" w:eastAsia="方正小标宋简体" w:cs="Times New Roman"/>
          <w:kern w:val="2"/>
          <w:sz w:val="44"/>
          <w:szCs w:val="44"/>
          <w:lang w:val="en-US" w:eastAsia="zh-CN"/>
        </w:rPr>
        <w:t>4</w:t>
      </w:r>
      <w:r>
        <w:rPr>
          <w:rFonts w:hint="eastAsia" w:ascii="Times New Roman" w:hAnsi="Times New Roman" w:eastAsia="方正小标宋简体" w:cs="Times New Roman"/>
          <w:kern w:val="2"/>
          <w:sz w:val="44"/>
          <w:szCs w:val="44"/>
        </w:rPr>
        <w:t>年度</w:t>
      </w:r>
      <w:bookmarkEnd w:id="0"/>
      <w:bookmarkEnd w:id="1"/>
      <w:bookmarkEnd w:id="2"/>
      <w:bookmarkEnd w:id="3"/>
      <w:bookmarkEnd w:id="4"/>
      <w:bookmarkEnd w:id="6"/>
    </w:p>
    <w:p w14:paraId="71E31D5C">
      <w:pPr>
        <w:pStyle w:val="2"/>
        <w:spacing w:before="93"/>
        <w:jc w:val="center"/>
        <w:rPr>
          <w:rFonts w:hint="eastAsia" w:ascii="Times New Roman" w:hAnsi="Times New Roman" w:eastAsia="方正小标宋简体" w:cs="Times New Roman"/>
          <w:kern w:val="2"/>
          <w:sz w:val="44"/>
          <w:szCs w:val="44"/>
          <w:lang w:val="en-US" w:eastAsia="zh-CN"/>
        </w:rPr>
      </w:pPr>
      <w:bookmarkStart w:id="7" w:name="_Toc15378442"/>
      <w:bookmarkStart w:id="8" w:name="_Toc15377426"/>
      <w:bookmarkStart w:id="9" w:name="_Toc30805"/>
      <w:bookmarkStart w:id="10" w:name="_Toc15396598"/>
      <w:bookmarkStart w:id="11" w:name="_Toc15396476"/>
      <w:bookmarkStart w:id="12" w:name="_Toc15377194"/>
      <w:r>
        <w:rPr>
          <w:rFonts w:hint="eastAsia" w:ascii="Times New Roman" w:hAnsi="Times New Roman" w:eastAsia="方正小标宋简体" w:cs="Times New Roman"/>
          <w:kern w:val="2"/>
          <w:sz w:val="44"/>
          <w:szCs w:val="44"/>
        </w:rPr>
        <w:t>四川省</w:t>
      </w:r>
      <w:bookmarkEnd w:id="5"/>
      <w:bookmarkStart w:id="13" w:name="_Toc15306268"/>
      <w:r>
        <w:rPr>
          <w:rFonts w:hint="eastAsia" w:ascii="Times New Roman" w:hAnsi="Times New Roman" w:eastAsia="方正小标宋简体" w:cs="Times New Roman"/>
          <w:kern w:val="2"/>
          <w:sz w:val="44"/>
          <w:szCs w:val="44"/>
          <w:lang w:val="en-US" w:eastAsia="zh-CN"/>
        </w:rPr>
        <w:t>遂宁市安居区第四小学校</w:t>
      </w:r>
    </w:p>
    <w:p w14:paraId="22F1880B">
      <w:pPr>
        <w:pStyle w:val="2"/>
        <w:spacing w:before="93"/>
        <w:jc w:val="center"/>
        <w:rPr>
          <w:rFonts w:hint="default"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部门</w:t>
      </w:r>
      <w:r>
        <w:rPr>
          <w:rFonts w:hint="eastAsia" w:ascii="Times New Roman" w:hAnsi="Times New Roman" w:eastAsia="方正小标宋简体" w:cs="Times New Roman"/>
          <w:kern w:val="2"/>
          <w:sz w:val="44"/>
          <w:szCs w:val="44"/>
        </w:rPr>
        <w:t>决算</w:t>
      </w:r>
      <w:bookmarkEnd w:id="7"/>
      <w:bookmarkEnd w:id="8"/>
      <w:bookmarkEnd w:id="9"/>
      <w:bookmarkEnd w:id="10"/>
      <w:bookmarkEnd w:id="11"/>
      <w:bookmarkEnd w:id="12"/>
      <w:bookmarkEnd w:id="13"/>
    </w:p>
    <w:p w14:paraId="7D6A65EB">
      <w:pPr>
        <w:pStyle w:val="2"/>
        <w:spacing w:before="93"/>
        <w:jc w:val="center"/>
        <w:rPr>
          <w:rFonts w:hint="eastAsia" w:ascii="Times New Roman" w:hAnsi="Times New Roman" w:eastAsia="方正小标宋简体" w:cs="Times New Roman"/>
          <w:kern w:val="2"/>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41239BFB">
      <w:pPr>
        <w:tabs>
          <w:tab w:val="right" w:leader="dot" w:pos="8296"/>
        </w:tabs>
        <w:adjustRightInd w:val="0"/>
        <w:snapToGrid w:val="0"/>
        <w:spacing w:line="560" w:lineRule="exact"/>
        <w:ind w:firstLine="883" w:firstLineChars="200"/>
        <w:jc w:val="center"/>
        <w:rPr>
          <w:rFonts w:hint="eastAsia" w:ascii="Times New Roman" w:hAnsi="Times New Roman" w:eastAsia="仿宋_GB2312" w:cs="仿宋_GB2312"/>
          <w:sz w:val="32"/>
          <w:szCs w:val="32"/>
        </w:rPr>
      </w:pPr>
      <w:r>
        <w:rPr>
          <w:rFonts w:hint="eastAsia" w:ascii="黑体" w:hAnsi="黑体" w:eastAsia="黑体" w:cs="黑体"/>
          <w:b/>
          <w:bCs/>
          <w:sz w:val="44"/>
          <w:szCs w:val="44"/>
        </w:rPr>
        <w:t>目录</w:t>
      </w:r>
    </w:p>
    <w:p w14:paraId="375C4A28">
      <w:pPr>
        <w:widowControl/>
        <w:jc w:val="center"/>
        <w:rPr>
          <w:rFonts w:hint="eastAsia" w:ascii="宋体" w:hAnsi="宋体" w:cs="宋体"/>
          <w:sz w:val="28"/>
          <w:szCs w:val="28"/>
        </w:rPr>
      </w:pPr>
      <w:r>
        <w:rPr>
          <w:rFonts w:hint="eastAsia" w:ascii="宋体" w:hAnsi="宋体" w:cs="宋体"/>
          <w:sz w:val="48"/>
          <w:szCs w:val="48"/>
        </w:rPr>
        <w:fldChar w:fldCharType="begin"/>
      </w:r>
      <w:r>
        <w:rPr>
          <w:rFonts w:hint="eastAsia" w:ascii="宋体" w:hAnsi="宋体" w:cs="宋体"/>
          <w:sz w:val="48"/>
          <w:szCs w:val="48"/>
        </w:rPr>
        <w:instrText xml:space="preserve"> TOC \o "1-2" \h \z \u </w:instrText>
      </w:r>
      <w:r>
        <w:rPr>
          <w:rFonts w:hint="eastAsia" w:ascii="宋体" w:hAnsi="宋体" w:cs="宋体"/>
          <w:sz w:val="48"/>
          <w:szCs w:val="48"/>
        </w:rPr>
        <w:fldChar w:fldCharType="separate"/>
      </w:r>
    </w:p>
    <w:p w14:paraId="452301DF">
      <w:pPr>
        <w:tabs>
          <w:tab w:val="right" w:leader="dot" w:pos="8296"/>
        </w:tabs>
        <w:adjustRightInd w:val="0"/>
        <w:snapToGrid w:val="0"/>
        <w:spacing w:line="560" w:lineRule="exact"/>
        <w:ind w:firstLine="2240" w:firstLineChars="7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eastAsia="仿宋_GB2312" w:cs="仿宋_GB2312"/>
          <w:sz w:val="32"/>
          <w:szCs w:val="32"/>
          <w:lang w:val="en-US" w:eastAsia="zh-CN"/>
        </w:rPr>
        <w:t>7</w:t>
      </w:r>
      <w:r>
        <w:rPr>
          <w:rFonts w:hint="eastAsia" w:ascii="Times New Roman" w:hAnsi="Times New Roman" w:eastAsia="仿宋_GB2312" w:cs="仿宋_GB2312"/>
          <w:sz w:val="32"/>
          <w:szCs w:val="32"/>
        </w:rPr>
        <w:t>日</w:t>
      </w:r>
      <w:bookmarkStart w:id="75" w:name="_GoBack"/>
      <w:bookmarkEnd w:id="75"/>
    </w:p>
    <w:p w14:paraId="650015AB">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sz w:val="32"/>
          <w:szCs w:val="32"/>
        </w:rPr>
      </w:pPr>
    </w:p>
    <w:p w14:paraId="5882E22F">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第一部分 部门概况</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rPr>
        <w:t>1</w:t>
      </w:r>
    </w:p>
    <w:p w14:paraId="6C9B36CD">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一、部门职责</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rPr>
        <w:t>1</w:t>
      </w:r>
    </w:p>
    <w:p w14:paraId="03E5CBEE">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二、机构设置</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1</w:t>
      </w:r>
    </w:p>
    <w:p w14:paraId="4EA0D3FC">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第二部分 2024年度部门决算情况说明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2</w:t>
      </w:r>
    </w:p>
    <w:p w14:paraId="2AB46BB2">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一、收入支出决算总体情况说明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2</w:t>
      </w:r>
    </w:p>
    <w:p w14:paraId="024F927E">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二、收入决算情况说明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2</w:t>
      </w:r>
    </w:p>
    <w:p w14:paraId="399790D6">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三、支出决算情况说明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3</w:t>
      </w:r>
    </w:p>
    <w:p w14:paraId="252BC7D0">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四、财政拨款收入支出决算总体情况说明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3</w:t>
      </w:r>
    </w:p>
    <w:p w14:paraId="4DDBEF9F">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五、一般公共预算财政拨款支出决算情况说明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4</w:t>
      </w:r>
    </w:p>
    <w:p w14:paraId="1472A394">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六、一般公共预算财政拨款基本支出决算情况说明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6</w:t>
      </w:r>
    </w:p>
    <w:p w14:paraId="250445EB">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七、财政拨款“三公”经费支出决算情况说明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7</w:t>
      </w:r>
    </w:p>
    <w:p w14:paraId="63368654">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八、政府性基金预算支出决算情况说明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8</w:t>
      </w:r>
    </w:p>
    <w:p w14:paraId="2ED91169">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九、国有资本经营预算支出决算情况说明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8</w:t>
      </w:r>
    </w:p>
    <w:p w14:paraId="75448F61">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十、其他重要事项的情况说明</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8</w:t>
      </w:r>
    </w:p>
    <w:p w14:paraId="24DF8F69">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第三部分 名词解释</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11</w:t>
      </w:r>
    </w:p>
    <w:p w14:paraId="6D1BD463">
      <w:pPr>
        <w:tabs>
          <w:tab w:val="right" w:leader="dot" w:pos="8296"/>
        </w:tabs>
        <w:adjustRightInd w:val="0"/>
        <w:snapToGrid w:val="0"/>
        <w:spacing w:line="560" w:lineRule="exact"/>
        <w:ind w:firstLine="640" w:firstLineChars="200"/>
        <w:jc w:val="left"/>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rPr>
        <w:t>第四部分 附件</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rPr>
        <w:t>1</w:t>
      </w:r>
      <w:r>
        <w:rPr>
          <w:rFonts w:hint="eastAsia" w:eastAsia="仿宋_GB2312" w:cs="仿宋_GB2312"/>
          <w:b w:val="0"/>
          <w:bCs w:val="0"/>
          <w:sz w:val="32"/>
          <w:szCs w:val="32"/>
          <w:lang w:val="en-US" w:eastAsia="zh-CN"/>
        </w:rPr>
        <w:t>4</w:t>
      </w:r>
    </w:p>
    <w:p w14:paraId="662BA2D0">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第五部分 附表</w:t>
      </w:r>
      <w:r>
        <w:rPr>
          <w:rFonts w:hint="eastAsia" w:ascii="Times New Roman" w:hAnsi="Times New Roman" w:eastAsia="仿宋_GB2312" w:cs="仿宋_GB2312"/>
          <w:b w:val="0"/>
          <w:bCs w:val="0"/>
          <w:sz w:val="32"/>
          <w:szCs w:val="32"/>
        </w:rPr>
        <w:tab/>
      </w:r>
      <w:r>
        <w:rPr>
          <w:rFonts w:hint="eastAsia" w:ascii="Times New Roman" w:hAnsi="Times New Roman" w:eastAsia="仿宋_GB2312" w:cs="仿宋_GB2312"/>
          <w:b w:val="0"/>
          <w:bCs w:val="0"/>
          <w:sz w:val="32"/>
          <w:szCs w:val="32"/>
          <w:lang w:val="en-US" w:eastAsia="zh-CN"/>
        </w:rPr>
        <w:t>2</w:t>
      </w:r>
      <w:r>
        <w:rPr>
          <w:rFonts w:hint="eastAsia" w:eastAsia="仿宋_GB2312" w:cs="仿宋_GB2312"/>
          <w:b w:val="0"/>
          <w:bCs w:val="0"/>
          <w:sz w:val="32"/>
          <w:szCs w:val="32"/>
          <w:lang w:val="en-US" w:eastAsia="zh-CN"/>
        </w:rPr>
        <w:t>2</w:t>
      </w:r>
    </w:p>
    <w:p w14:paraId="3A72CF29">
      <w:pPr>
        <w:tabs>
          <w:tab w:val="right" w:leader="dot" w:pos="8296"/>
        </w:tabs>
        <w:adjustRightInd w:val="0"/>
        <w:snapToGrid w:val="0"/>
        <w:spacing w:line="560" w:lineRule="exact"/>
        <w:ind w:firstLine="640" w:firstLineChars="200"/>
        <w:jc w:val="left"/>
        <w:rPr>
          <w:rFonts w:hint="default"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一、收入支出决算总表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4911CEE2">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二、收入决算表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708188D6">
      <w:pPr>
        <w:tabs>
          <w:tab w:val="right" w:leader="dot" w:pos="8296"/>
        </w:tabs>
        <w:adjustRightInd w:val="0"/>
        <w:snapToGrid w:val="0"/>
        <w:spacing w:line="560" w:lineRule="exact"/>
        <w:ind w:firstLine="640" w:firstLineChars="200"/>
        <w:jc w:val="left"/>
        <w:rPr>
          <w:rFonts w:hint="default"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三、支出决算表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250816B2">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四、财政拨款收入支出决算总表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1B3C1081">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五、财政拨款支出决算明细表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72990A24">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六、一般公共预算财政拨款支出决算表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5A8C6B16">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七、一般公共预算财政拨款支出决算明细表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12FCC818">
      <w:pPr>
        <w:tabs>
          <w:tab w:val="right" w:leader="dot" w:pos="8296"/>
        </w:tabs>
        <w:adjustRightInd w:val="0"/>
        <w:snapToGrid w:val="0"/>
        <w:spacing w:line="560" w:lineRule="exact"/>
        <w:ind w:firstLine="640" w:firstLineChars="200"/>
        <w:jc w:val="left"/>
        <w:rPr>
          <w:rFonts w:hint="default"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八、一般公共预算财政拨款基本支出决算明细表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6B440A28">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九、一般公共预算财政拨款项目支出决算表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3713C84A">
      <w:pPr>
        <w:tabs>
          <w:tab w:val="right" w:leader="dot" w:pos="8296"/>
        </w:tabs>
        <w:adjustRightInd w:val="0"/>
        <w:snapToGrid w:val="0"/>
        <w:spacing w:line="560" w:lineRule="exact"/>
        <w:ind w:firstLine="640" w:firstLineChars="200"/>
        <w:jc w:val="left"/>
        <w:rPr>
          <w:rFonts w:hint="default"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十、政府性基金预算财政拨款收入支出决算表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7261407A">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十一、国有资本经营预算财政拨款收入支出决算表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1FE9DAC9">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十二、国有资本经营预算财政拨款支出决算表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42E4C4F7">
      <w:pPr>
        <w:tabs>
          <w:tab w:val="right" w:leader="dot" w:pos="8296"/>
        </w:tabs>
        <w:adjustRightInd w:val="0"/>
        <w:snapToGrid w:val="0"/>
        <w:spacing w:line="560" w:lineRule="exact"/>
        <w:ind w:firstLine="640" w:firstLineChars="200"/>
        <w:jc w:val="left"/>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rPr>
        <w:t>十三、财政拨款“三公”经费支出决算表</w:t>
      </w:r>
      <w:r>
        <w:rPr>
          <w:rFonts w:hint="eastAsia" w:ascii="Times New Roman" w:hAnsi="Times New Roman" w:eastAsia="仿宋_GB2312" w:cs="仿宋_GB2312"/>
          <w:b w:val="0"/>
          <w:bCs w:val="0"/>
          <w:sz w:val="32"/>
          <w:szCs w:val="32"/>
        </w:rPr>
        <w:tab/>
      </w:r>
      <w:r>
        <w:rPr>
          <w:rFonts w:hint="eastAsia" w:eastAsia="仿宋_GB2312" w:cs="仿宋_GB2312"/>
          <w:b w:val="0"/>
          <w:bCs w:val="0"/>
          <w:sz w:val="32"/>
          <w:szCs w:val="32"/>
          <w:lang w:val="en-US" w:eastAsia="zh-CN"/>
        </w:rPr>
        <w:t>22</w:t>
      </w:r>
    </w:p>
    <w:p w14:paraId="6711D1D0">
      <w:pPr>
        <w:pStyle w:val="2"/>
        <w:adjustRightInd w:val="0"/>
        <w:snapToGrid w:val="0"/>
        <w:spacing w:before="93" w:line="600" w:lineRule="exact"/>
        <w:ind w:firstLine="672" w:firstLineChars="210"/>
        <w:outlineLvl w:val="2"/>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fldChar w:fldCharType="begin"/>
      </w:r>
      <w:r>
        <w:rPr>
          <w:rFonts w:hint="eastAsia" w:ascii="仿宋" w:hAnsi="仿宋" w:eastAsia="仿宋"/>
          <w:b w:val="0"/>
          <w:bCs w:val="0"/>
          <w:color w:val="000000"/>
          <w:sz w:val="32"/>
          <w:szCs w:val="32"/>
          <w:lang w:eastAsia="zh-CN"/>
        </w:rPr>
        <w:instrText xml:space="preserve"> HYPERLINK \l "_Toc15396607" </w:instrText>
      </w:r>
      <w:r>
        <w:rPr>
          <w:rFonts w:hint="eastAsia" w:ascii="仿宋" w:hAnsi="仿宋" w:eastAsia="仿宋"/>
          <w:b w:val="0"/>
          <w:bCs w:val="0"/>
          <w:color w:val="000000"/>
          <w:sz w:val="32"/>
          <w:szCs w:val="32"/>
          <w:lang w:eastAsia="zh-CN"/>
        </w:rPr>
        <w:fldChar w:fldCharType="separate"/>
      </w:r>
      <w:r>
        <w:rPr>
          <w:rFonts w:hint="eastAsia" w:ascii="仿宋" w:hAnsi="仿宋" w:eastAsia="仿宋"/>
          <w:b w:val="0"/>
          <w:bCs w:val="0"/>
          <w:color w:val="000000"/>
          <w:sz w:val="32"/>
          <w:szCs w:val="32"/>
          <w:lang w:eastAsia="zh-CN"/>
        </w:rPr>
        <w:fldChar w:fldCharType="end"/>
      </w:r>
    </w:p>
    <w:p w14:paraId="4902D546">
      <w:pPr>
        <w:pStyle w:val="2"/>
        <w:rPr>
          <w:rFonts w:hint="eastAsia"/>
          <w:sz w:val="24"/>
        </w:rPr>
      </w:pPr>
      <w:r>
        <w:rPr>
          <w:rFonts w:hint="eastAsia" w:ascii="宋体" w:hAnsi="宋体" w:cs="宋体"/>
          <w:sz w:val="24"/>
        </w:rPr>
        <w:fldChar w:fldCharType="end"/>
      </w:r>
    </w:p>
    <w:p w14:paraId="023B95FA">
      <w:pPr>
        <w:pStyle w:val="2"/>
        <w:rPr>
          <w:rFonts w:hint="eastAsia"/>
          <w:sz w:val="24"/>
        </w:rPr>
      </w:pPr>
    </w:p>
    <w:p w14:paraId="6047AC79">
      <w:pPr>
        <w:pStyle w:val="2"/>
        <w:rPr>
          <w:rFonts w:hint="eastAsia"/>
          <w:sz w:val="24"/>
        </w:rPr>
      </w:pPr>
    </w:p>
    <w:p w14:paraId="22E0AAC1">
      <w:pPr>
        <w:pStyle w:val="2"/>
        <w:rPr>
          <w:rFonts w:hint="eastAsia"/>
          <w:sz w:val="24"/>
        </w:rPr>
      </w:pPr>
    </w:p>
    <w:p w14:paraId="1F9786A6">
      <w:pPr>
        <w:pStyle w:val="2"/>
        <w:rPr>
          <w:rFonts w:hint="eastAsia"/>
          <w:sz w:val="24"/>
        </w:rPr>
      </w:pPr>
    </w:p>
    <w:p w14:paraId="794BB579">
      <w:pPr>
        <w:pStyle w:val="2"/>
        <w:rPr>
          <w:rFonts w:hint="eastAsia"/>
          <w:sz w:val="24"/>
        </w:rPr>
      </w:pPr>
    </w:p>
    <w:p w14:paraId="55A71E55">
      <w:pPr>
        <w:pStyle w:val="2"/>
        <w:rPr>
          <w:rFonts w:hint="eastAsia"/>
          <w:sz w:val="24"/>
        </w:rPr>
      </w:pPr>
    </w:p>
    <w:p w14:paraId="7B925136">
      <w:pPr>
        <w:pStyle w:val="2"/>
        <w:rPr>
          <w:rFonts w:hint="eastAsia"/>
          <w:sz w:val="24"/>
        </w:rPr>
      </w:pPr>
    </w:p>
    <w:p w14:paraId="07134A65">
      <w:pPr>
        <w:pStyle w:val="2"/>
        <w:rPr>
          <w:rFonts w:hint="eastAsia"/>
          <w:sz w:val="24"/>
        </w:rPr>
      </w:pPr>
    </w:p>
    <w:p w14:paraId="1E67856F">
      <w:pPr>
        <w:pStyle w:val="2"/>
        <w:rPr>
          <w:rFonts w:hint="eastAsia"/>
          <w:sz w:val="24"/>
        </w:rPr>
      </w:pPr>
    </w:p>
    <w:p w14:paraId="4B05A05C">
      <w:pPr>
        <w:pStyle w:val="2"/>
        <w:rPr>
          <w:rFonts w:hint="eastAsia"/>
          <w:sz w:val="24"/>
        </w:rPr>
      </w:pPr>
    </w:p>
    <w:p w14:paraId="08AB2539">
      <w:pPr>
        <w:pStyle w:val="2"/>
        <w:rPr>
          <w:rFonts w:hint="eastAsia"/>
          <w:sz w:val="24"/>
        </w:rPr>
      </w:pPr>
    </w:p>
    <w:p w14:paraId="50AF86F9">
      <w:pPr>
        <w:pStyle w:val="2"/>
        <w:rPr>
          <w:rFonts w:hint="eastAsia"/>
          <w:sz w:val="24"/>
        </w:rPr>
      </w:pPr>
    </w:p>
    <w:p w14:paraId="73FCF5A5">
      <w:pPr>
        <w:pStyle w:val="2"/>
        <w:rPr>
          <w:rFonts w:hint="eastAsia"/>
          <w:sz w:val="24"/>
        </w:rPr>
      </w:pPr>
    </w:p>
    <w:p w14:paraId="072E0033">
      <w:pPr>
        <w:pStyle w:val="2"/>
        <w:rPr>
          <w:rFonts w:hint="eastAsia"/>
          <w:sz w:val="24"/>
        </w:rPr>
      </w:pPr>
    </w:p>
    <w:p w14:paraId="1518EA77">
      <w:pPr>
        <w:pStyle w:val="2"/>
        <w:rPr>
          <w:rFonts w:hint="eastAsia"/>
          <w:sz w:val="24"/>
        </w:rPr>
      </w:pPr>
    </w:p>
    <w:p w14:paraId="4F09A797">
      <w:pPr>
        <w:pStyle w:val="2"/>
        <w:rPr>
          <w:rFonts w:hint="eastAsia"/>
          <w:sz w:val="24"/>
        </w:rPr>
      </w:pPr>
    </w:p>
    <w:p w14:paraId="7972B054">
      <w:pPr>
        <w:pStyle w:val="2"/>
        <w:rPr>
          <w:rFonts w:hint="eastAsia"/>
          <w:sz w:val="24"/>
        </w:rPr>
      </w:pPr>
    </w:p>
    <w:p w14:paraId="74F46227">
      <w:pPr>
        <w:pStyle w:val="3"/>
        <w:jc w:val="center"/>
        <w:rPr>
          <w:rFonts w:hint="eastAsia" w:ascii="黑体" w:hAnsi="黑体" w:eastAsia="黑体"/>
          <w:b w:val="0"/>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14" w:name="_Toc19601"/>
      <w:bookmarkStart w:id="15" w:name="_Toc15396599"/>
      <w:bookmarkStart w:id="16" w:name="_Toc15377196"/>
    </w:p>
    <w:p w14:paraId="2C8FA0B7">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4"/>
      <w:bookmarkEnd w:id="15"/>
      <w:bookmarkEnd w:id="16"/>
    </w:p>
    <w:p w14:paraId="6784BCA2">
      <w:pPr>
        <w:widowControl/>
        <w:jc w:val="left"/>
        <w:rPr>
          <w:rFonts w:ascii="黑体" w:eastAsia="黑体"/>
          <w:sz w:val="32"/>
          <w:szCs w:val="32"/>
        </w:rPr>
      </w:pPr>
    </w:p>
    <w:p w14:paraId="47F7192A">
      <w:pPr>
        <w:pStyle w:val="4"/>
        <w:numPr>
          <w:ilvl w:val="0"/>
          <w:numId w:val="1"/>
        </w:numPr>
        <w:rPr>
          <w:rFonts w:hint="eastAsia" w:ascii="黑体" w:hAnsi="黑体" w:eastAsia="黑体"/>
          <w:b w:val="0"/>
        </w:rPr>
      </w:pPr>
      <w:bookmarkStart w:id="17" w:name="_Toc7107"/>
      <w:r>
        <w:rPr>
          <w:rFonts w:hint="eastAsia" w:ascii="黑体" w:hAnsi="黑体" w:eastAsia="黑体"/>
          <w:b w:val="0"/>
        </w:rPr>
        <w:t>部门职责</w:t>
      </w:r>
      <w:bookmarkEnd w:id="17"/>
    </w:p>
    <w:p w14:paraId="2142C348">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5"/>
      <w:bookmarkStart w:id="19" w:name="_Toc15377198"/>
      <w:r>
        <w:rPr>
          <w:rFonts w:hint="eastAsia" w:ascii="仿宋" w:hAnsi="仿宋" w:eastAsia="仿宋"/>
          <w:bCs/>
          <w:color w:val="000000"/>
          <w:sz w:val="32"/>
          <w:szCs w:val="32"/>
        </w:rPr>
        <w:t>（一）主要职能。</w:t>
      </w:r>
      <w:bookmarkEnd w:id="18"/>
      <w:bookmarkEnd w:id="19"/>
    </w:p>
    <w:p w14:paraId="7859638B">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6E39FF24">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8446"/>
      <w:bookmarkStart w:id="21" w:name="_Toc15377199"/>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2024年</w:t>
      </w:r>
      <w:r>
        <w:rPr>
          <w:rFonts w:hint="eastAsia" w:ascii="仿宋" w:hAnsi="仿宋" w:eastAsia="仿宋"/>
          <w:bCs/>
          <w:color w:val="000000"/>
          <w:sz w:val="32"/>
          <w:szCs w:val="32"/>
        </w:rPr>
        <w:t>重点工作完成情况。</w:t>
      </w:r>
      <w:bookmarkEnd w:id="20"/>
      <w:bookmarkEnd w:id="21"/>
    </w:p>
    <w:p w14:paraId="09B38AD5">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2024年</w:t>
      </w:r>
      <w:r>
        <w:rPr>
          <w:rFonts w:hint="eastAsia" w:ascii="仿宋" w:hAnsi="仿宋" w:eastAsia="仿宋"/>
          <w:bCs/>
          <w:color w:val="000000"/>
          <w:sz w:val="32"/>
          <w:szCs w:val="32"/>
        </w:rPr>
        <w:t>主要负责完成小学学历教育，六年级送生工作、一年级招生工作。本单位顺利完成年度工作任务。</w:t>
      </w:r>
    </w:p>
    <w:p w14:paraId="78F5B995">
      <w:pPr>
        <w:pStyle w:val="2"/>
        <w:adjustRightInd w:val="0"/>
        <w:snapToGrid w:val="0"/>
        <w:spacing w:before="93" w:line="600" w:lineRule="exact"/>
        <w:ind w:firstLine="672" w:firstLineChars="210"/>
        <w:outlineLvl w:val="1"/>
      </w:pPr>
      <w:bookmarkStart w:id="22" w:name="_Toc13292"/>
      <w:r>
        <w:rPr>
          <w:rFonts w:hint="eastAsia" w:ascii="仿宋" w:hAnsi="仿宋" w:eastAsia="仿宋"/>
          <w:bCs/>
          <w:color w:val="000000"/>
          <w:sz w:val="32"/>
          <w:szCs w:val="32"/>
        </w:rPr>
        <w:t>其他相关社会服务工作。顺利完成相关服务工作任务及上级安排的相关工作。</w:t>
      </w:r>
      <w:bookmarkEnd w:id="22"/>
    </w:p>
    <w:p w14:paraId="7C54C391">
      <w:pPr>
        <w:pStyle w:val="4"/>
        <w:rPr>
          <w:rStyle w:val="30"/>
          <w:b w:val="0"/>
          <w:bCs w:val="0"/>
        </w:rPr>
      </w:pPr>
      <w:bookmarkStart w:id="23" w:name="_Toc15396601"/>
      <w:bookmarkStart w:id="24" w:name="_Toc15377200"/>
      <w:bookmarkStart w:id="25" w:name="_Toc21033"/>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3"/>
      <w:bookmarkEnd w:id="24"/>
      <w:bookmarkEnd w:id="25"/>
    </w:p>
    <w:p w14:paraId="583017FE">
      <w:pPr>
        <w:pStyle w:val="2"/>
        <w:adjustRightInd w:val="0"/>
        <w:snapToGrid w:val="0"/>
        <w:spacing w:before="93" w:line="600" w:lineRule="exact"/>
        <w:ind w:firstLine="640" w:firstLineChars="200"/>
        <w:rPr>
          <w:rFonts w:hint="eastAsia" w:ascii="仿宋" w:hAnsi="仿宋" w:eastAsia="仿宋"/>
          <w:sz w:val="32"/>
          <w:szCs w:val="32"/>
        </w:rPr>
      </w:pPr>
      <w:r>
        <w:rPr>
          <w:sz w:val="32"/>
          <w:szCs w:val="32"/>
        </w:rPr>
        <w:t>遂宁市安居区第四小学校</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rPr>
        <w:t>为事业单位，隶属于遂宁市安居区教体局。</w:t>
      </w:r>
    </w:p>
    <w:p w14:paraId="5146EAAE">
      <w:pPr>
        <w:pStyle w:val="2"/>
        <w:adjustRightInd w:val="0"/>
        <w:snapToGrid w:val="0"/>
        <w:spacing w:before="93" w:line="600" w:lineRule="exact"/>
        <w:ind w:firstLine="640" w:firstLineChars="200"/>
        <w:rPr>
          <w:rFonts w:hint="eastAsia" w:ascii="仿宋" w:hAnsi="仿宋" w:eastAsia="仿宋"/>
          <w:sz w:val="32"/>
          <w:szCs w:val="32"/>
        </w:rPr>
      </w:pPr>
    </w:p>
    <w:p w14:paraId="77E45F05">
      <w:pPr>
        <w:pStyle w:val="2"/>
        <w:adjustRightInd w:val="0"/>
        <w:snapToGrid w:val="0"/>
        <w:spacing w:before="93" w:line="600" w:lineRule="exact"/>
        <w:ind w:firstLine="640" w:firstLineChars="200"/>
        <w:rPr>
          <w:rFonts w:hint="eastAsia" w:ascii="仿宋" w:hAnsi="仿宋" w:eastAsia="仿宋"/>
          <w:sz w:val="32"/>
          <w:szCs w:val="32"/>
        </w:rPr>
      </w:pPr>
    </w:p>
    <w:p w14:paraId="2542BE8B">
      <w:pPr>
        <w:pStyle w:val="2"/>
        <w:adjustRightInd w:val="0"/>
        <w:snapToGrid w:val="0"/>
        <w:spacing w:before="93" w:line="600" w:lineRule="exact"/>
        <w:ind w:firstLine="640" w:firstLineChars="200"/>
        <w:rPr>
          <w:rFonts w:hint="eastAsia" w:ascii="仿宋" w:hAnsi="仿宋" w:eastAsia="仿宋"/>
          <w:sz w:val="32"/>
          <w:szCs w:val="32"/>
          <w:lang w:eastAsia="zh-CN"/>
        </w:rPr>
      </w:pPr>
    </w:p>
    <w:p w14:paraId="1C860E63">
      <w:pPr>
        <w:pStyle w:val="3"/>
        <w:jc w:val="center"/>
        <w:rPr>
          <w:rFonts w:hint="eastAsia" w:ascii="黑体" w:hAnsi="黑体" w:eastAsia="黑体" w:cs="Times New Roman"/>
          <w:b w:val="0"/>
        </w:rPr>
      </w:pPr>
      <w:bookmarkStart w:id="26" w:name="_Toc15396602"/>
      <w:bookmarkStart w:id="27" w:name="_Toc15377204"/>
      <w:bookmarkStart w:id="28" w:name="_Toc7031"/>
      <w:r>
        <w:rPr>
          <w:rFonts w:hint="eastAsia" w:ascii="黑体" w:hAnsi="黑体" w:eastAsia="黑体" w:cs="Times New Roman"/>
          <w:b w:val="0"/>
        </w:rPr>
        <w:t xml:space="preserve">第二部分 </w:t>
      </w:r>
      <w:r>
        <w:rPr>
          <w:rFonts w:hint="eastAsia" w:ascii="黑体" w:hAnsi="黑体" w:eastAsia="黑体" w:cs="Times New Roman"/>
          <w:b w:val="0"/>
          <w:lang w:eastAsia="zh-CN"/>
        </w:rPr>
        <w:t>2024年</w:t>
      </w:r>
      <w:r>
        <w:rPr>
          <w:rFonts w:hint="eastAsia" w:ascii="黑体" w:hAnsi="黑体" w:eastAsia="黑体" w:cs="Times New Roman"/>
          <w:b w:val="0"/>
        </w:rPr>
        <w:t>度部门决算情况说明</w:t>
      </w:r>
      <w:bookmarkEnd w:id="26"/>
      <w:bookmarkEnd w:id="27"/>
      <w:bookmarkEnd w:id="28"/>
    </w:p>
    <w:p w14:paraId="38B9E6BE"/>
    <w:p w14:paraId="698CB0D1">
      <w:pPr>
        <w:pStyle w:val="28"/>
        <w:numPr>
          <w:ilvl w:val="0"/>
          <w:numId w:val="2"/>
        </w:numPr>
        <w:spacing w:line="600" w:lineRule="exact"/>
        <w:ind w:firstLineChars="0"/>
        <w:outlineLvl w:val="1"/>
        <w:rPr>
          <w:rStyle w:val="30"/>
          <w:rFonts w:ascii="黑体" w:hAnsi="黑体" w:eastAsia="黑体"/>
          <w:b w:val="0"/>
        </w:rPr>
      </w:pPr>
      <w:bookmarkStart w:id="29" w:name="_Toc15377205"/>
      <w:bookmarkStart w:id="30" w:name="_Toc2792"/>
      <w:bookmarkStart w:id="3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9"/>
      <w:bookmarkEnd w:id="30"/>
      <w:bookmarkEnd w:id="31"/>
    </w:p>
    <w:p w14:paraId="6CAFF0A9">
      <w:pPr>
        <w:spacing w:line="600" w:lineRule="exact"/>
        <w:ind w:firstLine="640" w:firstLineChars="200"/>
        <w:jc w:val="left"/>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731.7</w:t>
      </w:r>
      <w:r>
        <w:rPr>
          <w:rFonts w:hint="eastAsia" w:ascii="仿宋" w:hAnsi="仿宋" w:eastAsia="仿宋"/>
          <w:sz w:val="32"/>
          <w:szCs w:val="32"/>
        </w:rPr>
        <w:t>万元</w:t>
      </w:r>
      <w:r>
        <w:rPr>
          <w:rFonts w:hint="eastAsia" w:eastAsia="仿宋"/>
          <w:sz w:val="32"/>
          <w:szCs w:val="32"/>
          <w:lang w:eastAsia="zh-CN"/>
        </w:rPr>
        <w:t>，</w:t>
      </w:r>
      <w:r>
        <w:rPr>
          <w:rFonts w:hint="eastAsia" w:ascii="仿宋" w:hAnsi="仿宋" w:eastAsia="仿宋"/>
          <w:sz w:val="32"/>
          <w:szCs w:val="32"/>
        </w:rPr>
        <w:t>与</w:t>
      </w:r>
      <w:r>
        <w:rPr>
          <w:rFonts w:hint="eastAsia" w:ascii="仿宋" w:hAnsi="仿宋" w:eastAsia="仿宋"/>
          <w:sz w:val="32"/>
          <w:szCs w:val="32"/>
          <w:lang w:eastAsia="zh-CN"/>
        </w:rPr>
        <w:t>2023年</w:t>
      </w:r>
      <w:r>
        <w:rPr>
          <w:rFonts w:hint="eastAsia" w:ascii="仿宋" w:hAnsi="仿宋" w:eastAsia="仿宋"/>
          <w:sz w:val="32"/>
          <w:szCs w:val="32"/>
        </w:rPr>
        <w:t>度相比，收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663.02</w:t>
      </w:r>
      <w:r>
        <w:rPr>
          <w:rFonts w:hint="eastAsia" w:ascii="仿宋" w:hAnsi="仿宋" w:eastAsia="仿宋"/>
          <w:sz w:val="32"/>
          <w:szCs w:val="32"/>
        </w:rPr>
        <w:t>万元，增长</w:t>
      </w:r>
      <w:r>
        <w:rPr>
          <w:rFonts w:hint="eastAsia" w:ascii="仿宋" w:hAnsi="仿宋" w:eastAsia="仿宋"/>
          <w:sz w:val="32"/>
          <w:szCs w:val="32"/>
          <w:lang w:val="en-US" w:eastAsia="zh-CN"/>
        </w:rPr>
        <w:t>965.38</w:t>
      </w:r>
      <w:r>
        <w:rPr>
          <w:rFonts w:ascii="仿宋" w:hAnsi="仿宋" w:eastAsia="仿宋"/>
          <w:sz w:val="32"/>
          <w:szCs w:val="32"/>
        </w:rPr>
        <w:t>%</w:t>
      </w:r>
      <w:r>
        <w:rPr>
          <w:rFonts w:hint="eastAsia" w:ascii="仿宋" w:hAnsi="仿宋" w:eastAsia="仿宋"/>
          <w:sz w:val="32"/>
          <w:szCs w:val="32"/>
          <w:lang w:eastAsia="zh-CN"/>
        </w:rPr>
        <w:t>；2024年</w:t>
      </w:r>
      <w:r>
        <w:rPr>
          <w:rFonts w:hint="eastAsia" w:ascii="仿宋" w:hAnsi="仿宋" w:eastAsia="仿宋"/>
          <w:sz w:val="32"/>
          <w:szCs w:val="32"/>
        </w:rPr>
        <w:t>度</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为698.73</w:t>
      </w:r>
      <w:r>
        <w:rPr>
          <w:rFonts w:hint="eastAsia" w:ascii="仿宋" w:hAnsi="仿宋" w:eastAsia="仿宋"/>
          <w:sz w:val="32"/>
          <w:szCs w:val="32"/>
        </w:rPr>
        <w:t>万元</w:t>
      </w:r>
      <w:r>
        <w:rPr>
          <w:rFonts w:hint="eastAsia" w:eastAsia="仿宋"/>
          <w:sz w:val="32"/>
          <w:szCs w:val="32"/>
          <w:lang w:eastAsia="zh-CN"/>
        </w:rPr>
        <w:t>，</w:t>
      </w:r>
      <w:r>
        <w:rPr>
          <w:rFonts w:hint="eastAsia" w:ascii="仿宋" w:hAnsi="仿宋" w:eastAsia="仿宋"/>
          <w:sz w:val="32"/>
          <w:szCs w:val="32"/>
        </w:rPr>
        <w:t>与</w:t>
      </w:r>
      <w:r>
        <w:rPr>
          <w:rFonts w:hint="eastAsia" w:ascii="仿宋" w:hAnsi="仿宋" w:eastAsia="仿宋"/>
          <w:sz w:val="32"/>
          <w:szCs w:val="32"/>
          <w:lang w:eastAsia="zh-CN"/>
        </w:rPr>
        <w:t>2023年</w:t>
      </w:r>
      <w:r>
        <w:rPr>
          <w:rFonts w:hint="eastAsia" w:ascii="仿宋" w:hAnsi="仿宋" w:eastAsia="仿宋"/>
          <w:sz w:val="32"/>
          <w:szCs w:val="32"/>
        </w:rPr>
        <w:t>度相比，</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630.05</w:t>
      </w:r>
      <w:r>
        <w:rPr>
          <w:rFonts w:hint="eastAsia" w:ascii="仿宋" w:hAnsi="仿宋" w:eastAsia="仿宋"/>
          <w:sz w:val="32"/>
          <w:szCs w:val="32"/>
        </w:rPr>
        <w:t>万元，增长</w:t>
      </w:r>
      <w:r>
        <w:rPr>
          <w:rFonts w:hint="eastAsia" w:ascii="仿宋" w:hAnsi="仿宋" w:eastAsia="仿宋"/>
          <w:sz w:val="32"/>
          <w:szCs w:val="32"/>
          <w:lang w:val="en-US" w:eastAsia="zh-CN"/>
        </w:rPr>
        <w:t>917.37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本单位为2023年新增事业单位，2023本单位的人员经费收支仅一个月</w:t>
      </w:r>
      <w:r>
        <w:rPr>
          <w:rFonts w:hint="eastAsia" w:ascii="仿宋" w:hAnsi="仿宋" w:eastAsia="仿宋"/>
          <w:sz w:val="32"/>
          <w:szCs w:val="32"/>
        </w:rPr>
        <w:t>。</w:t>
      </w:r>
    </w:p>
    <w:p w14:paraId="3C5727EA">
      <w:pPr>
        <w:pStyle w:val="2"/>
        <w:rPr>
          <w:rFonts w:hint="default"/>
          <w:sz w:val="32"/>
          <w:lang w:val="en-US" w:eastAsia="zh-CN"/>
        </w:rPr>
      </w:pPr>
      <w:r>
        <w:drawing>
          <wp:inline distT="0" distB="0" distL="0" distR="0">
            <wp:extent cx="5274310" cy="3076575"/>
            <wp:effectExtent l="5080" t="4445" r="16510" b="508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8B73FB">
      <w:pPr>
        <w:spacing w:line="600" w:lineRule="exact"/>
        <w:ind w:firstLine="1600" w:firstLineChars="5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0D9B7E75">
      <w:pPr>
        <w:spacing w:line="600" w:lineRule="exact"/>
        <w:jc w:val="left"/>
        <w:outlineLvl w:val="1"/>
        <w:rPr>
          <w:rStyle w:val="30"/>
          <w:rFonts w:ascii="黑体" w:hAnsi="黑体" w:eastAsia="黑体"/>
          <w:b w:val="0"/>
        </w:rPr>
      </w:pPr>
      <w:bookmarkStart w:id="32" w:name="_Toc15396604"/>
      <w:bookmarkStart w:id="33" w:name="_Toc29749"/>
      <w:bookmarkStart w:id="34" w:name="_Toc15377206"/>
      <w:r>
        <w:rPr>
          <w:rFonts w:hint="eastAsia" w:ascii="黑体" w:hAnsi="黑体" w:eastAsia="黑体"/>
          <w:sz w:val="32"/>
          <w:szCs w:val="32"/>
          <w:lang w:val="en-US"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32"/>
      <w:bookmarkEnd w:id="33"/>
      <w:bookmarkEnd w:id="34"/>
    </w:p>
    <w:p w14:paraId="4999438E">
      <w:pPr>
        <w:spacing w:line="600" w:lineRule="exact"/>
        <w:ind w:firstLine="640" w:firstLineChars="200"/>
        <w:jc w:val="left"/>
        <w:outlineLvl w:val="1"/>
        <w:rPr>
          <w:rFonts w:ascii="仿宋" w:hAnsi="仿宋" w:eastAsia="仿宋"/>
          <w:sz w:val="32"/>
          <w:szCs w:val="32"/>
        </w:rPr>
      </w:pPr>
      <w:bookmarkStart w:id="35" w:name="_Toc1119"/>
      <w:r>
        <w:rPr>
          <w:rFonts w:hint="eastAsia" w:ascii="仿宋" w:hAnsi="仿宋" w:eastAsia="仿宋"/>
          <w:sz w:val="32"/>
          <w:szCs w:val="32"/>
          <w:lang w:eastAsia="zh-CN"/>
        </w:rPr>
        <w:t>2024年</w:t>
      </w:r>
      <w:r>
        <w:rPr>
          <w:rFonts w:hint="eastAsia" w:ascii="仿宋" w:hAnsi="仿宋" w:eastAsia="仿宋"/>
          <w:sz w:val="32"/>
          <w:szCs w:val="32"/>
        </w:rPr>
        <w:t>度本年收入合计</w:t>
      </w:r>
      <w:r>
        <w:rPr>
          <w:rFonts w:hint="eastAsia" w:eastAsia="仿宋"/>
          <w:sz w:val="32"/>
          <w:szCs w:val="32"/>
          <w:lang w:val="en-US" w:eastAsia="zh-CN"/>
        </w:rPr>
        <w:t>731.07</w:t>
      </w:r>
      <w:r>
        <w:rPr>
          <w:rFonts w:hint="eastAsia" w:ascii="仿宋" w:hAnsi="仿宋" w:eastAsia="仿宋"/>
          <w:sz w:val="32"/>
          <w:szCs w:val="32"/>
        </w:rPr>
        <w:t>万元，其中：一般公共预算财政拨款收入</w:t>
      </w:r>
      <w:r>
        <w:rPr>
          <w:rFonts w:hint="eastAsia" w:eastAsia="仿宋"/>
          <w:sz w:val="32"/>
          <w:szCs w:val="32"/>
          <w:lang w:val="en-US" w:eastAsia="zh-CN"/>
        </w:rPr>
        <w:t>630.26</w:t>
      </w:r>
      <w:r>
        <w:rPr>
          <w:rFonts w:hint="eastAsia" w:ascii="仿宋" w:hAnsi="仿宋" w:eastAsia="仿宋"/>
          <w:sz w:val="32"/>
          <w:szCs w:val="32"/>
        </w:rPr>
        <w:t>万元，占</w:t>
      </w:r>
      <w:r>
        <w:rPr>
          <w:rFonts w:hint="eastAsia" w:eastAsia="仿宋"/>
          <w:sz w:val="32"/>
          <w:szCs w:val="32"/>
          <w:lang w:val="en-US" w:eastAsia="zh-CN"/>
        </w:rPr>
        <w:t>86.14</w:t>
      </w:r>
      <w:r>
        <w:rPr>
          <w:rFonts w:ascii="仿宋" w:hAnsi="仿宋" w:eastAsia="仿宋"/>
          <w:sz w:val="32"/>
          <w:szCs w:val="32"/>
        </w:rPr>
        <w:t>%</w:t>
      </w:r>
      <w:r>
        <w:rPr>
          <w:rFonts w:hint="eastAsia" w:ascii="仿宋" w:hAnsi="仿宋" w:eastAsia="仿宋"/>
          <w:sz w:val="32"/>
          <w:szCs w:val="32"/>
        </w:rPr>
        <w:t>；事业收入</w:t>
      </w:r>
      <w:r>
        <w:rPr>
          <w:rFonts w:hint="eastAsia" w:eastAsia="仿宋"/>
          <w:sz w:val="32"/>
          <w:szCs w:val="32"/>
          <w:lang w:val="en-US" w:eastAsia="zh-CN"/>
        </w:rPr>
        <w:t>101.45</w:t>
      </w:r>
      <w:r>
        <w:rPr>
          <w:rFonts w:hint="eastAsia" w:ascii="仿宋" w:hAnsi="仿宋" w:eastAsia="仿宋"/>
          <w:sz w:val="32"/>
          <w:szCs w:val="32"/>
        </w:rPr>
        <w:t>万元，</w:t>
      </w:r>
      <w:r>
        <w:rPr>
          <w:rFonts w:hint="eastAsia" w:ascii="仿宋" w:hAnsi="仿宋" w:eastAsia="仿宋"/>
          <w:sz w:val="32"/>
          <w:szCs w:val="32"/>
          <w:lang w:val="en-US" w:eastAsia="zh-CN"/>
        </w:rPr>
        <w:t>13.86</w:t>
      </w:r>
      <w:r>
        <w:rPr>
          <w:rFonts w:ascii="仿宋" w:hAnsi="仿宋" w:eastAsia="仿宋"/>
          <w:sz w:val="32"/>
          <w:szCs w:val="32"/>
        </w:rPr>
        <w:t>%</w:t>
      </w:r>
      <w:r>
        <w:rPr>
          <w:rFonts w:hint="eastAsia" w:ascii="仿宋" w:hAnsi="仿宋" w:eastAsia="仿宋"/>
          <w:sz w:val="32"/>
          <w:szCs w:val="32"/>
        </w:rPr>
        <w:t>。</w:t>
      </w:r>
      <w:bookmarkEnd w:id="35"/>
    </w:p>
    <w:p w14:paraId="7750FA64">
      <w:pPr>
        <w:spacing w:line="600" w:lineRule="exact"/>
        <w:outlineLvl w:val="9"/>
        <w:rPr>
          <w:rFonts w:hint="eastAsia" w:ascii="仿宋" w:hAnsi="仿宋" w:eastAsia="仿宋"/>
          <w:sz w:val="32"/>
          <w:szCs w:val="32"/>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474345</wp:posOffset>
            </wp:positionH>
            <wp:positionV relativeFrom="paragraph">
              <wp:posOffset>186055</wp:posOffset>
            </wp:positionV>
            <wp:extent cx="4737735" cy="2476500"/>
            <wp:effectExtent l="4445" t="4445" r="20320"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9F7C8C0">
      <w:pPr>
        <w:spacing w:line="600" w:lineRule="exact"/>
        <w:ind w:firstLine="2240" w:firstLineChars="700"/>
        <w:rPr>
          <w:rFonts w:hint="eastAsia" w:ascii="仿宋" w:hAnsi="仿宋" w:eastAsia="仿宋"/>
          <w:sz w:val="32"/>
          <w:szCs w:val="32"/>
        </w:rPr>
      </w:pPr>
      <w:r>
        <w:rPr>
          <w:rFonts w:hint="eastAsia" w:ascii="仿宋" w:hAnsi="仿宋" w:eastAsia="仿宋"/>
          <w:sz w:val="32"/>
          <w:szCs w:val="32"/>
        </w:rPr>
        <w:t>（图2：收入决算结构图）</w:t>
      </w:r>
    </w:p>
    <w:p w14:paraId="54CACB7A">
      <w:pPr>
        <w:pStyle w:val="28"/>
        <w:numPr>
          <w:ilvl w:val="0"/>
          <w:numId w:val="0"/>
        </w:numPr>
        <w:spacing w:line="600" w:lineRule="exact"/>
        <w:ind w:left="640" w:leftChars="0"/>
        <w:outlineLvl w:val="1"/>
        <w:rPr>
          <w:rStyle w:val="30"/>
          <w:rFonts w:ascii="黑体" w:hAnsi="黑体" w:eastAsia="黑体"/>
          <w:b w:val="0"/>
        </w:rPr>
      </w:pPr>
      <w:bookmarkStart w:id="36" w:name="_Toc22242"/>
      <w:bookmarkStart w:id="37" w:name="_Toc15396605"/>
      <w:bookmarkStart w:id="38" w:name="_Toc15377207"/>
      <w:r>
        <w:rPr>
          <w:rFonts w:hint="eastAsia" w:ascii="黑体" w:hAnsi="黑体" w:eastAsia="黑体"/>
          <w:sz w:val="32"/>
          <w:szCs w:val="32"/>
          <w:lang w:val="en-US"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36"/>
      <w:bookmarkEnd w:id="37"/>
      <w:bookmarkEnd w:id="38"/>
    </w:p>
    <w:p w14:paraId="7E49F8A1">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39" w:name="_Toc24777"/>
      <w:r>
        <w:rPr>
          <w:rFonts w:hint="eastAsia" w:ascii="仿宋" w:hAnsi="仿宋" w:eastAsia="仿宋"/>
          <w:bCs/>
          <w:color w:val="000000"/>
          <w:sz w:val="32"/>
          <w:szCs w:val="32"/>
          <w:lang w:eastAsia="zh-CN"/>
        </w:rPr>
        <w:t>2024年度本年支出合计</w:t>
      </w:r>
      <w:r>
        <w:rPr>
          <w:rFonts w:hint="eastAsia" w:ascii="仿宋" w:hAnsi="仿宋" w:eastAsia="仿宋"/>
          <w:bCs/>
          <w:color w:val="000000"/>
          <w:sz w:val="32"/>
          <w:szCs w:val="32"/>
          <w:lang w:val="en-US" w:eastAsia="zh-CN"/>
        </w:rPr>
        <w:t>698.73</w:t>
      </w:r>
      <w:r>
        <w:rPr>
          <w:rFonts w:hint="eastAsia" w:ascii="仿宋" w:hAnsi="仿宋" w:eastAsia="仿宋"/>
          <w:bCs/>
          <w:color w:val="000000"/>
          <w:sz w:val="32"/>
          <w:szCs w:val="32"/>
          <w:lang w:eastAsia="zh-CN"/>
        </w:rPr>
        <w:t>万元，其中：基本支出</w:t>
      </w:r>
      <w:r>
        <w:rPr>
          <w:rFonts w:hint="eastAsia" w:ascii="仿宋" w:hAnsi="仿宋" w:eastAsia="仿宋"/>
          <w:bCs/>
          <w:color w:val="000000"/>
          <w:sz w:val="32"/>
          <w:szCs w:val="32"/>
          <w:lang w:val="en-US" w:eastAsia="zh-CN"/>
        </w:rPr>
        <w:t>622.66</w:t>
      </w:r>
      <w:r>
        <w:rPr>
          <w:rFonts w:hint="eastAsia" w:ascii="仿宋" w:hAnsi="仿宋" w:eastAsia="仿宋"/>
          <w:bCs/>
          <w:color w:val="000000"/>
          <w:sz w:val="32"/>
          <w:szCs w:val="32"/>
          <w:lang w:eastAsia="zh-CN"/>
        </w:rPr>
        <w:t>万元，占</w:t>
      </w:r>
      <w:r>
        <w:rPr>
          <w:rFonts w:hint="eastAsia" w:ascii="仿宋" w:hAnsi="仿宋" w:eastAsia="仿宋"/>
          <w:bCs/>
          <w:color w:val="000000"/>
          <w:sz w:val="32"/>
          <w:szCs w:val="32"/>
          <w:lang w:val="en-US" w:eastAsia="zh-CN"/>
        </w:rPr>
        <w:t>89.11</w:t>
      </w:r>
      <w:r>
        <w:rPr>
          <w:rFonts w:hint="eastAsia" w:ascii="仿宋" w:hAnsi="仿宋" w:eastAsia="仿宋"/>
          <w:bCs/>
          <w:color w:val="000000"/>
          <w:sz w:val="32"/>
          <w:szCs w:val="32"/>
          <w:lang w:eastAsia="zh-CN"/>
        </w:rPr>
        <w:t>%；项目支出</w:t>
      </w:r>
      <w:r>
        <w:rPr>
          <w:rFonts w:hint="eastAsia" w:ascii="仿宋" w:hAnsi="仿宋" w:eastAsia="仿宋"/>
          <w:bCs/>
          <w:color w:val="000000"/>
          <w:sz w:val="32"/>
          <w:szCs w:val="32"/>
          <w:lang w:val="en-US" w:eastAsia="zh-CN"/>
        </w:rPr>
        <w:t>76.07</w:t>
      </w:r>
      <w:r>
        <w:rPr>
          <w:rFonts w:hint="eastAsia" w:ascii="仿宋" w:hAnsi="仿宋" w:eastAsia="仿宋"/>
          <w:bCs/>
          <w:color w:val="000000"/>
          <w:sz w:val="32"/>
          <w:szCs w:val="32"/>
          <w:lang w:eastAsia="zh-CN"/>
        </w:rPr>
        <w:t>万元，占</w:t>
      </w:r>
      <w:r>
        <w:rPr>
          <w:rFonts w:hint="eastAsia" w:ascii="仿宋" w:hAnsi="仿宋" w:eastAsia="仿宋"/>
          <w:bCs/>
          <w:color w:val="000000"/>
          <w:sz w:val="32"/>
          <w:szCs w:val="32"/>
          <w:lang w:val="en-US" w:eastAsia="zh-CN"/>
        </w:rPr>
        <w:t>10.89</w:t>
      </w:r>
      <w:r>
        <w:rPr>
          <w:rFonts w:hint="eastAsia" w:ascii="仿宋" w:hAnsi="仿宋" w:eastAsia="仿宋"/>
          <w:bCs/>
          <w:color w:val="000000"/>
          <w:sz w:val="32"/>
          <w:szCs w:val="32"/>
          <w:lang w:eastAsia="zh-CN"/>
        </w:rPr>
        <w:t>%。</w:t>
      </w:r>
      <w:bookmarkEnd w:id="39"/>
    </w:p>
    <w:p w14:paraId="457095F1">
      <w:pPr>
        <w:spacing w:line="600" w:lineRule="exact"/>
        <w:ind w:firstLine="640" w:firstLineChars="200"/>
        <w:outlineLvl w:val="9"/>
        <w:rPr>
          <w:rFonts w:hint="eastAsia" w:ascii="仿宋" w:hAnsi="仿宋" w:eastAsia="仿宋"/>
          <w:b/>
          <w:sz w:val="32"/>
          <w:szCs w:val="32"/>
        </w:rPr>
      </w:pPr>
      <w:r>
        <w:rPr>
          <w:rFonts w:hint="default" w:ascii="仿宋_GB2312" w:eastAsia="仿宋_GB2312"/>
          <w:sz w:val="32"/>
          <w:szCs w:val="32"/>
          <w:lang w:val="en-US" w:eastAsia="zh-CN"/>
        </w:rPr>
        <w:drawing>
          <wp:anchor distT="0" distB="0" distL="114300" distR="114300" simplePos="0" relativeHeight="251661312" behindDoc="0" locked="0" layoutInCell="1" allowOverlap="1">
            <wp:simplePos x="0" y="0"/>
            <wp:positionH relativeFrom="column">
              <wp:posOffset>209550</wp:posOffset>
            </wp:positionH>
            <wp:positionV relativeFrom="paragraph">
              <wp:posOffset>469265</wp:posOffset>
            </wp:positionV>
            <wp:extent cx="5256530" cy="1972310"/>
            <wp:effectExtent l="5080" t="4445" r="15240" b="234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6069895">
      <w:pPr>
        <w:spacing w:line="600" w:lineRule="exact"/>
        <w:outlineLvl w:val="9"/>
        <w:rPr>
          <w:rFonts w:hint="eastAsia" w:ascii="仿宋" w:hAnsi="仿宋" w:eastAsia="仿宋"/>
          <w:b/>
          <w:sz w:val="32"/>
          <w:szCs w:val="32"/>
        </w:rPr>
      </w:pPr>
    </w:p>
    <w:p w14:paraId="6F81B729">
      <w:pPr>
        <w:spacing w:line="600" w:lineRule="exact"/>
        <w:ind w:firstLine="2240" w:firstLineChars="700"/>
        <w:rPr>
          <w:rFonts w:hint="eastAsia" w:ascii="仿宋" w:hAnsi="仿宋" w:eastAsia="仿宋"/>
          <w:sz w:val="32"/>
          <w:szCs w:val="32"/>
        </w:rPr>
      </w:pPr>
      <w:r>
        <w:rPr>
          <w:rFonts w:hint="eastAsia" w:ascii="仿宋" w:hAnsi="仿宋" w:eastAsia="仿宋"/>
          <w:sz w:val="32"/>
          <w:szCs w:val="32"/>
        </w:rPr>
        <w:t>（图3：支出决算结构图）</w:t>
      </w:r>
    </w:p>
    <w:p w14:paraId="063ACFE2">
      <w:pPr>
        <w:spacing w:line="600" w:lineRule="exact"/>
        <w:ind w:firstLine="640" w:firstLineChars="200"/>
        <w:outlineLvl w:val="1"/>
        <w:rPr>
          <w:rStyle w:val="30"/>
          <w:rFonts w:ascii="黑体" w:hAnsi="黑体" w:eastAsia="黑体"/>
          <w:b w:val="0"/>
        </w:rPr>
      </w:pPr>
      <w:r>
        <w:rPr>
          <w:rFonts w:hint="eastAsia" w:ascii="仿宋_GB2312" w:eastAsia="仿宋_GB2312"/>
          <w:sz w:val="32"/>
          <w:szCs w:val="32"/>
          <w:lang w:val="en-US" w:eastAsia="zh-CN"/>
        </w:rPr>
        <w:t xml:space="preserve"> </w:t>
      </w:r>
      <w:bookmarkStart w:id="40" w:name="_Toc15396606"/>
      <w:bookmarkStart w:id="41" w:name="_Toc15377208"/>
      <w:bookmarkStart w:id="42" w:name="_Toc24433"/>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0"/>
      <w:bookmarkEnd w:id="41"/>
      <w:bookmarkEnd w:id="42"/>
    </w:p>
    <w:p w14:paraId="5D6F44A8">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2024年度财政拨款收、支总计均为</w:t>
      </w:r>
      <w:r>
        <w:rPr>
          <w:rFonts w:hint="eastAsia" w:ascii="仿宋" w:hAnsi="仿宋" w:eastAsia="仿宋"/>
          <w:bCs/>
          <w:color w:val="000000"/>
          <w:sz w:val="32"/>
          <w:szCs w:val="32"/>
          <w:lang w:val="en-US" w:eastAsia="zh-CN"/>
        </w:rPr>
        <w:t>630.26</w:t>
      </w:r>
      <w:r>
        <w:rPr>
          <w:rFonts w:hint="eastAsia" w:ascii="仿宋" w:hAnsi="仿宋" w:eastAsia="仿宋"/>
          <w:bCs/>
          <w:color w:val="000000"/>
          <w:sz w:val="32"/>
          <w:szCs w:val="32"/>
          <w:lang w:eastAsia="zh-CN"/>
        </w:rPr>
        <w:t>万元。与2023年度相比，财政拨款收、支总计各增加</w:t>
      </w:r>
      <w:r>
        <w:rPr>
          <w:rFonts w:hint="eastAsia" w:ascii="仿宋" w:hAnsi="仿宋" w:eastAsia="仿宋"/>
          <w:bCs/>
          <w:color w:val="000000"/>
          <w:sz w:val="32"/>
          <w:szCs w:val="32"/>
          <w:lang w:val="en-US" w:eastAsia="zh-CN"/>
        </w:rPr>
        <w:t>561.58</w:t>
      </w:r>
      <w:r>
        <w:rPr>
          <w:rFonts w:hint="eastAsia" w:ascii="仿宋" w:hAnsi="仿宋" w:eastAsia="仿宋"/>
          <w:bCs/>
          <w:color w:val="000000"/>
          <w:sz w:val="32"/>
          <w:szCs w:val="32"/>
          <w:lang w:eastAsia="zh-CN"/>
        </w:rPr>
        <w:t>万元，增长</w:t>
      </w:r>
      <w:r>
        <w:rPr>
          <w:rFonts w:hint="eastAsia" w:ascii="仿宋" w:hAnsi="仿宋" w:eastAsia="仿宋"/>
          <w:bCs/>
          <w:color w:val="000000"/>
          <w:sz w:val="32"/>
          <w:szCs w:val="32"/>
          <w:lang w:val="en-US" w:eastAsia="zh-CN"/>
        </w:rPr>
        <w:t>817.68</w:t>
      </w:r>
      <w:r>
        <w:rPr>
          <w:rFonts w:hint="eastAsia" w:ascii="仿宋" w:hAnsi="仿宋" w:eastAsia="仿宋"/>
          <w:bCs/>
          <w:color w:val="000000"/>
          <w:sz w:val="32"/>
          <w:szCs w:val="32"/>
          <w:lang w:eastAsia="zh-CN"/>
        </w:rPr>
        <w:t>%。主要变动原因是</w:t>
      </w:r>
      <w:r>
        <w:rPr>
          <w:rFonts w:hint="eastAsia" w:ascii="仿宋" w:hAnsi="仿宋" w:eastAsia="仿宋"/>
          <w:bCs/>
          <w:color w:val="000000"/>
          <w:sz w:val="32"/>
          <w:szCs w:val="32"/>
          <w:lang w:val="en-US" w:eastAsia="zh-CN"/>
        </w:rPr>
        <w:t>本单位为2023年新增事业单位，2023本单位的人员经费收支仅一个月</w:t>
      </w:r>
      <w:r>
        <w:rPr>
          <w:rFonts w:hint="eastAsia" w:ascii="仿宋" w:hAnsi="仿宋" w:eastAsia="仿宋"/>
          <w:bCs/>
          <w:color w:val="000000"/>
          <w:sz w:val="32"/>
          <w:szCs w:val="32"/>
          <w:lang w:eastAsia="zh-CN"/>
        </w:rPr>
        <w:t>。</w:t>
      </w:r>
    </w:p>
    <w:p w14:paraId="6FA1C4B2">
      <w:pPr>
        <w:spacing w:line="600" w:lineRule="exact"/>
        <w:ind w:firstLine="640"/>
        <w:rPr>
          <w:rFonts w:hint="eastAsia" w:ascii="仿宋" w:hAnsi="仿宋" w:eastAsia="仿宋"/>
          <w:sz w:val="32"/>
          <w:szCs w:val="32"/>
        </w:rPr>
      </w:pPr>
    </w:p>
    <w:p w14:paraId="15DAF884">
      <w:pPr>
        <w:spacing w:line="600" w:lineRule="exact"/>
        <w:ind w:firstLine="640"/>
        <w:rPr>
          <w:rFonts w:hint="eastAsia" w:ascii="仿宋" w:hAnsi="仿宋" w:eastAsia="仿宋"/>
          <w:sz w:val="32"/>
          <w:szCs w:val="32"/>
        </w:rPr>
      </w:pPr>
    </w:p>
    <w:p w14:paraId="7F083072">
      <w:pPr>
        <w:spacing w:line="600" w:lineRule="exact"/>
        <w:rPr>
          <w:rFonts w:hint="default" w:ascii="仿宋" w:hAnsi="仿宋" w:eastAsia="仿宋"/>
          <w:sz w:val="32"/>
          <w:szCs w:val="32"/>
          <w:lang w:val="en-US" w:eastAsia="zh-CN"/>
        </w:rPr>
      </w:pPr>
      <w:r>
        <w:rPr>
          <w:rFonts w:ascii="仿宋" w:hAnsi="仿宋" w:eastAsia="仿宋"/>
          <w:sz w:val="32"/>
          <w:szCs w:val="32"/>
          <w:u w:val="single"/>
        </w:rPr>
        <w:drawing>
          <wp:anchor distT="0" distB="0" distL="114300" distR="114300" simplePos="0" relativeHeight="251663360" behindDoc="0" locked="0" layoutInCell="1" allowOverlap="1">
            <wp:simplePos x="0" y="0"/>
            <wp:positionH relativeFrom="column">
              <wp:posOffset>428625</wp:posOffset>
            </wp:positionH>
            <wp:positionV relativeFrom="paragraph">
              <wp:posOffset>158750</wp:posOffset>
            </wp:positionV>
            <wp:extent cx="5274310" cy="3076575"/>
            <wp:effectExtent l="5080" t="4445" r="16510" b="508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sz w:val="32"/>
          <w:szCs w:val="32"/>
          <w:lang w:val="en-US" w:eastAsia="zh-CN"/>
        </w:rPr>
        <w:t xml:space="preserve">  </w:t>
      </w:r>
    </w:p>
    <w:p w14:paraId="03D96372">
      <w:pPr>
        <w:spacing w:line="600" w:lineRule="exact"/>
        <w:ind w:firstLine="1280" w:firstLineChars="400"/>
        <w:rPr>
          <w:rFonts w:hint="eastAsia" w:ascii="仿宋" w:hAnsi="仿宋" w:eastAsia="仿宋"/>
          <w:sz w:val="32"/>
          <w:szCs w:val="32"/>
          <w:lang w:eastAsia="zh-CN"/>
        </w:rPr>
      </w:pPr>
      <w:r>
        <w:rPr>
          <w:rFonts w:hint="eastAsia" w:ascii="仿宋" w:hAnsi="仿宋" w:eastAsia="仿宋"/>
          <w:sz w:val="32"/>
          <w:szCs w:val="32"/>
        </w:rPr>
        <w:t>（图4：财政拨款收、支决算总计变动情况）</w:t>
      </w:r>
    </w:p>
    <w:p w14:paraId="47A8A402">
      <w:pPr>
        <w:spacing w:line="600" w:lineRule="exact"/>
        <w:ind w:firstLine="640" w:firstLineChars="200"/>
        <w:outlineLvl w:val="1"/>
        <w:rPr>
          <w:rStyle w:val="30"/>
          <w:rFonts w:ascii="黑体" w:hAnsi="黑体" w:eastAsia="黑体"/>
          <w:b w:val="0"/>
        </w:rPr>
      </w:pPr>
      <w:bookmarkStart w:id="43" w:name="_Toc27726"/>
      <w:bookmarkStart w:id="44" w:name="_Toc15377209"/>
      <w:bookmarkStart w:id="45"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3"/>
      <w:bookmarkEnd w:id="44"/>
      <w:bookmarkEnd w:id="45"/>
    </w:p>
    <w:p w14:paraId="10513EA9">
      <w:pPr>
        <w:spacing w:line="600" w:lineRule="exact"/>
        <w:ind w:firstLine="643"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14:paraId="358F7891">
      <w:pPr>
        <w:spacing w:line="600" w:lineRule="exact"/>
        <w:ind w:firstLine="640" w:firstLineChars="200"/>
        <w:rPr>
          <w:rFonts w:hint="eastAsia" w:ascii="仿宋" w:hAnsi="仿宋" w:eastAsia="仿宋"/>
          <w:sz w:val="32"/>
          <w:szCs w:val="32"/>
        </w:rPr>
      </w:pPr>
      <w:r>
        <w:rPr>
          <w:rFonts w:hint="eastAsia" w:ascii="仿宋" w:hAnsi="仿宋" w:eastAsia="仿宋" w:cs="Times New Roman"/>
          <w:bCs/>
          <w:color w:val="000000"/>
          <w:kern w:val="0"/>
          <w:sz w:val="32"/>
          <w:szCs w:val="32"/>
          <w:lang w:val="en-US" w:eastAsia="zh-CN" w:bidi="ar-SA"/>
        </w:rPr>
        <w:t>2024年度一般公共预算财政拨款支出630.26万元，占本年支出合计的90.20%。与2023年度相比，一般公共预算财政拨款支出增加561.58万元，增长817.68%。主要变动原</w:t>
      </w:r>
      <w:r>
        <w:rPr>
          <w:rFonts w:ascii="仿宋" w:hAnsi="仿宋" w:eastAsia="仿宋"/>
          <w:sz w:val="32"/>
          <w:szCs w:val="32"/>
        </w:rPr>
        <w:drawing>
          <wp:anchor distT="0" distB="0" distL="114300" distR="114300" simplePos="0" relativeHeight="251664384" behindDoc="0" locked="0" layoutInCell="1" allowOverlap="1">
            <wp:simplePos x="0" y="0"/>
            <wp:positionH relativeFrom="column">
              <wp:posOffset>208280</wp:posOffset>
            </wp:positionH>
            <wp:positionV relativeFrom="paragraph">
              <wp:posOffset>972185</wp:posOffset>
            </wp:positionV>
            <wp:extent cx="4719955" cy="2635250"/>
            <wp:effectExtent l="4445" t="5080" r="19050" b="762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因是</w:t>
      </w:r>
      <w:r>
        <w:rPr>
          <w:rFonts w:hint="eastAsia" w:ascii="仿宋" w:hAnsi="仿宋" w:eastAsia="仿宋"/>
          <w:sz w:val="32"/>
          <w:szCs w:val="32"/>
          <w:lang w:val="en-US" w:eastAsia="zh-CN"/>
        </w:rPr>
        <w:t>本单位为2023年新增事业单位，2023本单位的人员经费收支仅一个月</w:t>
      </w:r>
      <w:r>
        <w:rPr>
          <w:rFonts w:hint="eastAsia" w:ascii="仿宋" w:hAnsi="仿宋" w:eastAsia="仿宋"/>
          <w:sz w:val="32"/>
          <w:szCs w:val="32"/>
        </w:rPr>
        <w:t>。</w:t>
      </w:r>
    </w:p>
    <w:p w14:paraId="598A0E21">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（图5：一般公共预算财政拨款支出决算变动情况）</w:t>
      </w:r>
    </w:p>
    <w:p w14:paraId="27B361FD">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47" w:name="_Toc15377211"/>
      <w:r>
        <w:rPr>
          <w:rFonts w:hint="eastAsia" w:ascii="仿宋" w:hAnsi="仿宋" w:eastAsia="仿宋"/>
          <w:bCs/>
          <w:color w:val="000000"/>
          <w:sz w:val="32"/>
          <w:szCs w:val="32"/>
          <w:lang w:eastAsia="zh-CN"/>
        </w:rPr>
        <w:t>（二）一般公共预算财政拨款支出决算结构情况</w:t>
      </w:r>
      <w:bookmarkEnd w:id="47"/>
    </w:p>
    <w:p w14:paraId="0F688E09">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2024年度一般公共预算财政拨款支出</w:t>
      </w:r>
      <w:r>
        <w:rPr>
          <w:rFonts w:hint="eastAsia" w:ascii="仿宋" w:hAnsi="仿宋" w:eastAsia="仿宋"/>
          <w:bCs/>
          <w:color w:val="000000"/>
          <w:sz w:val="32"/>
          <w:szCs w:val="32"/>
          <w:lang w:val="en-US" w:eastAsia="zh-CN"/>
        </w:rPr>
        <w:t>630.26</w:t>
      </w:r>
      <w:r>
        <w:rPr>
          <w:rFonts w:hint="eastAsia" w:ascii="仿宋" w:hAnsi="仿宋" w:eastAsia="仿宋"/>
          <w:bCs/>
          <w:color w:val="000000"/>
          <w:sz w:val="32"/>
          <w:szCs w:val="32"/>
          <w:lang w:eastAsia="zh-CN"/>
        </w:rPr>
        <w:t>万元，主要用于以下方面:教育支出</w:t>
      </w:r>
      <w:r>
        <w:rPr>
          <w:rFonts w:hint="eastAsia" w:ascii="仿宋" w:hAnsi="仿宋" w:eastAsia="仿宋"/>
          <w:bCs/>
          <w:color w:val="000000"/>
          <w:sz w:val="32"/>
          <w:szCs w:val="32"/>
          <w:lang w:val="en-US" w:eastAsia="zh-CN"/>
        </w:rPr>
        <w:t>494.7</w:t>
      </w:r>
      <w:r>
        <w:rPr>
          <w:rFonts w:hint="eastAsia" w:ascii="仿宋" w:hAnsi="仿宋" w:eastAsia="仿宋"/>
          <w:bCs/>
          <w:color w:val="000000"/>
          <w:sz w:val="32"/>
          <w:szCs w:val="32"/>
          <w:lang w:eastAsia="zh-CN"/>
        </w:rPr>
        <w:t>万元，占</w:t>
      </w:r>
      <w:r>
        <w:rPr>
          <w:rFonts w:hint="eastAsia" w:ascii="仿宋" w:hAnsi="仿宋" w:eastAsia="仿宋"/>
          <w:bCs/>
          <w:color w:val="000000"/>
          <w:sz w:val="32"/>
          <w:szCs w:val="32"/>
          <w:lang w:val="en-US" w:eastAsia="zh-CN"/>
        </w:rPr>
        <w:t>78.49</w:t>
      </w:r>
      <w:r>
        <w:rPr>
          <w:rFonts w:hint="eastAsia" w:ascii="仿宋" w:hAnsi="仿宋" w:eastAsia="仿宋"/>
          <w:bCs/>
          <w:color w:val="000000"/>
          <w:sz w:val="32"/>
          <w:szCs w:val="32"/>
          <w:lang w:eastAsia="zh-CN"/>
        </w:rPr>
        <w:t>%；社会保障和就业支出</w:t>
      </w:r>
      <w:r>
        <w:rPr>
          <w:rFonts w:hint="eastAsia" w:ascii="仿宋" w:hAnsi="仿宋" w:eastAsia="仿宋"/>
          <w:bCs/>
          <w:color w:val="000000"/>
          <w:sz w:val="32"/>
          <w:szCs w:val="32"/>
          <w:lang w:val="en-US" w:eastAsia="zh-CN"/>
        </w:rPr>
        <w:t>63.21</w:t>
      </w:r>
      <w:r>
        <w:rPr>
          <w:rFonts w:hint="eastAsia" w:ascii="仿宋" w:hAnsi="仿宋" w:eastAsia="仿宋"/>
          <w:bCs/>
          <w:color w:val="000000"/>
          <w:sz w:val="32"/>
          <w:szCs w:val="32"/>
          <w:lang w:eastAsia="zh-CN"/>
        </w:rPr>
        <w:t>元，占</w:t>
      </w:r>
      <w:r>
        <w:rPr>
          <w:rFonts w:hint="eastAsia" w:ascii="仿宋" w:hAnsi="仿宋" w:eastAsia="仿宋"/>
          <w:bCs/>
          <w:color w:val="000000"/>
          <w:sz w:val="32"/>
          <w:szCs w:val="32"/>
          <w:lang w:val="en-US" w:eastAsia="zh-CN"/>
        </w:rPr>
        <w:t>10.03</w:t>
      </w:r>
      <w:r>
        <w:rPr>
          <w:rFonts w:hint="eastAsia" w:ascii="仿宋" w:hAnsi="仿宋" w:eastAsia="仿宋"/>
          <w:bCs/>
          <w:color w:val="000000"/>
          <w:sz w:val="32"/>
          <w:szCs w:val="32"/>
          <w:lang w:eastAsia="zh-CN"/>
        </w:rPr>
        <w:t>%；卫生健康支出</w:t>
      </w:r>
      <w:r>
        <w:rPr>
          <w:rFonts w:hint="eastAsia" w:ascii="仿宋" w:hAnsi="仿宋" w:eastAsia="仿宋"/>
          <w:bCs/>
          <w:color w:val="000000"/>
          <w:sz w:val="32"/>
          <w:szCs w:val="32"/>
          <w:lang w:val="en-US" w:eastAsia="zh-CN"/>
        </w:rPr>
        <w:t>27.64</w:t>
      </w:r>
      <w:r>
        <w:rPr>
          <w:rFonts w:hint="eastAsia" w:ascii="仿宋" w:hAnsi="仿宋" w:eastAsia="仿宋"/>
          <w:bCs/>
          <w:color w:val="000000"/>
          <w:sz w:val="32"/>
          <w:szCs w:val="32"/>
          <w:lang w:eastAsia="zh-CN"/>
        </w:rPr>
        <w:t>万元，占</w:t>
      </w:r>
      <w:r>
        <w:rPr>
          <w:rFonts w:hint="eastAsia" w:ascii="仿宋" w:hAnsi="仿宋" w:eastAsia="仿宋"/>
          <w:bCs/>
          <w:color w:val="000000"/>
          <w:sz w:val="32"/>
          <w:szCs w:val="32"/>
          <w:lang w:val="en-US" w:eastAsia="zh-CN"/>
        </w:rPr>
        <w:t>4.39</w:t>
      </w:r>
      <w:r>
        <w:rPr>
          <w:rFonts w:hint="eastAsia" w:ascii="仿宋" w:hAnsi="仿宋" w:eastAsia="仿宋"/>
          <w:bCs/>
          <w:color w:val="000000"/>
          <w:sz w:val="32"/>
          <w:szCs w:val="32"/>
          <w:lang w:eastAsia="zh-CN"/>
        </w:rPr>
        <w:t>%；住房保障支出</w:t>
      </w:r>
      <w:r>
        <w:rPr>
          <w:rFonts w:hint="eastAsia" w:ascii="仿宋" w:hAnsi="仿宋" w:eastAsia="仿宋"/>
          <w:bCs/>
          <w:color w:val="000000"/>
          <w:sz w:val="32"/>
          <w:szCs w:val="32"/>
          <w:lang w:val="en-US" w:eastAsia="zh-CN"/>
        </w:rPr>
        <w:t>44.71</w:t>
      </w:r>
      <w:r>
        <w:rPr>
          <w:rFonts w:hint="eastAsia" w:ascii="仿宋" w:hAnsi="仿宋" w:eastAsia="仿宋"/>
          <w:bCs/>
          <w:color w:val="000000"/>
          <w:sz w:val="32"/>
          <w:szCs w:val="32"/>
          <w:lang w:eastAsia="zh-CN"/>
        </w:rPr>
        <w:t>万元，占</w:t>
      </w:r>
      <w:r>
        <w:rPr>
          <w:rFonts w:hint="eastAsia" w:ascii="仿宋" w:hAnsi="仿宋" w:eastAsia="仿宋"/>
          <w:bCs/>
          <w:color w:val="000000"/>
          <w:sz w:val="32"/>
          <w:szCs w:val="32"/>
          <w:lang w:val="en-US" w:eastAsia="zh-CN"/>
        </w:rPr>
        <w:t>7.09</w:t>
      </w:r>
      <w:r>
        <w:rPr>
          <w:rFonts w:hint="eastAsia" w:ascii="仿宋" w:hAnsi="仿宋" w:eastAsia="仿宋"/>
          <w:bCs/>
          <w:color w:val="000000"/>
          <w:sz w:val="32"/>
          <w:szCs w:val="32"/>
          <w:lang w:eastAsia="zh-CN"/>
        </w:rPr>
        <w:t>%。</w:t>
      </w:r>
    </w:p>
    <w:p w14:paraId="2C2AD80D">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drawing>
          <wp:anchor distT="0" distB="0" distL="114300" distR="114300" simplePos="0" relativeHeight="251662336" behindDoc="0" locked="0" layoutInCell="1" allowOverlap="1">
            <wp:simplePos x="0" y="0"/>
            <wp:positionH relativeFrom="column">
              <wp:posOffset>462915</wp:posOffset>
            </wp:positionH>
            <wp:positionV relativeFrom="paragraph">
              <wp:posOffset>88265</wp:posOffset>
            </wp:positionV>
            <wp:extent cx="4668520" cy="2157095"/>
            <wp:effectExtent l="4445" t="5080" r="13335"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bCs/>
          <w:color w:val="000000"/>
          <w:sz w:val="32"/>
          <w:szCs w:val="32"/>
          <w:lang w:eastAsia="zh-CN"/>
        </w:rPr>
        <w:t>（图6：一般公共预算财政拨款支出决算结构）</w:t>
      </w:r>
      <w:bookmarkStart w:id="48" w:name="_Toc15377212"/>
    </w:p>
    <w:p w14:paraId="45428484">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（三）一般公共预算财政拨款支出决算具体情况</w:t>
      </w:r>
      <w:bookmarkEnd w:id="48"/>
    </w:p>
    <w:p w14:paraId="3CBC928A">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49" w:name="_Toc15377213"/>
      <w:bookmarkStart w:id="50" w:name="_Toc20844"/>
      <w:bookmarkStart w:id="51" w:name="_Toc15378460"/>
      <w:bookmarkStart w:id="52" w:name="_Toc15377444"/>
      <w:r>
        <w:rPr>
          <w:rFonts w:hint="eastAsia" w:ascii="仿宋" w:hAnsi="仿宋" w:eastAsia="仿宋"/>
          <w:bCs/>
          <w:color w:val="000000"/>
          <w:sz w:val="32"/>
          <w:szCs w:val="32"/>
          <w:lang w:eastAsia="zh-CN"/>
        </w:rPr>
        <w:t>2024年度一般公共预算支出决算数为</w:t>
      </w:r>
      <w:r>
        <w:rPr>
          <w:rFonts w:hint="eastAsia" w:ascii="仿宋" w:hAnsi="仿宋" w:eastAsia="仿宋"/>
          <w:bCs/>
          <w:color w:val="000000"/>
          <w:sz w:val="32"/>
          <w:szCs w:val="32"/>
          <w:lang w:val="en-US" w:eastAsia="zh-CN"/>
        </w:rPr>
        <w:t>630.26万元</w:t>
      </w:r>
      <w:r>
        <w:rPr>
          <w:rFonts w:hint="eastAsia" w:ascii="仿宋" w:hAnsi="仿宋" w:eastAsia="仿宋"/>
          <w:bCs/>
          <w:color w:val="000000"/>
          <w:sz w:val="32"/>
          <w:szCs w:val="32"/>
          <w:lang w:eastAsia="zh-CN"/>
        </w:rPr>
        <w:t>，完成预算</w:t>
      </w:r>
      <w:r>
        <w:rPr>
          <w:rFonts w:hint="eastAsia" w:ascii="仿宋" w:hAnsi="仿宋" w:eastAsia="仿宋"/>
          <w:bCs/>
          <w:color w:val="000000"/>
          <w:sz w:val="32"/>
          <w:szCs w:val="32"/>
          <w:lang w:val="en-US" w:eastAsia="zh-CN"/>
        </w:rPr>
        <w:t>100</w:t>
      </w:r>
      <w:r>
        <w:rPr>
          <w:rFonts w:hint="eastAsia" w:ascii="仿宋" w:hAnsi="仿宋" w:eastAsia="仿宋"/>
          <w:bCs/>
          <w:color w:val="000000"/>
          <w:sz w:val="32"/>
          <w:szCs w:val="32"/>
          <w:lang w:eastAsia="zh-CN"/>
        </w:rPr>
        <w:t>%。其中：</w:t>
      </w:r>
      <w:bookmarkEnd w:id="49"/>
      <w:bookmarkEnd w:id="50"/>
      <w:bookmarkEnd w:id="51"/>
      <w:bookmarkEnd w:id="52"/>
    </w:p>
    <w:p w14:paraId="7690651A">
      <w:pPr>
        <w:pStyle w:val="2"/>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教育支出决算为</w:t>
      </w:r>
      <w:r>
        <w:rPr>
          <w:rFonts w:hint="eastAsia" w:ascii="仿宋" w:hAnsi="仿宋" w:eastAsia="仿宋"/>
          <w:bCs/>
          <w:color w:val="000000"/>
          <w:sz w:val="32"/>
          <w:szCs w:val="32"/>
          <w:lang w:val="en-US" w:eastAsia="zh-CN"/>
        </w:rPr>
        <w:t>494.7</w:t>
      </w:r>
      <w:r>
        <w:rPr>
          <w:rFonts w:hint="eastAsia" w:ascii="仿宋" w:hAnsi="仿宋" w:eastAsia="仿宋"/>
          <w:bCs/>
          <w:color w:val="000000"/>
          <w:sz w:val="32"/>
          <w:szCs w:val="32"/>
          <w:lang w:eastAsia="zh-CN"/>
        </w:rPr>
        <w:t>万元，完成预算</w:t>
      </w:r>
      <w:r>
        <w:rPr>
          <w:rFonts w:hint="eastAsia" w:ascii="仿宋" w:hAnsi="仿宋" w:eastAsia="仿宋"/>
          <w:bCs/>
          <w:color w:val="000000"/>
          <w:sz w:val="32"/>
          <w:szCs w:val="32"/>
          <w:lang w:val="en-US" w:eastAsia="zh-CN"/>
        </w:rPr>
        <w:t>100</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其中：</w:t>
      </w:r>
      <w:r>
        <w:rPr>
          <w:rFonts w:hint="eastAsia" w:ascii="仿宋" w:hAnsi="仿宋" w:eastAsia="仿宋"/>
          <w:bCs/>
          <w:color w:val="000000"/>
          <w:sz w:val="32"/>
          <w:szCs w:val="32"/>
          <w:lang w:eastAsia="zh-CN"/>
        </w:rPr>
        <w:t>教育（205类）普通教育（02款）小学教育（02项）</w:t>
      </w:r>
      <w:r>
        <w:rPr>
          <w:rFonts w:hint="eastAsia" w:ascii="仿宋" w:hAnsi="仿宋" w:eastAsia="仿宋"/>
          <w:bCs/>
          <w:color w:val="000000"/>
          <w:sz w:val="32"/>
          <w:szCs w:val="32"/>
          <w:lang w:val="en-US" w:eastAsia="zh-CN"/>
        </w:rPr>
        <w:t>为485.66万元；</w:t>
      </w:r>
      <w:r>
        <w:rPr>
          <w:rFonts w:hint="eastAsia" w:ascii="仿宋" w:hAnsi="仿宋" w:eastAsia="仿宋"/>
          <w:bCs/>
          <w:color w:val="000000"/>
          <w:sz w:val="32"/>
          <w:szCs w:val="32"/>
          <w:lang w:eastAsia="zh-CN"/>
        </w:rPr>
        <w:t>教育（205类）普通教育（02款）其他普通教育支出（99项）</w:t>
      </w:r>
      <w:r>
        <w:rPr>
          <w:rFonts w:hint="eastAsia" w:ascii="仿宋" w:hAnsi="仿宋" w:eastAsia="仿宋"/>
          <w:bCs/>
          <w:color w:val="000000"/>
          <w:sz w:val="32"/>
          <w:szCs w:val="32"/>
          <w:lang w:val="en-US" w:eastAsia="zh-CN"/>
        </w:rPr>
        <w:t>为9.04万元。决算数等于预算数。</w:t>
      </w:r>
    </w:p>
    <w:p w14:paraId="3C64F893">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lang w:eastAsia="zh-CN"/>
        </w:rPr>
        <w:t>.社会保障和就业支出决算为</w:t>
      </w:r>
      <w:r>
        <w:rPr>
          <w:rFonts w:hint="eastAsia" w:ascii="仿宋" w:hAnsi="仿宋" w:eastAsia="仿宋"/>
          <w:bCs/>
          <w:color w:val="000000"/>
          <w:sz w:val="32"/>
          <w:szCs w:val="32"/>
          <w:lang w:val="en-US" w:eastAsia="zh-CN"/>
        </w:rPr>
        <w:t>63.21</w:t>
      </w:r>
      <w:r>
        <w:rPr>
          <w:rFonts w:hint="eastAsia" w:ascii="仿宋" w:hAnsi="仿宋" w:eastAsia="仿宋"/>
          <w:bCs/>
          <w:color w:val="000000"/>
          <w:sz w:val="32"/>
          <w:szCs w:val="32"/>
          <w:lang w:eastAsia="zh-CN"/>
        </w:rPr>
        <w:t>万元，完成预算</w:t>
      </w:r>
      <w:r>
        <w:rPr>
          <w:rFonts w:hint="eastAsia" w:ascii="仿宋" w:hAnsi="仿宋" w:eastAsia="仿宋"/>
          <w:bCs/>
          <w:color w:val="000000"/>
          <w:sz w:val="32"/>
          <w:szCs w:val="32"/>
          <w:lang w:val="en-US" w:eastAsia="zh-CN"/>
        </w:rPr>
        <w:t>100</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其中</w:t>
      </w:r>
      <w:r>
        <w:rPr>
          <w:rFonts w:hint="eastAsia" w:ascii="仿宋" w:hAnsi="仿宋" w:eastAsia="仿宋"/>
          <w:bCs/>
          <w:color w:val="000000"/>
          <w:sz w:val="32"/>
          <w:szCs w:val="32"/>
          <w:lang w:eastAsia="zh-CN"/>
        </w:rPr>
        <w:t>社会保障和就业（208类）行政事业单位离退休（05款）机关事业单位基本养老保险缴费支出（05项）</w:t>
      </w:r>
      <w:r>
        <w:rPr>
          <w:rFonts w:hint="eastAsia" w:ascii="仿宋" w:hAnsi="仿宋" w:eastAsia="仿宋"/>
          <w:bCs/>
          <w:color w:val="000000"/>
          <w:sz w:val="32"/>
          <w:szCs w:val="32"/>
          <w:lang w:val="en-US" w:eastAsia="zh-CN"/>
        </w:rPr>
        <w:t>为57.37万元；</w:t>
      </w:r>
      <w:r>
        <w:rPr>
          <w:rFonts w:hint="eastAsia" w:ascii="仿宋" w:hAnsi="仿宋" w:eastAsia="仿宋"/>
          <w:bCs/>
          <w:color w:val="000000"/>
          <w:sz w:val="32"/>
          <w:szCs w:val="32"/>
          <w:lang w:eastAsia="zh-CN"/>
        </w:rPr>
        <w:t>社会保障和就业（208类）其他社会保障和就业支出（99款）其他社会保障和就业支出（</w:t>
      </w:r>
      <w:r>
        <w:rPr>
          <w:rFonts w:hint="eastAsia" w:ascii="仿宋" w:hAnsi="仿宋" w:eastAsia="仿宋"/>
          <w:bCs/>
          <w:color w:val="000000"/>
          <w:sz w:val="32"/>
          <w:szCs w:val="32"/>
          <w:lang w:val="en-US" w:eastAsia="zh-CN"/>
        </w:rPr>
        <w:t>99</w:t>
      </w:r>
      <w:r>
        <w:rPr>
          <w:rFonts w:hint="eastAsia" w:ascii="仿宋" w:hAnsi="仿宋" w:eastAsia="仿宋"/>
          <w:bCs/>
          <w:color w:val="000000"/>
          <w:sz w:val="32"/>
          <w:szCs w:val="32"/>
          <w:lang w:eastAsia="zh-CN"/>
        </w:rPr>
        <w:t>项）</w:t>
      </w:r>
      <w:r>
        <w:rPr>
          <w:rFonts w:hint="eastAsia" w:ascii="仿宋" w:hAnsi="仿宋" w:eastAsia="仿宋"/>
          <w:bCs/>
          <w:color w:val="000000"/>
          <w:sz w:val="32"/>
          <w:szCs w:val="32"/>
          <w:lang w:val="en-US" w:eastAsia="zh-CN"/>
        </w:rPr>
        <w:t>为5.84万元。决算数等于预算数。</w:t>
      </w:r>
    </w:p>
    <w:p w14:paraId="346158D4">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lang w:eastAsia="zh-CN"/>
        </w:rPr>
        <w:t>.卫生健康支出决算为</w:t>
      </w:r>
      <w:r>
        <w:rPr>
          <w:rFonts w:hint="eastAsia" w:ascii="仿宋" w:hAnsi="仿宋" w:eastAsia="仿宋"/>
          <w:bCs/>
          <w:color w:val="000000"/>
          <w:sz w:val="32"/>
          <w:szCs w:val="32"/>
          <w:lang w:val="en-US" w:eastAsia="zh-CN"/>
        </w:rPr>
        <w:t>27.64</w:t>
      </w:r>
      <w:r>
        <w:rPr>
          <w:rFonts w:hint="eastAsia" w:ascii="仿宋" w:hAnsi="仿宋" w:eastAsia="仿宋"/>
          <w:bCs/>
          <w:color w:val="000000"/>
          <w:sz w:val="32"/>
          <w:szCs w:val="32"/>
          <w:lang w:eastAsia="zh-CN"/>
        </w:rPr>
        <w:t>万元，完成预算</w:t>
      </w:r>
      <w:r>
        <w:rPr>
          <w:rFonts w:hint="eastAsia" w:ascii="仿宋" w:hAnsi="仿宋" w:eastAsia="仿宋"/>
          <w:bCs/>
          <w:color w:val="000000"/>
          <w:sz w:val="32"/>
          <w:szCs w:val="32"/>
          <w:lang w:val="en-US" w:eastAsia="zh-CN"/>
        </w:rPr>
        <w:t>100</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全部为卫生健康支出</w:t>
      </w:r>
      <w:r>
        <w:rPr>
          <w:rFonts w:hint="eastAsia" w:ascii="仿宋" w:hAnsi="仿宋" w:eastAsia="仿宋"/>
          <w:bCs/>
          <w:color w:val="000000"/>
          <w:sz w:val="32"/>
          <w:szCs w:val="32"/>
          <w:lang w:eastAsia="zh-CN"/>
        </w:rPr>
        <w:t>（210类）行政事业单位医疗（11款）</w:t>
      </w:r>
      <w:r>
        <w:rPr>
          <w:rFonts w:hint="eastAsia" w:ascii="仿宋" w:hAnsi="仿宋" w:eastAsia="仿宋"/>
          <w:bCs/>
          <w:color w:val="000000"/>
          <w:sz w:val="32"/>
          <w:szCs w:val="32"/>
          <w:lang w:val="en-US" w:eastAsia="zh-CN"/>
        </w:rPr>
        <w:t>事业</w:t>
      </w:r>
      <w:r>
        <w:rPr>
          <w:rFonts w:hint="eastAsia" w:ascii="仿宋" w:hAnsi="仿宋" w:eastAsia="仿宋"/>
          <w:bCs/>
          <w:color w:val="000000"/>
          <w:sz w:val="32"/>
          <w:szCs w:val="32"/>
          <w:lang w:eastAsia="zh-CN"/>
        </w:rPr>
        <w:t>单位医疗（0</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lang w:eastAsia="zh-CN"/>
        </w:rPr>
        <w:t>项）。</w:t>
      </w:r>
      <w:r>
        <w:rPr>
          <w:rFonts w:hint="eastAsia" w:ascii="仿宋" w:hAnsi="仿宋" w:eastAsia="仿宋"/>
          <w:bCs/>
          <w:color w:val="000000"/>
          <w:sz w:val="32"/>
          <w:szCs w:val="32"/>
          <w:lang w:val="en-US" w:eastAsia="zh-CN"/>
        </w:rPr>
        <w:t>决算数等于预算数。</w:t>
      </w:r>
    </w:p>
    <w:p w14:paraId="11D76050">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4.住房保障支出决算为</w:t>
      </w:r>
      <w:r>
        <w:rPr>
          <w:rFonts w:hint="eastAsia" w:ascii="仿宋" w:hAnsi="仿宋" w:eastAsia="仿宋"/>
          <w:bCs/>
          <w:color w:val="000000"/>
          <w:sz w:val="32"/>
          <w:szCs w:val="32"/>
          <w:lang w:val="en-US" w:eastAsia="zh-CN"/>
        </w:rPr>
        <w:t>44.71</w:t>
      </w:r>
      <w:r>
        <w:rPr>
          <w:rFonts w:hint="eastAsia" w:ascii="仿宋" w:hAnsi="仿宋" w:eastAsia="仿宋"/>
          <w:bCs/>
          <w:color w:val="000000"/>
          <w:sz w:val="32"/>
          <w:szCs w:val="32"/>
          <w:lang w:eastAsia="zh-CN"/>
        </w:rPr>
        <w:t>万元，完成预算100%。</w:t>
      </w:r>
      <w:r>
        <w:rPr>
          <w:rFonts w:hint="eastAsia" w:ascii="仿宋" w:hAnsi="仿宋" w:eastAsia="仿宋"/>
          <w:bCs/>
          <w:color w:val="000000"/>
          <w:sz w:val="32"/>
          <w:szCs w:val="32"/>
          <w:lang w:val="en-US" w:eastAsia="zh-CN"/>
        </w:rPr>
        <w:t>全部为</w:t>
      </w:r>
      <w:r>
        <w:rPr>
          <w:rFonts w:hint="eastAsia" w:ascii="仿宋" w:hAnsi="仿宋" w:eastAsia="仿宋"/>
          <w:bCs/>
          <w:color w:val="000000"/>
          <w:sz w:val="32"/>
          <w:szCs w:val="32"/>
          <w:lang w:eastAsia="zh-CN"/>
        </w:rPr>
        <w:t>住房保障支出</w:t>
      </w:r>
      <w:r>
        <w:rPr>
          <w:rFonts w:hint="eastAsia" w:ascii="仿宋" w:hAnsi="仿宋" w:eastAsia="仿宋" w:cs="Times New Roman"/>
          <w:bCs/>
          <w:color w:val="000000"/>
          <w:sz w:val="32"/>
          <w:szCs w:val="32"/>
          <w:lang w:eastAsia="zh-CN"/>
        </w:rPr>
        <w:t>（221类）</w:t>
      </w:r>
      <w:r>
        <w:rPr>
          <w:rFonts w:hint="eastAsia" w:ascii="仿宋" w:hAnsi="仿宋" w:eastAsia="仿宋"/>
          <w:bCs/>
          <w:color w:val="000000"/>
          <w:sz w:val="32"/>
          <w:szCs w:val="32"/>
          <w:lang w:eastAsia="zh-CN"/>
        </w:rPr>
        <w:t>住房改革支出（02款）住房公积金（01项）。</w:t>
      </w:r>
      <w:r>
        <w:rPr>
          <w:rFonts w:hint="eastAsia" w:ascii="仿宋" w:hAnsi="仿宋" w:eastAsia="仿宋"/>
          <w:bCs/>
          <w:color w:val="000000"/>
          <w:sz w:val="32"/>
          <w:szCs w:val="32"/>
          <w:lang w:val="en-US" w:eastAsia="zh-CN"/>
        </w:rPr>
        <w:t>决算数等于预算数。</w:t>
      </w:r>
    </w:p>
    <w:p w14:paraId="19E42FE3">
      <w:pPr>
        <w:tabs>
          <w:tab w:val="right" w:pos="8306"/>
        </w:tabs>
        <w:spacing w:line="600" w:lineRule="exact"/>
        <w:ind w:firstLine="640"/>
        <w:outlineLvl w:val="1"/>
        <w:rPr>
          <w:rStyle w:val="30"/>
        </w:rPr>
      </w:pPr>
      <w:bookmarkStart w:id="53" w:name="_Toc19556"/>
      <w:bookmarkStart w:id="54" w:name="_Toc15377214"/>
      <w:bookmarkStart w:id="5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3"/>
      <w:bookmarkEnd w:id="54"/>
      <w:bookmarkEnd w:id="55"/>
      <w:r>
        <w:rPr>
          <w:rStyle w:val="30"/>
          <w:rFonts w:ascii="黑体" w:hAnsi="黑体" w:eastAsia="黑体"/>
          <w:b w:val="0"/>
        </w:rPr>
        <w:tab/>
      </w:r>
    </w:p>
    <w:p w14:paraId="0EE33A85">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2024年度一般公共预算财政拨款基本支出</w:t>
      </w:r>
      <w:r>
        <w:rPr>
          <w:rFonts w:hint="eastAsia" w:ascii="仿宋" w:hAnsi="仿宋" w:eastAsia="仿宋"/>
          <w:bCs/>
          <w:color w:val="000000"/>
          <w:sz w:val="32"/>
          <w:szCs w:val="32"/>
          <w:lang w:val="en-US" w:eastAsia="zh-CN"/>
        </w:rPr>
        <w:t>622.66</w:t>
      </w:r>
      <w:r>
        <w:rPr>
          <w:rFonts w:hint="eastAsia" w:ascii="仿宋" w:hAnsi="仿宋" w:eastAsia="仿宋"/>
          <w:bCs/>
          <w:color w:val="000000"/>
          <w:sz w:val="32"/>
          <w:szCs w:val="32"/>
          <w:lang w:eastAsia="zh-CN"/>
        </w:rPr>
        <w:t>万元，其中：</w:t>
      </w:r>
    </w:p>
    <w:p w14:paraId="180BFE88">
      <w:pPr>
        <w:pStyle w:val="2"/>
        <w:adjustRightInd w:val="0"/>
        <w:snapToGrid w:val="0"/>
        <w:spacing w:before="93" w:line="600" w:lineRule="exact"/>
        <w:ind w:firstLine="672" w:firstLineChars="210"/>
        <w:outlineLvl w:val="2"/>
        <w:rPr>
          <w:rFonts w:hint="eastAsia" w:ascii="仿宋" w:hAnsi="仿宋" w:eastAsia="仿宋"/>
          <w:sz w:val="32"/>
          <w:szCs w:val="32"/>
          <w:lang w:eastAsia="zh-CN"/>
        </w:rPr>
      </w:pPr>
      <w:r>
        <w:rPr>
          <w:rFonts w:hint="eastAsia" w:ascii="仿宋" w:hAnsi="仿宋" w:eastAsia="仿宋"/>
          <w:bCs/>
          <w:color w:val="000000"/>
          <w:sz w:val="32"/>
          <w:szCs w:val="32"/>
          <w:lang w:eastAsia="zh-CN"/>
        </w:rPr>
        <w:t>人员经费</w:t>
      </w:r>
      <w:r>
        <w:rPr>
          <w:rFonts w:hint="eastAsia" w:ascii="仿宋" w:hAnsi="仿宋" w:eastAsia="仿宋"/>
          <w:bCs/>
          <w:color w:val="000000"/>
          <w:sz w:val="32"/>
          <w:szCs w:val="32"/>
          <w:lang w:val="en-US" w:eastAsia="zh-CN"/>
        </w:rPr>
        <w:t>524.25</w:t>
      </w:r>
      <w:r>
        <w:rPr>
          <w:rFonts w:hint="eastAsia" w:ascii="仿宋" w:hAnsi="仿宋" w:eastAsia="仿宋"/>
          <w:bCs/>
          <w:color w:val="000000"/>
          <w:sz w:val="32"/>
          <w:szCs w:val="32"/>
          <w:lang w:eastAsia="zh-CN"/>
        </w:rPr>
        <w:t>万元，主要包括：基本工资、津贴补贴、奖金、伙食补助费、绩效工资、机关事业单位基本养老保险</w:t>
      </w:r>
      <w:r>
        <w:rPr>
          <w:rFonts w:hint="eastAsia" w:ascii="仿宋" w:hAnsi="仿宋" w:eastAsia="仿宋"/>
          <w:sz w:val="32"/>
          <w:szCs w:val="32"/>
        </w:rPr>
        <w:t>缴费、职业年金缴费、其他社会保障缴费、其他工资福利支出、离休费、退休费、抚恤金、生活补助、医疗费补助、奖励金、住房公积金、其他对个人和家庭的补助支出等。</w:t>
      </w:r>
    </w:p>
    <w:p w14:paraId="0F6C8937">
      <w:pPr>
        <w:spacing w:line="600" w:lineRule="exact"/>
        <w:ind w:firstLine="645"/>
        <w:rPr>
          <w:rFonts w:ascii="仿宋" w:hAnsi="仿宋" w:eastAsia="仿宋"/>
          <w:sz w:val="32"/>
          <w:szCs w:val="32"/>
        </w:rPr>
      </w:pPr>
      <w:r>
        <w:rPr>
          <w:rFonts w:hint="eastAsia" w:ascii="仿宋" w:hAnsi="仿宋" w:eastAsia="仿宋" w:cs="Times New Roman"/>
          <w:bCs/>
          <w:color w:val="000000"/>
          <w:kern w:val="0"/>
          <w:sz w:val="32"/>
          <w:szCs w:val="32"/>
          <w:lang w:val="en-US" w:eastAsia="zh-CN" w:bidi="ar-SA"/>
        </w:rPr>
        <w:t>公用经费98.41万元，</w:t>
      </w:r>
      <w:r>
        <w:rPr>
          <w:rFonts w:hint="eastAsia" w:ascii="仿宋" w:hAnsi="仿宋" w:eastAsia="仿宋"/>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840C6F3">
      <w:pPr>
        <w:spacing w:line="600" w:lineRule="exact"/>
        <w:outlineLvl w:val="1"/>
        <w:rPr>
          <w:rStyle w:val="38"/>
          <w:rFonts w:ascii="黑体" w:hAnsi="黑体" w:eastAsia="黑体"/>
          <w:b w:val="0"/>
        </w:rPr>
      </w:pPr>
      <w:bookmarkStart w:id="56" w:name="_Toc15377215"/>
      <w:bookmarkStart w:id="57" w:name="_Toc15396609"/>
      <w:bookmarkStart w:id="58" w:name="_Toc15377221"/>
      <w:bookmarkStart w:id="59" w:name="_Toc19256"/>
      <w:bookmarkStart w:id="60" w:name="_Toc15396612"/>
      <w:r>
        <w:rPr>
          <w:rFonts w:hint="eastAsia" w:ascii="黑体" w:eastAsia="黑体"/>
          <w:sz w:val="32"/>
          <w:szCs w:val="32"/>
        </w:rPr>
        <w:t>七、</w:t>
      </w:r>
      <w:r>
        <w:rPr>
          <w:rStyle w:val="38"/>
          <w:rFonts w:hint="eastAsia" w:ascii="黑体" w:hAnsi="黑体" w:eastAsia="黑体"/>
          <w:b w:val="0"/>
        </w:rPr>
        <w:t>财政拨款</w:t>
      </w:r>
      <w:r>
        <w:rPr>
          <w:rStyle w:val="38"/>
          <w:rFonts w:hint="eastAsia" w:ascii="黑体" w:hAnsi="黑体" w:eastAsia="黑体"/>
        </w:rPr>
        <w:t>“</w:t>
      </w:r>
      <w:r>
        <w:rPr>
          <w:rStyle w:val="38"/>
          <w:rFonts w:hint="eastAsia" w:ascii="黑体" w:hAnsi="黑体" w:eastAsia="黑体"/>
          <w:b w:val="0"/>
        </w:rPr>
        <w:t>三公”经费支出决算情况说明</w:t>
      </w:r>
      <w:bookmarkEnd w:id="56"/>
      <w:bookmarkEnd w:id="57"/>
    </w:p>
    <w:p w14:paraId="050C441F">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61" w:name="_Toc15377216"/>
      <w:r>
        <w:rPr>
          <w:rFonts w:hint="eastAsia" w:ascii="仿宋" w:hAnsi="仿宋" w:eastAsia="仿宋"/>
          <w:bCs/>
          <w:color w:val="000000"/>
          <w:sz w:val="32"/>
          <w:szCs w:val="32"/>
          <w:lang w:eastAsia="zh-CN"/>
        </w:rPr>
        <w:t>（一）“三公”经费财政拨款支出决算总体情况说明</w:t>
      </w:r>
      <w:bookmarkEnd w:id="61"/>
    </w:p>
    <w:p w14:paraId="654F0F4B">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bookmarkStart w:id="62" w:name="_Toc15377217"/>
      <w:r>
        <w:rPr>
          <w:rFonts w:hint="eastAsia" w:ascii="仿宋" w:hAnsi="仿宋" w:eastAsia="仿宋"/>
          <w:bCs/>
          <w:color w:val="000000"/>
          <w:sz w:val="32"/>
          <w:szCs w:val="32"/>
          <w:lang w:eastAsia="zh-CN"/>
        </w:rPr>
        <w:t>2024年度“三公”经费财政拨款支出决算为0万元，完成预算100%，与上年度持平</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lang w:eastAsia="zh-CN"/>
        </w:rPr>
        <w:t>决算数与预算数持平。</w:t>
      </w:r>
    </w:p>
    <w:p w14:paraId="51720E4E">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（二）“三公”经费财政拨款支出决算具体情况说明</w:t>
      </w:r>
      <w:bookmarkEnd w:id="62"/>
    </w:p>
    <w:p w14:paraId="6A51ECEF">
      <w:pPr>
        <w:pStyle w:val="2"/>
        <w:adjustRightInd w:val="0"/>
        <w:snapToGrid w:val="0"/>
        <w:spacing w:before="93" w:line="600" w:lineRule="exact"/>
        <w:ind w:firstLine="672" w:firstLineChars="210"/>
        <w:outlineLvl w:val="2"/>
        <w:rPr>
          <w:rFonts w:hint="eastAsia" w:ascii="仿宋" w:hAnsi="仿宋" w:eastAsia="仿宋" w:cs="Times New Roman"/>
          <w:sz w:val="32"/>
          <w:szCs w:val="32"/>
        </w:rPr>
      </w:pPr>
      <w:r>
        <w:rPr>
          <w:rFonts w:hint="eastAsia" w:ascii="仿宋" w:hAnsi="仿宋" w:eastAsia="仿宋"/>
          <w:bCs/>
          <w:color w:val="000000"/>
          <w:sz w:val="32"/>
          <w:szCs w:val="32"/>
          <w:lang w:eastAsia="zh-CN"/>
        </w:rPr>
        <w:t>2024年“三公”经费财政拨款支出决算中，因公出国（境）</w:t>
      </w:r>
      <w:r>
        <w:rPr>
          <w:rFonts w:hint="eastAsia" w:ascii="仿宋" w:hAnsi="仿宋" w:eastAsia="仿宋"/>
          <w:sz w:val="32"/>
          <w:szCs w:val="32"/>
        </w:rPr>
        <w:t>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cs="Times New Roman"/>
          <w:sz w:val="32"/>
          <w:szCs w:val="32"/>
        </w:rPr>
        <w:t>。具体情况如下：</w:t>
      </w:r>
    </w:p>
    <w:p w14:paraId="3323A966">
      <w:pPr>
        <w:pStyle w:val="2"/>
        <w:adjustRightInd w:val="0"/>
        <w:snapToGrid w:val="0"/>
        <w:spacing w:before="93" w:line="600" w:lineRule="exact"/>
        <w:ind w:firstLine="672" w:firstLineChars="210"/>
        <w:outlineLvl w:val="2"/>
        <w:rPr>
          <w:rFonts w:ascii="仿宋_GB2312" w:eastAsia="仿宋_GB2312"/>
          <w:b w:val="0"/>
          <w:bCs/>
          <w:sz w:val="32"/>
          <w:szCs w:val="32"/>
        </w:rPr>
      </w:pPr>
      <w:r>
        <w:rPr>
          <w:rFonts w:hint="eastAsia" w:ascii="仿宋" w:hAnsi="仿宋" w:eastAsia="仿宋" w:cs="Times New Roman"/>
          <w:sz w:val="32"/>
          <w:szCs w:val="32"/>
        </w:rPr>
        <w:t>1.因公出国（境）经费支出0万元，完成预算</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%。全</w:t>
      </w:r>
      <w:r>
        <w:rPr>
          <w:rFonts w:hint="eastAsia" w:ascii="仿宋_GB2312" w:eastAsia="仿宋_GB2312"/>
          <w:b w:val="0"/>
          <w:bCs/>
          <w:sz w:val="32"/>
          <w:szCs w:val="32"/>
        </w:rPr>
        <w:t>年安排因公出国（境）团组</w:t>
      </w:r>
      <w:r>
        <w:rPr>
          <w:b w:val="0"/>
          <w:bCs/>
          <w:sz w:val="32"/>
          <w:szCs w:val="32"/>
        </w:rPr>
        <w:t>0</w:t>
      </w:r>
      <w:r>
        <w:rPr>
          <w:rFonts w:hint="eastAsia" w:ascii="仿宋_GB2312" w:eastAsia="仿宋_GB2312"/>
          <w:b w:val="0"/>
          <w:bCs/>
          <w:sz w:val="32"/>
          <w:szCs w:val="32"/>
        </w:rPr>
        <w:t>次，出国（境）</w:t>
      </w:r>
      <w:r>
        <w:rPr>
          <w:b w:val="0"/>
          <w:bCs/>
          <w:sz w:val="32"/>
          <w:szCs w:val="32"/>
        </w:rPr>
        <w:t>0</w:t>
      </w:r>
      <w:r>
        <w:rPr>
          <w:rFonts w:hint="eastAsia" w:ascii="仿宋_GB2312" w:eastAsia="仿宋_GB2312"/>
          <w:b w:val="0"/>
          <w:bCs/>
          <w:sz w:val="32"/>
          <w:szCs w:val="32"/>
        </w:rPr>
        <w:t>人。因公出国（境）支出决算比</w:t>
      </w:r>
      <w:r>
        <w:rPr>
          <w:rFonts w:hint="eastAsia" w:ascii="仿宋_GB2312" w:eastAsia="仿宋_GB2312"/>
          <w:b w:val="0"/>
          <w:bCs/>
          <w:sz w:val="32"/>
          <w:szCs w:val="32"/>
          <w:lang w:eastAsia="zh-CN"/>
        </w:rPr>
        <w:t>2023年</w:t>
      </w:r>
      <w:r>
        <w:rPr>
          <w:rFonts w:hint="eastAsia" w:ascii="仿宋_GB2312" w:eastAsia="仿宋_GB2312"/>
          <w:b w:val="0"/>
          <w:bCs/>
          <w:sz w:val="32"/>
          <w:szCs w:val="32"/>
        </w:rPr>
        <w:t>增加</w:t>
      </w:r>
      <w:r>
        <w:rPr>
          <w:rFonts w:ascii="仿宋_GB2312" w:eastAsia="仿宋_GB2312"/>
          <w:b w:val="0"/>
          <w:bCs/>
          <w:sz w:val="32"/>
          <w:szCs w:val="32"/>
        </w:rPr>
        <w:t>0</w:t>
      </w:r>
      <w:r>
        <w:rPr>
          <w:rFonts w:hint="eastAsia" w:ascii="仿宋_GB2312" w:eastAsia="仿宋_GB2312"/>
          <w:b w:val="0"/>
          <w:bCs/>
          <w:sz w:val="32"/>
          <w:szCs w:val="32"/>
        </w:rPr>
        <w:t>万元，增长</w:t>
      </w:r>
      <w:r>
        <w:rPr>
          <w:rFonts w:ascii="仿宋_GB2312" w:eastAsia="仿宋_GB2312"/>
          <w:b w:val="0"/>
          <w:bCs/>
          <w:sz w:val="32"/>
          <w:szCs w:val="32"/>
        </w:rPr>
        <w:t>0</w:t>
      </w:r>
      <w:r>
        <w:rPr>
          <w:rFonts w:hint="eastAsia" w:ascii="仿宋_GB2312" w:eastAsia="仿宋_GB2312"/>
          <w:b w:val="0"/>
          <w:bCs/>
          <w:sz w:val="32"/>
          <w:szCs w:val="32"/>
        </w:rPr>
        <w:t>%。</w:t>
      </w:r>
    </w:p>
    <w:p w14:paraId="336C2B33">
      <w:pPr>
        <w:spacing w:line="600" w:lineRule="exact"/>
        <w:ind w:firstLine="640"/>
        <w:rPr>
          <w:rFonts w:hint="eastAsia" w:ascii="仿宋_GB2312" w:eastAsia="仿宋_GB2312"/>
          <w:b/>
          <w:sz w:val="32"/>
          <w:szCs w:val="32"/>
        </w:rPr>
      </w:pPr>
      <w:r>
        <w:rPr>
          <w:rFonts w:hint="eastAsia" w:ascii="仿宋_GB2312" w:eastAsia="仿宋_GB2312"/>
          <w:b w:val="0"/>
          <w:bCs/>
          <w:sz w:val="32"/>
          <w:szCs w:val="32"/>
        </w:rPr>
        <w:t>2.公务用车购置及运行维护费支出</w:t>
      </w:r>
      <w:r>
        <w:rPr>
          <w:b w:val="0"/>
          <w:bCs/>
          <w:sz w:val="32"/>
          <w:szCs w:val="32"/>
        </w:rPr>
        <w:t>0</w:t>
      </w:r>
      <w:r>
        <w:rPr>
          <w:rFonts w:hint="eastAsia" w:ascii="仿宋_GB2312" w:eastAsia="仿宋_GB2312"/>
          <w:b w:val="0"/>
          <w:bCs/>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w:t>
      </w:r>
      <w:r>
        <w:rPr>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2023年</w:t>
      </w:r>
      <w:r>
        <w:rPr>
          <w:rFonts w:hint="eastAsia" w:ascii="仿宋_GB2312" w:eastAsia="仿宋_GB2312"/>
          <w:sz w:val="32"/>
          <w:szCs w:val="32"/>
        </w:rPr>
        <w:t>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E2D6F1C">
      <w:pPr>
        <w:spacing w:line="600" w:lineRule="exact"/>
        <w:ind w:firstLine="640" w:firstLineChars="200"/>
        <w:rPr>
          <w:rFonts w:hint="eastAsia" w:ascii="仿宋_GB2312" w:eastAsia="仿宋_GB2312"/>
          <w:b/>
          <w:sz w:val="32"/>
          <w:szCs w:val="32"/>
        </w:rPr>
      </w:pPr>
      <w:r>
        <w:rPr>
          <w:rFonts w:hint="eastAsia" w:ascii="仿宋_GB2312" w:eastAsia="仿宋_GB2312"/>
          <w:b w:val="0"/>
          <w:bCs w:val="0"/>
          <w:sz w:val="32"/>
          <w:szCs w:val="32"/>
        </w:rPr>
        <w:t>其中：公务用车购置支出</w:t>
      </w:r>
      <w:r>
        <w:rPr>
          <w:b w:val="0"/>
          <w:bCs w:val="0"/>
          <w:sz w:val="32"/>
          <w:szCs w:val="32"/>
        </w:rPr>
        <w:t>0</w:t>
      </w:r>
      <w:r>
        <w:rPr>
          <w:rFonts w:hint="eastAsia" w:ascii="仿宋_GB2312" w:eastAsia="仿宋_GB2312"/>
          <w:b w:val="0"/>
          <w:bCs w:val="0"/>
          <w:sz w:val="32"/>
          <w:szCs w:val="32"/>
        </w:rPr>
        <w:t>万元</w:t>
      </w:r>
      <w:r>
        <w:rPr>
          <w:rFonts w:hint="eastAsia" w:ascii="仿宋_GB2312" w:eastAsia="仿宋_GB2312"/>
          <w:sz w:val="32"/>
          <w:szCs w:val="32"/>
        </w:rPr>
        <w:t>。全年按规定更新购置公务用车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hint="eastAsia" w:ascii="仿宋_GB2312" w:eastAsia="仿宋_GB2312"/>
          <w:sz w:val="32"/>
          <w:szCs w:val="32"/>
          <w:lang w:eastAsia="zh-CN"/>
        </w:rPr>
        <w:t>2024年</w:t>
      </w:r>
      <w:r>
        <w:rPr>
          <w:rFonts w:hint="eastAsia" w:ascii="仿宋_GB2312" w:eastAsia="仿宋_GB2312"/>
          <w:sz w:val="32"/>
          <w:szCs w:val="32"/>
        </w:rPr>
        <w:t>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31FF91FA">
      <w:pPr>
        <w:spacing w:line="600" w:lineRule="exact"/>
        <w:ind w:firstLine="640"/>
        <w:rPr>
          <w:rFonts w:hint="eastAsia" w:ascii="仿宋_GB2312" w:eastAsia="仿宋_GB2312"/>
          <w:b w:val="0"/>
          <w:bCs/>
          <w:sz w:val="32"/>
          <w:szCs w:val="32"/>
        </w:rPr>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p>
    <w:p w14:paraId="4A0A0719">
      <w:pPr>
        <w:numPr>
          <w:ilvl w:val="0"/>
          <w:numId w:val="3"/>
        </w:numPr>
        <w:spacing w:line="600" w:lineRule="exact"/>
        <w:ind w:firstLine="640"/>
        <w:rPr>
          <w:rFonts w:hint="eastAsia" w:ascii="仿宋_GB2312" w:eastAsia="仿宋_GB2312"/>
          <w:b w:val="0"/>
          <w:bCs/>
          <w:sz w:val="32"/>
          <w:szCs w:val="32"/>
        </w:rPr>
      </w:pPr>
      <w:r>
        <w:rPr>
          <w:rFonts w:hint="eastAsia" w:ascii="仿宋_GB2312" w:eastAsia="仿宋_GB2312"/>
          <w:b w:val="0"/>
          <w:bCs/>
          <w:sz w:val="32"/>
          <w:szCs w:val="32"/>
        </w:rPr>
        <w:t>公务接待费支出</w:t>
      </w:r>
      <w:r>
        <w:rPr>
          <w:b w:val="0"/>
          <w:bCs/>
          <w:sz w:val="32"/>
          <w:szCs w:val="32"/>
        </w:rPr>
        <w:t>0</w:t>
      </w:r>
      <w:r>
        <w:rPr>
          <w:rFonts w:hint="eastAsia" w:ascii="仿宋_GB2312" w:eastAsia="仿宋_GB2312"/>
          <w:b w:val="0"/>
          <w:bCs/>
          <w:sz w:val="32"/>
          <w:szCs w:val="32"/>
        </w:rPr>
        <w:t>万元，完成预算</w:t>
      </w:r>
      <w:r>
        <w:rPr>
          <w:rFonts w:hint="eastAsia" w:ascii="仿宋_GB2312" w:eastAsia="仿宋_GB2312"/>
          <w:b w:val="0"/>
          <w:bCs/>
          <w:sz w:val="32"/>
          <w:szCs w:val="32"/>
          <w:lang w:val="en-US" w:eastAsia="zh-CN"/>
        </w:rPr>
        <w:t>100</w:t>
      </w:r>
      <w:r>
        <w:rPr>
          <w:rFonts w:hint="eastAsia" w:ascii="仿宋_GB2312" w:eastAsia="仿宋_GB2312"/>
          <w:b w:val="0"/>
          <w:bCs/>
          <w:sz w:val="32"/>
          <w:szCs w:val="32"/>
        </w:rPr>
        <w:t>%。公务接待费支出决算与</w:t>
      </w:r>
      <w:r>
        <w:rPr>
          <w:rFonts w:hint="eastAsia" w:ascii="仿宋_GB2312" w:eastAsia="仿宋_GB2312"/>
          <w:b w:val="0"/>
          <w:bCs/>
          <w:sz w:val="32"/>
          <w:szCs w:val="32"/>
          <w:lang w:eastAsia="zh-CN"/>
        </w:rPr>
        <w:t>2023年</w:t>
      </w:r>
      <w:r>
        <w:rPr>
          <w:rFonts w:hint="eastAsia" w:ascii="仿宋_GB2312" w:eastAsia="仿宋_GB2312"/>
          <w:b w:val="0"/>
          <w:bCs/>
          <w:sz w:val="32"/>
          <w:szCs w:val="32"/>
        </w:rPr>
        <w:t>度持平。其中：</w:t>
      </w:r>
    </w:p>
    <w:p w14:paraId="51EBBD22">
      <w:pPr>
        <w:numPr>
          <w:ilvl w:val="0"/>
          <w:numId w:val="0"/>
        </w:numPr>
        <w:spacing w:line="600" w:lineRule="exact"/>
        <w:ind w:firstLine="640" w:firstLineChars="200"/>
        <w:rPr>
          <w:rFonts w:hint="eastAsia" w:ascii="仿宋_GB2312" w:eastAsia="仿宋_GB2312"/>
          <w:b w:val="0"/>
          <w:bCs/>
          <w:sz w:val="32"/>
          <w:szCs w:val="32"/>
          <w:lang w:eastAsia="zh-CN"/>
        </w:rPr>
      </w:pPr>
      <w:r>
        <w:rPr>
          <w:rFonts w:hint="eastAsia" w:ascii="仿宋_GB2312" w:eastAsia="仿宋_GB2312"/>
          <w:b w:val="0"/>
          <w:bCs/>
          <w:sz w:val="32"/>
          <w:szCs w:val="32"/>
        </w:rPr>
        <w:t>国内公务接待支出0万元。国内公务接待0批次，0人次（不包括陪同人员），共计支出0万元。</w:t>
      </w:r>
    </w:p>
    <w:p w14:paraId="2F2D9665">
      <w:pPr>
        <w:numPr>
          <w:ilvl w:val="0"/>
          <w:numId w:val="0"/>
        </w:numPr>
        <w:spacing w:line="60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外事接待支出0万元。外事接待0批次，0人次（不包括陪同人员），共计支出0万元。</w:t>
      </w:r>
    </w:p>
    <w:p w14:paraId="0A7562E5">
      <w:pPr>
        <w:spacing w:line="600" w:lineRule="exact"/>
        <w:ind w:firstLine="480" w:firstLineChars="150"/>
        <w:outlineLvl w:val="1"/>
        <w:rPr>
          <w:rStyle w:val="38"/>
          <w:rFonts w:ascii="黑体" w:hAnsi="黑体" w:eastAsia="黑体"/>
        </w:rPr>
      </w:pPr>
      <w:bookmarkStart w:id="63" w:name="_Toc15396610"/>
      <w:bookmarkStart w:id="64" w:name="_Toc15377218"/>
      <w:r>
        <w:rPr>
          <w:rFonts w:hint="eastAsia" w:ascii="黑体" w:eastAsia="黑体"/>
          <w:sz w:val="32"/>
          <w:szCs w:val="32"/>
        </w:rPr>
        <w:t>八、</w:t>
      </w:r>
      <w:r>
        <w:rPr>
          <w:rStyle w:val="38"/>
          <w:rFonts w:hint="eastAsia" w:ascii="黑体" w:hAnsi="黑体" w:eastAsia="黑体"/>
          <w:b w:val="0"/>
        </w:rPr>
        <w:t>政府性基金预算支出决算情况说明</w:t>
      </w:r>
      <w:bookmarkEnd w:id="63"/>
      <w:bookmarkEnd w:id="64"/>
    </w:p>
    <w:p w14:paraId="3CD2489B">
      <w:pPr>
        <w:spacing w:line="600" w:lineRule="exact"/>
        <w:ind w:firstLine="640"/>
        <w:rPr>
          <w:rFonts w:ascii="仿宋_GB2312" w:eastAsia="仿宋_GB2312"/>
          <w:color w:val="auto"/>
          <w:sz w:val="32"/>
          <w:szCs w:val="32"/>
        </w:rPr>
      </w:pPr>
      <w:r>
        <w:rPr>
          <w:rFonts w:hint="eastAsia" w:ascii="仿宋_GB2312" w:eastAsia="仿宋_GB2312"/>
          <w:color w:val="auto"/>
          <w:sz w:val="32"/>
          <w:szCs w:val="32"/>
          <w:lang w:eastAsia="zh-CN"/>
        </w:rPr>
        <w:t>2024年</w:t>
      </w:r>
      <w:r>
        <w:rPr>
          <w:rFonts w:hint="eastAsia" w:ascii="仿宋_GB2312" w:eastAsia="仿宋_GB2312"/>
          <w:color w:val="auto"/>
          <w:sz w:val="32"/>
          <w:szCs w:val="32"/>
        </w:rPr>
        <w:t>政府性基金预算财政拨款支出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414CA862">
      <w:pPr>
        <w:numPr>
          <w:ilvl w:val="0"/>
          <w:numId w:val="4"/>
        </w:numPr>
        <w:spacing w:line="600" w:lineRule="exact"/>
        <w:ind w:firstLine="640"/>
        <w:outlineLvl w:val="1"/>
        <w:rPr>
          <w:rStyle w:val="38"/>
          <w:rFonts w:ascii="黑体" w:hAnsi="黑体" w:eastAsia="黑体"/>
          <w:b w:val="0"/>
        </w:rPr>
      </w:pPr>
      <w:bookmarkStart w:id="65" w:name="_Toc15396611"/>
      <w:bookmarkStart w:id="66" w:name="_Toc15377219"/>
      <w:r>
        <w:rPr>
          <w:rStyle w:val="38"/>
          <w:rFonts w:hint="eastAsia" w:ascii="黑体" w:hAnsi="黑体" w:eastAsia="黑体"/>
          <w:b w:val="0"/>
        </w:rPr>
        <w:t>国有资本经营预算支出决算情况说明</w:t>
      </w:r>
      <w:bookmarkEnd w:id="65"/>
      <w:bookmarkEnd w:id="66"/>
    </w:p>
    <w:p w14:paraId="62FD8252">
      <w:pPr>
        <w:pStyle w:val="28"/>
        <w:spacing w:line="600" w:lineRule="exact"/>
        <w:ind w:left="360" w:firstLine="0" w:firstLineChars="0"/>
        <w:rPr>
          <w:rFonts w:ascii="仿宋_GB2312" w:eastAsia="仿宋_GB2312"/>
          <w:sz w:val="32"/>
          <w:szCs w:val="32"/>
        </w:rPr>
      </w:pPr>
      <w:r>
        <w:rPr>
          <w:rFonts w:hint="eastAsia" w:ascii="仿宋_GB2312" w:eastAsia="仿宋_GB2312"/>
          <w:sz w:val="32"/>
          <w:szCs w:val="32"/>
          <w:lang w:eastAsia="zh-CN"/>
        </w:rPr>
        <w:t>2024年</w:t>
      </w:r>
      <w:r>
        <w:rPr>
          <w:rFonts w:hint="eastAsia" w:ascii="仿宋_GB2312" w:eastAsia="仿宋_GB2312"/>
          <w:sz w:val="32"/>
          <w:szCs w:val="32"/>
        </w:rPr>
        <w:t>国有资本经营预算财政拨款支出0万元。</w:t>
      </w:r>
    </w:p>
    <w:p w14:paraId="2B0207ED">
      <w:pPr>
        <w:pStyle w:val="28"/>
        <w:spacing w:line="600" w:lineRule="exact"/>
        <w:ind w:left="360" w:firstLine="321" w:firstLineChars="100"/>
        <w:outlineLvl w:val="1"/>
        <w:rPr>
          <w:rStyle w:val="38"/>
          <w:rFonts w:ascii="黑体" w:hAnsi="黑体" w:eastAsia="黑体"/>
          <w:b w:val="0"/>
        </w:rPr>
      </w:pPr>
      <w:r>
        <w:rPr>
          <w:rStyle w:val="38"/>
          <w:rFonts w:hint="eastAsia" w:ascii="黑体" w:hAnsi="黑体" w:eastAsia="黑体"/>
        </w:rPr>
        <w:t>十</w:t>
      </w:r>
      <w:r>
        <w:rPr>
          <w:rStyle w:val="38"/>
          <w:rFonts w:ascii="黑体" w:hAnsi="黑体" w:eastAsia="黑体"/>
        </w:rPr>
        <w:t>、</w:t>
      </w:r>
      <w:r>
        <w:rPr>
          <w:rStyle w:val="38"/>
          <w:rFonts w:hint="eastAsia" w:ascii="黑体" w:hAnsi="黑体" w:eastAsia="黑体"/>
          <w:b w:val="0"/>
        </w:rPr>
        <w:t>其他重要事项的情况说明</w:t>
      </w:r>
    </w:p>
    <w:bookmarkEnd w:id="58"/>
    <w:bookmarkEnd w:id="59"/>
    <w:bookmarkEnd w:id="60"/>
    <w:p w14:paraId="75E7BE6C">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67" w:name="_Toc15377222"/>
      <w:r>
        <w:rPr>
          <w:rFonts w:hint="eastAsia" w:ascii="仿宋" w:hAnsi="仿宋" w:eastAsia="仿宋"/>
          <w:bCs/>
          <w:color w:val="000000"/>
          <w:sz w:val="32"/>
          <w:szCs w:val="32"/>
          <w:lang w:eastAsia="zh-CN"/>
        </w:rPr>
        <w:t>（一）机关运行经费支出情况</w:t>
      </w:r>
      <w:bookmarkEnd w:id="67"/>
    </w:p>
    <w:p w14:paraId="2E6C6E19">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2024年，遂宁市安居区</w:t>
      </w:r>
      <w:r>
        <w:rPr>
          <w:rFonts w:hint="eastAsia" w:ascii="仿宋" w:hAnsi="仿宋" w:eastAsia="仿宋"/>
          <w:bCs/>
          <w:color w:val="000000"/>
          <w:sz w:val="32"/>
          <w:szCs w:val="32"/>
          <w:lang w:val="en-US" w:eastAsia="zh-CN"/>
        </w:rPr>
        <w:t>第四小学校</w:t>
      </w:r>
      <w:r>
        <w:rPr>
          <w:rFonts w:hint="eastAsia" w:ascii="仿宋" w:hAnsi="仿宋" w:eastAsia="仿宋"/>
          <w:bCs/>
          <w:color w:val="000000"/>
          <w:sz w:val="32"/>
          <w:szCs w:val="32"/>
          <w:lang w:eastAsia="zh-CN"/>
        </w:rPr>
        <w:t>机关运行经费支出0万元。</w:t>
      </w:r>
    </w:p>
    <w:p w14:paraId="01914141">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68" w:name="_Toc15377223"/>
      <w:r>
        <w:rPr>
          <w:rFonts w:hint="eastAsia" w:ascii="仿宋" w:hAnsi="仿宋" w:eastAsia="仿宋"/>
          <w:bCs/>
          <w:color w:val="000000"/>
          <w:sz w:val="32"/>
          <w:szCs w:val="32"/>
          <w:lang w:eastAsia="zh-CN"/>
        </w:rPr>
        <w:t>（二）政府采购支出情况</w:t>
      </w:r>
      <w:bookmarkEnd w:id="68"/>
    </w:p>
    <w:p w14:paraId="42299FC8">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bookmarkStart w:id="69" w:name="_Toc15377224"/>
      <w:r>
        <w:rPr>
          <w:rFonts w:hint="eastAsia" w:ascii="仿宋" w:hAnsi="仿宋" w:eastAsia="仿宋"/>
          <w:bCs/>
          <w:color w:val="000000"/>
          <w:sz w:val="32"/>
          <w:szCs w:val="32"/>
          <w:lang w:eastAsia="zh-CN"/>
        </w:rPr>
        <w:t>2024年度，遂宁市安居区</w:t>
      </w:r>
      <w:r>
        <w:rPr>
          <w:rFonts w:hint="eastAsia" w:ascii="仿宋" w:hAnsi="仿宋" w:eastAsia="仿宋"/>
          <w:bCs/>
          <w:color w:val="000000"/>
          <w:sz w:val="32"/>
          <w:szCs w:val="32"/>
          <w:lang w:val="en-US" w:eastAsia="zh-CN"/>
        </w:rPr>
        <w:t>第四小学校</w:t>
      </w:r>
      <w:r>
        <w:rPr>
          <w:rFonts w:hint="eastAsia" w:ascii="仿宋" w:hAnsi="仿宋" w:eastAsia="仿宋"/>
          <w:bCs/>
          <w:color w:val="000000"/>
          <w:sz w:val="32"/>
          <w:szCs w:val="32"/>
          <w:lang w:eastAsia="zh-CN"/>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69"/>
    <w:p w14:paraId="4F767508">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（三）国有资产占有使用情况</w:t>
      </w:r>
    </w:p>
    <w:p w14:paraId="7CDE9FB5">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截至2024年12月31日，遂宁市安居区</w:t>
      </w:r>
      <w:r>
        <w:rPr>
          <w:rFonts w:hint="eastAsia" w:ascii="仿宋" w:hAnsi="仿宋" w:eastAsia="仿宋"/>
          <w:bCs/>
          <w:color w:val="000000"/>
          <w:sz w:val="32"/>
          <w:szCs w:val="32"/>
          <w:lang w:val="en-US" w:eastAsia="zh-CN"/>
        </w:rPr>
        <w:t>第四小学校</w:t>
      </w:r>
      <w:r>
        <w:rPr>
          <w:rFonts w:hint="eastAsia" w:ascii="仿宋" w:hAnsi="仿宋" w:eastAsia="仿宋"/>
          <w:bCs/>
          <w:color w:val="000000"/>
          <w:sz w:val="32"/>
          <w:szCs w:val="32"/>
          <w:lang w:eastAsia="zh-CN"/>
        </w:rPr>
        <w:t>共有车辆0辆，其中：主要领导干部用车0辆、机要通信用车0辆、应急保障用车0辆、其他用车0辆。单价100万元以上设备（不含车辆）0台（套）。</w:t>
      </w:r>
    </w:p>
    <w:p w14:paraId="29186BCC">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（四）预算绩效管理情况。</w:t>
      </w:r>
    </w:p>
    <w:p w14:paraId="68AE16C1">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根据预算绩效管理要求，本单位在2024年度预算编制阶段，组织对义教贫困生生活补助、义务教育免作业本费等2个项目开展了预算事前绩效评估，对2个项目编制了绩效目标，预算执行过程中，选取2个项目开展绩效监控。</w:t>
      </w:r>
    </w:p>
    <w:p w14:paraId="25EB4E77">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组织对2024年度一般公共预算、政府性基金预算、国有资本经营预算、社会保险基金预算以及资本资产、债券资金等全面开展绩效自评，形成2024年安居四小部门整体（含部门预算项目）绩效自评报告、义教贫困生生活补助、义务教育免作业本费等专项预算项目绩效自评报告，其中，2024年安居四小部门整体（含部门预算项目）绩效自评得分为100分，绩效自评综述严格执行相关政策，保障工资及时发放、足额发放，预算编制科学合理，减少结余资金</w:t>
      </w:r>
      <w:r>
        <w:rPr>
          <w:rFonts w:hint="eastAsia" w:ascii="仿宋" w:hAnsi="仿宋" w:eastAsia="仿宋"/>
          <w:bCs/>
          <w:color w:val="000000"/>
          <w:sz w:val="32"/>
          <w:szCs w:val="32"/>
          <w:lang w:val="zh-CN" w:eastAsia="zh-CN"/>
        </w:rPr>
        <w:t>，</w:t>
      </w:r>
      <w:r>
        <w:rPr>
          <w:rFonts w:hint="eastAsia" w:ascii="仿宋" w:hAnsi="仿宋" w:eastAsia="仿宋"/>
          <w:bCs/>
          <w:color w:val="000000"/>
          <w:sz w:val="32"/>
          <w:szCs w:val="32"/>
          <w:lang w:eastAsia="zh-CN"/>
        </w:rPr>
        <w:t>广泛听取意见，认真总结分析,搜集完善各类资料。进一步深化课程改革，提高教育质量，努力改善办学条件,促进教育均衡发展。</w:t>
      </w:r>
      <w:r>
        <w:rPr>
          <w:rFonts w:hint="eastAsia" w:ascii="仿宋" w:hAnsi="仿宋" w:eastAsia="仿宋"/>
          <w:bCs/>
          <w:color w:val="000000"/>
          <w:sz w:val="32"/>
          <w:szCs w:val="32"/>
          <w:lang w:val="en-US" w:eastAsia="zh-CN"/>
        </w:rPr>
        <w:t>义教贫困生生活补助预算项目绩效自评得分为100分，绩效自评综述加强民生资金专项管理，提高民生资金使用效益，确保专款专用，按程序及时兑现给学生（或监护人）。义务教育免作业本费专项预算项目绩效自评得分为100分，绩效自评综述加强民生资金专项管理，提高民生资金使用效益，确保专款专用，及时申报经费，保证学生作业本按时发放。</w:t>
      </w:r>
    </w:p>
    <w:p w14:paraId="4E21D79F">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绩效自评表详见第四部分附件。</w:t>
      </w:r>
    </w:p>
    <w:p w14:paraId="3B1747B4">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p>
    <w:p w14:paraId="66E45D3F">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p>
    <w:p w14:paraId="489E9061">
      <w:pPr>
        <w:pStyle w:val="2"/>
        <w:rPr>
          <w:rFonts w:hint="eastAsia"/>
        </w:rPr>
      </w:pPr>
    </w:p>
    <w:p w14:paraId="475AC58E">
      <w:pPr>
        <w:pStyle w:val="2"/>
        <w:rPr>
          <w:rFonts w:hint="eastAsia"/>
        </w:rPr>
      </w:pPr>
    </w:p>
    <w:p w14:paraId="68E0B020">
      <w:pPr>
        <w:pStyle w:val="2"/>
        <w:rPr>
          <w:rFonts w:hint="eastAsia"/>
        </w:rPr>
      </w:pPr>
    </w:p>
    <w:p w14:paraId="7E1ACB47">
      <w:pPr>
        <w:pStyle w:val="2"/>
        <w:rPr>
          <w:rFonts w:hint="eastAsia"/>
        </w:rPr>
      </w:pPr>
    </w:p>
    <w:p w14:paraId="1BC679E7">
      <w:pPr>
        <w:pStyle w:val="2"/>
        <w:rPr>
          <w:rFonts w:hint="eastAsia"/>
        </w:rPr>
      </w:pPr>
    </w:p>
    <w:p w14:paraId="539031C5">
      <w:pPr>
        <w:pStyle w:val="2"/>
        <w:rPr>
          <w:rFonts w:hint="eastAsia"/>
        </w:rPr>
      </w:pPr>
    </w:p>
    <w:p w14:paraId="7554EFC4">
      <w:pPr>
        <w:pStyle w:val="3"/>
        <w:jc w:val="center"/>
      </w:pPr>
      <w:bookmarkStart w:id="70" w:name="_Toc25235"/>
      <w:r>
        <w:rPr>
          <w:rFonts w:hint="eastAsia" w:ascii="黑体" w:hAnsi="黑体" w:eastAsia="黑体" w:cs="Times New Roman"/>
          <w:b w:val="0"/>
        </w:rPr>
        <w:t>第三部分 名词解释</w:t>
      </w:r>
      <w:bookmarkEnd w:id="70"/>
    </w:p>
    <w:p w14:paraId="64919D34"/>
    <w:p w14:paraId="3B9076F7">
      <w:pPr>
        <w:autoSpaceDE w:val="0"/>
        <w:autoSpaceDN w:val="0"/>
        <w:adjustRightInd w:val="0"/>
        <w:spacing w:line="560" w:lineRule="exact"/>
        <w:ind w:firstLine="640" w:firstLineChars="200"/>
        <w:outlineLvl w:val="1"/>
        <w:rPr>
          <w:rFonts w:ascii="仿宋" w:hAnsi="仿宋" w:eastAsia="仿宋"/>
          <w:sz w:val="32"/>
          <w:szCs w:val="32"/>
        </w:rPr>
      </w:pPr>
      <w:bookmarkStart w:id="71" w:name="_Toc30753"/>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bookmarkEnd w:id="71"/>
    </w:p>
    <w:p w14:paraId="66174593">
      <w:pPr>
        <w:autoSpaceDE w:val="0"/>
        <w:autoSpaceDN w:val="0"/>
        <w:adjustRightIn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事业收入：指事业单位开展专业业务活动及辅助活动取得的收入。如高中学费收入、学前教育保教费收入等。</w:t>
      </w:r>
    </w:p>
    <w:p w14:paraId="5375F998">
      <w:pPr>
        <w:autoSpaceDE w:val="0"/>
        <w:autoSpaceDN w:val="0"/>
        <w:adjustRightIn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其他收入：指单位取得的除上述收入以外的各项收入。主要是利息收入、捐赠收入等。</w:t>
      </w:r>
    </w:p>
    <w:p w14:paraId="1725BF63">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教育（205类）普通教育（02款）小学教育（02项）</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14:paraId="7B01F7B8">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教育（205类）普通教育（02款）其他普通教育支出（99项）</w:t>
      </w:r>
      <w:r>
        <w:rPr>
          <w:rFonts w:ascii="仿宋" w:hAnsi="仿宋" w:eastAsia="仿宋"/>
          <w:sz w:val="32"/>
          <w:szCs w:val="32"/>
        </w:rPr>
        <w:t xml:space="preserve">: </w:t>
      </w:r>
      <w:r>
        <w:rPr>
          <w:rFonts w:hint="eastAsia" w:ascii="仿宋" w:hAnsi="仿宋" w:eastAsia="仿宋"/>
          <w:sz w:val="32"/>
          <w:szCs w:val="32"/>
        </w:rPr>
        <w:t>反映除上述项目以外其它用于普通教育方面的支出。</w:t>
      </w:r>
    </w:p>
    <w:p w14:paraId="1C438C2F">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18511BD3">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2E44E390">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lang w:val="en-US" w:eastAsia="zh-CN"/>
        </w:rPr>
        <w:t>卫生健康支出</w:t>
      </w:r>
      <w:r>
        <w:rPr>
          <w:rFonts w:hint="eastAsia" w:ascii="仿宋" w:hAnsi="仿宋" w:eastAsia="仿宋"/>
          <w:sz w:val="32"/>
          <w:szCs w:val="32"/>
        </w:rPr>
        <w:t>（210类）行政事业单位医疗（11款）行政单位医疗（0</w:t>
      </w:r>
      <w:r>
        <w:rPr>
          <w:rFonts w:hint="eastAsia" w:ascii="仿宋" w:hAnsi="仿宋" w:eastAsia="仿宋"/>
          <w:sz w:val="32"/>
          <w:szCs w:val="32"/>
          <w:lang w:val="en-US" w:eastAsia="zh-CN"/>
        </w:rPr>
        <w:t>2</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反映财政部门集中安排的</w:t>
      </w:r>
      <w:r>
        <w:rPr>
          <w:rFonts w:hint="eastAsia" w:ascii="仿宋" w:hAnsi="仿宋" w:eastAsia="仿宋"/>
          <w:sz w:val="32"/>
          <w:szCs w:val="32"/>
          <w:lang w:val="en-US" w:eastAsia="zh-CN"/>
        </w:rPr>
        <w:t>事业</w:t>
      </w:r>
      <w:r>
        <w:rPr>
          <w:rFonts w:hint="eastAsia" w:ascii="仿宋" w:hAnsi="仿宋" w:eastAsia="仿宋"/>
          <w:sz w:val="32"/>
          <w:szCs w:val="32"/>
        </w:rPr>
        <w:t>单位基本医疗保险缴费经费，未参加医疗保险的行政单位的公费医疗经费。</w:t>
      </w:r>
    </w:p>
    <w:p w14:paraId="58447A8B">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095FF11C">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05279044">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2D4C5183">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70CB4D">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13</w:t>
      </w:r>
      <w:r>
        <w:rPr>
          <w:rFonts w:ascii="仿宋" w:hAnsi="仿宋" w:eastAsia="仿宋"/>
          <w:sz w:val="32"/>
          <w:szCs w:val="32"/>
        </w:rPr>
        <w:t>.</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ADAB0F">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.工资福利：反映单位开支的在职职工和编制外长期聘用人员的各类劳动报酬，以及为上述人员缴纳的各项社会保险费等。</w:t>
      </w:r>
    </w:p>
    <w:p w14:paraId="3CFE65CC">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.商品和服务：反映单位购买商品和服务的支出，不包括用于购置固定资产、战略性和应急性物资储备等资本支出。</w:t>
      </w:r>
    </w:p>
    <w:p w14:paraId="6CA180A1">
      <w:pPr>
        <w:autoSpaceDE w:val="0"/>
        <w:autoSpaceDN w:val="0"/>
        <w:adjustRightInd w:val="0"/>
        <w:spacing w:line="560" w:lineRule="exact"/>
        <w:ind w:firstLine="640" w:firstLineChars="200"/>
        <w:outlineLvl w:val="1"/>
        <w:rPr>
          <w:rFonts w:ascii="仿宋" w:hAnsi="仿宋" w:eastAsia="仿宋"/>
          <w:sz w:val="32"/>
          <w:szCs w:val="32"/>
        </w:rPr>
      </w:pPr>
      <w:bookmarkStart w:id="72" w:name="_Toc22728"/>
      <w:r>
        <w:rPr>
          <w:rFonts w:hint="eastAsia" w:ascii="仿宋" w:hAnsi="仿宋" w:eastAsia="仿宋"/>
          <w:sz w:val="32"/>
          <w:szCs w:val="32"/>
          <w:lang w:val="en-US" w:eastAsia="zh-CN"/>
        </w:rPr>
        <w:t>16</w:t>
      </w:r>
      <w:r>
        <w:rPr>
          <w:rFonts w:hint="eastAsia" w:ascii="仿宋" w:hAnsi="仿宋" w:eastAsia="仿宋"/>
          <w:sz w:val="32"/>
          <w:szCs w:val="32"/>
        </w:rPr>
        <w:t>.对个人和家庭的补助：反映政府用于对个和家庭的补助支出。</w:t>
      </w:r>
      <w:bookmarkEnd w:id="72"/>
    </w:p>
    <w:p w14:paraId="10E482EC">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.资本性支出：反映各单位安排的资本性支出。切块由发展改革部门安排的基本建设支出不在此科目反映。</w:t>
      </w:r>
    </w:p>
    <w:p w14:paraId="6887A1D4">
      <w:pPr>
        <w:ind w:firstLine="420" w:firstLineChars="200"/>
      </w:pPr>
    </w:p>
    <w:p w14:paraId="021AB437">
      <w:pPr>
        <w:pStyle w:val="2"/>
      </w:pPr>
    </w:p>
    <w:p w14:paraId="6AD99FC0">
      <w:pPr>
        <w:pStyle w:val="2"/>
      </w:pPr>
    </w:p>
    <w:p w14:paraId="340C6314">
      <w:pPr>
        <w:pStyle w:val="2"/>
      </w:pPr>
    </w:p>
    <w:p w14:paraId="4F278EC9">
      <w:pPr>
        <w:pStyle w:val="2"/>
      </w:pPr>
    </w:p>
    <w:p w14:paraId="649B2516">
      <w:pPr>
        <w:pStyle w:val="2"/>
      </w:pPr>
    </w:p>
    <w:p w14:paraId="38C8DA48">
      <w:pPr>
        <w:pStyle w:val="2"/>
      </w:pPr>
    </w:p>
    <w:p w14:paraId="46C67019">
      <w:pPr>
        <w:pStyle w:val="2"/>
      </w:pPr>
    </w:p>
    <w:p w14:paraId="56E5F3FD">
      <w:pPr>
        <w:pStyle w:val="2"/>
      </w:pPr>
    </w:p>
    <w:p w14:paraId="2E85C4E7">
      <w:pPr>
        <w:pStyle w:val="2"/>
      </w:pPr>
    </w:p>
    <w:p w14:paraId="6F59467B">
      <w:pPr>
        <w:pStyle w:val="2"/>
      </w:pPr>
    </w:p>
    <w:p w14:paraId="2B5B7ACD">
      <w:pPr>
        <w:pStyle w:val="2"/>
      </w:pPr>
    </w:p>
    <w:p w14:paraId="31104936">
      <w:pPr>
        <w:pStyle w:val="3"/>
        <w:numPr>
          <w:ilvl w:val="0"/>
          <w:numId w:val="0"/>
        </w:numPr>
        <w:jc w:val="center"/>
        <w:rPr>
          <w:rFonts w:hint="eastAsia"/>
          <w:lang w:val="zh-CN"/>
        </w:rPr>
      </w:pPr>
      <w:bookmarkStart w:id="73" w:name="_Toc30286"/>
      <w:r>
        <w:rPr>
          <w:rFonts w:hint="eastAsia" w:ascii="黑体" w:hAnsi="黑体" w:eastAsia="黑体"/>
          <w:b w:val="0"/>
          <w:lang w:val="en-US" w:eastAsia="zh-CN"/>
        </w:rPr>
        <w:t xml:space="preserve">第四部分 </w:t>
      </w:r>
      <w:r>
        <w:rPr>
          <w:rFonts w:hint="eastAsia" w:ascii="黑体" w:hAnsi="黑体" w:eastAsia="黑体"/>
          <w:b w:val="0"/>
        </w:rPr>
        <w:t>附件</w:t>
      </w:r>
      <w:bookmarkEnd w:id="73"/>
    </w:p>
    <w:p w14:paraId="15F8A475">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3F9093F8">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18443108">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仿宋" w:hAnsi="仿宋" w:eastAsia="仿宋"/>
          <w:sz w:val="32"/>
          <w:szCs w:val="32"/>
          <w:lang w:val="en-US" w:eastAsia="zh-CN"/>
        </w:rPr>
        <w:t>一</w:t>
      </w:r>
      <w:r>
        <w:rPr>
          <w:rFonts w:hint="eastAsia" w:ascii="仿宋" w:hAnsi="仿宋" w:eastAsia="仿宋"/>
          <w:sz w:val="32"/>
          <w:szCs w:val="32"/>
        </w:rPr>
        <w:t>、部门</w:t>
      </w:r>
      <w:r>
        <w:rPr>
          <w:rFonts w:hint="eastAsia" w:ascii="仿宋" w:hAnsi="仿宋" w:eastAsia="仿宋"/>
          <w:sz w:val="32"/>
          <w:szCs w:val="32"/>
          <w:lang w:val="en-US" w:eastAsia="zh-CN"/>
        </w:rPr>
        <w:t>基本</w:t>
      </w:r>
      <w:r>
        <w:rPr>
          <w:rFonts w:hint="eastAsia" w:ascii="仿宋" w:hAnsi="仿宋" w:eastAsia="仿宋"/>
          <w:sz w:val="32"/>
          <w:szCs w:val="32"/>
        </w:rPr>
        <w:t>情况</w:t>
      </w:r>
    </w:p>
    <w:p w14:paraId="1C683DA7">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zh-CN" w:eastAsia="zh-CN"/>
        </w:rPr>
        <w:t>（一）机构组成：</w:t>
      </w:r>
      <w:r>
        <w:rPr>
          <w:rFonts w:hint="eastAsia" w:ascii="仿宋" w:hAnsi="仿宋" w:eastAsia="仿宋"/>
          <w:bCs/>
          <w:color w:val="000000"/>
          <w:sz w:val="32"/>
          <w:szCs w:val="32"/>
          <w:lang w:eastAsia="zh-CN"/>
        </w:rPr>
        <w:t>遂宁市安居区</w:t>
      </w:r>
      <w:r>
        <w:rPr>
          <w:rFonts w:hint="eastAsia" w:ascii="仿宋" w:hAnsi="仿宋" w:eastAsia="仿宋"/>
          <w:bCs/>
          <w:color w:val="000000"/>
          <w:sz w:val="32"/>
          <w:szCs w:val="32"/>
          <w:lang w:val="en-US" w:eastAsia="zh-CN"/>
        </w:rPr>
        <w:t>第四</w:t>
      </w:r>
      <w:r>
        <w:rPr>
          <w:rFonts w:hint="eastAsia" w:ascii="仿宋" w:hAnsi="仿宋" w:eastAsia="仿宋"/>
          <w:bCs/>
          <w:color w:val="000000"/>
          <w:sz w:val="32"/>
          <w:szCs w:val="32"/>
          <w:lang w:eastAsia="zh-CN"/>
        </w:rPr>
        <w:t>小学校属于公益二类事业单位，学校的主管部门为四川省遂宁市安居区教育局。</w:t>
      </w:r>
    </w:p>
    <w:p w14:paraId="27280BF0">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zh-CN" w:eastAsia="zh-CN"/>
        </w:rPr>
        <w:t>（二）机构职能：</w:t>
      </w:r>
    </w:p>
    <w:p w14:paraId="7A32735B">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1、正确贯彻执行党和国家的教育方针、政策、法规。</w:t>
      </w:r>
    </w:p>
    <w:p w14:paraId="42A0528E">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2、维护学校的教学秩序，为学生创造良好的学习环境；</w:t>
      </w:r>
    </w:p>
    <w:p w14:paraId="13F0CB73">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3、积极稳妥地推进教育改革，按教育规律办事，不断提高教育质量；</w:t>
      </w:r>
    </w:p>
    <w:p w14:paraId="4BF45CD5">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4、根据学校规模，设置学校管理机构，建立健全各项规章制度和岗位责任制。</w:t>
      </w:r>
    </w:p>
    <w:p w14:paraId="47B36A59">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5、坚持教书育人，服务育人，环境育人方针，加强对学生的思想品德教育，使学生的德智体全面发展。</w:t>
      </w:r>
    </w:p>
    <w:p w14:paraId="5091D71D">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6、抓好教师队伍建设，使每个教师都热心于教育事业；</w:t>
      </w:r>
    </w:p>
    <w:p w14:paraId="2D712B53">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zh-CN" w:eastAsia="zh-CN"/>
        </w:rPr>
      </w:pPr>
      <w:r>
        <w:rPr>
          <w:rFonts w:hint="eastAsia" w:ascii="仿宋" w:hAnsi="仿宋" w:eastAsia="仿宋"/>
          <w:bCs/>
          <w:color w:val="000000"/>
          <w:sz w:val="32"/>
          <w:szCs w:val="32"/>
          <w:lang w:eastAsia="zh-CN"/>
        </w:rPr>
        <w:t>7、做好安全防范，保证学生的人身安全。</w:t>
      </w:r>
    </w:p>
    <w:p w14:paraId="7B873E9B">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（三）人员情况</w:t>
      </w:r>
    </w:p>
    <w:p w14:paraId="3F5490A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第四小学校</w:t>
      </w:r>
      <w:r>
        <w:rPr>
          <w:rFonts w:hint="eastAsia" w:ascii="仿宋" w:hAnsi="仿宋" w:eastAsia="仿宋"/>
          <w:sz w:val="32"/>
          <w:szCs w:val="32"/>
        </w:rPr>
        <w:t>年初在职教师</w:t>
      </w:r>
      <w:r>
        <w:rPr>
          <w:rFonts w:hint="eastAsia" w:ascii="仿宋" w:hAnsi="仿宋" w:eastAsia="仿宋"/>
          <w:sz w:val="32"/>
          <w:szCs w:val="32"/>
          <w:lang w:val="en-US" w:eastAsia="zh-CN"/>
        </w:rPr>
        <w:t>33</w:t>
      </w:r>
      <w:r>
        <w:rPr>
          <w:rFonts w:ascii="仿宋" w:hAnsi="仿宋" w:eastAsia="仿宋"/>
          <w:sz w:val="32"/>
          <w:szCs w:val="32"/>
        </w:rPr>
        <w:t>人，</w:t>
      </w:r>
      <w:r>
        <w:rPr>
          <w:rFonts w:hint="eastAsia" w:ascii="仿宋" w:hAnsi="仿宋" w:eastAsia="仿宋"/>
          <w:sz w:val="32"/>
          <w:szCs w:val="32"/>
        </w:rPr>
        <w:t>年末在职教师</w:t>
      </w:r>
      <w:r>
        <w:rPr>
          <w:rFonts w:hint="eastAsia" w:ascii="仿宋" w:hAnsi="仿宋" w:eastAsia="仿宋"/>
          <w:sz w:val="32"/>
          <w:szCs w:val="32"/>
          <w:lang w:val="en-US" w:eastAsia="zh-CN"/>
        </w:rPr>
        <w:t>56</w:t>
      </w:r>
      <w:r>
        <w:rPr>
          <w:rFonts w:ascii="仿宋" w:hAnsi="仿宋" w:eastAsia="仿宋"/>
          <w:sz w:val="32"/>
          <w:szCs w:val="32"/>
        </w:rPr>
        <w:t>人</w:t>
      </w:r>
      <w:r>
        <w:rPr>
          <w:rFonts w:hint="eastAsia" w:ascii="仿宋" w:hAnsi="仿宋" w:eastAsia="仿宋"/>
          <w:sz w:val="32"/>
          <w:szCs w:val="32"/>
        </w:rPr>
        <w:t>，</w:t>
      </w:r>
      <w:r>
        <w:rPr>
          <w:rFonts w:hint="eastAsia" w:ascii="仿宋" w:hAnsi="仿宋" w:eastAsia="仿宋"/>
          <w:sz w:val="32"/>
          <w:szCs w:val="32"/>
          <w:lang w:val="en-US" w:eastAsia="zh-CN"/>
        </w:rPr>
        <w:t>无退休教师及遗属</w:t>
      </w:r>
      <w:r>
        <w:rPr>
          <w:rFonts w:ascii="仿宋" w:hAnsi="仿宋" w:eastAsia="仿宋"/>
          <w:sz w:val="32"/>
          <w:szCs w:val="32"/>
        </w:rPr>
        <w:t>。</w:t>
      </w:r>
    </w:p>
    <w:p w14:paraId="5652776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0F92B32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4EC6867D">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731.70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630.26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事业</w:t>
      </w:r>
      <w:r>
        <w:rPr>
          <w:rFonts w:hint="eastAsia" w:ascii="仿宋" w:hAnsi="仿宋" w:eastAsia="仿宋"/>
          <w:color w:val="000000"/>
          <w:sz w:val="32"/>
          <w:szCs w:val="32"/>
        </w:rPr>
        <w:t>收入</w:t>
      </w:r>
      <w:r>
        <w:rPr>
          <w:rFonts w:hint="eastAsia" w:ascii="仿宋" w:hAnsi="仿宋" w:eastAsia="仿宋"/>
          <w:color w:val="000000"/>
          <w:sz w:val="32"/>
          <w:szCs w:val="32"/>
          <w:lang w:val="en-US" w:eastAsia="zh-CN"/>
        </w:rPr>
        <w:t>101.45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13.83</w:t>
      </w:r>
      <w:r>
        <w:rPr>
          <w:rFonts w:ascii="仿宋" w:hAnsi="仿宋" w:eastAsia="仿宋"/>
          <w:color w:val="000000"/>
          <w:sz w:val="32"/>
          <w:szCs w:val="32"/>
        </w:rPr>
        <w:t>%</w:t>
      </w:r>
      <w:r>
        <w:rPr>
          <w:rFonts w:hint="eastAsia" w:ascii="仿宋" w:hAnsi="仿宋" w:eastAsia="仿宋"/>
          <w:color w:val="000000"/>
          <w:sz w:val="32"/>
          <w:szCs w:val="32"/>
        </w:rPr>
        <w:t>。</w:t>
      </w:r>
    </w:p>
    <w:p w14:paraId="4E49C2DA">
      <w:pPr>
        <w:widowControl/>
        <w:numPr>
          <w:ilvl w:val="0"/>
          <w:numId w:val="5"/>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410A2C39">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本年支出合计</w:t>
      </w:r>
      <w:r>
        <w:rPr>
          <w:rFonts w:hint="eastAsia" w:ascii="仿宋" w:hAnsi="仿宋" w:eastAsia="仿宋"/>
          <w:color w:val="000000"/>
          <w:sz w:val="32"/>
          <w:szCs w:val="32"/>
          <w:lang w:val="en-US" w:eastAsia="zh-CN"/>
        </w:rPr>
        <w:t>698.73</w:t>
      </w:r>
      <w:r>
        <w:rPr>
          <w:rFonts w:hint="eastAsia" w:ascii="仿宋" w:hAnsi="仿宋" w:eastAsia="仿宋"/>
          <w:color w:val="000000"/>
          <w:sz w:val="32"/>
          <w:szCs w:val="32"/>
        </w:rPr>
        <w:t>万元，其中：教育支出</w:t>
      </w:r>
      <w:r>
        <w:rPr>
          <w:rFonts w:hint="eastAsia" w:ascii="仿宋" w:hAnsi="仿宋" w:eastAsia="仿宋"/>
          <w:color w:val="000000"/>
          <w:sz w:val="32"/>
          <w:szCs w:val="32"/>
          <w:lang w:val="en-US" w:eastAsia="zh-CN"/>
        </w:rPr>
        <w:t>563.17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80.60</w:t>
      </w:r>
      <w:r>
        <w:rPr>
          <w:rFonts w:ascii="仿宋" w:hAnsi="仿宋" w:eastAsia="仿宋"/>
          <w:color w:val="000000"/>
          <w:sz w:val="32"/>
          <w:szCs w:val="32"/>
        </w:rPr>
        <w:t>%</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63.21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9.05</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27.64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3.96</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44.71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6.40</w:t>
      </w:r>
      <w:r>
        <w:rPr>
          <w:rFonts w:ascii="仿宋" w:hAnsi="仿宋" w:eastAsia="仿宋"/>
          <w:color w:val="000000"/>
          <w:sz w:val="32"/>
          <w:szCs w:val="32"/>
        </w:rPr>
        <w:t>%</w:t>
      </w:r>
      <w:r>
        <w:rPr>
          <w:rFonts w:hint="eastAsia" w:ascii="仿宋" w:hAnsi="仿宋" w:eastAsia="仿宋"/>
          <w:color w:val="000000"/>
          <w:sz w:val="32"/>
          <w:szCs w:val="32"/>
        </w:rPr>
        <w:t>。</w:t>
      </w:r>
    </w:p>
    <w:p w14:paraId="6678CA86">
      <w:pPr>
        <w:widowControl/>
        <w:adjustRightInd w:val="0"/>
        <w:snapToGrid w:val="0"/>
        <w:spacing w:line="560" w:lineRule="exact"/>
        <w:ind w:firstLine="640" w:firstLineChars="200"/>
        <w:contextualSpacing/>
        <w:jc w:val="left"/>
        <w:rPr>
          <w:rFonts w:hint="default" w:ascii="仿宋" w:hAnsi="仿宋" w:eastAsia="仿宋" w:cs="Times New Roman"/>
          <w:sz w:val="32"/>
          <w:szCs w:val="32"/>
          <w:lang w:val="zh-CN" w:eastAsia="zh-CN"/>
        </w:rPr>
      </w:pPr>
      <w:r>
        <w:rPr>
          <w:rFonts w:hint="default" w:ascii="仿宋" w:hAnsi="仿宋" w:eastAsia="仿宋" w:cs="Times New Roman"/>
          <w:sz w:val="32"/>
          <w:szCs w:val="32"/>
          <w:lang w:val="zh-CN" w:eastAsia="zh-CN"/>
        </w:rPr>
        <w:t>三、部门预算绩效分析</w:t>
      </w:r>
    </w:p>
    <w:p w14:paraId="05022570">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val="zh-CN" w:eastAsia="zh-CN"/>
        </w:rPr>
        <w:t>（一）部门预算总体绩效分析。根据部门预算绩效评价指标体系“总体绩效”涉及二、三级指标进行逐项绩效分析并评分，依次包括履职效能、预算管理、财务管理、资产管理、采购管理等情况。</w:t>
      </w:r>
    </w:p>
    <w:p w14:paraId="7087C414">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1.</w:t>
      </w:r>
      <w:r>
        <w:rPr>
          <w:rFonts w:hint="eastAsia" w:ascii="仿宋" w:hAnsi="仿宋" w:eastAsia="仿宋" w:cs="Times New Roman"/>
          <w:color w:val="000000"/>
          <w:sz w:val="32"/>
          <w:szCs w:val="32"/>
          <w:lang w:val="zh-CN" w:eastAsia="zh-CN"/>
        </w:rPr>
        <w:t>履职效能。根据相关规定，制定绩效目标管理，规范资金使用，提升资金使用效益。严格支出控制、预算及时动态调整。我单位资金主要是人员经费、公用经费支出，学校制定的相关规章制度，对资金进行严格收支管理。</w:t>
      </w:r>
    </w:p>
    <w:p w14:paraId="1222257A">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2.</w:t>
      </w:r>
      <w:r>
        <w:rPr>
          <w:rFonts w:hint="eastAsia" w:ascii="仿宋" w:hAnsi="仿宋" w:eastAsia="仿宋" w:cs="Times New Roman"/>
          <w:color w:val="000000"/>
          <w:sz w:val="32"/>
          <w:szCs w:val="32"/>
          <w:lang w:val="zh-CN" w:eastAsia="zh-CN"/>
        </w:rPr>
        <w:t>预算管理。</w:t>
      </w:r>
      <w:r>
        <w:rPr>
          <w:rFonts w:hint="eastAsia" w:ascii="仿宋" w:hAnsi="仿宋" w:eastAsia="仿宋"/>
          <w:sz w:val="32"/>
          <w:szCs w:val="32"/>
          <w:lang w:eastAsia="zh-CN"/>
        </w:rPr>
        <w:t>2024年</w:t>
      </w:r>
      <w:r>
        <w:rPr>
          <w:rFonts w:hint="eastAsia" w:ascii="仿宋" w:hAnsi="仿宋" w:eastAsia="仿宋"/>
          <w:sz w:val="32"/>
          <w:szCs w:val="32"/>
        </w:rPr>
        <w:t>度收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731.7</w:t>
      </w:r>
      <w:r>
        <w:rPr>
          <w:rFonts w:hint="eastAsia" w:ascii="仿宋" w:hAnsi="仿宋" w:eastAsia="仿宋"/>
          <w:sz w:val="32"/>
          <w:szCs w:val="32"/>
        </w:rPr>
        <w:t>万元</w:t>
      </w:r>
      <w:r>
        <w:rPr>
          <w:rFonts w:hint="eastAsia" w:eastAsia="仿宋"/>
          <w:sz w:val="32"/>
          <w:szCs w:val="32"/>
          <w:lang w:eastAsia="zh-CN"/>
        </w:rPr>
        <w:t>，</w:t>
      </w:r>
      <w:r>
        <w:rPr>
          <w:rFonts w:hint="eastAsia" w:ascii="仿宋" w:hAnsi="仿宋" w:eastAsia="仿宋"/>
          <w:sz w:val="32"/>
          <w:szCs w:val="32"/>
        </w:rPr>
        <w:t>与</w:t>
      </w:r>
      <w:r>
        <w:rPr>
          <w:rFonts w:hint="eastAsia" w:ascii="仿宋" w:hAnsi="仿宋" w:eastAsia="仿宋"/>
          <w:sz w:val="32"/>
          <w:szCs w:val="32"/>
          <w:lang w:eastAsia="zh-CN"/>
        </w:rPr>
        <w:t>2023年</w:t>
      </w:r>
      <w:r>
        <w:rPr>
          <w:rFonts w:hint="eastAsia" w:ascii="仿宋" w:hAnsi="仿宋" w:eastAsia="仿宋"/>
          <w:sz w:val="32"/>
          <w:szCs w:val="32"/>
        </w:rPr>
        <w:t>度相比，收</w:t>
      </w:r>
      <w:r>
        <w:rPr>
          <w:rFonts w:hint="eastAsia" w:ascii="仿宋" w:hAnsi="仿宋" w:eastAsia="仿宋"/>
          <w:sz w:val="32"/>
          <w:szCs w:val="32"/>
          <w:lang w:val="en-US" w:eastAsia="zh-CN"/>
        </w:rPr>
        <w:t>入</w:t>
      </w:r>
      <w:r>
        <w:rPr>
          <w:rFonts w:hint="eastAsia" w:ascii="仿宋" w:hAnsi="仿宋" w:eastAsia="仿宋"/>
          <w:sz w:val="32"/>
          <w:szCs w:val="32"/>
        </w:rPr>
        <w:t>总计增加</w:t>
      </w:r>
      <w:r>
        <w:rPr>
          <w:rFonts w:hint="eastAsia" w:ascii="仿宋" w:hAnsi="仿宋" w:eastAsia="仿宋"/>
          <w:sz w:val="32"/>
          <w:szCs w:val="32"/>
          <w:lang w:val="en-US" w:eastAsia="zh-CN"/>
        </w:rPr>
        <w:t>663.02</w:t>
      </w:r>
      <w:r>
        <w:rPr>
          <w:rFonts w:hint="eastAsia" w:ascii="仿宋" w:hAnsi="仿宋" w:eastAsia="仿宋"/>
          <w:sz w:val="32"/>
          <w:szCs w:val="32"/>
        </w:rPr>
        <w:t>万元，增长</w:t>
      </w:r>
      <w:r>
        <w:rPr>
          <w:rFonts w:hint="eastAsia" w:ascii="仿宋" w:hAnsi="仿宋" w:eastAsia="仿宋"/>
          <w:sz w:val="32"/>
          <w:szCs w:val="32"/>
          <w:lang w:val="en-US" w:eastAsia="zh-CN"/>
        </w:rPr>
        <w:t>965.38</w:t>
      </w:r>
      <w:r>
        <w:rPr>
          <w:rFonts w:ascii="仿宋" w:hAnsi="仿宋" w:eastAsia="仿宋"/>
          <w:sz w:val="32"/>
          <w:szCs w:val="32"/>
        </w:rPr>
        <w:t>%</w:t>
      </w:r>
      <w:r>
        <w:rPr>
          <w:rFonts w:hint="eastAsia" w:ascii="仿宋" w:hAnsi="仿宋" w:eastAsia="仿宋"/>
          <w:sz w:val="32"/>
          <w:szCs w:val="32"/>
          <w:lang w:eastAsia="zh-CN"/>
        </w:rPr>
        <w:t>；2024年</w:t>
      </w:r>
      <w:r>
        <w:rPr>
          <w:rFonts w:hint="eastAsia" w:ascii="仿宋" w:hAnsi="仿宋" w:eastAsia="仿宋"/>
          <w:sz w:val="32"/>
          <w:szCs w:val="32"/>
        </w:rPr>
        <w:t>度</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为698.73</w:t>
      </w:r>
      <w:r>
        <w:rPr>
          <w:rFonts w:hint="eastAsia" w:ascii="仿宋" w:hAnsi="仿宋" w:eastAsia="仿宋"/>
          <w:sz w:val="32"/>
          <w:szCs w:val="32"/>
        </w:rPr>
        <w:t>万元</w:t>
      </w:r>
      <w:r>
        <w:rPr>
          <w:rFonts w:hint="eastAsia" w:eastAsia="仿宋"/>
          <w:sz w:val="32"/>
          <w:szCs w:val="32"/>
          <w:lang w:eastAsia="zh-CN"/>
        </w:rPr>
        <w:t>，</w:t>
      </w:r>
      <w:r>
        <w:rPr>
          <w:rFonts w:hint="eastAsia" w:ascii="仿宋" w:hAnsi="仿宋" w:eastAsia="仿宋"/>
          <w:sz w:val="32"/>
          <w:szCs w:val="32"/>
        </w:rPr>
        <w:t>与</w:t>
      </w:r>
      <w:r>
        <w:rPr>
          <w:rFonts w:hint="eastAsia" w:ascii="仿宋" w:hAnsi="仿宋" w:eastAsia="仿宋"/>
          <w:sz w:val="32"/>
          <w:szCs w:val="32"/>
          <w:lang w:eastAsia="zh-CN"/>
        </w:rPr>
        <w:t>2023年</w:t>
      </w:r>
      <w:r>
        <w:rPr>
          <w:rFonts w:hint="eastAsia" w:ascii="仿宋" w:hAnsi="仿宋" w:eastAsia="仿宋"/>
          <w:sz w:val="32"/>
          <w:szCs w:val="32"/>
        </w:rPr>
        <w:t>度相比，</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630.05</w:t>
      </w:r>
      <w:r>
        <w:rPr>
          <w:rFonts w:hint="eastAsia" w:ascii="仿宋" w:hAnsi="仿宋" w:eastAsia="仿宋"/>
          <w:sz w:val="32"/>
          <w:szCs w:val="32"/>
        </w:rPr>
        <w:t>万元，增长</w:t>
      </w:r>
      <w:r>
        <w:rPr>
          <w:rFonts w:hint="eastAsia" w:ascii="仿宋" w:hAnsi="仿宋" w:eastAsia="仿宋"/>
          <w:sz w:val="32"/>
          <w:szCs w:val="32"/>
          <w:lang w:val="en-US" w:eastAsia="zh-CN"/>
        </w:rPr>
        <w:t>917.37</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本单位为2023年新增事业单位，2023本单位的人员经费收支仅一个月</w:t>
      </w:r>
      <w:r>
        <w:rPr>
          <w:rFonts w:hint="eastAsia" w:ascii="仿宋" w:hAnsi="仿宋" w:eastAsia="仿宋" w:cs="Times New Roman"/>
          <w:color w:val="000000"/>
          <w:sz w:val="32"/>
          <w:szCs w:val="32"/>
          <w:lang w:val="zh-CN" w:eastAsia="zh-CN"/>
        </w:rPr>
        <w:t>。</w:t>
      </w:r>
      <w:r>
        <w:rPr>
          <w:rFonts w:hint="eastAsia" w:ascii="仿宋" w:hAnsi="仿宋" w:eastAsia="仿宋" w:cs="Times New Roman"/>
          <w:color w:val="000000"/>
          <w:sz w:val="32"/>
          <w:szCs w:val="32"/>
          <w:lang w:eastAsia="zh-CN"/>
        </w:rPr>
        <w:t>各项管理制度执行总体较为有效，需进一步强化，资金的使用和管理应进一步加强。</w:t>
      </w:r>
    </w:p>
    <w:p w14:paraId="6DAB0764">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3.</w:t>
      </w:r>
      <w:r>
        <w:rPr>
          <w:rFonts w:hint="eastAsia" w:ascii="仿宋" w:hAnsi="仿宋" w:eastAsia="仿宋" w:cs="Times New Roman"/>
          <w:color w:val="000000"/>
          <w:sz w:val="32"/>
          <w:szCs w:val="32"/>
          <w:lang w:val="zh-CN" w:eastAsia="zh-CN"/>
        </w:rPr>
        <w:t>财务管理。</w:t>
      </w:r>
      <w:r>
        <w:rPr>
          <w:rFonts w:hint="eastAsia" w:ascii="仿宋" w:hAnsi="仿宋" w:eastAsia="仿宋" w:cs="Times New Roman"/>
          <w:color w:val="000000"/>
          <w:sz w:val="32"/>
          <w:szCs w:val="32"/>
          <w:lang w:eastAsia="zh-CN"/>
        </w:rPr>
        <w:t>制度了完善的</w:t>
      </w:r>
      <w:r>
        <w:rPr>
          <w:rFonts w:hint="eastAsia" w:ascii="仿宋" w:hAnsi="仿宋" w:eastAsia="仿宋" w:cs="Times New Roman"/>
          <w:color w:val="000000"/>
          <w:sz w:val="32"/>
          <w:szCs w:val="32"/>
          <w:lang w:val="zh-CN" w:eastAsia="zh-CN"/>
        </w:rPr>
        <w:t>财务管理制度、财务岗位设置、</w:t>
      </w:r>
      <w:r>
        <w:rPr>
          <w:rFonts w:hint="eastAsia" w:ascii="仿宋" w:hAnsi="仿宋" w:eastAsia="仿宋" w:cs="Times New Roman"/>
          <w:color w:val="000000"/>
          <w:sz w:val="32"/>
          <w:szCs w:val="32"/>
          <w:lang w:eastAsia="zh-CN"/>
        </w:rPr>
        <w:t>规范了</w:t>
      </w:r>
      <w:r>
        <w:rPr>
          <w:rFonts w:hint="eastAsia" w:ascii="仿宋" w:hAnsi="仿宋" w:eastAsia="仿宋" w:cs="Times New Roman"/>
          <w:color w:val="000000"/>
          <w:sz w:val="32"/>
          <w:szCs w:val="32"/>
          <w:lang w:val="zh-CN" w:eastAsia="zh-CN"/>
        </w:rPr>
        <w:t>资金使用。</w:t>
      </w:r>
    </w:p>
    <w:p w14:paraId="41D33B0B">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4.</w:t>
      </w:r>
      <w:r>
        <w:rPr>
          <w:rFonts w:hint="eastAsia" w:ascii="仿宋" w:hAnsi="仿宋" w:eastAsia="仿宋" w:cs="Times New Roman"/>
          <w:color w:val="000000"/>
          <w:sz w:val="32"/>
          <w:szCs w:val="32"/>
          <w:lang w:val="zh-CN" w:eastAsia="zh-CN"/>
        </w:rPr>
        <w:t>资产管理。</w:t>
      </w:r>
      <w:r>
        <w:rPr>
          <w:rFonts w:hint="eastAsia" w:ascii="仿宋" w:hAnsi="仿宋" w:eastAsia="仿宋" w:cs="Times New Roman"/>
          <w:color w:val="000000"/>
          <w:sz w:val="32"/>
          <w:szCs w:val="32"/>
          <w:lang w:eastAsia="zh-CN"/>
        </w:rPr>
        <w:t>建立资产管理制度，定期进行资产盘点和资产清理，总体执行较好。</w:t>
      </w:r>
    </w:p>
    <w:p w14:paraId="7388F9DC">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5.</w:t>
      </w:r>
      <w:r>
        <w:rPr>
          <w:rFonts w:hint="eastAsia" w:ascii="仿宋" w:hAnsi="仿宋" w:eastAsia="仿宋" w:cs="Times New Roman"/>
          <w:color w:val="000000"/>
          <w:sz w:val="32"/>
          <w:szCs w:val="32"/>
          <w:lang w:val="zh-CN" w:eastAsia="zh-CN"/>
        </w:rPr>
        <w:t>采购管理。</w:t>
      </w:r>
      <w:r>
        <w:rPr>
          <w:rFonts w:hint="eastAsia" w:ascii="仿宋" w:hAnsi="仿宋" w:eastAsia="仿宋" w:cs="Times New Roman"/>
          <w:color w:val="000000"/>
          <w:sz w:val="32"/>
          <w:szCs w:val="32"/>
          <w:lang w:eastAsia="zh-CN"/>
        </w:rPr>
        <w:t>建立学校采购管理制度，做好物品入库、领取台账，总体执行较好。</w:t>
      </w:r>
    </w:p>
    <w:p w14:paraId="30534D97">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zh-CN" w:eastAsia="zh-CN"/>
        </w:rPr>
        <w:t>（二）部门预算项目绩效分析：</w:t>
      </w:r>
    </w:p>
    <w:p w14:paraId="4316C3D6">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常年项目绩效分析：</w:t>
      </w:r>
      <w:r>
        <w:rPr>
          <w:rFonts w:hint="eastAsia" w:ascii="仿宋" w:hAnsi="仿宋" w:eastAsia="仿宋" w:cs="Times New Roman"/>
          <w:color w:val="000000"/>
          <w:sz w:val="32"/>
          <w:szCs w:val="32"/>
          <w:lang w:val="zh-CN" w:eastAsia="zh-CN"/>
        </w:rPr>
        <w:t>该类项目总数</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val="zh-CN" w:eastAsia="zh-CN"/>
        </w:rPr>
        <w:t>个，涉及预算总金额</w:t>
      </w:r>
      <w:r>
        <w:rPr>
          <w:rFonts w:hint="eastAsia" w:ascii="仿宋" w:hAnsi="仿宋" w:eastAsia="仿宋" w:cs="Times New Roman"/>
          <w:color w:val="000000"/>
          <w:sz w:val="32"/>
          <w:szCs w:val="32"/>
          <w:lang w:val="en-US" w:eastAsia="zh-CN"/>
        </w:rPr>
        <w:t>7.60</w:t>
      </w:r>
      <w:r>
        <w:rPr>
          <w:rFonts w:hint="eastAsia" w:ascii="仿宋" w:hAnsi="仿宋" w:eastAsia="仿宋" w:cs="Times New Roman"/>
          <w:color w:val="000000"/>
          <w:sz w:val="32"/>
          <w:szCs w:val="32"/>
          <w:lang w:val="zh-CN" w:eastAsia="zh-CN"/>
        </w:rPr>
        <w:t>万元，1—1</w:t>
      </w:r>
      <w:r>
        <w:rPr>
          <w:rFonts w:hint="eastAsia" w:ascii="仿宋" w:hAnsi="仿宋" w:eastAsia="仿宋" w:cs="Times New Roman"/>
          <w:color w:val="000000"/>
          <w:sz w:val="32"/>
          <w:szCs w:val="32"/>
          <w:lang w:eastAsia="zh-CN"/>
        </w:rPr>
        <w:t>2</w:t>
      </w:r>
      <w:r>
        <w:rPr>
          <w:rFonts w:hint="eastAsia" w:ascii="仿宋" w:hAnsi="仿宋" w:eastAsia="仿宋" w:cs="Times New Roman"/>
          <w:color w:val="000000"/>
          <w:sz w:val="32"/>
          <w:szCs w:val="32"/>
          <w:lang w:val="zh-CN" w:eastAsia="zh-CN"/>
        </w:rPr>
        <w:t>月预算执行总体进度为</w:t>
      </w:r>
      <w:r>
        <w:rPr>
          <w:rFonts w:hint="eastAsia" w:ascii="仿宋" w:hAnsi="仿宋" w:eastAsia="仿宋" w:cs="Times New Roman"/>
          <w:color w:val="000000"/>
          <w:sz w:val="32"/>
          <w:szCs w:val="32"/>
          <w:lang w:eastAsia="zh-CN"/>
        </w:rPr>
        <w:t>100</w:t>
      </w:r>
      <w:r>
        <w:rPr>
          <w:rFonts w:hint="eastAsia" w:ascii="仿宋" w:hAnsi="仿宋" w:eastAsia="仿宋" w:cs="Times New Roman"/>
          <w:color w:val="000000"/>
          <w:sz w:val="32"/>
          <w:szCs w:val="32"/>
          <w:lang w:val="zh-CN" w:eastAsia="zh-CN"/>
        </w:rPr>
        <w:t>%。</w:t>
      </w:r>
    </w:p>
    <w:p w14:paraId="2C117877">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1.</w:t>
      </w:r>
      <w:r>
        <w:rPr>
          <w:rFonts w:hint="eastAsia" w:ascii="仿宋" w:hAnsi="仿宋" w:eastAsia="仿宋" w:cs="Times New Roman"/>
          <w:color w:val="000000"/>
          <w:sz w:val="32"/>
          <w:szCs w:val="32"/>
          <w:lang w:val="zh-CN" w:eastAsia="zh-CN"/>
        </w:rPr>
        <w:t>项目决策。围绕决策程序、目标设置、项目入库进行绩效分析。</w:t>
      </w:r>
    </w:p>
    <w:p w14:paraId="1E4CF2FA">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2.项目执行</w:t>
      </w:r>
      <w:r>
        <w:rPr>
          <w:rFonts w:hint="eastAsia" w:ascii="仿宋" w:hAnsi="仿宋" w:eastAsia="仿宋" w:cs="Times New Roman"/>
          <w:color w:val="000000"/>
          <w:sz w:val="32"/>
          <w:szCs w:val="32"/>
          <w:lang w:val="zh-CN" w:eastAsia="zh-CN"/>
        </w:rPr>
        <w:t>。围绕资金执行同向、项目调整、执行结果进行绩效分析。</w:t>
      </w:r>
    </w:p>
    <w:p w14:paraId="00C91C25">
      <w:pPr>
        <w:spacing w:line="600" w:lineRule="exact"/>
        <w:ind w:firstLine="640" w:firstLineChars="200"/>
        <w:outlineLvl w:val="1"/>
        <w:rPr>
          <w:rFonts w:hint="eastAsia" w:ascii="仿宋" w:hAnsi="仿宋" w:eastAsia="仿宋" w:cs="Times New Roman"/>
          <w:color w:val="000000"/>
          <w:sz w:val="32"/>
          <w:szCs w:val="32"/>
          <w:lang w:val="zh-CN" w:eastAsia="zh-CN"/>
        </w:rPr>
      </w:pPr>
      <w:r>
        <w:rPr>
          <w:rFonts w:hint="eastAsia" w:ascii="仿宋" w:hAnsi="仿宋" w:eastAsia="仿宋" w:cs="Times New Roman"/>
          <w:color w:val="000000"/>
          <w:sz w:val="32"/>
          <w:szCs w:val="32"/>
          <w:lang w:eastAsia="zh-CN"/>
        </w:rPr>
        <w:t>3.</w:t>
      </w:r>
      <w:r>
        <w:rPr>
          <w:rFonts w:hint="eastAsia" w:ascii="仿宋" w:hAnsi="仿宋" w:eastAsia="仿宋" w:cs="Times New Roman"/>
          <w:color w:val="000000"/>
          <w:sz w:val="32"/>
          <w:szCs w:val="32"/>
          <w:lang w:val="zh-CN" w:eastAsia="zh-CN"/>
        </w:rPr>
        <w:t>目标实现。围绕目标完成、目标偏离、实现效果进行绩效分析。</w:t>
      </w:r>
    </w:p>
    <w:p w14:paraId="098D0843">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zh-CN" w:eastAsia="zh-CN"/>
        </w:rPr>
        <w:t>（三）重点领域绩效分析。</w:t>
      </w:r>
      <w:r>
        <w:rPr>
          <w:rFonts w:hint="eastAsia" w:ascii="仿宋" w:hAnsi="仿宋" w:eastAsia="仿宋" w:cs="Times New Roman"/>
          <w:color w:val="000000"/>
          <w:sz w:val="32"/>
          <w:szCs w:val="32"/>
          <w:lang w:eastAsia="zh-CN"/>
        </w:rPr>
        <w:t>无</w:t>
      </w:r>
    </w:p>
    <w:p w14:paraId="77B4E3A4">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zh-CN" w:eastAsia="zh-CN"/>
        </w:rPr>
        <w:t>（四）绩效结果应用情况。</w:t>
      </w:r>
      <w:r>
        <w:rPr>
          <w:rFonts w:hint="eastAsia" w:ascii="仿宋" w:hAnsi="仿宋" w:eastAsia="仿宋" w:cs="Times New Roman"/>
          <w:color w:val="000000"/>
          <w:sz w:val="32"/>
          <w:szCs w:val="32"/>
          <w:lang w:eastAsia="zh-CN"/>
        </w:rPr>
        <w:t>一是建立评价结果反馈与整改相结合的制度；二是建立评价结果与通报相结合的制度；三是建立评价结果与预算安排相结合的制度；四是建立评价结果公开制度。</w:t>
      </w:r>
    </w:p>
    <w:p w14:paraId="2C134C81">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遂宁市安居区</w:t>
      </w:r>
      <w:r>
        <w:rPr>
          <w:rFonts w:hint="eastAsia" w:ascii="仿宋" w:hAnsi="仿宋" w:eastAsia="仿宋" w:cs="Times New Roman"/>
          <w:color w:val="000000"/>
          <w:sz w:val="32"/>
          <w:szCs w:val="32"/>
          <w:lang w:val="en-US" w:eastAsia="zh-CN"/>
        </w:rPr>
        <w:t>第四</w:t>
      </w:r>
      <w:r>
        <w:rPr>
          <w:rFonts w:hint="eastAsia" w:ascii="仿宋" w:hAnsi="仿宋" w:eastAsia="仿宋" w:cs="Times New Roman"/>
          <w:color w:val="000000"/>
          <w:sz w:val="32"/>
          <w:szCs w:val="32"/>
          <w:lang w:eastAsia="zh-CN"/>
        </w:rPr>
        <w:t>小学校认真履职尽责，认真完成项目任务，所有项目均开展绩效评价，评价效果良好，对于财政预算资金多次接受省、市、区的检查，所有资金的支出，接受财政部门的监督管理，圆满完成2024年的目标任务。</w:t>
      </w:r>
    </w:p>
    <w:p w14:paraId="5B985A6D">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四、评价结论及建议</w:t>
      </w:r>
    </w:p>
    <w:p w14:paraId="4CE71773">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（一）评价结论。</w:t>
      </w:r>
    </w:p>
    <w:p w14:paraId="70B89F78">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35CB5245">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二）</w:t>
      </w:r>
      <w:r>
        <w:rPr>
          <w:rFonts w:hint="eastAsia" w:ascii="仿宋" w:hAnsi="仿宋" w:eastAsia="仿宋" w:cs="Times New Roman"/>
          <w:color w:val="000000"/>
          <w:sz w:val="32"/>
          <w:szCs w:val="32"/>
          <w:lang w:eastAsia="zh-CN"/>
        </w:rPr>
        <w:t>存在问题。</w:t>
      </w:r>
    </w:p>
    <w:p w14:paraId="4DD0CF95">
      <w:pPr>
        <w:spacing w:line="600" w:lineRule="exact"/>
        <w:ind w:firstLine="640" w:firstLineChars="200"/>
        <w:outlineLvl w:val="1"/>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我校为新建学校，办学硬件设施还需要进一步完善。</w:t>
      </w:r>
    </w:p>
    <w:p w14:paraId="6EB0EA54">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三</w:t>
      </w:r>
      <w:r>
        <w:rPr>
          <w:rFonts w:hint="eastAsia" w:ascii="仿宋" w:hAnsi="仿宋" w:eastAsia="仿宋" w:cs="Times New Roman"/>
          <w:color w:val="000000"/>
          <w:sz w:val="32"/>
          <w:szCs w:val="32"/>
          <w:lang w:eastAsia="zh-CN"/>
        </w:rPr>
        <w:t>）改进建议。</w:t>
      </w:r>
    </w:p>
    <w:p w14:paraId="10B8F4DE">
      <w:pPr>
        <w:spacing w:line="600" w:lineRule="exact"/>
        <w:ind w:firstLine="640" w:firstLineChars="200"/>
        <w:outlineLvl w:val="1"/>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向主管部门汇报情况，争取上级或本级资金，加快校园建设，完善教学基础设施，更新教学理念。提高学生的竞争能力，</w:t>
      </w:r>
      <w:r>
        <w:rPr>
          <w:rFonts w:hint="eastAsia" w:ascii="仿宋" w:hAnsi="仿宋" w:eastAsia="仿宋" w:cs="Times New Roman"/>
          <w:color w:val="000000"/>
          <w:sz w:val="32"/>
          <w:szCs w:val="32"/>
          <w:lang w:val="en-US" w:eastAsia="zh-CN"/>
        </w:rPr>
        <w:t>扩大</w:t>
      </w:r>
      <w:r>
        <w:rPr>
          <w:rFonts w:hint="eastAsia" w:ascii="仿宋" w:hAnsi="仿宋" w:eastAsia="仿宋" w:cs="Times New Roman"/>
          <w:color w:val="000000"/>
          <w:sz w:val="32"/>
          <w:szCs w:val="32"/>
          <w:lang w:eastAsia="zh-CN"/>
        </w:rPr>
        <w:t>生源。</w:t>
      </w:r>
    </w:p>
    <w:p w14:paraId="701B5BB7">
      <w:pPr>
        <w:pStyle w:val="8"/>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r>
        <w:rPr>
          <w:rFonts w:hint="eastAsia" w:ascii="Times New Roman" w:hAnsi="Times New Roman" w:eastAsia="仿宋_GB2312" w:cs="Times New Roman"/>
          <w:kern w:val="2"/>
          <w:sz w:val="32"/>
          <w:szCs w:val="32"/>
          <w:u w:val="none"/>
          <w:lang w:val="en-US" w:eastAsia="zh-CN" w:bidi="ar"/>
        </w:rPr>
        <w:t>（2024年度）</w:t>
      </w:r>
    </w:p>
    <w:p w14:paraId="2F3BFC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 xml:space="preserve">          2.部门预算项目支出绩效自评表（2024年度）</w:t>
      </w:r>
    </w:p>
    <w:p w14:paraId="2129E8CF">
      <w:pPr>
        <w:pStyle w:val="14"/>
        <w:rPr>
          <w:rFonts w:hint="eastAsia" w:ascii="Times New Roman" w:hAnsi="Times New Roman" w:eastAsia="仿宋_GB2312" w:cs="Times New Roman"/>
          <w:kern w:val="2"/>
          <w:sz w:val="32"/>
          <w:szCs w:val="32"/>
          <w:u w:val="none"/>
          <w:lang w:val="en-US" w:eastAsia="zh-CN" w:bidi="ar"/>
        </w:rPr>
      </w:pPr>
    </w:p>
    <w:p w14:paraId="6C5B951F">
      <w:pPr>
        <w:pStyle w:val="8"/>
        <w:rPr>
          <w:rFonts w:hint="eastAsia" w:ascii="Times New Roman" w:hAnsi="Times New Roman" w:eastAsia="仿宋_GB2312" w:cs="Times New Roman"/>
          <w:kern w:val="2"/>
          <w:sz w:val="32"/>
          <w:szCs w:val="32"/>
          <w:u w:val="none"/>
          <w:lang w:val="en-US" w:eastAsia="zh-CN" w:bidi="ar"/>
        </w:rPr>
      </w:pPr>
    </w:p>
    <w:p w14:paraId="5CC86E4A">
      <w:pPr>
        <w:pStyle w:val="8"/>
        <w:rPr>
          <w:rFonts w:hint="eastAsia" w:ascii="Times New Roman" w:hAnsi="Times New Roman" w:eastAsia="仿宋_GB2312" w:cs="Times New Roman"/>
          <w:kern w:val="2"/>
          <w:sz w:val="32"/>
          <w:szCs w:val="32"/>
          <w:u w:val="none"/>
          <w:lang w:val="en-US" w:eastAsia="zh-CN" w:bidi="ar"/>
        </w:rPr>
      </w:pPr>
    </w:p>
    <w:p w14:paraId="16889567">
      <w:pPr>
        <w:pStyle w:val="8"/>
        <w:rPr>
          <w:rFonts w:hint="eastAsia" w:ascii="Times New Roman" w:hAnsi="Times New Roman" w:eastAsia="仿宋_GB2312" w:cs="Times New Roman"/>
          <w:kern w:val="2"/>
          <w:sz w:val="32"/>
          <w:szCs w:val="32"/>
          <w:u w:val="none"/>
          <w:lang w:val="en-US" w:eastAsia="zh-CN" w:bidi="ar"/>
        </w:rPr>
      </w:pPr>
    </w:p>
    <w:p w14:paraId="662C4713">
      <w:pPr>
        <w:pStyle w:val="8"/>
        <w:rPr>
          <w:rFonts w:hint="eastAsia" w:ascii="Times New Roman" w:hAnsi="Times New Roman" w:eastAsia="仿宋_GB2312" w:cs="Times New Roman"/>
          <w:kern w:val="2"/>
          <w:sz w:val="32"/>
          <w:szCs w:val="32"/>
          <w:u w:val="none"/>
          <w:lang w:val="en-US" w:eastAsia="zh-CN" w:bidi="ar"/>
        </w:rPr>
      </w:pPr>
    </w:p>
    <w:tbl>
      <w:tblPr>
        <w:tblStyle w:val="16"/>
        <w:tblW w:w="8407" w:type="dxa"/>
        <w:jc w:val="center"/>
        <w:tblLayout w:type="fixed"/>
        <w:tblCellMar>
          <w:top w:w="0" w:type="dxa"/>
          <w:left w:w="108" w:type="dxa"/>
          <w:bottom w:w="0" w:type="dxa"/>
          <w:right w:w="108" w:type="dxa"/>
        </w:tblCellMar>
      </w:tblPr>
      <w:tblGrid>
        <w:gridCol w:w="699"/>
        <w:gridCol w:w="919"/>
        <w:gridCol w:w="1428"/>
        <w:gridCol w:w="456"/>
        <w:gridCol w:w="1701"/>
        <w:gridCol w:w="2116"/>
        <w:gridCol w:w="602"/>
        <w:gridCol w:w="486"/>
      </w:tblGrid>
      <w:tr w14:paraId="47B19F7E">
        <w:tblPrEx>
          <w:tblCellMar>
            <w:top w:w="0" w:type="dxa"/>
            <w:left w:w="108" w:type="dxa"/>
            <w:bottom w:w="0" w:type="dxa"/>
            <w:right w:w="108" w:type="dxa"/>
          </w:tblCellMar>
        </w:tblPrEx>
        <w:trPr>
          <w:trHeight w:val="645" w:hRule="atLeast"/>
          <w:jc w:val="center"/>
        </w:trPr>
        <w:tc>
          <w:tcPr>
            <w:tcW w:w="8407" w:type="dxa"/>
            <w:gridSpan w:val="8"/>
            <w:tcBorders>
              <w:top w:val="nil"/>
              <w:left w:val="nil"/>
              <w:bottom w:val="nil"/>
              <w:right w:val="nil"/>
            </w:tcBorders>
            <w:shd w:val="clear" w:color="auto" w:fill="auto"/>
            <w:vAlign w:val="center"/>
          </w:tcPr>
          <w:p w14:paraId="5EA4FC46">
            <w:pPr>
              <w:jc w:val="center"/>
              <w:rPr>
                <w:rFonts w:ascii="方正小标宋简体" w:hAnsi="方正小标宋简体" w:eastAsia="方正小标宋简体" w:cs="宋体"/>
                <w:kern w:val="0"/>
                <w:sz w:val="48"/>
                <w:szCs w:val="48"/>
              </w:rPr>
            </w:pPr>
            <w:r>
              <w:rPr>
                <w:rFonts w:hint="eastAsia" w:ascii="黑体" w:hAnsi="宋体" w:eastAsia="黑体" w:cs="黑体"/>
                <w:b/>
                <w:bCs/>
                <w:i w:val="0"/>
                <w:iCs w:val="0"/>
                <w:color w:val="000000"/>
                <w:kern w:val="0"/>
                <w:sz w:val="30"/>
                <w:szCs w:val="30"/>
                <w:u w:val="none"/>
                <w:lang w:val="zh-CN" w:eastAsia="zh-CN" w:bidi="ar"/>
              </w:rPr>
              <w:br w:type="page"/>
            </w:r>
            <w:r>
              <w:rPr>
                <w:rFonts w:hint="eastAsia" w:ascii="黑体" w:hAnsi="宋体" w:eastAsia="黑体" w:cs="黑体"/>
                <w:b/>
                <w:bCs/>
                <w:i w:val="0"/>
                <w:iCs w:val="0"/>
                <w:color w:val="000000"/>
                <w:kern w:val="0"/>
                <w:sz w:val="30"/>
                <w:szCs w:val="30"/>
                <w:u w:val="none"/>
                <w:lang w:val="zh-CN" w:eastAsia="zh-CN" w:bidi="ar"/>
              </w:rPr>
              <w:br w:type="page"/>
            </w:r>
            <w:r>
              <w:rPr>
                <w:rFonts w:hint="eastAsia" w:ascii="黑体" w:hAnsi="宋体" w:eastAsia="黑体" w:cs="黑体"/>
                <w:b/>
                <w:bCs/>
                <w:i w:val="0"/>
                <w:iCs w:val="0"/>
                <w:color w:val="000000"/>
                <w:kern w:val="0"/>
                <w:sz w:val="30"/>
                <w:szCs w:val="30"/>
                <w:u w:val="none"/>
                <w:lang w:val="en-US" w:eastAsia="zh-CN" w:bidi="ar"/>
              </w:rPr>
              <w:t>部门整体支出绩效自评表（2024年度）</w:t>
            </w:r>
          </w:p>
        </w:tc>
      </w:tr>
      <w:tr w14:paraId="50922F0D">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4C9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B90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指标解释</w:t>
            </w:r>
          </w:p>
        </w:tc>
        <w:tc>
          <w:tcPr>
            <w:tcW w:w="2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1A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评分说明</w:t>
            </w:r>
          </w:p>
        </w:tc>
        <w:tc>
          <w:tcPr>
            <w:tcW w:w="60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C68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自评得分</w:t>
            </w:r>
          </w:p>
        </w:tc>
        <w:tc>
          <w:tcPr>
            <w:tcW w:w="4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EB5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2EF74B92">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6AC3F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6AE5F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1428" w:type="dxa"/>
            <w:tcBorders>
              <w:top w:val="nil"/>
              <w:left w:val="nil"/>
              <w:bottom w:val="single" w:color="auto" w:sz="4" w:space="0"/>
              <w:right w:val="single" w:color="auto" w:sz="4" w:space="0"/>
            </w:tcBorders>
            <w:shd w:val="clear" w:color="auto" w:fill="auto"/>
            <w:vAlign w:val="center"/>
          </w:tcPr>
          <w:p w14:paraId="27C11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456" w:type="dxa"/>
            <w:tcBorders>
              <w:top w:val="nil"/>
              <w:left w:val="nil"/>
              <w:bottom w:val="single" w:color="auto" w:sz="4" w:space="0"/>
              <w:right w:val="single" w:color="auto" w:sz="4" w:space="0"/>
            </w:tcBorders>
            <w:shd w:val="clear" w:color="auto" w:fill="auto"/>
            <w:vAlign w:val="center"/>
          </w:tcPr>
          <w:p w14:paraId="3606B4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567C7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16" w:type="dxa"/>
            <w:vMerge w:val="continue"/>
            <w:tcBorders>
              <w:top w:val="single" w:color="auto" w:sz="4" w:space="0"/>
              <w:left w:val="single" w:color="auto" w:sz="4" w:space="0"/>
              <w:bottom w:val="single" w:color="auto" w:sz="4" w:space="0"/>
              <w:right w:val="single" w:color="auto" w:sz="4" w:space="0"/>
            </w:tcBorders>
            <w:vAlign w:val="center"/>
          </w:tcPr>
          <w:p w14:paraId="419BC1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02" w:type="dxa"/>
            <w:vMerge w:val="continue"/>
            <w:tcBorders>
              <w:top w:val="single" w:color="auto" w:sz="4" w:space="0"/>
              <w:left w:val="single" w:color="auto" w:sz="4" w:space="0"/>
              <w:bottom w:val="single" w:color="000000" w:sz="4" w:space="0"/>
              <w:right w:val="single" w:color="auto" w:sz="4" w:space="0"/>
            </w:tcBorders>
            <w:vAlign w:val="center"/>
          </w:tcPr>
          <w:p w14:paraId="1EE8096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486" w:type="dxa"/>
            <w:vMerge w:val="continue"/>
            <w:tcBorders>
              <w:top w:val="single" w:color="auto" w:sz="4" w:space="0"/>
              <w:left w:val="single" w:color="auto" w:sz="4" w:space="0"/>
              <w:bottom w:val="single" w:color="000000" w:sz="4" w:space="0"/>
              <w:right w:val="single" w:color="auto" w:sz="4" w:space="0"/>
            </w:tcBorders>
            <w:vAlign w:val="center"/>
          </w:tcPr>
          <w:p w14:paraId="16ED46A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568E05B5">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038F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总体绩效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（65分）</w:t>
            </w:r>
          </w:p>
        </w:tc>
        <w:tc>
          <w:tcPr>
            <w:tcW w:w="919" w:type="dxa"/>
            <w:vMerge w:val="restart"/>
            <w:tcBorders>
              <w:top w:val="nil"/>
              <w:left w:val="single" w:color="auto" w:sz="4" w:space="0"/>
              <w:bottom w:val="nil"/>
              <w:right w:val="single" w:color="auto" w:sz="4" w:space="0"/>
            </w:tcBorders>
            <w:shd w:val="clear" w:color="auto" w:fill="auto"/>
            <w:vAlign w:val="center"/>
          </w:tcPr>
          <w:p w14:paraId="4314E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履职效能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（19分）</w:t>
            </w:r>
          </w:p>
        </w:tc>
        <w:tc>
          <w:tcPr>
            <w:tcW w:w="1428" w:type="dxa"/>
            <w:tcBorders>
              <w:top w:val="nil"/>
              <w:left w:val="nil"/>
              <w:bottom w:val="single" w:color="auto" w:sz="4" w:space="0"/>
              <w:right w:val="single" w:color="auto" w:sz="4" w:space="0"/>
            </w:tcBorders>
            <w:shd w:val="clear" w:color="auto" w:fill="auto"/>
            <w:vAlign w:val="center"/>
          </w:tcPr>
          <w:p w14:paraId="20CDF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6" w:type="dxa"/>
            <w:vMerge w:val="restart"/>
            <w:tcBorders>
              <w:top w:val="nil"/>
              <w:left w:val="single" w:color="auto" w:sz="4" w:space="0"/>
              <w:bottom w:val="nil"/>
              <w:right w:val="single" w:color="auto" w:sz="4" w:space="0"/>
            </w:tcBorders>
            <w:shd w:val="clear" w:color="auto" w:fill="auto"/>
            <w:vAlign w:val="center"/>
          </w:tcPr>
          <w:p w14:paraId="23A62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20615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反映部门核心职责履行情况</w:t>
            </w:r>
          </w:p>
        </w:tc>
        <w:tc>
          <w:tcPr>
            <w:tcW w:w="2116" w:type="dxa"/>
            <w:vMerge w:val="restart"/>
            <w:tcBorders>
              <w:top w:val="nil"/>
              <w:left w:val="single" w:color="auto" w:sz="4" w:space="0"/>
              <w:bottom w:val="nil"/>
              <w:right w:val="single" w:color="auto" w:sz="4" w:space="0"/>
            </w:tcBorders>
            <w:shd w:val="clear" w:color="auto" w:fill="auto"/>
            <w:vAlign w:val="center"/>
          </w:tcPr>
          <w:p w14:paraId="568CF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按完成比例得分</w:t>
            </w:r>
          </w:p>
        </w:tc>
        <w:tc>
          <w:tcPr>
            <w:tcW w:w="602" w:type="dxa"/>
            <w:vMerge w:val="restart"/>
            <w:tcBorders>
              <w:top w:val="nil"/>
              <w:left w:val="single" w:color="auto" w:sz="4" w:space="0"/>
              <w:bottom w:val="nil"/>
              <w:right w:val="single" w:color="auto" w:sz="4" w:space="0"/>
            </w:tcBorders>
            <w:shd w:val="clear" w:color="auto" w:fill="auto"/>
            <w:vAlign w:val="center"/>
          </w:tcPr>
          <w:p w14:paraId="1BE07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486" w:type="dxa"/>
            <w:vMerge w:val="restart"/>
            <w:tcBorders>
              <w:top w:val="nil"/>
              <w:left w:val="single" w:color="auto" w:sz="4" w:space="0"/>
              <w:bottom w:val="nil"/>
              <w:right w:val="single" w:color="auto" w:sz="4" w:space="0"/>
            </w:tcBorders>
            <w:shd w:val="clear" w:color="auto" w:fill="auto"/>
            <w:vAlign w:val="center"/>
          </w:tcPr>
          <w:p w14:paraId="65B80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A7B038B">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5119DE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7BA6B60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1F969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6" w:type="dxa"/>
            <w:vMerge w:val="continue"/>
            <w:tcBorders>
              <w:top w:val="nil"/>
              <w:left w:val="single" w:color="auto" w:sz="4" w:space="0"/>
              <w:bottom w:val="nil"/>
              <w:right w:val="single" w:color="auto" w:sz="4" w:space="0"/>
            </w:tcBorders>
            <w:vAlign w:val="center"/>
          </w:tcPr>
          <w:p w14:paraId="7E0125F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701" w:type="dxa"/>
            <w:vMerge w:val="continue"/>
            <w:tcBorders>
              <w:top w:val="nil"/>
              <w:left w:val="single" w:color="auto" w:sz="4" w:space="0"/>
              <w:bottom w:val="nil"/>
              <w:right w:val="single" w:color="auto" w:sz="4" w:space="0"/>
            </w:tcBorders>
            <w:vAlign w:val="center"/>
          </w:tcPr>
          <w:p w14:paraId="4486C63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16" w:type="dxa"/>
            <w:vMerge w:val="continue"/>
            <w:tcBorders>
              <w:top w:val="nil"/>
              <w:left w:val="single" w:color="auto" w:sz="4" w:space="0"/>
              <w:bottom w:val="nil"/>
              <w:right w:val="single" w:color="auto" w:sz="4" w:space="0"/>
            </w:tcBorders>
            <w:vAlign w:val="center"/>
          </w:tcPr>
          <w:p w14:paraId="67FCA97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02" w:type="dxa"/>
            <w:vMerge w:val="continue"/>
            <w:tcBorders>
              <w:top w:val="nil"/>
              <w:left w:val="single" w:color="auto" w:sz="4" w:space="0"/>
              <w:bottom w:val="nil"/>
              <w:right w:val="single" w:color="auto" w:sz="4" w:space="0"/>
            </w:tcBorders>
            <w:vAlign w:val="center"/>
          </w:tcPr>
          <w:p w14:paraId="22DA1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6" w:type="dxa"/>
            <w:vMerge w:val="continue"/>
            <w:tcBorders>
              <w:top w:val="nil"/>
              <w:left w:val="single" w:color="auto" w:sz="4" w:space="0"/>
              <w:bottom w:val="nil"/>
              <w:right w:val="single" w:color="auto" w:sz="4" w:space="0"/>
            </w:tcBorders>
            <w:vAlign w:val="center"/>
          </w:tcPr>
          <w:p w14:paraId="3276654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315E43A3">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5B4090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7CBF6F7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294FF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6" w:type="dxa"/>
            <w:vMerge w:val="continue"/>
            <w:tcBorders>
              <w:top w:val="nil"/>
              <w:left w:val="single" w:color="auto" w:sz="4" w:space="0"/>
              <w:bottom w:val="nil"/>
              <w:right w:val="single" w:color="auto" w:sz="4" w:space="0"/>
            </w:tcBorders>
            <w:vAlign w:val="center"/>
          </w:tcPr>
          <w:p w14:paraId="0ACA774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701" w:type="dxa"/>
            <w:vMerge w:val="continue"/>
            <w:tcBorders>
              <w:top w:val="nil"/>
              <w:left w:val="single" w:color="auto" w:sz="4" w:space="0"/>
              <w:bottom w:val="nil"/>
              <w:right w:val="single" w:color="auto" w:sz="4" w:space="0"/>
            </w:tcBorders>
            <w:vAlign w:val="center"/>
          </w:tcPr>
          <w:p w14:paraId="2BC8566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16" w:type="dxa"/>
            <w:vMerge w:val="continue"/>
            <w:tcBorders>
              <w:top w:val="nil"/>
              <w:left w:val="single" w:color="auto" w:sz="4" w:space="0"/>
              <w:bottom w:val="nil"/>
              <w:right w:val="single" w:color="auto" w:sz="4" w:space="0"/>
            </w:tcBorders>
            <w:vAlign w:val="center"/>
          </w:tcPr>
          <w:p w14:paraId="18F15A5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02" w:type="dxa"/>
            <w:vMerge w:val="continue"/>
            <w:tcBorders>
              <w:top w:val="nil"/>
              <w:left w:val="single" w:color="auto" w:sz="4" w:space="0"/>
              <w:bottom w:val="nil"/>
              <w:right w:val="single" w:color="auto" w:sz="4" w:space="0"/>
            </w:tcBorders>
            <w:vAlign w:val="center"/>
          </w:tcPr>
          <w:p w14:paraId="6A949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6" w:type="dxa"/>
            <w:vMerge w:val="continue"/>
            <w:tcBorders>
              <w:top w:val="nil"/>
              <w:left w:val="single" w:color="auto" w:sz="4" w:space="0"/>
              <w:bottom w:val="nil"/>
              <w:right w:val="single" w:color="auto" w:sz="4" w:space="0"/>
            </w:tcBorders>
            <w:vAlign w:val="center"/>
          </w:tcPr>
          <w:p w14:paraId="38496EF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2E39FD0E">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4AF564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6BE5F5D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3D6A9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6" w:type="dxa"/>
            <w:vMerge w:val="continue"/>
            <w:tcBorders>
              <w:top w:val="nil"/>
              <w:left w:val="single" w:color="auto" w:sz="4" w:space="0"/>
              <w:bottom w:val="nil"/>
              <w:right w:val="single" w:color="auto" w:sz="4" w:space="0"/>
            </w:tcBorders>
            <w:vAlign w:val="center"/>
          </w:tcPr>
          <w:p w14:paraId="5A58D92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701" w:type="dxa"/>
            <w:vMerge w:val="continue"/>
            <w:tcBorders>
              <w:top w:val="nil"/>
              <w:left w:val="single" w:color="auto" w:sz="4" w:space="0"/>
              <w:bottom w:val="nil"/>
              <w:right w:val="single" w:color="auto" w:sz="4" w:space="0"/>
            </w:tcBorders>
            <w:vAlign w:val="center"/>
          </w:tcPr>
          <w:p w14:paraId="64C7AF7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16" w:type="dxa"/>
            <w:vMerge w:val="continue"/>
            <w:tcBorders>
              <w:top w:val="nil"/>
              <w:left w:val="single" w:color="auto" w:sz="4" w:space="0"/>
              <w:bottom w:val="nil"/>
              <w:right w:val="single" w:color="auto" w:sz="4" w:space="0"/>
            </w:tcBorders>
            <w:vAlign w:val="center"/>
          </w:tcPr>
          <w:p w14:paraId="04EE8CC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02" w:type="dxa"/>
            <w:vMerge w:val="continue"/>
            <w:tcBorders>
              <w:top w:val="nil"/>
              <w:left w:val="single" w:color="auto" w:sz="4" w:space="0"/>
              <w:bottom w:val="nil"/>
              <w:right w:val="single" w:color="auto" w:sz="4" w:space="0"/>
            </w:tcBorders>
            <w:vAlign w:val="center"/>
          </w:tcPr>
          <w:p w14:paraId="195CB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6" w:type="dxa"/>
            <w:vMerge w:val="continue"/>
            <w:tcBorders>
              <w:top w:val="nil"/>
              <w:left w:val="single" w:color="auto" w:sz="4" w:space="0"/>
              <w:bottom w:val="nil"/>
              <w:right w:val="single" w:color="auto" w:sz="4" w:space="0"/>
            </w:tcBorders>
            <w:vAlign w:val="center"/>
          </w:tcPr>
          <w:p w14:paraId="1F40A02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4F170C9B">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0FAA12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041E945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0B059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6" w:type="dxa"/>
            <w:vMerge w:val="continue"/>
            <w:tcBorders>
              <w:top w:val="nil"/>
              <w:left w:val="single" w:color="auto" w:sz="4" w:space="0"/>
              <w:bottom w:val="nil"/>
              <w:right w:val="single" w:color="auto" w:sz="4" w:space="0"/>
            </w:tcBorders>
            <w:vAlign w:val="center"/>
          </w:tcPr>
          <w:p w14:paraId="60D4E55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701" w:type="dxa"/>
            <w:vMerge w:val="continue"/>
            <w:tcBorders>
              <w:top w:val="nil"/>
              <w:left w:val="single" w:color="auto" w:sz="4" w:space="0"/>
              <w:bottom w:val="nil"/>
              <w:right w:val="single" w:color="auto" w:sz="4" w:space="0"/>
            </w:tcBorders>
            <w:vAlign w:val="center"/>
          </w:tcPr>
          <w:p w14:paraId="6BD853E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116" w:type="dxa"/>
            <w:vMerge w:val="continue"/>
            <w:tcBorders>
              <w:top w:val="nil"/>
              <w:left w:val="single" w:color="auto" w:sz="4" w:space="0"/>
              <w:bottom w:val="nil"/>
              <w:right w:val="single" w:color="auto" w:sz="4" w:space="0"/>
            </w:tcBorders>
            <w:vAlign w:val="center"/>
          </w:tcPr>
          <w:p w14:paraId="2A17BEE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02" w:type="dxa"/>
            <w:vMerge w:val="continue"/>
            <w:tcBorders>
              <w:top w:val="nil"/>
              <w:left w:val="single" w:color="auto" w:sz="4" w:space="0"/>
              <w:bottom w:val="nil"/>
              <w:right w:val="single" w:color="auto" w:sz="4" w:space="0"/>
            </w:tcBorders>
            <w:vAlign w:val="center"/>
          </w:tcPr>
          <w:p w14:paraId="15E77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6" w:type="dxa"/>
            <w:vMerge w:val="continue"/>
            <w:tcBorders>
              <w:top w:val="nil"/>
              <w:left w:val="single" w:color="auto" w:sz="4" w:space="0"/>
              <w:bottom w:val="nil"/>
              <w:right w:val="single" w:color="auto" w:sz="4" w:space="0"/>
            </w:tcBorders>
            <w:vAlign w:val="center"/>
          </w:tcPr>
          <w:p w14:paraId="161019C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0F875614">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5E8A88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CF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（21分）</w:t>
            </w:r>
          </w:p>
        </w:tc>
        <w:tc>
          <w:tcPr>
            <w:tcW w:w="1428" w:type="dxa"/>
            <w:tcBorders>
              <w:top w:val="nil"/>
              <w:left w:val="nil"/>
              <w:bottom w:val="single" w:color="auto" w:sz="4" w:space="0"/>
              <w:right w:val="single" w:color="auto" w:sz="4" w:space="0"/>
            </w:tcBorders>
            <w:shd w:val="clear" w:color="auto" w:fill="auto"/>
            <w:vAlign w:val="center"/>
          </w:tcPr>
          <w:p w14:paraId="477BE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预算编制质量</w:t>
            </w:r>
          </w:p>
        </w:tc>
        <w:tc>
          <w:tcPr>
            <w:tcW w:w="456" w:type="dxa"/>
            <w:tcBorders>
              <w:top w:val="single" w:color="auto" w:sz="4" w:space="0"/>
              <w:left w:val="nil"/>
              <w:bottom w:val="single" w:color="auto" w:sz="4" w:space="0"/>
              <w:right w:val="single" w:color="auto" w:sz="4" w:space="0"/>
            </w:tcBorders>
            <w:shd w:val="clear" w:color="auto" w:fill="auto"/>
            <w:vAlign w:val="center"/>
          </w:tcPr>
          <w:p w14:paraId="2B66F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7AA0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预算编制的科学性、合理性</w:t>
            </w:r>
          </w:p>
        </w:tc>
        <w:tc>
          <w:tcPr>
            <w:tcW w:w="2116" w:type="dxa"/>
            <w:tcBorders>
              <w:top w:val="single" w:color="auto" w:sz="4" w:space="0"/>
              <w:left w:val="nil"/>
              <w:bottom w:val="single" w:color="auto" w:sz="4" w:space="0"/>
              <w:right w:val="single" w:color="auto" w:sz="4" w:space="0"/>
            </w:tcBorders>
            <w:shd w:val="clear" w:color="auto" w:fill="auto"/>
            <w:vAlign w:val="center"/>
          </w:tcPr>
          <w:p w14:paraId="543CA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依据评审结果</w:t>
            </w:r>
          </w:p>
        </w:tc>
        <w:tc>
          <w:tcPr>
            <w:tcW w:w="602" w:type="dxa"/>
            <w:tcBorders>
              <w:top w:val="single" w:color="auto" w:sz="4" w:space="0"/>
              <w:left w:val="nil"/>
              <w:bottom w:val="single" w:color="auto" w:sz="4" w:space="0"/>
              <w:right w:val="single" w:color="auto" w:sz="4" w:space="0"/>
            </w:tcBorders>
            <w:shd w:val="clear" w:color="auto" w:fill="auto"/>
            <w:vAlign w:val="center"/>
          </w:tcPr>
          <w:p w14:paraId="4F1B12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4F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26278B08">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ACFF43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09EF12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679FCF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支出执行进度</w:t>
            </w:r>
          </w:p>
        </w:tc>
        <w:tc>
          <w:tcPr>
            <w:tcW w:w="456" w:type="dxa"/>
            <w:tcBorders>
              <w:top w:val="nil"/>
              <w:left w:val="nil"/>
              <w:bottom w:val="single" w:color="auto" w:sz="4" w:space="0"/>
              <w:right w:val="single" w:color="auto" w:sz="4" w:space="0"/>
            </w:tcBorders>
            <w:shd w:val="clear" w:color="auto" w:fill="auto"/>
            <w:vAlign w:val="center"/>
          </w:tcPr>
          <w:p w14:paraId="221E6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701" w:type="dxa"/>
            <w:tcBorders>
              <w:top w:val="nil"/>
              <w:left w:val="nil"/>
              <w:bottom w:val="single" w:color="auto" w:sz="4" w:space="0"/>
              <w:right w:val="single" w:color="auto" w:sz="4" w:space="0"/>
            </w:tcBorders>
            <w:shd w:val="clear" w:color="auto" w:fill="auto"/>
            <w:vAlign w:val="center"/>
          </w:tcPr>
          <w:p w14:paraId="3CAFB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预算执行与时间进度匹配度</w:t>
            </w:r>
          </w:p>
        </w:tc>
        <w:tc>
          <w:tcPr>
            <w:tcW w:w="2116" w:type="dxa"/>
            <w:tcBorders>
              <w:top w:val="nil"/>
              <w:left w:val="nil"/>
              <w:bottom w:val="single" w:color="auto" w:sz="4" w:space="0"/>
              <w:right w:val="single" w:color="auto" w:sz="4" w:space="0"/>
            </w:tcBorders>
            <w:shd w:val="clear" w:color="auto" w:fill="auto"/>
            <w:vAlign w:val="center"/>
          </w:tcPr>
          <w:p w14:paraId="5176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每低5%扣1分</w:t>
            </w:r>
          </w:p>
        </w:tc>
        <w:tc>
          <w:tcPr>
            <w:tcW w:w="602" w:type="dxa"/>
            <w:tcBorders>
              <w:top w:val="nil"/>
              <w:left w:val="nil"/>
              <w:bottom w:val="single" w:color="auto" w:sz="4" w:space="0"/>
              <w:right w:val="single" w:color="auto" w:sz="4" w:space="0"/>
            </w:tcBorders>
            <w:shd w:val="clear" w:color="auto" w:fill="auto"/>
            <w:vAlign w:val="center"/>
          </w:tcPr>
          <w:p w14:paraId="62802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486" w:type="dxa"/>
            <w:vMerge w:val="continue"/>
            <w:tcBorders>
              <w:top w:val="single" w:color="auto" w:sz="4" w:space="0"/>
              <w:left w:val="single" w:color="auto" w:sz="4" w:space="0"/>
              <w:bottom w:val="single" w:color="auto" w:sz="4" w:space="0"/>
              <w:right w:val="single" w:color="auto" w:sz="4" w:space="0"/>
            </w:tcBorders>
            <w:vAlign w:val="center"/>
          </w:tcPr>
          <w:p w14:paraId="67548C0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2E1C8C15">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F56199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9BF2DB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0F6A7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预算年终结余</w:t>
            </w:r>
          </w:p>
        </w:tc>
        <w:tc>
          <w:tcPr>
            <w:tcW w:w="456" w:type="dxa"/>
            <w:tcBorders>
              <w:top w:val="nil"/>
              <w:left w:val="nil"/>
              <w:bottom w:val="single" w:color="auto" w:sz="4" w:space="0"/>
              <w:right w:val="single" w:color="auto" w:sz="4" w:space="0"/>
            </w:tcBorders>
            <w:shd w:val="clear" w:color="auto" w:fill="auto"/>
            <w:vAlign w:val="center"/>
          </w:tcPr>
          <w:p w14:paraId="2616A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01" w:type="dxa"/>
            <w:tcBorders>
              <w:top w:val="nil"/>
              <w:left w:val="nil"/>
              <w:bottom w:val="single" w:color="auto" w:sz="4" w:space="0"/>
              <w:right w:val="single" w:color="auto" w:sz="4" w:space="0"/>
            </w:tcBorders>
            <w:shd w:val="clear" w:color="auto" w:fill="auto"/>
            <w:vAlign w:val="center"/>
          </w:tcPr>
          <w:p w14:paraId="27967D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年度预算结余控制情况</w:t>
            </w:r>
          </w:p>
        </w:tc>
        <w:tc>
          <w:tcPr>
            <w:tcW w:w="2116" w:type="dxa"/>
            <w:tcBorders>
              <w:top w:val="nil"/>
              <w:left w:val="nil"/>
              <w:bottom w:val="single" w:color="auto" w:sz="4" w:space="0"/>
              <w:right w:val="single" w:color="auto" w:sz="4" w:space="0"/>
            </w:tcBorders>
            <w:shd w:val="clear" w:color="auto" w:fill="auto"/>
            <w:vAlign w:val="center"/>
          </w:tcPr>
          <w:p w14:paraId="3263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结余率每超5%扣1分</w:t>
            </w:r>
          </w:p>
        </w:tc>
        <w:tc>
          <w:tcPr>
            <w:tcW w:w="602" w:type="dxa"/>
            <w:tcBorders>
              <w:top w:val="nil"/>
              <w:left w:val="nil"/>
              <w:bottom w:val="single" w:color="auto" w:sz="4" w:space="0"/>
              <w:right w:val="single" w:color="auto" w:sz="4" w:space="0"/>
            </w:tcBorders>
            <w:shd w:val="clear" w:color="auto" w:fill="auto"/>
            <w:vAlign w:val="center"/>
          </w:tcPr>
          <w:p w14:paraId="2DDCE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486" w:type="dxa"/>
            <w:vMerge w:val="continue"/>
            <w:tcBorders>
              <w:top w:val="single" w:color="auto" w:sz="4" w:space="0"/>
              <w:left w:val="single" w:color="auto" w:sz="4" w:space="0"/>
              <w:bottom w:val="single" w:color="auto" w:sz="4" w:space="0"/>
              <w:right w:val="single" w:color="auto" w:sz="4" w:space="0"/>
            </w:tcBorders>
            <w:vAlign w:val="center"/>
          </w:tcPr>
          <w:p w14:paraId="2F1EC59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2D6183F5">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5CD6E6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EA57B5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1A452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严控一般性支出</w:t>
            </w:r>
          </w:p>
        </w:tc>
        <w:tc>
          <w:tcPr>
            <w:tcW w:w="456" w:type="dxa"/>
            <w:tcBorders>
              <w:top w:val="nil"/>
              <w:left w:val="nil"/>
              <w:bottom w:val="single" w:color="auto" w:sz="4" w:space="0"/>
              <w:right w:val="single" w:color="auto" w:sz="4" w:space="0"/>
            </w:tcBorders>
            <w:shd w:val="clear" w:color="auto" w:fill="auto"/>
            <w:vAlign w:val="center"/>
          </w:tcPr>
          <w:p w14:paraId="06C62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1" w:type="dxa"/>
            <w:tcBorders>
              <w:top w:val="nil"/>
              <w:left w:val="nil"/>
              <w:bottom w:val="single" w:color="auto" w:sz="4" w:space="0"/>
              <w:right w:val="single" w:color="auto" w:sz="4" w:space="0"/>
            </w:tcBorders>
            <w:shd w:val="clear" w:color="auto" w:fill="auto"/>
            <w:vAlign w:val="center"/>
          </w:tcPr>
          <w:p w14:paraId="141DD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一般性支出压减情况</w:t>
            </w:r>
            <w:r>
              <w:rPr>
                <w:rFonts w:hint="default" w:ascii="宋体" w:hAnsi="宋体" w:eastAsia="宋体" w:cs="宋体"/>
                <w:i w:val="0"/>
                <w:iCs w:val="0"/>
                <w:color w:val="000000"/>
                <w:kern w:val="0"/>
                <w:sz w:val="18"/>
                <w:szCs w:val="18"/>
                <w:u w:val="none"/>
                <w:lang w:val="en-US" w:eastAsia="zh-CN" w:bidi="ar"/>
              </w:rPr>
              <w:t> </w:t>
            </w:r>
          </w:p>
        </w:tc>
        <w:tc>
          <w:tcPr>
            <w:tcW w:w="2116" w:type="dxa"/>
            <w:tcBorders>
              <w:top w:val="nil"/>
              <w:left w:val="nil"/>
              <w:bottom w:val="single" w:color="auto" w:sz="4" w:space="0"/>
              <w:right w:val="single" w:color="auto" w:sz="4" w:space="0"/>
            </w:tcBorders>
            <w:shd w:val="clear" w:color="auto" w:fill="auto"/>
            <w:vAlign w:val="center"/>
          </w:tcPr>
          <w:p w14:paraId="33B09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完成压减目标得满分，否则按比例扣分</w:t>
            </w:r>
          </w:p>
        </w:tc>
        <w:tc>
          <w:tcPr>
            <w:tcW w:w="602" w:type="dxa"/>
            <w:tcBorders>
              <w:top w:val="nil"/>
              <w:left w:val="nil"/>
              <w:bottom w:val="single" w:color="auto" w:sz="4" w:space="0"/>
              <w:right w:val="single" w:color="auto" w:sz="4" w:space="0"/>
            </w:tcBorders>
            <w:shd w:val="clear" w:color="auto" w:fill="auto"/>
            <w:vAlign w:val="center"/>
          </w:tcPr>
          <w:p w14:paraId="7FF52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86" w:type="dxa"/>
            <w:vMerge w:val="continue"/>
            <w:tcBorders>
              <w:top w:val="single" w:color="auto" w:sz="4" w:space="0"/>
              <w:left w:val="single" w:color="auto" w:sz="4" w:space="0"/>
              <w:bottom w:val="single" w:color="auto" w:sz="4" w:space="0"/>
              <w:right w:val="single" w:color="auto" w:sz="4" w:space="0"/>
            </w:tcBorders>
            <w:vAlign w:val="center"/>
          </w:tcPr>
          <w:p w14:paraId="0BB3307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487E55FA">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A17B7A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restart"/>
            <w:tcBorders>
              <w:top w:val="nil"/>
              <w:left w:val="single" w:color="auto" w:sz="4" w:space="0"/>
              <w:bottom w:val="single" w:color="000000" w:sz="4" w:space="0"/>
              <w:right w:val="single" w:color="auto" w:sz="4" w:space="0"/>
            </w:tcBorders>
            <w:shd w:val="clear" w:color="auto" w:fill="auto"/>
            <w:vAlign w:val="center"/>
          </w:tcPr>
          <w:p w14:paraId="3DE04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人均资产变化率</w:t>
            </w:r>
          </w:p>
        </w:tc>
        <w:tc>
          <w:tcPr>
            <w:tcW w:w="456" w:type="dxa"/>
            <w:tcBorders>
              <w:top w:val="single" w:color="000000" w:sz="4" w:space="0"/>
              <w:left w:val="nil"/>
              <w:bottom w:val="single" w:color="000000" w:sz="4" w:space="0"/>
              <w:right w:val="single" w:color="000000" w:sz="4" w:space="0"/>
            </w:tcBorders>
            <w:shd w:val="clear" w:color="auto" w:fill="auto"/>
            <w:vAlign w:val="center"/>
          </w:tcPr>
          <w:p w14:paraId="37044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11E59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人均资产增减合理性</w:t>
            </w:r>
            <w:r>
              <w:rPr>
                <w:rFonts w:hint="default" w:ascii="宋体" w:hAnsi="宋体" w:eastAsia="宋体" w:cs="宋体"/>
                <w:i w:val="0"/>
                <w:iCs w:val="0"/>
                <w:color w:val="000000"/>
                <w:kern w:val="0"/>
                <w:sz w:val="18"/>
                <w:szCs w:val="18"/>
                <w:u w:val="none"/>
                <w:lang w:val="en-US" w:eastAsia="zh-CN" w:bidi="ar"/>
              </w:rPr>
              <w:t> </w:t>
            </w:r>
          </w:p>
        </w:tc>
        <w:tc>
          <w:tcPr>
            <w:tcW w:w="2116" w:type="dxa"/>
            <w:tcBorders>
              <w:top w:val="single" w:color="000000" w:sz="4" w:space="0"/>
              <w:left w:val="nil"/>
              <w:bottom w:val="single" w:color="000000" w:sz="4" w:space="0"/>
              <w:right w:val="single" w:color="000000" w:sz="4" w:space="0"/>
            </w:tcBorders>
            <w:shd w:val="clear" w:color="auto" w:fill="auto"/>
            <w:vAlign w:val="center"/>
          </w:tcPr>
          <w:p w14:paraId="0702F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控制在合理范围内得满分，否则酌情扣分</w:t>
            </w:r>
          </w:p>
        </w:tc>
        <w:tc>
          <w:tcPr>
            <w:tcW w:w="602" w:type="dxa"/>
            <w:tcBorders>
              <w:top w:val="nil"/>
              <w:left w:val="single" w:color="auto" w:sz="4" w:space="0"/>
              <w:bottom w:val="single" w:color="auto" w:sz="4" w:space="0"/>
              <w:right w:val="single" w:color="auto" w:sz="4" w:space="0"/>
            </w:tcBorders>
            <w:shd w:val="clear" w:color="auto" w:fill="auto"/>
            <w:vAlign w:val="center"/>
          </w:tcPr>
          <w:p w14:paraId="632D9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86" w:type="dxa"/>
            <w:vMerge w:val="restart"/>
            <w:tcBorders>
              <w:top w:val="nil"/>
              <w:left w:val="single" w:color="auto" w:sz="4" w:space="0"/>
              <w:bottom w:val="single" w:color="auto" w:sz="4" w:space="0"/>
              <w:right w:val="single" w:color="auto" w:sz="4" w:space="0"/>
            </w:tcBorders>
            <w:shd w:val="clear" w:color="auto" w:fill="auto"/>
            <w:vAlign w:val="center"/>
          </w:tcPr>
          <w:p w14:paraId="32D74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650183EB">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9C1ED0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single" w:color="000000" w:sz="4" w:space="0"/>
              <w:right w:val="single" w:color="auto" w:sz="4" w:space="0"/>
            </w:tcBorders>
            <w:vAlign w:val="center"/>
          </w:tcPr>
          <w:p w14:paraId="3D7BEE8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67D40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资产利用率</w:t>
            </w:r>
          </w:p>
        </w:tc>
        <w:tc>
          <w:tcPr>
            <w:tcW w:w="456" w:type="dxa"/>
            <w:tcBorders>
              <w:top w:val="nil"/>
              <w:left w:val="nil"/>
              <w:bottom w:val="single" w:color="000000" w:sz="4" w:space="0"/>
              <w:right w:val="single" w:color="000000" w:sz="4" w:space="0"/>
            </w:tcBorders>
            <w:shd w:val="clear" w:color="auto" w:fill="auto"/>
            <w:vAlign w:val="center"/>
          </w:tcPr>
          <w:p w14:paraId="4C6830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1" w:type="dxa"/>
            <w:tcBorders>
              <w:top w:val="nil"/>
              <w:left w:val="nil"/>
              <w:bottom w:val="single" w:color="000000" w:sz="4" w:space="0"/>
              <w:right w:val="single" w:color="000000" w:sz="4" w:space="0"/>
            </w:tcBorders>
            <w:shd w:val="clear" w:color="auto" w:fill="auto"/>
            <w:vAlign w:val="center"/>
          </w:tcPr>
          <w:p w14:paraId="51BB3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w:t>
            </w:r>
            <w:r>
              <w:rPr>
                <w:rFonts w:hint="default" w:ascii="宋体" w:hAnsi="宋体" w:eastAsia="宋体" w:cs="宋体"/>
                <w:i w:val="0"/>
                <w:iCs w:val="0"/>
                <w:color w:val="000000"/>
                <w:kern w:val="0"/>
                <w:sz w:val="18"/>
                <w:szCs w:val="18"/>
                <w:u w:val="none"/>
                <w:lang w:val="en-US" w:eastAsia="zh-CN" w:bidi="ar"/>
              </w:rPr>
              <w:t>资产使用效率</w:t>
            </w:r>
          </w:p>
        </w:tc>
        <w:tc>
          <w:tcPr>
            <w:tcW w:w="2116" w:type="dxa"/>
            <w:tcBorders>
              <w:top w:val="nil"/>
              <w:left w:val="nil"/>
              <w:bottom w:val="single" w:color="000000" w:sz="4" w:space="0"/>
              <w:right w:val="single" w:color="000000" w:sz="4" w:space="0"/>
            </w:tcBorders>
            <w:shd w:val="clear" w:color="auto" w:fill="auto"/>
            <w:vAlign w:val="center"/>
          </w:tcPr>
          <w:p w14:paraId="0AD0A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利用率达90%以上得满分，每降10%扣1分</w:t>
            </w:r>
          </w:p>
        </w:tc>
        <w:tc>
          <w:tcPr>
            <w:tcW w:w="602" w:type="dxa"/>
            <w:tcBorders>
              <w:top w:val="nil"/>
              <w:left w:val="single" w:color="auto" w:sz="4" w:space="0"/>
              <w:bottom w:val="single" w:color="auto" w:sz="4" w:space="0"/>
              <w:right w:val="single" w:color="auto" w:sz="4" w:space="0"/>
            </w:tcBorders>
            <w:shd w:val="clear" w:color="auto" w:fill="auto"/>
            <w:vAlign w:val="center"/>
          </w:tcPr>
          <w:p w14:paraId="4E1A0D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86" w:type="dxa"/>
            <w:vMerge w:val="continue"/>
            <w:tcBorders>
              <w:top w:val="nil"/>
              <w:left w:val="single" w:color="auto" w:sz="4" w:space="0"/>
              <w:bottom w:val="single" w:color="auto" w:sz="4" w:space="0"/>
              <w:right w:val="single" w:color="auto" w:sz="4" w:space="0"/>
            </w:tcBorders>
            <w:vAlign w:val="center"/>
          </w:tcPr>
          <w:p w14:paraId="178715F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6B2C12F2">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A423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总体绩效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（65分）</w:t>
            </w:r>
          </w:p>
        </w:tc>
        <w:tc>
          <w:tcPr>
            <w:tcW w:w="919" w:type="dxa"/>
            <w:tcBorders>
              <w:top w:val="nil"/>
              <w:left w:val="nil"/>
              <w:bottom w:val="single" w:color="auto" w:sz="4" w:space="0"/>
              <w:right w:val="single" w:color="auto" w:sz="4" w:space="0"/>
            </w:tcBorders>
            <w:shd w:val="clear" w:color="auto" w:fill="auto"/>
            <w:vAlign w:val="center"/>
          </w:tcPr>
          <w:p w14:paraId="5228B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（9分）</w:t>
            </w:r>
          </w:p>
        </w:tc>
        <w:tc>
          <w:tcPr>
            <w:tcW w:w="1428" w:type="dxa"/>
            <w:tcBorders>
              <w:top w:val="single" w:color="auto" w:sz="4" w:space="0"/>
              <w:left w:val="nil"/>
              <w:bottom w:val="single" w:color="auto" w:sz="4" w:space="0"/>
              <w:right w:val="single" w:color="auto" w:sz="4" w:space="0"/>
            </w:tcBorders>
            <w:shd w:val="clear" w:color="auto" w:fill="auto"/>
            <w:vAlign w:val="center"/>
          </w:tcPr>
          <w:p w14:paraId="43ADE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资产盘活率</w:t>
            </w:r>
          </w:p>
        </w:tc>
        <w:tc>
          <w:tcPr>
            <w:tcW w:w="456" w:type="dxa"/>
            <w:tcBorders>
              <w:top w:val="single" w:color="auto" w:sz="4" w:space="0"/>
              <w:left w:val="nil"/>
              <w:bottom w:val="single" w:color="auto" w:sz="4" w:space="0"/>
              <w:right w:val="single" w:color="auto" w:sz="4" w:space="0"/>
            </w:tcBorders>
            <w:shd w:val="clear" w:color="auto" w:fill="auto"/>
            <w:vAlign w:val="center"/>
          </w:tcPr>
          <w:p w14:paraId="0C3DD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11DBA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闲置资产盘活情况</w:t>
            </w:r>
            <w:r>
              <w:rPr>
                <w:rFonts w:hint="default" w:ascii="宋体" w:hAnsi="宋体" w:eastAsia="宋体" w:cs="宋体"/>
                <w:i w:val="0"/>
                <w:iCs w:val="0"/>
                <w:color w:val="000000"/>
                <w:kern w:val="0"/>
                <w:sz w:val="18"/>
                <w:szCs w:val="18"/>
                <w:u w:val="none"/>
                <w:lang w:val="en-US" w:eastAsia="zh-CN" w:bidi="ar"/>
              </w:rPr>
              <w:t> </w:t>
            </w:r>
          </w:p>
        </w:tc>
        <w:tc>
          <w:tcPr>
            <w:tcW w:w="2116" w:type="dxa"/>
            <w:tcBorders>
              <w:top w:val="single" w:color="auto" w:sz="4" w:space="0"/>
              <w:left w:val="nil"/>
              <w:bottom w:val="single" w:color="auto" w:sz="4" w:space="0"/>
              <w:right w:val="single" w:color="auto" w:sz="4" w:space="0"/>
            </w:tcBorders>
            <w:shd w:val="clear" w:color="auto" w:fill="auto"/>
            <w:vAlign w:val="center"/>
          </w:tcPr>
          <w:p w14:paraId="47C23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盘活率达80%以上得满分，每降10%扣1分</w:t>
            </w:r>
          </w:p>
        </w:tc>
        <w:tc>
          <w:tcPr>
            <w:tcW w:w="602" w:type="dxa"/>
            <w:tcBorders>
              <w:top w:val="nil"/>
              <w:left w:val="nil"/>
              <w:bottom w:val="single" w:color="auto" w:sz="4" w:space="0"/>
              <w:right w:val="single" w:color="auto" w:sz="4" w:space="0"/>
            </w:tcBorders>
            <w:shd w:val="clear" w:color="auto" w:fill="auto"/>
            <w:vAlign w:val="center"/>
          </w:tcPr>
          <w:p w14:paraId="06548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86" w:type="dxa"/>
            <w:tcBorders>
              <w:top w:val="nil"/>
              <w:left w:val="nil"/>
              <w:bottom w:val="single" w:color="auto" w:sz="4" w:space="0"/>
              <w:right w:val="single" w:color="auto" w:sz="4" w:space="0"/>
            </w:tcBorders>
            <w:shd w:val="clear" w:color="auto" w:fill="auto"/>
            <w:vAlign w:val="center"/>
          </w:tcPr>
          <w:p w14:paraId="5EABF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461B68A">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255BF1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5689E7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采购管理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1428" w:type="dxa"/>
            <w:tcBorders>
              <w:top w:val="nil"/>
              <w:left w:val="nil"/>
              <w:bottom w:val="single" w:color="auto" w:sz="4" w:space="0"/>
              <w:right w:val="single" w:color="auto" w:sz="4" w:space="0"/>
            </w:tcBorders>
            <w:shd w:val="clear" w:color="auto" w:fill="auto"/>
            <w:vAlign w:val="center"/>
          </w:tcPr>
          <w:p w14:paraId="02EA9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支持中小企业发展</w:t>
            </w:r>
          </w:p>
        </w:tc>
        <w:tc>
          <w:tcPr>
            <w:tcW w:w="456" w:type="dxa"/>
            <w:tcBorders>
              <w:top w:val="nil"/>
              <w:left w:val="nil"/>
              <w:bottom w:val="single" w:color="auto" w:sz="4" w:space="0"/>
              <w:right w:val="single" w:color="auto" w:sz="4" w:space="0"/>
            </w:tcBorders>
            <w:shd w:val="clear" w:color="auto" w:fill="auto"/>
            <w:vAlign w:val="center"/>
          </w:tcPr>
          <w:p w14:paraId="4021D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1" w:type="dxa"/>
            <w:tcBorders>
              <w:top w:val="nil"/>
              <w:left w:val="nil"/>
              <w:bottom w:val="single" w:color="auto" w:sz="4" w:space="0"/>
              <w:right w:val="single" w:color="auto" w:sz="4" w:space="0"/>
            </w:tcBorders>
            <w:shd w:val="clear" w:color="auto" w:fill="auto"/>
            <w:vAlign w:val="center"/>
          </w:tcPr>
          <w:p w14:paraId="2934F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采购中中小企业份额</w:t>
            </w:r>
            <w:r>
              <w:rPr>
                <w:rFonts w:hint="default" w:ascii="宋体" w:hAnsi="宋体" w:eastAsia="宋体" w:cs="宋体"/>
                <w:i w:val="0"/>
                <w:iCs w:val="0"/>
                <w:color w:val="000000"/>
                <w:kern w:val="0"/>
                <w:sz w:val="18"/>
                <w:szCs w:val="18"/>
                <w:u w:val="none"/>
                <w:lang w:val="en-US" w:eastAsia="zh-CN" w:bidi="ar"/>
              </w:rPr>
              <w:t> </w:t>
            </w:r>
          </w:p>
        </w:tc>
        <w:tc>
          <w:tcPr>
            <w:tcW w:w="2116" w:type="dxa"/>
            <w:tcBorders>
              <w:top w:val="nil"/>
              <w:left w:val="nil"/>
              <w:bottom w:val="single" w:color="auto" w:sz="4" w:space="0"/>
              <w:right w:val="single" w:color="auto" w:sz="4" w:space="0"/>
            </w:tcBorders>
            <w:shd w:val="clear" w:color="auto" w:fill="auto"/>
            <w:vAlign w:val="center"/>
          </w:tcPr>
          <w:p w14:paraId="56839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达政策要求比例得满分，否则按比例扣分</w:t>
            </w:r>
            <w:r>
              <w:rPr>
                <w:rFonts w:hint="default" w:ascii="宋体" w:hAnsi="宋体" w:eastAsia="宋体" w:cs="宋体"/>
                <w:i w:val="0"/>
                <w:iCs w:val="0"/>
                <w:color w:val="000000"/>
                <w:kern w:val="0"/>
                <w:sz w:val="18"/>
                <w:szCs w:val="18"/>
                <w:u w:val="none"/>
                <w:lang w:val="en-US" w:eastAsia="zh-CN" w:bidi="ar"/>
              </w:rPr>
              <w:t> </w:t>
            </w:r>
          </w:p>
        </w:tc>
        <w:tc>
          <w:tcPr>
            <w:tcW w:w="602" w:type="dxa"/>
            <w:tcBorders>
              <w:top w:val="nil"/>
              <w:left w:val="nil"/>
              <w:bottom w:val="single" w:color="auto" w:sz="4" w:space="0"/>
              <w:right w:val="single" w:color="auto" w:sz="4" w:space="0"/>
            </w:tcBorders>
            <w:shd w:val="clear" w:color="auto" w:fill="auto"/>
            <w:vAlign w:val="center"/>
          </w:tcPr>
          <w:p w14:paraId="4A5AE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86" w:type="dxa"/>
            <w:vMerge w:val="restart"/>
            <w:tcBorders>
              <w:top w:val="nil"/>
              <w:left w:val="single" w:color="auto" w:sz="4" w:space="0"/>
              <w:bottom w:val="single" w:color="auto" w:sz="4" w:space="0"/>
              <w:right w:val="single" w:color="auto" w:sz="4" w:space="0"/>
            </w:tcBorders>
            <w:shd w:val="clear" w:color="auto" w:fill="auto"/>
            <w:vAlign w:val="center"/>
          </w:tcPr>
          <w:p w14:paraId="622A1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FD23DB0">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1DD039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single" w:color="auto" w:sz="4" w:space="0"/>
              <w:right w:val="single" w:color="auto" w:sz="4" w:space="0"/>
            </w:tcBorders>
            <w:vAlign w:val="center"/>
          </w:tcPr>
          <w:p w14:paraId="1FBDE32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11980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采购执行率</w:t>
            </w:r>
          </w:p>
        </w:tc>
        <w:tc>
          <w:tcPr>
            <w:tcW w:w="456" w:type="dxa"/>
            <w:tcBorders>
              <w:top w:val="nil"/>
              <w:left w:val="nil"/>
              <w:bottom w:val="single" w:color="auto" w:sz="4" w:space="0"/>
              <w:right w:val="single" w:color="auto" w:sz="4" w:space="0"/>
            </w:tcBorders>
            <w:shd w:val="clear" w:color="auto" w:fill="auto"/>
            <w:vAlign w:val="center"/>
          </w:tcPr>
          <w:p w14:paraId="1054D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1" w:type="dxa"/>
            <w:tcBorders>
              <w:top w:val="nil"/>
              <w:left w:val="nil"/>
              <w:bottom w:val="single" w:color="auto" w:sz="4" w:space="0"/>
              <w:right w:val="single" w:color="auto" w:sz="4" w:space="0"/>
            </w:tcBorders>
            <w:shd w:val="clear" w:color="auto" w:fill="auto"/>
            <w:vAlign w:val="center"/>
          </w:tcPr>
          <w:p w14:paraId="1F9FA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采购计划执行情况</w:t>
            </w:r>
          </w:p>
        </w:tc>
        <w:tc>
          <w:tcPr>
            <w:tcW w:w="2116" w:type="dxa"/>
            <w:tcBorders>
              <w:top w:val="nil"/>
              <w:left w:val="nil"/>
              <w:bottom w:val="single" w:color="auto" w:sz="4" w:space="0"/>
              <w:right w:val="single" w:color="auto" w:sz="4" w:space="0"/>
            </w:tcBorders>
            <w:shd w:val="clear" w:color="auto" w:fill="auto"/>
            <w:vAlign w:val="center"/>
          </w:tcPr>
          <w:p w14:paraId="23775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执行率达95%以上得满分，每降5%扣1分</w:t>
            </w:r>
            <w:r>
              <w:rPr>
                <w:rFonts w:hint="default" w:ascii="宋体" w:hAnsi="宋体" w:eastAsia="宋体" w:cs="宋体"/>
                <w:i w:val="0"/>
                <w:iCs w:val="0"/>
                <w:color w:val="000000"/>
                <w:kern w:val="0"/>
                <w:sz w:val="18"/>
                <w:szCs w:val="18"/>
                <w:u w:val="none"/>
                <w:lang w:val="en-US" w:eastAsia="zh-CN" w:bidi="ar"/>
              </w:rPr>
              <w:t> </w:t>
            </w:r>
          </w:p>
        </w:tc>
        <w:tc>
          <w:tcPr>
            <w:tcW w:w="602" w:type="dxa"/>
            <w:tcBorders>
              <w:top w:val="nil"/>
              <w:left w:val="nil"/>
              <w:bottom w:val="single" w:color="auto" w:sz="4" w:space="0"/>
              <w:right w:val="single" w:color="auto" w:sz="4" w:space="0"/>
            </w:tcBorders>
            <w:shd w:val="clear" w:color="auto" w:fill="auto"/>
            <w:vAlign w:val="center"/>
          </w:tcPr>
          <w:p w14:paraId="13DCC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86" w:type="dxa"/>
            <w:vMerge w:val="continue"/>
            <w:tcBorders>
              <w:top w:val="nil"/>
              <w:left w:val="single" w:color="auto" w:sz="4" w:space="0"/>
              <w:bottom w:val="single" w:color="auto" w:sz="4" w:space="0"/>
              <w:right w:val="single" w:color="auto" w:sz="4" w:space="0"/>
            </w:tcBorders>
            <w:vAlign w:val="center"/>
          </w:tcPr>
          <w:p w14:paraId="1DDE662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1DDEA08F">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26153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（35分）</w:t>
            </w:r>
          </w:p>
        </w:tc>
        <w:tc>
          <w:tcPr>
            <w:tcW w:w="919" w:type="dxa"/>
            <w:vMerge w:val="restart"/>
            <w:tcBorders>
              <w:top w:val="nil"/>
              <w:left w:val="single" w:color="auto" w:sz="4" w:space="0"/>
              <w:bottom w:val="nil"/>
              <w:right w:val="single" w:color="auto" w:sz="4" w:space="0"/>
            </w:tcBorders>
            <w:shd w:val="clear" w:color="auto" w:fill="auto"/>
            <w:vAlign w:val="center"/>
          </w:tcPr>
          <w:p w14:paraId="0B4F69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项目决策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w:t>
            </w:r>
          </w:p>
        </w:tc>
        <w:tc>
          <w:tcPr>
            <w:tcW w:w="1428" w:type="dxa"/>
            <w:tcBorders>
              <w:top w:val="nil"/>
              <w:left w:val="nil"/>
              <w:bottom w:val="single" w:color="auto" w:sz="4" w:space="0"/>
              <w:right w:val="single" w:color="auto" w:sz="4" w:space="0"/>
            </w:tcBorders>
            <w:shd w:val="clear" w:color="auto" w:fill="auto"/>
            <w:vAlign w:val="center"/>
          </w:tcPr>
          <w:p w14:paraId="39FEF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决策程序</w:t>
            </w:r>
          </w:p>
        </w:tc>
        <w:tc>
          <w:tcPr>
            <w:tcW w:w="456" w:type="dxa"/>
            <w:tcBorders>
              <w:top w:val="nil"/>
              <w:left w:val="nil"/>
              <w:bottom w:val="single" w:color="auto" w:sz="4" w:space="0"/>
              <w:right w:val="single" w:color="auto" w:sz="4" w:space="0"/>
            </w:tcBorders>
            <w:shd w:val="clear" w:color="auto" w:fill="auto"/>
            <w:vAlign w:val="center"/>
          </w:tcPr>
          <w:p w14:paraId="0AEDC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1" w:type="dxa"/>
            <w:tcBorders>
              <w:top w:val="nil"/>
              <w:left w:val="nil"/>
              <w:bottom w:val="single" w:color="auto" w:sz="4" w:space="0"/>
              <w:right w:val="single" w:color="auto" w:sz="4" w:space="0"/>
            </w:tcBorders>
            <w:shd w:val="clear" w:color="auto" w:fill="auto"/>
            <w:vAlign w:val="center"/>
          </w:tcPr>
          <w:p w14:paraId="1164C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项目立项程序规范性</w:t>
            </w:r>
          </w:p>
        </w:tc>
        <w:tc>
          <w:tcPr>
            <w:tcW w:w="2116" w:type="dxa"/>
            <w:tcBorders>
              <w:top w:val="nil"/>
              <w:left w:val="nil"/>
              <w:bottom w:val="single" w:color="auto" w:sz="4" w:space="0"/>
              <w:right w:val="single" w:color="auto" w:sz="4" w:space="0"/>
            </w:tcBorders>
            <w:shd w:val="clear" w:color="auto" w:fill="auto"/>
            <w:vAlign w:val="center"/>
          </w:tcPr>
          <w:p w14:paraId="38EA2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程序完整合规得满分，否则酌情扣分</w:t>
            </w:r>
          </w:p>
        </w:tc>
        <w:tc>
          <w:tcPr>
            <w:tcW w:w="602" w:type="dxa"/>
            <w:tcBorders>
              <w:top w:val="nil"/>
              <w:left w:val="nil"/>
              <w:bottom w:val="single" w:color="auto" w:sz="4" w:space="0"/>
              <w:right w:val="single" w:color="auto" w:sz="4" w:space="0"/>
            </w:tcBorders>
            <w:shd w:val="clear" w:color="auto" w:fill="auto"/>
            <w:vAlign w:val="center"/>
          </w:tcPr>
          <w:p w14:paraId="250D0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86" w:type="dxa"/>
            <w:tcBorders>
              <w:top w:val="nil"/>
              <w:left w:val="nil"/>
              <w:bottom w:val="single" w:color="auto" w:sz="4" w:space="0"/>
              <w:right w:val="single" w:color="auto" w:sz="4" w:space="0"/>
            </w:tcBorders>
            <w:shd w:val="clear" w:color="auto" w:fill="auto"/>
            <w:vAlign w:val="center"/>
          </w:tcPr>
          <w:p w14:paraId="178C5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7207CEFE">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67C5D5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19738D0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7E880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目标设置</w:t>
            </w:r>
          </w:p>
        </w:tc>
        <w:tc>
          <w:tcPr>
            <w:tcW w:w="456" w:type="dxa"/>
            <w:tcBorders>
              <w:top w:val="nil"/>
              <w:left w:val="nil"/>
              <w:bottom w:val="single" w:color="auto" w:sz="4" w:space="0"/>
              <w:right w:val="single" w:color="auto" w:sz="4" w:space="0"/>
            </w:tcBorders>
            <w:shd w:val="clear" w:color="auto" w:fill="auto"/>
            <w:vAlign w:val="center"/>
          </w:tcPr>
          <w:p w14:paraId="6B3B5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1" w:type="dxa"/>
            <w:tcBorders>
              <w:top w:val="nil"/>
              <w:left w:val="nil"/>
              <w:bottom w:val="single" w:color="auto" w:sz="4" w:space="0"/>
              <w:right w:val="single" w:color="auto" w:sz="4" w:space="0"/>
            </w:tcBorders>
            <w:shd w:val="clear" w:color="auto" w:fill="auto"/>
            <w:vAlign w:val="center"/>
          </w:tcPr>
          <w:p w14:paraId="79AF3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项目目标明确性与可衡量性</w:t>
            </w:r>
          </w:p>
        </w:tc>
        <w:tc>
          <w:tcPr>
            <w:tcW w:w="2116" w:type="dxa"/>
            <w:tcBorders>
              <w:top w:val="nil"/>
              <w:left w:val="nil"/>
              <w:bottom w:val="single" w:color="auto" w:sz="4" w:space="0"/>
              <w:right w:val="single" w:color="auto" w:sz="4" w:space="0"/>
            </w:tcBorders>
            <w:shd w:val="clear" w:color="auto" w:fill="auto"/>
            <w:vAlign w:val="center"/>
          </w:tcPr>
          <w:p w14:paraId="28AD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目标清晰可衡量得满分，否则扣分</w:t>
            </w:r>
          </w:p>
        </w:tc>
        <w:tc>
          <w:tcPr>
            <w:tcW w:w="602" w:type="dxa"/>
            <w:tcBorders>
              <w:top w:val="nil"/>
              <w:left w:val="nil"/>
              <w:bottom w:val="single" w:color="auto" w:sz="4" w:space="0"/>
              <w:right w:val="single" w:color="auto" w:sz="4" w:space="0"/>
            </w:tcBorders>
            <w:shd w:val="clear" w:color="auto" w:fill="auto"/>
            <w:vAlign w:val="center"/>
          </w:tcPr>
          <w:p w14:paraId="1586C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86" w:type="dxa"/>
            <w:tcBorders>
              <w:top w:val="nil"/>
              <w:left w:val="nil"/>
              <w:bottom w:val="single" w:color="auto" w:sz="4" w:space="0"/>
              <w:right w:val="single" w:color="auto" w:sz="4" w:space="0"/>
            </w:tcBorders>
            <w:shd w:val="clear" w:color="auto" w:fill="auto"/>
            <w:vAlign w:val="center"/>
          </w:tcPr>
          <w:p w14:paraId="67A67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4D319EF">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3641BF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nil"/>
              <w:right w:val="single" w:color="auto" w:sz="4" w:space="0"/>
            </w:tcBorders>
            <w:vAlign w:val="center"/>
          </w:tcPr>
          <w:p w14:paraId="56A5BF9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4E91E7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项目入库</w:t>
            </w:r>
          </w:p>
        </w:tc>
        <w:tc>
          <w:tcPr>
            <w:tcW w:w="456" w:type="dxa"/>
            <w:tcBorders>
              <w:top w:val="nil"/>
              <w:left w:val="nil"/>
              <w:bottom w:val="single" w:color="auto" w:sz="4" w:space="0"/>
              <w:right w:val="single" w:color="auto" w:sz="4" w:space="0"/>
            </w:tcBorders>
            <w:shd w:val="clear" w:color="auto" w:fill="auto"/>
            <w:vAlign w:val="center"/>
          </w:tcPr>
          <w:p w14:paraId="587D5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1" w:type="dxa"/>
            <w:tcBorders>
              <w:top w:val="nil"/>
              <w:left w:val="nil"/>
              <w:bottom w:val="single" w:color="auto" w:sz="4" w:space="0"/>
              <w:right w:val="single" w:color="auto" w:sz="4" w:space="0"/>
            </w:tcBorders>
            <w:shd w:val="clear" w:color="auto" w:fill="auto"/>
            <w:vAlign w:val="center"/>
          </w:tcPr>
          <w:p w14:paraId="5ABAF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项目纳入项目库管理情况</w:t>
            </w:r>
          </w:p>
        </w:tc>
        <w:tc>
          <w:tcPr>
            <w:tcW w:w="2116" w:type="dxa"/>
            <w:tcBorders>
              <w:top w:val="nil"/>
              <w:left w:val="nil"/>
              <w:bottom w:val="single" w:color="auto" w:sz="4" w:space="0"/>
              <w:right w:val="single" w:color="auto" w:sz="4" w:space="0"/>
            </w:tcBorders>
            <w:shd w:val="clear" w:color="auto" w:fill="auto"/>
            <w:vAlign w:val="center"/>
          </w:tcPr>
          <w:p w14:paraId="64903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全部入库得满分，否则按比例扣分</w:t>
            </w:r>
          </w:p>
        </w:tc>
        <w:tc>
          <w:tcPr>
            <w:tcW w:w="602" w:type="dxa"/>
            <w:tcBorders>
              <w:top w:val="nil"/>
              <w:left w:val="nil"/>
              <w:bottom w:val="single" w:color="auto" w:sz="4" w:space="0"/>
              <w:right w:val="single" w:color="auto" w:sz="4" w:space="0"/>
            </w:tcBorders>
            <w:shd w:val="clear" w:color="auto" w:fill="auto"/>
            <w:vAlign w:val="center"/>
          </w:tcPr>
          <w:p w14:paraId="40BC8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86" w:type="dxa"/>
            <w:tcBorders>
              <w:top w:val="nil"/>
              <w:left w:val="nil"/>
              <w:bottom w:val="single" w:color="auto" w:sz="4" w:space="0"/>
              <w:right w:val="single" w:color="auto" w:sz="4" w:space="0"/>
            </w:tcBorders>
            <w:shd w:val="clear" w:color="auto" w:fill="auto"/>
            <w:vAlign w:val="center"/>
          </w:tcPr>
          <w:p w14:paraId="4E059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565E41E7">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64CEC9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7868D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（12分）</w:t>
            </w:r>
          </w:p>
        </w:tc>
        <w:tc>
          <w:tcPr>
            <w:tcW w:w="1428" w:type="dxa"/>
            <w:tcBorders>
              <w:top w:val="nil"/>
              <w:left w:val="nil"/>
              <w:bottom w:val="single" w:color="auto" w:sz="4" w:space="0"/>
              <w:right w:val="single" w:color="auto" w:sz="4" w:space="0"/>
            </w:tcBorders>
            <w:shd w:val="clear" w:color="auto" w:fill="auto"/>
            <w:vAlign w:val="center"/>
          </w:tcPr>
          <w:p w14:paraId="632BA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执行同向</w:t>
            </w:r>
          </w:p>
        </w:tc>
        <w:tc>
          <w:tcPr>
            <w:tcW w:w="456" w:type="dxa"/>
            <w:tcBorders>
              <w:top w:val="nil"/>
              <w:left w:val="nil"/>
              <w:bottom w:val="single" w:color="auto" w:sz="4" w:space="0"/>
              <w:right w:val="single" w:color="auto" w:sz="4" w:space="0"/>
            </w:tcBorders>
            <w:shd w:val="clear" w:color="auto" w:fill="auto"/>
            <w:vAlign w:val="center"/>
          </w:tcPr>
          <w:p w14:paraId="14488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01" w:type="dxa"/>
            <w:tcBorders>
              <w:top w:val="nil"/>
              <w:left w:val="nil"/>
              <w:bottom w:val="single" w:color="auto" w:sz="4" w:space="0"/>
              <w:right w:val="single" w:color="auto" w:sz="4" w:space="0"/>
            </w:tcBorders>
            <w:shd w:val="clear" w:color="auto" w:fill="auto"/>
            <w:vAlign w:val="center"/>
          </w:tcPr>
          <w:p w14:paraId="7D8B6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执行与计划一致性</w:t>
            </w:r>
          </w:p>
        </w:tc>
        <w:tc>
          <w:tcPr>
            <w:tcW w:w="2116" w:type="dxa"/>
            <w:tcBorders>
              <w:top w:val="nil"/>
              <w:left w:val="nil"/>
              <w:bottom w:val="single" w:color="auto" w:sz="4" w:space="0"/>
              <w:right w:val="single" w:color="auto" w:sz="4" w:space="0"/>
            </w:tcBorders>
            <w:shd w:val="clear" w:color="auto" w:fill="auto"/>
            <w:vAlign w:val="center"/>
          </w:tcPr>
          <w:p w14:paraId="0C873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完全一致得满分，否则酌情扣分</w:t>
            </w:r>
            <w:r>
              <w:rPr>
                <w:rFonts w:hint="default" w:ascii="宋体" w:hAnsi="宋体" w:eastAsia="宋体" w:cs="宋体"/>
                <w:i w:val="0"/>
                <w:iCs w:val="0"/>
                <w:color w:val="000000"/>
                <w:kern w:val="0"/>
                <w:sz w:val="18"/>
                <w:szCs w:val="18"/>
                <w:u w:val="none"/>
                <w:lang w:val="en-US" w:eastAsia="zh-CN" w:bidi="ar"/>
              </w:rPr>
              <w:t> </w:t>
            </w:r>
          </w:p>
        </w:tc>
        <w:tc>
          <w:tcPr>
            <w:tcW w:w="602" w:type="dxa"/>
            <w:tcBorders>
              <w:top w:val="nil"/>
              <w:left w:val="nil"/>
              <w:bottom w:val="single" w:color="auto" w:sz="4" w:space="0"/>
              <w:right w:val="single" w:color="auto" w:sz="4" w:space="0"/>
            </w:tcBorders>
            <w:shd w:val="clear" w:color="auto" w:fill="auto"/>
            <w:vAlign w:val="center"/>
          </w:tcPr>
          <w:p w14:paraId="45FB5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486" w:type="dxa"/>
            <w:tcBorders>
              <w:top w:val="nil"/>
              <w:left w:val="nil"/>
              <w:bottom w:val="single" w:color="auto" w:sz="4" w:space="0"/>
              <w:right w:val="single" w:color="auto" w:sz="4" w:space="0"/>
            </w:tcBorders>
            <w:shd w:val="clear" w:color="auto" w:fill="auto"/>
            <w:vAlign w:val="center"/>
          </w:tcPr>
          <w:p w14:paraId="27C91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0DF5E16A">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C4F78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nil"/>
              <w:right w:val="single" w:color="auto" w:sz="4" w:space="0"/>
            </w:tcBorders>
            <w:vAlign w:val="center"/>
          </w:tcPr>
          <w:p w14:paraId="5C3AC1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nil"/>
              <w:right w:val="single" w:color="auto" w:sz="4" w:space="0"/>
            </w:tcBorders>
            <w:shd w:val="clear" w:color="auto" w:fill="auto"/>
            <w:vAlign w:val="center"/>
          </w:tcPr>
          <w:p w14:paraId="07E1A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项目调整</w:t>
            </w:r>
          </w:p>
        </w:tc>
        <w:tc>
          <w:tcPr>
            <w:tcW w:w="456" w:type="dxa"/>
            <w:tcBorders>
              <w:top w:val="nil"/>
              <w:left w:val="nil"/>
              <w:bottom w:val="single" w:color="auto" w:sz="4" w:space="0"/>
              <w:right w:val="single" w:color="auto" w:sz="4" w:space="0"/>
            </w:tcBorders>
            <w:shd w:val="clear" w:color="auto" w:fill="auto"/>
            <w:vAlign w:val="center"/>
          </w:tcPr>
          <w:p w14:paraId="406D1D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1" w:type="dxa"/>
            <w:tcBorders>
              <w:top w:val="nil"/>
              <w:left w:val="nil"/>
              <w:bottom w:val="single" w:color="auto" w:sz="4" w:space="0"/>
              <w:right w:val="single" w:color="auto" w:sz="4" w:space="0"/>
            </w:tcBorders>
            <w:shd w:val="clear" w:color="auto" w:fill="auto"/>
            <w:vAlign w:val="center"/>
          </w:tcPr>
          <w:p w14:paraId="77E5F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调整程序合规性</w:t>
            </w:r>
          </w:p>
        </w:tc>
        <w:tc>
          <w:tcPr>
            <w:tcW w:w="2116" w:type="dxa"/>
            <w:tcBorders>
              <w:top w:val="nil"/>
              <w:left w:val="nil"/>
              <w:bottom w:val="single" w:color="auto" w:sz="4" w:space="0"/>
              <w:right w:val="single" w:color="auto" w:sz="4" w:space="0"/>
            </w:tcBorders>
            <w:shd w:val="clear" w:color="auto" w:fill="auto"/>
            <w:vAlign w:val="center"/>
          </w:tcPr>
          <w:p w14:paraId="5F98D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调整程序合规得满分，否则扣分</w:t>
            </w:r>
          </w:p>
        </w:tc>
        <w:tc>
          <w:tcPr>
            <w:tcW w:w="602" w:type="dxa"/>
            <w:tcBorders>
              <w:top w:val="nil"/>
              <w:left w:val="nil"/>
              <w:bottom w:val="single" w:color="auto" w:sz="4" w:space="0"/>
              <w:right w:val="single" w:color="auto" w:sz="4" w:space="0"/>
            </w:tcBorders>
            <w:shd w:val="clear" w:color="auto" w:fill="auto"/>
            <w:vAlign w:val="center"/>
          </w:tcPr>
          <w:p w14:paraId="61B4E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86" w:type="dxa"/>
            <w:tcBorders>
              <w:top w:val="nil"/>
              <w:left w:val="nil"/>
              <w:bottom w:val="single" w:color="auto" w:sz="4" w:space="0"/>
              <w:right w:val="single" w:color="auto" w:sz="4" w:space="0"/>
            </w:tcBorders>
            <w:shd w:val="clear" w:color="auto" w:fill="auto"/>
            <w:vAlign w:val="center"/>
          </w:tcPr>
          <w:p w14:paraId="407CF1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72CE6E36">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59353CB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nil"/>
              <w:right w:val="single" w:color="auto" w:sz="4" w:space="0"/>
            </w:tcBorders>
            <w:vAlign w:val="center"/>
          </w:tcPr>
          <w:p w14:paraId="589660F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71625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执行结果</w:t>
            </w:r>
          </w:p>
        </w:tc>
        <w:tc>
          <w:tcPr>
            <w:tcW w:w="456" w:type="dxa"/>
            <w:tcBorders>
              <w:top w:val="nil"/>
              <w:left w:val="nil"/>
              <w:bottom w:val="single" w:color="auto" w:sz="4" w:space="0"/>
              <w:right w:val="single" w:color="auto" w:sz="4" w:space="0"/>
            </w:tcBorders>
            <w:shd w:val="clear" w:color="auto" w:fill="auto"/>
            <w:vAlign w:val="center"/>
          </w:tcPr>
          <w:p w14:paraId="02F1D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1" w:type="dxa"/>
            <w:tcBorders>
              <w:top w:val="nil"/>
              <w:left w:val="nil"/>
              <w:bottom w:val="single" w:color="auto" w:sz="4" w:space="0"/>
              <w:right w:val="single" w:color="auto" w:sz="4" w:space="0"/>
            </w:tcBorders>
            <w:shd w:val="clear" w:color="auto" w:fill="auto"/>
            <w:vAlign w:val="center"/>
          </w:tcPr>
          <w:p w14:paraId="7F984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项目完成情况</w:t>
            </w:r>
          </w:p>
        </w:tc>
        <w:tc>
          <w:tcPr>
            <w:tcW w:w="2116" w:type="dxa"/>
            <w:tcBorders>
              <w:top w:val="nil"/>
              <w:left w:val="nil"/>
              <w:bottom w:val="single" w:color="auto" w:sz="4" w:space="0"/>
              <w:right w:val="single" w:color="auto" w:sz="4" w:space="0"/>
            </w:tcBorders>
            <w:shd w:val="clear" w:color="auto" w:fill="auto"/>
            <w:vAlign w:val="center"/>
          </w:tcPr>
          <w:p w14:paraId="0D63F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按完成比例得分</w:t>
            </w:r>
          </w:p>
        </w:tc>
        <w:tc>
          <w:tcPr>
            <w:tcW w:w="602" w:type="dxa"/>
            <w:tcBorders>
              <w:top w:val="nil"/>
              <w:left w:val="nil"/>
              <w:bottom w:val="single" w:color="auto" w:sz="4" w:space="0"/>
              <w:right w:val="single" w:color="auto" w:sz="4" w:space="0"/>
            </w:tcBorders>
            <w:shd w:val="clear" w:color="auto" w:fill="auto"/>
            <w:vAlign w:val="center"/>
          </w:tcPr>
          <w:p w14:paraId="03F3A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486" w:type="dxa"/>
            <w:tcBorders>
              <w:top w:val="nil"/>
              <w:left w:val="nil"/>
              <w:bottom w:val="single" w:color="auto" w:sz="4" w:space="0"/>
              <w:right w:val="single" w:color="auto" w:sz="4" w:space="0"/>
            </w:tcBorders>
            <w:shd w:val="clear" w:color="auto" w:fill="auto"/>
            <w:vAlign w:val="center"/>
          </w:tcPr>
          <w:p w14:paraId="22160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78EECB24">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FD772E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004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目标实现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（11分）</w:t>
            </w:r>
          </w:p>
        </w:tc>
        <w:tc>
          <w:tcPr>
            <w:tcW w:w="1428" w:type="dxa"/>
            <w:tcBorders>
              <w:top w:val="nil"/>
              <w:left w:val="nil"/>
              <w:bottom w:val="single" w:color="auto" w:sz="4" w:space="0"/>
              <w:right w:val="single" w:color="auto" w:sz="4" w:space="0"/>
            </w:tcBorders>
            <w:shd w:val="clear" w:color="auto" w:fill="auto"/>
            <w:vAlign w:val="center"/>
          </w:tcPr>
          <w:p w14:paraId="798B3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目标完成</w:t>
            </w:r>
          </w:p>
        </w:tc>
        <w:tc>
          <w:tcPr>
            <w:tcW w:w="456" w:type="dxa"/>
            <w:tcBorders>
              <w:top w:val="nil"/>
              <w:left w:val="nil"/>
              <w:bottom w:val="single" w:color="auto" w:sz="4" w:space="0"/>
              <w:right w:val="single" w:color="auto" w:sz="4" w:space="0"/>
            </w:tcBorders>
            <w:shd w:val="clear" w:color="auto" w:fill="auto"/>
            <w:vAlign w:val="center"/>
          </w:tcPr>
          <w:p w14:paraId="6D168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1" w:type="dxa"/>
            <w:tcBorders>
              <w:top w:val="nil"/>
              <w:left w:val="nil"/>
              <w:bottom w:val="single" w:color="auto" w:sz="4" w:space="0"/>
              <w:right w:val="single" w:color="auto" w:sz="4" w:space="0"/>
            </w:tcBorders>
            <w:shd w:val="clear" w:color="auto" w:fill="auto"/>
            <w:vAlign w:val="center"/>
          </w:tcPr>
          <w:p w14:paraId="62A46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项目目标达成情况</w:t>
            </w:r>
          </w:p>
        </w:tc>
        <w:tc>
          <w:tcPr>
            <w:tcW w:w="2116" w:type="dxa"/>
            <w:tcBorders>
              <w:top w:val="nil"/>
              <w:left w:val="nil"/>
              <w:bottom w:val="single" w:color="auto" w:sz="4" w:space="0"/>
              <w:right w:val="single" w:color="auto" w:sz="4" w:space="0"/>
            </w:tcBorders>
            <w:shd w:val="clear" w:color="auto" w:fill="auto"/>
            <w:vAlign w:val="center"/>
          </w:tcPr>
          <w:p w14:paraId="5BE15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按达成比例得分</w:t>
            </w:r>
          </w:p>
        </w:tc>
        <w:tc>
          <w:tcPr>
            <w:tcW w:w="602" w:type="dxa"/>
            <w:tcBorders>
              <w:top w:val="nil"/>
              <w:left w:val="nil"/>
              <w:bottom w:val="single" w:color="auto" w:sz="4" w:space="0"/>
              <w:right w:val="single" w:color="auto" w:sz="4" w:space="0"/>
            </w:tcBorders>
            <w:shd w:val="clear" w:color="auto" w:fill="auto"/>
            <w:vAlign w:val="center"/>
          </w:tcPr>
          <w:p w14:paraId="33CD6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486" w:type="dxa"/>
            <w:tcBorders>
              <w:top w:val="nil"/>
              <w:left w:val="nil"/>
              <w:bottom w:val="single" w:color="auto" w:sz="4" w:space="0"/>
              <w:right w:val="single" w:color="auto" w:sz="4" w:space="0"/>
            </w:tcBorders>
            <w:shd w:val="clear" w:color="auto" w:fill="auto"/>
            <w:vAlign w:val="center"/>
          </w:tcPr>
          <w:p w14:paraId="50413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17364DAB">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8024FF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008B110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2658B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目标偏离</w:t>
            </w:r>
          </w:p>
        </w:tc>
        <w:tc>
          <w:tcPr>
            <w:tcW w:w="456" w:type="dxa"/>
            <w:tcBorders>
              <w:top w:val="nil"/>
              <w:left w:val="nil"/>
              <w:bottom w:val="single" w:color="auto" w:sz="4" w:space="0"/>
              <w:right w:val="single" w:color="auto" w:sz="4" w:space="0"/>
            </w:tcBorders>
            <w:shd w:val="clear" w:color="auto" w:fill="auto"/>
            <w:vAlign w:val="center"/>
          </w:tcPr>
          <w:p w14:paraId="17D49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1" w:type="dxa"/>
            <w:tcBorders>
              <w:top w:val="nil"/>
              <w:left w:val="nil"/>
              <w:bottom w:val="single" w:color="auto" w:sz="4" w:space="0"/>
              <w:right w:val="single" w:color="auto" w:sz="4" w:space="0"/>
            </w:tcBorders>
            <w:shd w:val="clear" w:color="auto" w:fill="auto"/>
            <w:vAlign w:val="center"/>
          </w:tcPr>
          <w:p w14:paraId="7C1D7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目标偏离程度</w:t>
            </w:r>
          </w:p>
        </w:tc>
        <w:tc>
          <w:tcPr>
            <w:tcW w:w="2116" w:type="dxa"/>
            <w:tcBorders>
              <w:top w:val="nil"/>
              <w:left w:val="nil"/>
              <w:bottom w:val="single" w:color="auto" w:sz="4" w:space="0"/>
              <w:right w:val="single" w:color="auto" w:sz="4" w:space="0"/>
            </w:tcBorders>
            <w:shd w:val="clear" w:color="auto" w:fill="auto"/>
            <w:vAlign w:val="center"/>
          </w:tcPr>
          <w:p w14:paraId="0157C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无偏离得满分，否则酌情扣分</w:t>
            </w:r>
          </w:p>
        </w:tc>
        <w:tc>
          <w:tcPr>
            <w:tcW w:w="602" w:type="dxa"/>
            <w:tcBorders>
              <w:top w:val="nil"/>
              <w:left w:val="nil"/>
              <w:bottom w:val="single" w:color="auto" w:sz="4" w:space="0"/>
              <w:right w:val="single" w:color="auto" w:sz="4" w:space="0"/>
            </w:tcBorders>
            <w:shd w:val="clear" w:color="auto" w:fill="auto"/>
            <w:vAlign w:val="center"/>
          </w:tcPr>
          <w:p w14:paraId="306F4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86" w:type="dxa"/>
            <w:tcBorders>
              <w:top w:val="nil"/>
              <w:left w:val="nil"/>
              <w:bottom w:val="single" w:color="auto" w:sz="4" w:space="0"/>
              <w:right w:val="single" w:color="auto" w:sz="4" w:space="0"/>
            </w:tcBorders>
            <w:shd w:val="clear" w:color="auto" w:fill="auto"/>
            <w:vAlign w:val="center"/>
          </w:tcPr>
          <w:p w14:paraId="22C41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2C4F5143">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B86F9F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25821C7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035B6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实现效果</w:t>
            </w:r>
          </w:p>
        </w:tc>
        <w:tc>
          <w:tcPr>
            <w:tcW w:w="456" w:type="dxa"/>
            <w:tcBorders>
              <w:top w:val="nil"/>
              <w:left w:val="nil"/>
              <w:bottom w:val="single" w:color="auto" w:sz="4" w:space="0"/>
              <w:right w:val="single" w:color="auto" w:sz="4" w:space="0"/>
            </w:tcBorders>
            <w:shd w:val="clear" w:color="auto" w:fill="auto"/>
            <w:vAlign w:val="center"/>
          </w:tcPr>
          <w:p w14:paraId="47F2A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01" w:type="dxa"/>
            <w:tcBorders>
              <w:top w:val="nil"/>
              <w:left w:val="nil"/>
              <w:bottom w:val="single" w:color="auto" w:sz="4" w:space="0"/>
              <w:right w:val="single" w:color="auto" w:sz="4" w:space="0"/>
            </w:tcBorders>
            <w:shd w:val="clear" w:color="auto" w:fill="auto"/>
            <w:vAlign w:val="center"/>
          </w:tcPr>
          <w:p w14:paraId="49AC3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项目实际效果达成情况</w:t>
            </w:r>
          </w:p>
        </w:tc>
        <w:tc>
          <w:tcPr>
            <w:tcW w:w="2116" w:type="dxa"/>
            <w:tcBorders>
              <w:top w:val="nil"/>
              <w:left w:val="nil"/>
              <w:bottom w:val="single" w:color="auto" w:sz="4" w:space="0"/>
              <w:right w:val="single" w:color="auto" w:sz="4" w:space="0"/>
            </w:tcBorders>
            <w:shd w:val="clear" w:color="auto" w:fill="auto"/>
            <w:vAlign w:val="center"/>
          </w:tcPr>
          <w:p w14:paraId="5BF5F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效果达标得满分，否则扣分</w:t>
            </w:r>
          </w:p>
        </w:tc>
        <w:tc>
          <w:tcPr>
            <w:tcW w:w="602" w:type="dxa"/>
            <w:tcBorders>
              <w:top w:val="nil"/>
              <w:left w:val="nil"/>
              <w:bottom w:val="single" w:color="auto" w:sz="4" w:space="0"/>
              <w:right w:val="single" w:color="auto" w:sz="4" w:space="0"/>
            </w:tcBorders>
            <w:shd w:val="clear" w:color="auto" w:fill="auto"/>
            <w:vAlign w:val="center"/>
          </w:tcPr>
          <w:p w14:paraId="58C53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486" w:type="dxa"/>
            <w:tcBorders>
              <w:top w:val="nil"/>
              <w:left w:val="nil"/>
              <w:bottom w:val="single" w:color="auto" w:sz="4" w:space="0"/>
              <w:right w:val="single" w:color="auto" w:sz="4" w:space="0"/>
            </w:tcBorders>
            <w:shd w:val="clear" w:color="auto" w:fill="auto"/>
            <w:vAlign w:val="center"/>
          </w:tcPr>
          <w:p w14:paraId="3BF5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7810F564">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8068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7403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财务管理</w:t>
            </w:r>
          </w:p>
        </w:tc>
        <w:tc>
          <w:tcPr>
            <w:tcW w:w="1428" w:type="dxa"/>
            <w:tcBorders>
              <w:top w:val="nil"/>
              <w:left w:val="nil"/>
              <w:bottom w:val="single" w:color="auto" w:sz="4" w:space="0"/>
              <w:right w:val="single" w:color="auto" w:sz="4" w:space="0"/>
            </w:tcBorders>
            <w:shd w:val="clear" w:color="auto" w:fill="auto"/>
            <w:vAlign w:val="center"/>
          </w:tcPr>
          <w:p w14:paraId="4082E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财务管理制度</w:t>
            </w:r>
          </w:p>
        </w:tc>
        <w:tc>
          <w:tcPr>
            <w:tcW w:w="456" w:type="dxa"/>
            <w:tcBorders>
              <w:top w:val="nil"/>
              <w:left w:val="nil"/>
              <w:bottom w:val="single" w:color="auto" w:sz="4" w:space="0"/>
              <w:right w:val="single" w:color="auto" w:sz="4" w:space="0"/>
            </w:tcBorders>
            <w:shd w:val="clear" w:color="auto" w:fill="auto"/>
            <w:vAlign w:val="center"/>
          </w:tcPr>
          <w:p w14:paraId="7DDD5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701" w:type="dxa"/>
            <w:tcBorders>
              <w:top w:val="nil"/>
              <w:left w:val="nil"/>
              <w:bottom w:val="single" w:color="auto" w:sz="4" w:space="0"/>
              <w:right w:val="single" w:color="auto" w:sz="4" w:space="0"/>
            </w:tcBorders>
            <w:shd w:val="clear" w:color="auto" w:fill="auto"/>
            <w:vAlign w:val="center"/>
          </w:tcPr>
          <w:p w14:paraId="28CC17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制度健全性与执行情况</w:t>
            </w:r>
          </w:p>
        </w:tc>
        <w:tc>
          <w:tcPr>
            <w:tcW w:w="2116" w:type="dxa"/>
            <w:tcBorders>
              <w:top w:val="nil"/>
              <w:left w:val="nil"/>
              <w:bottom w:val="single" w:color="auto" w:sz="4" w:space="0"/>
              <w:right w:val="single" w:color="auto" w:sz="4" w:space="0"/>
            </w:tcBorders>
            <w:shd w:val="clear" w:color="auto" w:fill="auto"/>
            <w:vAlign w:val="center"/>
          </w:tcPr>
          <w:p w14:paraId="3655F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发现问题扣分，每项扣1-2分</w:t>
            </w:r>
          </w:p>
        </w:tc>
        <w:tc>
          <w:tcPr>
            <w:tcW w:w="602" w:type="dxa"/>
            <w:tcBorders>
              <w:top w:val="nil"/>
              <w:left w:val="nil"/>
              <w:bottom w:val="single" w:color="auto" w:sz="4" w:space="0"/>
              <w:right w:val="single" w:color="auto" w:sz="4" w:space="0"/>
            </w:tcBorders>
            <w:shd w:val="clear" w:color="auto" w:fill="auto"/>
            <w:vAlign w:val="center"/>
          </w:tcPr>
          <w:p w14:paraId="662CB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486" w:type="dxa"/>
            <w:tcBorders>
              <w:top w:val="nil"/>
              <w:left w:val="nil"/>
              <w:bottom w:val="single" w:color="auto" w:sz="4" w:space="0"/>
              <w:right w:val="single" w:color="auto" w:sz="4" w:space="0"/>
            </w:tcBorders>
            <w:shd w:val="clear" w:color="auto" w:fill="auto"/>
            <w:vAlign w:val="center"/>
          </w:tcPr>
          <w:p w14:paraId="360114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7A66B80">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13DE72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single" w:color="auto" w:sz="4" w:space="0"/>
              <w:right w:val="single" w:color="auto" w:sz="4" w:space="0"/>
            </w:tcBorders>
            <w:vAlign w:val="center"/>
          </w:tcPr>
          <w:p w14:paraId="1AC5612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76ACD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财务岗位设置</w:t>
            </w:r>
          </w:p>
        </w:tc>
        <w:tc>
          <w:tcPr>
            <w:tcW w:w="456" w:type="dxa"/>
            <w:tcBorders>
              <w:top w:val="nil"/>
              <w:left w:val="nil"/>
              <w:bottom w:val="single" w:color="auto" w:sz="4" w:space="0"/>
              <w:right w:val="single" w:color="auto" w:sz="4" w:space="0"/>
            </w:tcBorders>
            <w:shd w:val="clear" w:color="auto" w:fill="auto"/>
            <w:vAlign w:val="center"/>
          </w:tcPr>
          <w:p w14:paraId="31B07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701" w:type="dxa"/>
            <w:tcBorders>
              <w:top w:val="nil"/>
              <w:left w:val="nil"/>
              <w:bottom w:val="single" w:color="auto" w:sz="4" w:space="0"/>
              <w:right w:val="single" w:color="auto" w:sz="4" w:space="0"/>
            </w:tcBorders>
            <w:shd w:val="clear" w:color="auto" w:fill="auto"/>
            <w:vAlign w:val="center"/>
          </w:tcPr>
          <w:p w14:paraId="4B6AE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岗位设置合规性</w:t>
            </w:r>
          </w:p>
        </w:tc>
        <w:tc>
          <w:tcPr>
            <w:tcW w:w="2116" w:type="dxa"/>
            <w:tcBorders>
              <w:top w:val="nil"/>
              <w:left w:val="nil"/>
              <w:bottom w:val="single" w:color="auto" w:sz="4" w:space="0"/>
              <w:right w:val="single" w:color="auto" w:sz="4" w:space="0"/>
            </w:tcBorders>
            <w:shd w:val="clear" w:color="auto" w:fill="auto"/>
            <w:vAlign w:val="center"/>
          </w:tcPr>
          <w:p w14:paraId="44847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发现问题扣分，每项扣1-2分</w:t>
            </w:r>
          </w:p>
        </w:tc>
        <w:tc>
          <w:tcPr>
            <w:tcW w:w="602" w:type="dxa"/>
            <w:tcBorders>
              <w:top w:val="nil"/>
              <w:left w:val="nil"/>
              <w:bottom w:val="single" w:color="auto" w:sz="4" w:space="0"/>
              <w:right w:val="single" w:color="auto" w:sz="4" w:space="0"/>
            </w:tcBorders>
            <w:shd w:val="clear" w:color="auto" w:fill="auto"/>
            <w:vAlign w:val="center"/>
          </w:tcPr>
          <w:p w14:paraId="79A02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486" w:type="dxa"/>
            <w:tcBorders>
              <w:top w:val="nil"/>
              <w:left w:val="nil"/>
              <w:bottom w:val="single" w:color="auto" w:sz="4" w:space="0"/>
              <w:right w:val="single" w:color="auto" w:sz="4" w:space="0"/>
            </w:tcBorders>
            <w:shd w:val="clear" w:color="auto" w:fill="auto"/>
            <w:vAlign w:val="center"/>
          </w:tcPr>
          <w:p w14:paraId="5EF5C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243EFB20">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BF2B87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919" w:type="dxa"/>
            <w:vMerge w:val="continue"/>
            <w:tcBorders>
              <w:top w:val="nil"/>
              <w:left w:val="single" w:color="auto" w:sz="4" w:space="0"/>
              <w:bottom w:val="single" w:color="auto" w:sz="4" w:space="0"/>
              <w:right w:val="single" w:color="auto" w:sz="4" w:space="0"/>
            </w:tcBorders>
            <w:vAlign w:val="center"/>
          </w:tcPr>
          <w:p w14:paraId="51E31C8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428" w:type="dxa"/>
            <w:tcBorders>
              <w:top w:val="nil"/>
              <w:left w:val="nil"/>
              <w:bottom w:val="single" w:color="auto" w:sz="4" w:space="0"/>
              <w:right w:val="single" w:color="auto" w:sz="4" w:space="0"/>
            </w:tcBorders>
            <w:shd w:val="clear" w:color="auto" w:fill="auto"/>
            <w:vAlign w:val="center"/>
          </w:tcPr>
          <w:p w14:paraId="083B8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资金使用规范</w:t>
            </w:r>
          </w:p>
        </w:tc>
        <w:tc>
          <w:tcPr>
            <w:tcW w:w="456" w:type="dxa"/>
            <w:tcBorders>
              <w:top w:val="nil"/>
              <w:left w:val="nil"/>
              <w:bottom w:val="single" w:color="auto" w:sz="4" w:space="0"/>
              <w:right w:val="single" w:color="auto" w:sz="4" w:space="0"/>
            </w:tcBorders>
            <w:shd w:val="clear" w:color="auto" w:fill="auto"/>
            <w:vAlign w:val="center"/>
          </w:tcPr>
          <w:p w14:paraId="0ABB9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701" w:type="dxa"/>
            <w:tcBorders>
              <w:top w:val="nil"/>
              <w:left w:val="nil"/>
              <w:bottom w:val="single" w:color="auto" w:sz="4" w:space="0"/>
              <w:right w:val="single" w:color="auto" w:sz="4" w:space="0"/>
            </w:tcBorders>
            <w:shd w:val="clear" w:color="auto" w:fill="auto"/>
            <w:vAlign w:val="center"/>
          </w:tcPr>
          <w:p w14:paraId="32A3D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资金使用合规性</w:t>
            </w:r>
          </w:p>
        </w:tc>
        <w:tc>
          <w:tcPr>
            <w:tcW w:w="2116" w:type="dxa"/>
            <w:tcBorders>
              <w:top w:val="nil"/>
              <w:left w:val="nil"/>
              <w:bottom w:val="single" w:color="auto" w:sz="4" w:space="0"/>
              <w:right w:val="single" w:color="auto" w:sz="4" w:space="0"/>
            </w:tcBorders>
            <w:shd w:val="clear" w:color="auto" w:fill="auto"/>
            <w:vAlign w:val="center"/>
          </w:tcPr>
          <w:p w14:paraId="64FBD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发现问题扣分，每项扣1-2分</w:t>
            </w:r>
          </w:p>
        </w:tc>
        <w:tc>
          <w:tcPr>
            <w:tcW w:w="602" w:type="dxa"/>
            <w:tcBorders>
              <w:top w:val="nil"/>
              <w:left w:val="nil"/>
              <w:bottom w:val="single" w:color="auto" w:sz="4" w:space="0"/>
              <w:right w:val="single" w:color="auto" w:sz="4" w:space="0"/>
            </w:tcBorders>
            <w:shd w:val="clear" w:color="auto" w:fill="auto"/>
            <w:vAlign w:val="center"/>
          </w:tcPr>
          <w:p w14:paraId="3F63E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486" w:type="dxa"/>
            <w:tcBorders>
              <w:top w:val="nil"/>
              <w:left w:val="nil"/>
              <w:bottom w:val="single" w:color="auto" w:sz="4" w:space="0"/>
              <w:right w:val="single" w:color="auto" w:sz="4" w:space="0"/>
            </w:tcBorders>
            <w:shd w:val="clear" w:color="auto" w:fill="auto"/>
            <w:vAlign w:val="center"/>
          </w:tcPr>
          <w:p w14:paraId="14A96A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4E4172E1">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9EE7A8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22C6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预算绩效存在问题</w:t>
            </w:r>
          </w:p>
        </w:tc>
        <w:tc>
          <w:tcPr>
            <w:tcW w:w="456" w:type="dxa"/>
            <w:tcBorders>
              <w:top w:val="nil"/>
              <w:left w:val="nil"/>
              <w:bottom w:val="single" w:color="auto" w:sz="4" w:space="0"/>
              <w:right w:val="single" w:color="auto" w:sz="4" w:space="0"/>
            </w:tcBorders>
            <w:shd w:val="clear" w:color="auto" w:fill="auto"/>
            <w:vAlign w:val="center"/>
          </w:tcPr>
          <w:p w14:paraId="1797C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701" w:type="dxa"/>
            <w:tcBorders>
              <w:top w:val="nil"/>
              <w:left w:val="nil"/>
              <w:bottom w:val="single" w:color="auto" w:sz="4" w:space="0"/>
              <w:right w:val="single" w:color="auto" w:sz="4" w:space="0"/>
            </w:tcBorders>
            <w:shd w:val="clear" w:color="auto" w:fill="auto"/>
            <w:vAlign w:val="center"/>
          </w:tcPr>
          <w:p w14:paraId="4F41F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绩效管理中发现的问题</w:t>
            </w:r>
          </w:p>
        </w:tc>
        <w:tc>
          <w:tcPr>
            <w:tcW w:w="2116" w:type="dxa"/>
            <w:tcBorders>
              <w:top w:val="nil"/>
              <w:left w:val="nil"/>
              <w:bottom w:val="single" w:color="auto" w:sz="4" w:space="0"/>
              <w:right w:val="single" w:color="auto" w:sz="4" w:space="0"/>
            </w:tcBorders>
            <w:shd w:val="clear" w:color="auto" w:fill="auto"/>
            <w:vAlign w:val="center"/>
          </w:tcPr>
          <w:p w14:paraId="51D21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每个问题扣1-2分</w:t>
            </w:r>
          </w:p>
        </w:tc>
        <w:tc>
          <w:tcPr>
            <w:tcW w:w="602" w:type="dxa"/>
            <w:tcBorders>
              <w:top w:val="nil"/>
              <w:left w:val="nil"/>
              <w:bottom w:val="single" w:color="auto" w:sz="4" w:space="0"/>
              <w:right w:val="single" w:color="auto" w:sz="4" w:space="0"/>
            </w:tcBorders>
            <w:shd w:val="clear" w:color="auto" w:fill="auto"/>
            <w:vAlign w:val="center"/>
          </w:tcPr>
          <w:p w14:paraId="44844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486" w:type="dxa"/>
            <w:tcBorders>
              <w:top w:val="nil"/>
              <w:left w:val="nil"/>
              <w:bottom w:val="single" w:color="auto" w:sz="4" w:space="0"/>
              <w:right w:val="single" w:color="auto" w:sz="4" w:space="0"/>
            </w:tcBorders>
            <w:shd w:val="clear" w:color="auto" w:fill="auto"/>
            <w:vAlign w:val="center"/>
          </w:tcPr>
          <w:p w14:paraId="5C243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34612BEF">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AFF72B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68B48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被评价部门配合度</w:t>
            </w:r>
          </w:p>
        </w:tc>
        <w:tc>
          <w:tcPr>
            <w:tcW w:w="456" w:type="dxa"/>
            <w:tcBorders>
              <w:top w:val="nil"/>
              <w:left w:val="nil"/>
              <w:bottom w:val="single" w:color="auto" w:sz="4" w:space="0"/>
              <w:right w:val="single" w:color="auto" w:sz="4" w:space="0"/>
            </w:tcBorders>
            <w:shd w:val="clear" w:color="auto" w:fill="auto"/>
            <w:vAlign w:val="center"/>
          </w:tcPr>
          <w:p w14:paraId="6873C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701" w:type="dxa"/>
            <w:tcBorders>
              <w:top w:val="nil"/>
              <w:left w:val="nil"/>
              <w:bottom w:val="single" w:color="auto" w:sz="4" w:space="0"/>
              <w:right w:val="single" w:color="auto" w:sz="4" w:space="0"/>
            </w:tcBorders>
            <w:shd w:val="clear" w:color="auto" w:fill="auto"/>
            <w:vAlign w:val="center"/>
          </w:tcPr>
          <w:p w14:paraId="610A42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评价过程中的配合情况</w:t>
            </w:r>
          </w:p>
        </w:tc>
        <w:tc>
          <w:tcPr>
            <w:tcW w:w="2116" w:type="dxa"/>
            <w:tcBorders>
              <w:top w:val="nil"/>
              <w:left w:val="nil"/>
              <w:bottom w:val="single" w:color="auto" w:sz="4" w:space="0"/>
              <w:right w:val="single" w:color="auto" w:sz="4" w:space="0"/>
            </w:tcBorders>
            <w:shd w:val="clear" w:color="auto" w:fill="auto"/>
            <w:vAlign w:val="center"/>
          </w:tcPr>
          <w:p w14:paraId="73FC0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 xml:space="preserve">不配合扣1-3分 </w:t>
            </w:r>
          </w:p>
        </w:tc>
        <w:tc>
          <w:tcPr>
            <w:tcW w:w="602" w:type="dxa"/>
            <w:tcBorders>
              <w:top w:val="nil"/>
              <w:left w:val="nil"/>
              <w:bottom w:val="single" w:color="auto" w:sz="4" w:space="0"/>
              <w:right w:val="single" w:color="auto" w:sz="4" w:space="0"/>
            </w:tcBorders>
            <w:shd w:val="clear" w:color="auto" w:fill="auto"/>
            <w:vAlign w:val="center"/>
          </w:tcPr>
          <w:p w14:paraId="00ED1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486" w:type="dxa"/>
            <w:tcBorders>
              <w:top w:val="nil"/>
              <w:left w:val="nil"/>
              <w:bottom w:val="single" w:color="auto" w:sz="4" w:space="0"/>
              <w:right w:val="single" w:color="auto" w:sz="4" w:space="0"/>
            </w:tcBorders>
            <w:shd w:val="clear" w:color="auto" w:fill="auto"/>
            <w:vAlign w:val="center"/>
          </w:tcPr>
          <w:p w14:paraId="7B615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r w14:paraId="0635A69E">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ED8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分值</w:t>
            </w:r>
          </w:p>
        </w:tc>
        <w:tc>
          <w:tcPr>
            <w:tcW w:w="456" w:type="dxa"/>
            <w:tcBorders>
              <w:top w:val="nil"/>
              <w:left w:val="nil"/>
              <w:bottom w:val="single" w:color="auto" w:sz="4" w:space="0"/>
              <w:right w:val="single" w:color="auto" w:sz="4" w:space="0"/>
            </w:tcBorders>
            <w:shd w:val="clear" w:color="auto" w:fill="auto"/>
            <w:noWrap/>
            <w:vAlign w:val="center"/>
          </w:tcPr>
          <w:p w14:paraId="2E42E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1701" w:type="dxa"/>
            <w:tcBorders>
              <w:top w:val="nil"/>
              <w:left w:val="nil"/>
              <w:bottom w:val="single" w:color="auto" w:sz="4" w:space="0"/>
              <w:right w:val="single" w:color="auto" w:sz="4" w:space="0"/>
            </w:tcBorders>
            <w:shd w:val="clear" w:color="auto" w:fill="auto"/>
            <w:noWrap/>
            <w:vAlign w:val="center"/>
          </w:tcPr>
          <w:p w14:paraId="0E119C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2116" w:type="dxa"/>
            <w:tcBorders>
              <w:top w:val="nil"/>
              <w:left w:val="nil"/>
              <w:bottom w:val="single" w:color="auto" w:sz="4" w:space="0"/>
              <w:right w:val="single" w:color="auto" w:sz="4" w:space="0"/>
            </w:tcBorders>
            <w:shd w:val="clear" w:color="auto" w:fill="auto"/>
            <w:noWrap/>
            <w:vAlign w:val="center"/>
          </w:tcPr>
          <w:p w14:paraId="20242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c>
          <w:tcPr>
            <w:tcW w:w="602" w:type="dxa"/>
            <w:tcBorders>
              <w:top w:val="nil"/>
              <w:left w:val="nil"/>
              <w:bottom w:val="single" w:color="auto" w:sz="4" w:space="0"/>
              <w:right w:val="single" w:color="auto" w:sz="4" w:space="0"/>
            </w:tcBorders>
            <w:shd w:val="clear" w:color="auto" w:fill="auto"/>
            <w:noWrap/>
            <w:vAlign w:val="center"/>
          </w:tcPr>
          <w:p w14:paraId="629B37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486" w:type="dxa"/>
            <w:tcBorders>
              <w:top w:val="nil"/>
              <w:left w:val="nil"/>
              <w:bottom w:val="single" w:color="auto" w:sz="4" w:space="0"/>
              <w:right w:val="single" w:color="auto" w:sz="4" w:space="0"/>
            </w:tcBorders>
            <w:shd w:val="clear" w:color="auto" w:fill="auto"/>
            <w:noWrap/>
            <w:vAlign w:val="center"/>
          </w:tcPr>
          <w:p w14:paraId="6DB5C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w:t>
            </w:r>
          </w:p>
        </w:tc>
      </w:tr>
    </w:tbl>
    <w:p w14:paraId="68005167"/>
    <w:p w14:paraId="6E9A6D42">
      <w:pPr>
        <w:rPr>
          <w:rFonts w:hint="eastAsia"/>
          <w:lang w:val="zh-CN"/>
        </w:rPr>
      </w:pPr>
    </w:p>
    <w:tbl>
      <w:tblPr>
        <w:tblStyle w:val="16"/>
        <w:tblW w:w="8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1064"/>
        <w:gridCol w:w="730"/>
        <w:gridCol w:w="846"/>
        <w:gridCol w:w="517"/>
        <w:gridCol w:w="564"/>
        <w:gridCol w:w="517"/>
        <w:gridCol w:w="846"/>
        <w:gridCol w:w="504"/>
        <w:gridCol w:w="454"/>
        <w:gridCol w:w="1573"/>
      </w:tblGrid>
      <w:tr w14:paraId="7F37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0F964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E9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57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5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6A3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2B5E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7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7E3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遂宁市安居区第四小学校部门</w:t>
            </w:r>
          </w:p>
        </w:tc>
        <w:tc>
          <w:tcPr>
            <w:tcW w:w="846" w:type="dxa"/>
            <w:tcBorders>
              <w:top w:val="nil"/>
              <w:left w:val="nil"/>
              <w:bottom w:val="nil"/>
              <w:right w:val="nil"/>
            </w:tcBorders>
            <w:shd w:val="clear" w:color="auto" w:fill="auto"/>
            <w:vAlign w:val="center"/>
          </w:tcPr>
          <w:p w14:paraId="63EE1B0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B7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遂宁市安居区第四小学校</w:t>
            </w:r>
          </w:p>
        </w:tc>
      </w:tr>
      <w:tr w14:paraId="2560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6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0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E6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A8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99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0804">
            <w:pP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7CA5">
            <w:pPr>
              <w:rPr>
                <w:rFonts w:hint="eastAsia" w:ascii="宋体" w:hAnsi="宋体" w:eastAsia="宋体" w:cs="宋体"/>
                <w:i w:val="0"/>
                <w:iCs w:val="0"/>
                <w:color w:val="000000"/>
                <w:sz w:val="18"/>
                <w:szCs w:val="18"/>
                <w:u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4D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保障了学校家庭经济困难学生正常入学，减轻其家庭经济负担。</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96C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6"/>
                <w:szCs w:val="16"/>
                <w:u w:val="none"/>
                <w:lang w:val="en-US" w:eastAsia="zh-CN" w:bidi="ar"/>
              </w:rPr>
              <w:t>保障了学校家庭经济困难学生正常入学，减轻其家庭经济负担。</w:t>
            </w:r>
          </w:p>
        </w:tc>
      </w:tr>
      <w:tr w14:paraId="2EDE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B08F">
            <w:pP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C5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5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AAD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加强民生资金专项管理，提高民生资金使用效益，确保专款专用，按程序及时兑现给学生（或监护人），及时报送资助政策落实情况及相关资料。</w:t>
            </w:r>
          </w:p>
        </w:tc>
      </w:tr>
      <w:tr w14:paraId="7E50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FD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7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5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3F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D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8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B9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FF4A6">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8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66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92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7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B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3CB0">
            <w:pPr>
              <w:jc w:val="center"/>
              <w:rPr>
                <w:rFonts w:hint="eastAsia" w:ascii="宋体" w:hAnsi="宋体" w:eastAsia="宋体" w:cs="宋体"/>
                <w:i w:val="0"/>
                <w:iCs w:val="0"/>
                <w:color w:val="000000"/>
                <w:sz w:val="18"/>
                <w:szCs w:val="18"/>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AB4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2F98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FBA3">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E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01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5.10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60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9D23">
            <w:pPr>
              <w:rPr>
                <w:rFonts w:hint="eastAsia" w:ascii="黑体" w:hAnsi="黑体" w:eastAsia="黑体" w:cs="黑体"/>
                <w:i/>
                <w:iCs/>
                <w:color w:val="000000"/>
                <w:sz w:val="18"/>
                <w:szCs w:val="18"/>
                <w:u w:val="none"/>
              </w:rPr>
            </w:pPr>
          </w:p>
        </w:tc>
      </w:tr>
      <w:tr w14:paraId="018E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E46B">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D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B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15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1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FDD6">
            <w:pPr>
              <w:rPr>
                <w:rFonts w:hint="eastAsia" w:ascii="黑体" w:hAnsi="黑体" w:eastAsia="黑体" w:cs="黑体"/>
                <w:i/>
                <w:iCs/>
                <w:color w:val="000000"/>
                <w:sz w:val="18"/>
                <w:szCs w:val="18"/>
                <w:u w:val="none"/>
              </w:rPr>
            </w:pPr>
          </w:p>
        </w:tc>
      </w:tr>
      <w:tr w14:paraId="70B9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C7FF">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9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1B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C6EB">
            <w:pPr>
              <w:rPr>
                <w:rFonts w:hint="eastAsia" w:ascii="黑体" w:hAnsi="黑体" w:eastAsia="黑体" w:cs="黑体"/>
                <w:i/>
                <w:iCs/>
                <w:color w:val="000000"/>
                <w:sz w:val="18"/>
                <w:szCs w:val="18"/>
                <w:u w:val="none"/>
              </w:rPr>
            </w:pPr>
          </w:p>
        </w:tc>
      </w:tr>
      <w:tr w14:paraId="14C3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11D6">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E9F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8E4C">
            <w:pPr>
              <w:jc w:val="center"/>
              <w:rPr>
                <w:rFonts w:hint="eastAsia" w:ascii="微软雅黑" w:hAnsi="微软雅黑" w:eastAsia="微软雅黑" w:cs="微软雅黑"/>
                <w:i/>
                <w:iCs/>
                <w:color w:val="000000"/>
                <w:sz w:val="16"/>
                <w:szCs w:val="16"/>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27D1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57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B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90B4">
            <w:pPr>
              <w:rPr>
                <w:rFonts w:hint="eastAsia" w:ascii="黑体" w:hAnsi="黑体" w:eastAsia="黑体" w:cs="黑体"/>
                <w:i/>
                <w:iCs/>
                <w:color w:val="000000"/>
                <w:sz w:val="18"/>
                <w:szCs w:val="18"/>
                <w:u w:val="none"/>
              </w:rPr>
            </w:pPr>
          </w:p>
        </w:tc>
      </w:tr>
      <w:tr w14:paraId="34DC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69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D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9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1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1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6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0F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81D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80CE">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293">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5B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1FB">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5106">
            <w:pPr>
              <w:jc w:val="center"/>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568">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6C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F47C">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7BB">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6E9">
            <w:pPr>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959">
            <w:pPr>
              <w:jc w:val="center"/>
              <w:rPr>
                <w:rFonts w:hint="eastAsia" w:ascii="微软雅黑" w:hAnsi="微软雅黑" w:eastAsia="微软雅黑" w:cs="微软雅黑"/>
                <w:i/>
                <w:iCs/>
                <w:color w:val="000000"/>
                <w:sz w:val="16"/>
                <w:szCs w:val="16"/>
                <w:u w:val="none"/>
              </w:rPr>
            </w:pPr>
          </w:p>
        </w:tc>
      </w:tr>
      <w:tr w14:paraId="27D2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FE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380">
            <w:pP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044A">
            <w:pPr>
              <w:rPr>
                <w:rFonts w:hint="eastAsia" w:ascii="宋体" w:hAnsi="宋体" w:eastAsia="宋体" w:cs="宋体"/>
                <w:i w:val="0"/>
                <w:iCs w:val="0"/>
                <w:color w:val="000000"/>
                <w:sz w:val="18"/>
                <w:szCs w:val="18"/>
                <w:u w:val="none"/>
              </w:rPr>
            </w:pPr>
          </w:p>
        </w:tc>
      </w:tr>
      <w:tr w14:paraId="5A08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949B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1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2BFD68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根据该项目预算执行率、 绩效目标实现指标自评得分100.00分，自评等次为：优，严格执行相关政策，按要求支付，切实提高扶贫成效。</w:t>
            </w:r>
          </w:p>
        </w:tc>
      </w:tr>
      <w:tr w14:paraId="3081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4172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1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79D41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因留守儿童多，父母外出务工，爷爷奶奶对银行卡记录不熟习，对自己孩子享有的助学金额不清楚。</w:t>
            </w:r>
          </w:p>
        </w:tc>
      </w:tr>
      <w:tr w14:paraId="4AC2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BAB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1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7A847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进一步加强教育资助政策宣传及资助情况的反馈公示。</w:t>
            </w:r>
          </w:p>
        </w:tc>
      </w:tr>
      <w:tr w14:paraId="6862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9AEBF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项目负责人：曾义兵</w:t>
            </w:r>
          </w:p>
        </w:tc>
        <w:tc>
          <w:tcPr>
            <w:tcW w:w="4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617F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财务负责人：曾义兵</w:t>
            </w:r>
          </w:p>
        </w:tc>
      </w:tr>
      <w:tr w14:paraId="2FAA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3945" w:type="dxa"/>
            <w:gridSpan w:val="5"/>
            <w:tcBorders>
              <w:top w:val="single" w:color="auto" w:sz="4" w:space="0"/>
              <w:left w:val="nil"/>
              <w:bottom w:val="single" w:color="auto" w:sz="4" w:space="0"/>
              <w:right w:val="nil"/>
            </w:tcBorders>
            <w:shd w:val="clear" w:color="auto" w:fill="auto"/>
            <w:vAlign w:val="center"/>
          </w:tcPr>
          <w:p w14:paraId="3460918D">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c>
          <w:tcPr>
            <w:tcW w:w="4458" w:type="dxa"/>
            <w:gridSpan w:val="6"/>
            <w:tcBorders>
              <w:top w:val="single" w:color="auto" w:sz="4" w:space="0"/>
              <w:left w:val="nil"/>
              <w:bottom w:val="single" w:color="auto" w:sz="4" w:space="0"/>
              <w:right w:val="nil"/>
            </w:tcBorders>
            <w:shd w:val="clear" w:color="auto" w:fill="auto"/>
            <w:vAlign w:val="center"/>
          </w:tcPr>
          <w:p w14:paraId="48C33B6F">
            <w:pPr>
              <w:keepNext w:val="0"/>
              <w:keepLines w:val="0"/>
              <w:widowControl/>
              <w:suppressLineNumbers w:val="0"/>
              <w:jc w:val="left"/>
              <w:textAlignment w:val="center"/>
              <w:rPr>
                <w:rFonts w:hint="eastAsia" w:ascii="黑体" w:hAnsi="黑体" w:eastAsia="黑体" w:cs="黑体"/>
                <w:i w:val="0"/>
                <w:iCs w:val="0"/>
                <w:color w:val="000000"/>
                <w:kern w:val="0"/>
                <w:sz w:val="18"/>
                <w:szCs w:val="18"/>
                <w:u w:val="none"/>
                <w:lang w:val="en-US" w:eastAsia="zh-CN" w:bidi="ar"/>
              </w:rPr>
            </w:pPr>
          </w:p>
        </w:tc>
      </w:tr>
      <w:tr w14:paraId="6BE5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403" w:type="dxa"/>
            <w:gridSpan w:val="11"/>
            <w:tcBorders>
              <w:top w:val="single" w:color="auto" w:sz="4" w:space="0"/>
              <w:left w:val="single" w:color="000000" w:sz="4" w:space="0"/>
              <w:bottom w:val="single" w:color="000000" w:sz="4" w:space="0"/>
              <w:right w:val="single" w:color="000000" w:sz="4" w:space="0"/>
            </w:tcBorders>
            <w:shd w:val="clear" w:color="auto" w:fill="auto"/>
            <w:vAlign w:val="center"/>
          </w:tcPr>
          <w:p w14:paraId="6E107F4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98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BD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5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B41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4706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D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1E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遂宁市安居区第四小学校部门</w:t>
            </w:r>
          </w:p>
        </w:tc>
        <w:tc>
          <w:tcPr>
            <w:tcW w:w="846" w:type="dxa"/>
            <w:tcBorders>
              <w:top w:val="nil"/>
              <w:left w:val="nil"/>
              <w:bottom w:val="nil"/>
              <w:right w:val="nil"/>
            </w:tcBorders>
            <w:shd w:val="clear" w:color="auto" w:fill="auto"/>
            <w:vAlign w:val="center"/>
          </w:tcPr>
          <w:p w14:paraId="7CA993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CC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遂宁市安居区第四小学校</w:t>
            </w:r>
          </w:p>
        </w:tc>
      </w:tr>
      <w:tr w14:paraId="535E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A5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82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88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128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87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E62C">
            <w:pP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8863">
            <w:pPr>
              <w:rPr>
                <w:rFonts w:hint="eastAsia" w:ascii="宋体" w:hAnsi="宋体" w:eastAsia="宋体" w:cs="宋体"/>
                <w:i w:val="0"/>
                <w:iCs w:val="0"/>
                <w:color w:val="000000"/>
                <w:sz w:val="18"/>
                <w:szCs w:val="18"/>
                <w:u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24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保障学校正常运转，提高预算编制质量，严格执行预算，减少结余资金。</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91B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6"/>
                <w:szCs w:val="16"/>
                <w:u w:val="none"/>
                <w:lang w:val="en-US" w:eastAsia="zh-CN" w:bidi="ar"/>
              </w:rPr>
              <w:t>严格执行预算，及时申请支付资金，保证学生作业本按时发放。</w:t>
            </w:r>
          </w:p>
        </w:tc>
      </w:tr>
      <w:tr w14:paraId="6DD0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4F95">
            <w:pP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E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5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7A5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及时申报经费，保证学生作业本按时发放。</w:t>
            </w:r>
          </w:p>
        </w:tc>
      </w:tr>
      <w:tr w14:paraId="21E1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3E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8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1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EE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1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4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CE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8D2A">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B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8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56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E84">
            <w:pPr>
              <w:jc w:val="center"/>
              <w:rPr>
                <w:rFonts w:hint="eastAsia" w:ascii="宋体" w:hAnsi="宋体" w:eastAsia="宋体" w:cs="宋体"/>
                <w:i w:val="0"/>
                <w:iCs w:val="0"/>
                <w:color w:val="000000"/>
                <w:sz w:val="18"/>
                <w:szCs w:val="18"/>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8676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78B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2888">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2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8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B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A9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5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F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5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807E">
            <w:pPr>
              <w:rPr>
                <w:rFonts w:hint="eastAsia" w:ascii="黑体" w:hAnsi="黑体" w:eastAsia="黑体" w:cs="黑体"/>
                <w:i/>
                <w:iCs/>
                <w:color w:val="000000"/>
                <w:sz w:val="18"/>
                <w:szCs w:val="18"/>
                <w:u w:val="none"/>
              </w:rPr>
            </w:pPr>
          </w:p>
        </w:tc>
      </w:tr>
      <w:tr w14:paraId="56E6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1467">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2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36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C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5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68E4">
            <w:pPr>
              <w:rPr>
                <w:rFonts w:hint="eastAsia" w:ascii="黑体" w:hAnsi="黑体" w:eastAsia="黑体" w:cs="黑体"/>
                <w:i/>
                <w:iCs/>
                <w:color w:val="000000"/>
                <w:sz w:val="18"/>
                <w:szCs w:val="18"/>
                <w:u w:val="none"/>
              </w:rPr>
            </w:pPr>
          </w:p>
        </w:tc>
      </w:tr>
      <w:tr w14:paraId="4957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EAF2">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1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5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A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D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9BBB">
            <w:pPr>
              <w:rPr>
                <w:rFonts w:hint="eastAsia" w:ascii="黑体" w:hAnsi="黑体" w:eastAsia="黑体" w:cs="黑体"/>
                <w:i/>
                <w:iCs/>
                <w:color w:val="000000"/>
                <w:sz w:val="18"/>
                <w:szCs w:val="18"/>
                <w:u w:val="none"/>
              </w:rPr>
            </w:pPr>
          </w:p>
        </w:tc>
      </w:tr>
      <w:tr w14:paraId="55E3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2886">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3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D1F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E43">
            <w:pPr>
              <w:jc w:val="center"/>
              <w:rPr>
                <w:rFonts w:hint="eastAsia" w:ascii="微软雅黑" w:hAnsi="微软雅黑" w:eastAsia="微软雅黑" w:cs="微软雅黑"/>
                <w:i/>
                <w:iCs/>
                <w:color w:val="000000"/>
                <w:sz w:val="16"/>
                <w:szCs w:val="16"/>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B877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4AF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3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F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4A44">
            <w:pPr>
              <w:rPr>
                <w:rFonts w:hint="eastAsia" w:ascii="黑体" w:hAnsi="黑体" w:eastAsia="黑体" w:cs="黑体"/>
                <w:i/>
                <w:iCs/>
                <w:color w:val="000000"/>
                <w:sz w:val="18"/>
                <w:szCs w:val="18"/>
                <w:u w:val="none"/>
              </w:rPr>
            </w:pPr>
          </w:p>
        </w:tc>
      </w:tr>
      <w:tr w14:paraId="4B77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74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E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6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A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2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A0B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6608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4B0">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4DD6">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58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2A13">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BE9D">
            <w:pPr>
              <w:jc w:val="center"/>
              <w:rPr>
                <w:rFonts w:hint="eastAsia" w:ascii="宋体" w:hAnsi="宋体" w:eastAsia="宋体" w:cs="宋体"/>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804B">
            <w:pPr>
              <w:jc w:val="center"/>
              <w:rPr>
                <w:rFonts w:hint="eastAsia" w:ascii="宋体" w:hAnsi="宋体" w:eastAsia="宋体" w:cs="宋体"/>
                <w:i w:val="0"/>
                <w:iCs w:val="0"/>
                <w:color w:val="000000"/>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F9C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A0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5E44">
            <w:pPr>
              <w:jc w:val="center"/>
              <w:rPr>
                <w:rFonts w:hint="eastAsia" w:ascii="宋体" w:hAnsi="宋体" w:eastAsia="宋体" w:cs="宋体"/>
                <w:i w:val="0"/>
                <w:iCs w:val="0"/>
                <w:color w:val="000000"/>
                <w:sz w:val="18"/>
                <w:szCs w:val="18"/>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664A">
            <w:pPr>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3D24">
            <w:pPr>
              <w:jc w:val="center"/>
              <w:rPr>
                <w:rFonts w:hint="eastAsia" w:ascii="微软雅黑" w:hAnsi="微软雅黑" w:eastAsia="微软雅黑" w:cs="微软雅黑"/>
                <w:i/>
                <w:iCs/>
                <w:color w:val="000000"/>
                <w:sz w:val="16"/>
                <w:szCs w:val="16"/>
                <w:u w:val="none"/>
              </w:rPr>
            </w:pPr>
          </w:p>
        </w:tc>
      </w:tr>
      <w:tr w14:paraId="0363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7EE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D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03D4">
            <w:pP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ECBF">
            <w:pPr>
              <w:rPr>
                <w:rFonts w:hint="eastAsia" w:ascii="宋体" w:hAnsi="宋体" w:eastAsia="宋体" w:cs="宋体"/>
                <w:i w:val="0"/>
                <w:iCs w:val="0"/>
                <w:color w:val="000000"/>
                <w:sz w:val="18"/>
                <w:szCs w:val="18"/>
                <w:u w:val="none"/>
              </w:rPr>
            </w:pPr>
          </w:p>
        </w:tc>
      </w:tr>
      <w:tr w14:paraId="1F96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A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C537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0DBC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BB3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计划资金有时与学生实有人员有差异。</w:t>
            </w:r>
          </w:p>
        </w:tc>
      </w:tr>
      <w:tr w14:paraId="3EC5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6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66F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提高预算精准度、及时申报支付。</w:t>
            </w:r>
          </w:p>
        </w:tc>
      </w:tr>
      <w:tr w14:paraId="6FF9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41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项目负责人：曾义兵</w:t>
            </w:r>
          </w:p>
        </w:tc>
        <w:tc>
          <w:tcPr>
            <w:tcW w:w="4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9DBA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财务负责人：曾义兵</w:t>
            </w:r>
          </w:p>
        </w:tc>
      </w:tr>
    </w:tbl>
    <w:p w14:paraId="3C707F8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14:paraId="2BCAF5C5">
      <w:pPr>
        <w:pStyle w:val="3"/>
        <w:jc w:val="center"/>
        <w:rPr>
          <w:rFonts w:ascii="黑体" w:hAnsi="黑体" w:eastAsia="黑体"/>
        </w:rPr>
      </w:pPr>
      <w:bookmarkStart w:id="74" w:name="_Toc13565"/>
      <w:r>
        <w:rPr>
          <w:rFonts w:hint="eastAsia" w:ascii="黑体" w:hAnsi="黑体" w:eastAsia="黑体"/>
        </w:rPr>
        <w:t>第五部分 附表</w:t>
      </w:r>
      <w:bookmarkEnd w:id="74"/>
    </w:p>
    <w:p w14:paraId="02C4ECE9">
      <w:pPr>
        <w:rPr>
          <w:rFonts w:ascii="仿宋" w:hAnsi="仿宋" w:eastAsia="仿宋"/>
          <w:sz w:val="32"/>
          <w:szCs w:val="32"/>
        </w:rPr>
      </w:pPr>
      <w:r>
        <w:rPr>
          <w:rFonts w:hint="eastAsia" w:ascii="仿宋" w:hAnsi="仿宋" w:eastAsia="仿宋"/>
          <w:sz w:val="32"/>
          <w:szCs w:val="32"/>
        </w:rPr>
        <w:t>一、收入支出决算总表</w:t>
      </w:r>
    </w:p>
    <w:p w14:paraId="19DD1638">
      <w:pPr>
        <w:rPr>
          <w:rFonts w:ascii="仿宋" w:hAnsi="仿宋" w:eastAsia="仿宋"/>
          <w:sz w:val="32"/>
          <w:szCs w:val="32"/>
        </w:rPr>
      </w:pPr>
      <w:r>
        <w:rPr>
          <w:rFonts w:hint="eastAsia" w:ascii="仿宋" w:hAnsi="仿宋" w:eastAsia="仿宋"/>
          <w:sz w:val="32"/>
          <w:szCs w:val="32"/>
        </w:rPr>
        <w:t>二、收入决算表</w:t>
      </w:r>
    </w:p>
    <w:p w14:paraId="76A76623">
      <w:pPr>
        <w:rPr>
          <w:rFonts w:ascii="仿宋" w:hAnsi="仿宋" w:eastAsia="仿宋"/>
          <w:sz w:val="32"/>
          <w:szCs w:val="32"/>
        </w:rPr>
      </w:pPr>
      <w:r>
        <w:rPr>
          <w:rFonts w:hint="eastAsia" w:ascii="仿宋" w:hAnsi="仿宋" w:eastAsia="仿宋"/>
          <w:sz w:val="32"/>
          <w:szCs w:val="32"/>
        </w:rPr>
        <w:t>三、支出决算表</w:t>
      </w:r>
    </w:p>
    <w:p w14:paraId="01BF1CE2">
      <w:pPr>
        <w:rPr>
          <w:rFonts w:ascii="仿宋" w:hAnsi="仿宋" w:eastAsia="仿宋"/>
          <w:sz w:val="32"/>
          <w:szCs w:val="32"/>
        </w:rPr>
      </w:pPr>
      <w:r>
        <w:rPr>
          <w:rFonts w:hint="eastAsia" w:ascii="仿宋" w:hAnsi="仿宋" w:eastAsia="仿宋"/>
          <w:sz w:val="32"/>
          <w:szCs w:val="32"/>
        </w:rPr>
        <w:t>四、财政拨款收入支出决算总表</w:t>
      </w:r>
    </w:p>
    <w:p w14:paraId="73AEA97B">
      <w:pPr>
        <w:rPr>
          <w:rFonts w:ascii="仿宋" w:hAnsi="仿宋" w:eastAsia="仿宋"/>
          <w:sz w:val="32"/>
          <w:szCs w:val="32"/>
        </w:rPr>
      </w:pPr>
      <w:r>
        <w:rPr>
          <w:rFonts w:hint="eastAsia" w:ascii="仿宋" w:hAnsi="仿宋" w:eastAsia="仿宋"/>
          <w:sz w:val="32"/>
          <w:szCs w:val="32"/>
        </w:rPr>
        <w:t>五、财政拨款支出决算明细表</w:t>
      </w:r>
    </w:p>
    <w:p w14:paraId="7F87BC32">
      <w:pPr>
        <w:rPr>
          <w:rFonts w:ascii="仿宋" w:hAnsi="仿宋" w:eastAsia="仿宋"/>
          <w:sz w:val="32"/>
          <w:szCs w:val="32"/>
        </w:rPr>
      </w:pPr>
      <w:r>
        <w:rPr>
          <w:rFonts w:hint="eastAsia" w:ascii="仿宋" w:hAnsi="仿宋" w:eastAsia="仿宋"/>
          <w:sz w:val="32"/>
          <w:szCs w:val="32"/>
        </w:rPr>
        <w:t>六、一般公共预算财政拨款支出决算表</w:t>
      </w:r>
    </w:p>
    <w:p w14:paraId="5CB820EA">
      <w:pPr>
        <w:rPr>
          <w:rFonts w:ascii="仿宋" w:hAnsi="仿宋" w:eastAsia="仿宋"/>
          <w:sz w:val="32"/>
          <w:szCs w:val="32"/>
        </w:rPr>
      </w:pPr>
      <w:r>
        <w:rPr>
          <w:rFonts w:hint="eastAsia" w:ascii="仿宋" w:hAnsi="仿宋" w:eastAsia="仿宋"/>
          <w:sz w:val="32"/>
          <w:szCs w:val="32"/>
        </w:rPr>
        <w:t>七、一般公共预算财政拨款支出决算明细表</w:t>
      </w:r>
    </w:p>
    <w:p w14:paraId="23A51677">
      <w:pPr>
        <w:rPr>
          <w:rFonts w:ascii="仿宋" w:hAnsi="仿宋" w:eastAsia="仿宋"/>
          <w:sz w:val="32"/>
          <w:szCs w:val="32"/>
        </w:rPr>
      </w:pPr>
      <w:r>
        <w:rPr>
          <w:rFonts w:hint="eastAsia" w:ascii="仿宋" w:hAnsi="仿宋" w:eastAsia="仿宋"/>
          <w:sz w:val="32"/>
          <w:szCs w:val="32"/>
        </w:rPr>
        <w:t>八、一般公共预算财政拨款基本支出决算表</w:t>
      </w:r>
    </w:p>
    <w:p w14:paraId="505FA715">
      <w:pPr>
        <w:rPr>
          <w:rFonts w:ascii="仿宋" w:hAnsi="仿宋" w:eastAsia="仿宋"/>
          <w:sz w:val="32"/>
          <w:szCs w:val="32"/>
        </w:rPr>
      </w:pPr>
      <w:r>
        <w:rPr>
          <w:rFonts w:hint="eastAsia" w:ascii="仿宋" w:hAnsi="仿宋" w:eastAsia="仿宋"/>
          <w:sz w:val="32"/>
          <w:szCs w:val="32"/>
        </w:rPr>
        <w:t>九、一般公共预算财政拨款项目支出决算表</w:t>
      </w:r>
    </w:p>
    <w:p w14:paraId="74A4FF5B">
      <w:pPr>
        <w:rPr>
          <w:rFonts w:ascii="仿宋" w:hAnsi="仿宋" w:eastAsia="仿宋"/>
          <w:sz w:val="32"/>
          <w:szCs w:val="32"/>
        </w:rPr>
      </w:pPr>
      <w:r>
        <w:rPr>
          <w:rFonts w:hint="eastAsia" w:ascii="仿宋" w:hAnsi="仿宋" w:eastAsia="仿宋"/>
          <w:sz w:val="32"/>
          <w:szCs w:val="32"/>
        </w:rPr>
        <w:t>十、政府性基金预算财政拨款收入支出决算表</w:t>
      </w:r>
    </w:p>
    <w:p w14:paraId="178C6723">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00BF1C9D">
      <w:pPr>
        <w:rPr>
          <w:rFonts w:ascii="仿宋" w:hAnsi="仿宋" w:eastAsia="仿宋"/>
          <w:sz w:val="32"/>
          <w:szCs w:val="32"/>
        </w:rPr>
      </w:pPr>
      <w:r>
        <w:rPr>
          <w:rFonts w:hint="eastAsia" w:ascii="仿宋" w:hAnsi="仿宋" w:eastAsia="仿宋"/>
          <w:sz w:val="32"/>
          <w:szCs w:val="32"/>
        </w:rPr>
        <w:t>十二、国有资本经营预算财政拨款支出决算表</w:t>
      </w:r>
    </w:p>
    <w:p w14:paraId="7B1F6EA8">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7B60">
    <w:pPr>
      <w:pStyle w:val="11"/>
      <w:jc w:val="center"/>
    </w:pPr>
  </w:p>
  <w:p w14:paraId="7B074F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036F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3E68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93E68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1C3D">
    <w:pPr>
      <w:pStyle w:val="11"/>
      <w:jc w:val="center"/>
    </w:pPr>
  </w:p>
  <w:p w14:paraId="1710B26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2D04">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717F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A717F8">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751FE88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FC0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F5E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8F3C467"/>
    <w:multiLevelType w:val="singleLevel"/>
    <w:tmpl w:val="E8F3C467"/>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M2M1ZDNmN2ZhN2RhODY4NmYxZjMyOGM0NzI0NDc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0B405F"/>
    <w:rsid w:val="015975B8"/>
    <w:rsid w:val="016F1F8E"/>
    <w:rsid w:val="02070CCA"/>
    <w:rsid w:val="02FEBE30"/>
    <w:rsid w:val="036F8141"/>
    <w:rsid w:val="04A942BA"/>
    <w:rsid w:val="066E0107"/>
    <w:rsid w:val="069074E0"/>
    <w:rsid w:val="07996F6E"/>
    <w:rsid w:val="07DFD8BA"/>
    <w:rsid w:val="080A5070"/>
    <w:rsid w:val="08395955"/>
    <w:rsid w:val="08EC29C7"/>
    <w:rsid w:val="09F05EAF"/>
    <w:rsid w:val="0A2032A3"/>
    <w:rsid w:val="0A677BD5"/>
    <w:rsid w:val="0BB10983"/>
    <w:rsid w:val="0BB97912"/>
    <w:rsid w:val="0D35B1ED"/>
    <w:rsid w:val="0DAD4A1B"/>
    <w:rsid w:val="0DC65EDD"/>
    <w:rsid w:val="0DFE5677"/>
    <w:rsid w:val="0E2A1FC8"/>
    <w:rsid w:val="0E7ED1F5"/>
    <w:rsid w:val="0ECE5049"/>
    <w:rsid w:val="0F93552C"/>
    <w:rsid w:val="0F98263C"/>
    <w:rsid w:val="101860EC"/>
    <w:rsid w:val="10A01F8F"/>
    <w:rsid w:val="10C055FF"/>
    <w:rsid w:val="111D62D0"/>
    <w:rsid w:val="118107EC"/>
    <w:rsid w:val="128D521B"/>
    <w:rsid w:val="13023513"/>
    <w:rsid w:val="13A75E69"/>
    <w:rsid w:val="13D50BC4"/>
    <w:rsid w:val="13F5616D"/>
    <w:rsid w:val="141649B0"/>
    <w:rsid w:val="16612C47"/>
    <w:rsid w:val="1672275E"/>
    <w:rsid w:val="16781D3E"/>
    <w:rsid w:val="16BB723D"/>
    <w:rsid w:val="17F9714D"/>
    <w:rsid w:val="189746FE"/>
    <w:rsid w:val="18AA6E4C"/>
    <w:rsid w:val="18CE1C22"/>
    <w:rsid w:val="1918F934"/>
    <w:rsid w:val="1A491A28"/>
    <w:rsid w:val="1AB86BAD"/>
    <w:rsid w:val="1BE8440E"/>
    <w:rsid w:val="1D155CEE"/>
    <w:rsid w:val="1DFBC4B3"/>
    <w:rsid w:val="1E740ACF"/>
    <w:rsid w:val="1F19C781"/>
    <w:rsid w:val="1F33FCE5"/>
    <w:rsid w:val="1F7F7398"/>
    <w:rsid w:val="1FD2DB6F"/>
    <w:rsid w:val="1FF35744"/>
    <w:rsid w:val="1FF6BC77"/>
    <w:rsid w:val="1FF9236D"/>
    <w:rsid w:val="209634ED"/>
    <w:rsid w:val="21486B63"/>
    <w:rsid w:val="219914E7"/>
    <w:rsid w:val="221F7512"/>
    <w:rsid w:val="2333840E"/>
    <w:rsid w:val="23860B96"/>
    <w:rsid w:val="240371BF"/>
    <w:rsid w:val="25697248"/>
    <w:rsid w:val="257C638F"/>
    <w:rsid w:val="25BF5294"/>
    <w:rsid w:val="26AC4C77"/>
    <w:rsid w:val="27962024"/>
    <w:rsid w:val="28235FAE"/>
    <w:rsid w:val="28C52BC1"/>
    <w:rsid w:val="28D33067"/>
    <w:rsid w:val="29B76C72"/>
    <w:rsid w:val="29FD04D3"/>
    <w:rsid w:val="2BFF7BC6"/>
    <w:rsid w:val="2C8A61B5"/>
    <w:rsid w:val="2CD59C95"/>
    <w:rsid w:val="2DF04E50"/>
    <w:rsid w:val="2E3E3C10"/>
    <w:rsid w:val="2EFD05E5"/>
    <w:rsid w:val="2F040D46"/>
    <w:rsid w:val="2F4F95CE"/>
    <w:rsid w:val="2FACAFDD"/>
    <w:rsid w:val="2FAE5751"/>
    <w:rsid w:val="2FB1A395"/>
    <w:rsid w:val="2FCF0B76"/>
    <w:rsid w:val="2FD9A7D8"/>
    <w:rsid w:val="319F7F4E"/>
    <w:rsid w:val="3304709D"/>
    <w:rsid w:val="34272982"/>
    <w:rsid w:val="347C1074"/>
    <w:rsid w:val="34B34216"/>
    <w:rsid w:val="34B345AF"/>
    <w:rsid w:val="36162CAE"/>
    <w:rsid w:val="36AA5135"/>
    <w:rsid w:val="36BE0DA7"/>
    <w:rsid w:val="36F450D9"/>
    <w:rsid w:val="3700570C"/>
    <w:rsid w:val="376B6AA6"/>
    <w:rsid w:val="376D39B2"/>
    <w:rsid w:val="37E16F03"/>
    <w:rsid w:val="37E34E12"/>
    <w:rsid w:val="37F53A3B"/>
    <w:rsid w:val="38D469F0"/>
    <w:rsid w:val="38F78389"/>
    <w:rsid w:val="397BAF1F"/>
    <w:rsid w:val="39E7B272"/>
    <w:rsid w:val="39F7642F"/>
    <w:rsid w:val="39FF7B37"/>
    <w:rsid w:val="3A106389"/>
    <w:rsid w:val="3AB79AF3"/>
    <w:rsid w:val="3AFDCB77"/>
    <w:rsid w:val="3B4A6E96"/>
    <w:rsid w:val="3B7EF35A"/>
    <w:rsid w:val="3B9FDB6C"/>
    <w:rsid w:val="3BB15227"/>
    <w:rsid w:val="3BD12330"/>
    <w:rsid w:val="3BF5BC2F"/>
    <w:rsid w:val="3BF7C23A"/>
    <w:rsid w:val="3BFF223E"/>
    <w:rsid w:val="3C6EC0A1"/>
    <w:rsid w:val="3CDB0824"/>
    <w:rsid w:val="3CEBA265"/>
    <w:rsid w:val="3D6A7F9F"/>
    <w:rsid w:val="3D7E7F4D"/>
    <w:rsid w:val="3D98207C"/>
    <w:rsid w:val="3D9CF30A"/>
    <w:rsid w:val="3DFF5A3E"/>
    <w:rsid w:val="3E104487"/>
    <w:rsid w:val="3E78745D"/>
    <w:rsid w:val="3ED74FA5"/>
    <w:rsid w:val="3EEE77E9"/>
    <w:rsid w:val="3EF54430"/>
    <w:rsid w:val="3F394AF5"/>
    <w:rsid w:val="3FBE5714"/>
    <w:rsid w:val="3FDD8615"/>
    <w:rsid w:val="3FDFB2FF"/>
    <w:rsid w:val="3FF4CAE0"/>
    <w:rsid w:val="3FF75FAF"/>
    <w:rsid w:val="3FF7B227"/>
    <w:rsid w:val="424D2F31"/>
    <w:rsid w:val="42B2339B"/>
    <w:rsid w:val="43CC70A2"/>
    <w:rsid w:val="44E268DA"/>
    <w:rsid w:val="457F4F6B"/>
    <w:rsid w:val="459D08F6"/>
    <w:rsid w:val="47084895"/>
    <w:rsid w:val="4737FB58"/>
    <w:rsid w:val="47DC3A26"/>
    <w:rsid w:val="47ECCB02"/>
    <w:rsid w:val="47FA6A3F"/>
    <w:rsid w:val="48C033CE"/>
    <w:rsid w:val="49555444"/>
    <w:rsid w:val="495A0CAC"/>
    <w:rsid w:val="49885819"/>
    <w:rsid w:val="49D7AE48"/>
    <w:rsid w:val="4A3F6C7E"/>
    <w:rsid w:val="4A627F82"/>
    <w:rsid w:val="4B0E749A"/>
    <w:rsid w:val="4B4F25DA"/>
    <w:rsid w:val="4BBB4781"/>
    <w:rsid w:val="4BD709A5"/>
    <w:rsid w:val="4BDD9BFF"/>
    <w:rsid w:val="4BE068DB"/>
    <w:rsid w:val="4C3E2B07"/>
    <w:rsid w:val="4D577224"/>
    <w:rsid w:val="4D812CAB"/>
    <w:rsid w:val="4DBF1CEB"/>
    <w:rsid w:val="4DBF6A6B"/>
    <w:rsid w:val="4DDF5694"/>
    <w:rsid w:val="4DF6A672"/>
    <w:rsid w:val="4EAB630A"/>
    <w:rsid w:val="4ECE2238"/>
    <w:rsid w:val="4F34131C"/>
    <w:rsid w:val="4F7EA413"/>
    <w:rsid w:val="4FAB812F"/>
    <w:rsid w:val="4FE9BD67"/>
    <w:rsid w:val="4FEE4C07"/>
    <w:rsid w:val="4FFB052F"/>
    <w:rsid w:val="501D04CE"/>
    <w:rsid w:val="502A52F7"/>
    <w:rsid w:val="51165E00"/>
    <w:rsid w:val="51676661"/>
    <w:rsid w:val="517C45F8"/>
    <w:rsid w:val="51840FBC"/>
    <w:rsid w:val="523F695C"/>
    <w:rsid w:val="537E6D0A"/>
    <w:rsid w:val="53AB6B88"/>
    <w:rsid w:val="53F74C96"/>
    <w:rsid w:val="546F40C7"/>
    <w:rsid w:val="55287EB0"/>
    <w:rsid w:val="5583522D"/>
    <w:rsid w:val="57014E5D"/>
    <w:rsid w:val="57A23F4A"/>
    <w:rsid w:val="57BD3DD4"/>
    <w:rsid w:val="57F9CD1E"/>
    <w:rsid w:val="5AF92295"/>
    <w:rsid w:val="5AF9D8E9"/>
    <w:rsid w:val="5BDD38BD"/>
    <w:rsid w:val="5BDD79E6"/>
    <w:rsid w:val="5BEFC772"/>
    <w:rsid w:val="5BFF5DFC"/>
    <w:rsid w:val="5CD71FC4"/>
    <w:rsid w:val="5D1F11B5"/>
    <w:rsid w:val="5D303DA6"/>
    <w:rsid w:val="5D3647F9"/>
    <w:rsid w:val="5DA644D4"/>
    <w:rsid w:val="5DAE1B18"/>
    <w:rsid w:val="5DE7D9E5"/>
    <w:rsid w:val="5E9D546B"/>
    <w:rsid w:val="5ECEC941"/>
    <w:rsid w:val="5EFF8FC6"/>
    <w:rsid w:val="5F5BA39A"/>
    <w:rsid w:val="5F7D3B79"/>
    <w:rsid w:val="5F7F4610"/>
    <w:rsid w:val="5FBF9FF3"/>
    <w:rsid w:val="5FCD4E2C"/>
    <w:rsid w:val="5FEF394A"/>
    <w:rsid w:val="5FEF7F48"/>
    <w:rsid w:val="5FF67715"/>
    <w:rsid w:val="610E77EE"/>
    <w:rsid w:val="61734BA9"/>
    <w:rsid w:val="61CA71D5"/>
    <w:rsid w:val="627D7A8D"/>
    <w:rsid w:val="627EE9EA"/>
    <w:rsid w:val="63B23AA5"/>
    <w:rsid w:val="647F5392"/>
    <w:rsid w:val="64E322C4"/>
    <w:rsid w:val="65FB93B9"/>
    <w:rsid w:val="6633C463"/>
    <w:rsid w:val="66C043ED"/>
    <w:rsid w:val="67367361"/>
    <w:rsid w:val="67C223E6"/>
    <w:rsid w:val="67D55B77"/>
    <w:rsid w:val="67EE7F84"/>
    <w:rsid w:val="684A6664"/>
    <w:rsid w:val="686F5F53"/>
    <w:rsid w:val="69DA57C5"/>
    <w:rsid w:val="6A130CD7"/>
    <w:rsid w:val="6ABC4ECB"/>
    <w:rsid w:val="6AFFCEAF"/>
    <w:rsid w:val="6B96E9E6"/>
    <w:rsid w:val="6BCE57B5"/>
    <w:rsid w:val="6BFEA4DB"/>
    <w:rsid w:val="6BFFB662"/>
    <w:rsid w:val="6C4221FC"/>
    <w:rsid w:val="6C4A05C8"/>
    <w:rsid w:val="6C4C4CE3"/>
    <w:rsid w:val="6C6121CE"/>
    <w:rsid w:val="6CFF4FB8"/>
    <w:rsid w:val="6D6BD6E0"/>
    <w:rsid w:val="6D77E73C"/>
    <w:rsid w:val="6DBF5E93"/>
    <w:rsid w:val="6DCC3677"/>
    <w:rsid w:val="6DFF077E"/>
    <w:rsid w:val="6E7E3605"/>
    <w:rsid w:val="6E7FDCC7"/>
    <w:rsid w:val="6ED6A62E"/>
    <w:rsid w:val="6EE00B15"/>
    <w:rsid w:val="6EE737B2"/>
    <w:rsid w:val="6EEB2329"/>
    <w:rsid w:val="6EECE67A"/>
    <w:rsid w:val="6F465E18"/>
    <w:rsid w:val="6F6F90A8"/>
    <w:rsid w:val="6F6FB3EB"/>
    <w:rsid w:val="6F8731EA"/>
    <w:rsid w:val="6FA86920"/>
    <w:rsid w:val="6FBC2ADD"/>
    <w:rsid w:val="6FD57C00"/>
    <w:rsid w:val="6FEFFFD8"/>
    <w:rsid w:val="6FF5CC65"/>
    <w:rsid w:val="6FFB47EC"/>
    <w:rsid w:val="6FFF034A"/>
    <w:rsid w:val="70904E30"/>
    <w:rsid w:val="70CA0C35"/>
    <w:rsid w:val="712A28F1"/>
    <w:rsid w:val="715C0E4B"/>
    <w:rsid w:val="717E3736"/>
    <w:rsid w:val="71FE226D"/>
    <w:rsid w:val="71FFD401"/>
    <w:rsid w:val="72233669"/>
    <w:rsid w:val="72734D90"/>
    <w:rsid w:val="7332FE48"/>
    <w:rsid w:val="73AD73D5"/>
    <w:rsid w:val="73B6EB34"/>
    <w:rsid w:val="73FA497D"/>
    <w:rsid w:val="74085625"/>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3B4121"/>
    <w:rsid w:val="797E3A6C"/>
    <w:rsid w:val="79CF70E2"/>
    <w:rsid w:val="79D7FD79"/>
    <w:rsid w:val="79E75806"/>
    <w:rsid w:val="79EE5BA4"/>
    <w:rsid w:val="7A3A5E0C"/>
    <w:rsid w:val="7A641148"/>
    <w:rsid w:val="7A6F8BF5"/>
    <w:rsid w:val="7A894339"/>
    <w:rsid w:val="7ACF82B5"/>
    <w:rsid w:val="7AFF28C9"/>
    <w:rsid w:val="7AFF72A0"/>
    <w:rsid w:val="7AFF7572"/>
    <w:rsid w:val="7B045647"/>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48315F"/>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character" w:customStyle="1" w:styleId="38">
    <w:name w:val="标题 2 Char"/>
    <w:basedOn w:val="17"/>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manualLayout>
          <c:layoutTarget val="inner"/>
          <c:xMode val="edge"/>
          <c:yMode val="edge"/>
          <c:x val="0.0665302191187094"/>
          <c:y val="0.16078431372549"/>
          <c:w val="0.908668432458464"/>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68.68</c:v>
                </c:pt>
                <c:pt idx="1">
                  <c:v>68.68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731.7</c:v>
                </c:pt>
                <c:pt idx="1">
                  <c:v>698.73</c:v>
                </c:pt>
              </c:numCache>
            </c:numRef>
          </c:val>
        </c:ser>
        <c:dLbls>
          <c:showLegendKey val="0"/>
          <c:showVal val="0"/>
          <c:showCatName val="0"/>
          <c:showSerName val="0"/>
          <c:showPercent val="0"/>
          <c:showBubbleSize val="0"/>
        </c:dLbls>
        <c:gapWidth val="219"/>
        <c:overlap val="-27"/>
        <c:axId val="256806864"/>
        <c:axId val="379233192"/>
      </c:barChart>
      <c:catAx>
        <c:axId val="25680686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192"/>
        <c:crosses val="autoZero"/>
        <c:auto val="1"/>
        <c:lblAlgn val="ctr"/>
        <c:lblOffset val="100"/>
        <c:noMultiLvlLbl val="0"/>
      </c:catAx>
      <c:valAx>
        <c:axId val="3792331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80686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62564e-34df-4a9e-aa6f-3e98eda284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1435464414958"/>
          <c:y val="0.01022146507666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Sheet1!$B$2:$B$3</c:f>
              <c:numCache>
                <c:formatCode>0.00%</c:formatCode>
                <c:ptCount val="2"/>
                <c:pt idx="0">
                  <c:v>0.8614</c:v>
                </c:pt>
                <c:pt idx="1">
                  <c:v>0.1386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3c0f41-edd1-44c0-9e26-085370ac47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0.8911</c:v>
                </c:pt>
                <c:pt idx="1">
                  <c:v>0.1089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24d37f-ea37-4236-a084-f31d060474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manualLayout>
          <c:xMode val="edge"/>
          <c:yMode val="edge"/>
          <c:x val="0.227907536720443"/>
          <c:y val="0.0212590299277606"/>
        </c:manualLayout>
      </c:layout>
      <c:overlay val="0"/>
      <c:spPr>
        <a:noFill/>
        <a:ln>
          <a:noFill/>
        </a:ln>
        <a:effectLst/>
      </c:spPr>
    </c:title>
    <c:autoTitleDeleted val="0"/>
    <c:plotArea>
      <c:layout>
        <c:manualLayout>
          <c:layoutTarget val="inner"/>
          <c:xMode val="edge"/>
          <c:yMode val="edge"/>
          <c:x val="0.0854322176739706"/>
          <c:y val="0.293498452012384"/>
          <c:w val="0.897712496990128"/>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68.68</c:v>
                </c:pt>
                <c:pt idx="1">
                  <c:v>68.68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630.26</c:v>
                </c:pt>
                <c:pt idx="1">
                  <c:v>630.26</c:v>
                </c:pt>
              </c:numCache>
            </c:numRef>
          </c:val>
        </c:ser>
        <c:dLbls>
          <c:showLegendKey val="0"/>
          <c:showVal val="0"/>
          <c:showCatName val="0"/>
          <c:showSerName val="0"/>
          <c:showPercent val="0"/>
          <c:showBubbleSize val="0"/>
        </c:dLbls>
        <c:gapWidth val="219"/>
        <c:overlap val="-27"/>
        <c:axId val="379235544"/>
        <c:axId val="379234368"/>
      </c:barChart>
      <c:catAx>
        <c:axId val="3792355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4368"/>
        <c:crosses val="autoZero"/>
        <c:auto val="1"/>
        <c:lblAlgn val="ctr"/>
        <c:lblOffset val="100"/>
        <c:noMultiLvlLbl val="0"/>
      </c:catAx>
      <c:valAx>
        <c:axId val="3792343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977127-d92b-46ac-b210-3efc42e0f3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manualLayout>
          <c:xMode val="edge"/>
          <c:yMode val="edge"/>
          <c:x val="0.205634481098001"/>
          <c:y val="0.0831785345717234"/>
        </c:manualLayout>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68.68</c:v>
                </c:pt>
                <c:pt idx="1">
                  <c:v>630.26</c:v>
                </c:pt>
              </c:numCache>
            </c:numRef>
          </c:val>
        </c:ser>
        <c:dLbls>
          <c:showLegendKey val="0"/>
          <c:showVal val="0"/>
          <c:showCatName val="0"/>
          <c:showSerName val="0"/>
          <c:showPercent val="0"/>
          <c:showBubbleSize val="0"/>
        </c:dLbls>
        <c:gapWidth val="219"/>
        <c:overlap val="-27"/>
        <c:axId val="379233584"/>
        <c:axId val="379235936"/>
      </c:barChart>
      <c:catAx>
        <c:axId val="379233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5936"/>
        <c:crosses val="autoZero"/>
        <c:auto val="1"/>
        <c:lblAlgn val="ctr"/>
        <c:lblOffset val="100"/>
        <c:noMultiLvlLbl val="0"/>
      </c:catAx>
      <c:valAx>
        <c:axId val="379235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233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753518-e7c2-4e95-92a1-136db04aa2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一般公共预算财政拨款支出决算变动情况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0.7849</c:v>
                </c:pt>
                <c:pt idx="1">
                  <c:v>0.1003</c:v>
                </c:pt>
                <c:pt idx="2">
                  <c:v>0.0439</c:v>
                </c:pt>
                <c:pt idx="3">
                  <c:v>0.0709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682532012563421"/>
          <c:y val="0.9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08292a-15a3-4562-b4c9-7d7225f430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496</Words>
  <Characters>522</Characters>
  <Lines>72</Lines>
  <Paragraphs>20</Paragraphs>
  <TotalTime>10</TotalTime>
  <ScaleCrop>false</ScaleCrop>
  <LinksUpToDate>false</LinksUpToDate>
  <CharactersWithSpaces>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2025-08-26T09:16:00Z</cp:lastPrinted>
  <dcterms:modified xsi:type="dcterms:W3CDTF">2025-08-27T01:25:34Z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17B9FB23A6924785A068DE38578CF57B_13</vt:lpwstr>
  </property>
  <property fmtid="{D5CDD505-2E9C-101B-9397-08002B2CF9AE}" pid="4" name="KSOTemplateDocerSaveRecord">
    <vt:lpwstr>eyJoZGlkIjoiMmY5ZTQzZDQ3NTQ1N2U0ODgyNTA0ZWM1YWUwZGE0NGIifQ==</vt:lpwstr>
  </property>
</Properties>
</file>