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EB1A4">
      <w:pPr>
        <w:pStyle w:val="8"/>
        <w:spacing w:before="93"/>
        <w:jc w:val="both"/>
        <w:rPr>
          <w:rFonts w:ascii="Times New Roman" w:eastAsia="方正小标宋简体"/>
          <w:kern w:val="2"/>
          <w:sz w:val="44"/>
          <w:szCs w:val="44"/>
        </w:rPr>
      </w:pPr>
      <w:bookmarkStart w:id="0" w:name="_Toc15377425"/>
      <w:bookmarkStart w:id="1" w:name="_Toc15377193"/>
      <w:bookmarkStart w:id="2" w:name="_Toc15396597"/>
      <w:bookmarkStart w:id="3" w:name="_Toc15378441"/>
      <w:bookmarkStart w:id="4" w:name="_Toc15396475"/>
      <w:bookmarkStart w:id="5" w:name="_Toc15306267"/>
    </w:p>
    <w:p w14:paraId="45548BD4">
      <w:pPr>
        <w:pStyle w:val="8"/>
        <w:spacing w:before="93"/>
        <w:jc w:val="center"/>
        <w:rPr>
          <w:rFonts w:ascii="Times New Roman" w:eastAsia="方正小标宋简体"/>
          <w:kern w:val="2"/>
          <w:sz w:val="44"/>
          <w:szCs w:val="44"/>
        </w:rPr>
      </w:pPr>
    </w:p>
    <w:p w14:paraId="20C8C925">
      <w:pPr>
        <w:pStyle w:val="8"/>
        <w:spacing w:before="93"/>
        <w:jc w:val="center"/>
        <w:rPr>
          <w:rFonts w:ascii="Times New Roman" w:eastAsia="方正小标宋简体"/>
          <w:kern w:val="2"/>
          <w:sz w:val="44"/>
          <w:szCs w:val="44"/>
        </w:rPr>
      </w:pPr>
    </w:p>
    <w:bookmarkEnd w:id="0"/>
    <w:bookmarkEnd w:id="1"/>
    <w:bookmarkEnd w:id="2"/>
    <w:bookmarkEnd w:id="3"/>
    <w:bookmarkEnd w:id="4"/>
    <w:p w14:paraId="1496F027">
      <w:pPr>
        <w:pStyle w:val="8"/>
        <w:spacing w:before="93"/>
        <w:jc w:val="center"/>
        <w:rPr>
          <w:rFonts w:hint="eastAsia" w:ascii="Times New Roman" w:eastAsia="方正小标宋简体"/>
          <w:kern w:val="2"/>
          <w:sz w:val="44"/>
          <w:szCs w:val="44"/>
        </w:rPr>
      </w:pPr>
      <w:bookmarkStart w:id="6" w:name="_Toc15396598"/>
      <w:bookmarkStart w:id="7" w:name="_Toc15377194"/>
      <w:bookmarkStart w:id="8" w:name="_Toc15377426"/>
      <w:bookmarkStart w:id="9" w:name="_Toc15396476"/>
      <w:bookmarkStart w:id="10" w:name="_Toc15378442"/>
      <w:r>
        <w:rPr>
          <w:rFonts w:hint="eastAsia" w:ascii="Times New Roman" w:eastAsia="方正小标宋简体"/>
          <w:kern w:val="2"/>
          <w:sz w:val="44"/>
          <w:szCs w:val="44"/>
        </w:rPr>
        <w:t>2024年度</w:t>
      </w:r>
    </w:p>
    <w:p w14:paraId="0A4BAA7B">
      <w:pPr>
        <w:pStyle w:val="8"/>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四川省</w:t>
      </w:r>
      <w:bookmarkEnd w:id="5"/>
      <w:bookmarkStart w:id="11" w:name="_Toc15306268"/>
      <w:r>
        <w:rPr>
          <w:rFonts w:hint="eastAsia" w:ascii="Times New Roman" w:eastAsia="方正小标宋简体"/>
          <w:kern w:val="2"/>
          <w:sz w:val="44"/>
          <w:szCs w:val="44"/>
        </w:rPr>
        <w:t>遂宁市安居区第一幼儿园</w:t>
      </w:r>
    </w:p>
    <w:p w14:paraId="257AE211">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p>
    <w:p w14:paraId="3BA26F9D">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3CEDC157">
      <w:pPr>
        <w:widowControl/>
        <w:jc w:val="center"/>
        <w:rPr>
          <w:rFonts w:eastAsia="黑体" w:cstheme="minorBidi"/>
          <w:sz w:val="28"/>
          <w:szCs w:val="28"/>
        </w:rPr>
      </w:pPr>
    </w:p>
    <w:p w14:paraId="6756BF6A">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公开时间：2025年08月2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日</w:t>
      </w:r>
    </w:p>
    <w:p w14:paraId="6CC10B46"/>
    <w:p w14:paraId="71729AE4">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第一部分 部门概况</w:t>
      </w:r>
      <w:r>
        <w:rPr>
          <w:rFonts w:hint="eastAsia" w:eastAsia="黑体" w:cs="黑体"/>
          <w:sz w:val="28"/>
          <w:szCs w:val="28"/>
        </w:rPr>
        <w:t xml:space="preserve"> </w:t>
      </w:r>
      <w:r>
        <w:rPr>
          <w:rFonts w:hint="eastAsia" w:eastAsia="黑体" w:cs="黑体"/>
          <w:sz w:val="28"/>
          <w:szCs w:val="28"/>
          <w:lang w:val="en-US" w:eastAsia="zh-CN"/>
        </w:rPr>
        <w:t xml:space="preserve"> </w:t>
      </w:r>
      <w:r>
        <w:rPr>
          <w:rFonts w:hint="eastAsia" w:ascii="仿宋_GB2312" w:hAnsi="仿宋_GB2312" w:eastAsia="仿宋_GB2312" w:cs="仿宋_GB2312"/>
          <w:sz w:val="32"/>
          <w:szCs w:val="32"/>
        </w:rPr>
        <w:t>…………………………………………4</w:t>
      </w:r>
    </w:p>
    <w:p w14:paraId="3F47563E">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hint="eastAsia" w:ascii="仿宋_GB2312" w:hAnsi="仿宋_GB2312" w:eastAsia="仿宋_GB2312" w:cs="仿宋_GB2312"/>
          <w:sz w:val="32"/>
          <w:szCs w:val="32"/>
        </w:rPr>
        <w:t>……………………………………………4</w:t>
      </w:r>
    </w:p>
    <w:p w14:paraId="75F861B3">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二、机构设置 </w:t>
      </w:r>
      <w:r>
        <w:rPr>
          <w:rFonts w:hint="eastAsia" w:ascii="仿宋_GB2312" w:hAnsi="仿宋_GB2312" w:eastAsia="仿宋_GB2312" w:cs="仿宋_GB2312"/>
          <w:sz w:val="32"/>
          <w:szCs w:val="32"/>
        </w:rPr>
        <w:t>……………………………………………4</w:t>
      </w:r>
    </w:p>
    <w:p w14:paraId="25115790">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第二部分 2024年度部门决算情况说明</w:t>
      </w:r>
      <w:r>
        <w:rPr>
          <w:rFonts w:hint="eastAsia" w:eastAsia="黑体" w:cs="黑体"/>
          <w:sz w:val="24"/>
          <w:szCs w:val="24"/>
        </w:rPr>
        <w:t xml:space="preserve"> </w:t>
      </w:r>
      <w:r>
        <w:rPr>
          <w:rFonts w:hint="eastAsia" w:eastAsia="黑体" w:cs="黑体"/>
          <w:sz w:val="24"/>
          <w:szCs w:val="24"/>
          <w:lang w:val="en-US" w:eastAsia="zh-CN"/>
        </w:rPr>
        <w:t xml:space="preserve"> </w:t>
      </w:r>
      <w:r>
        <w:rPr>
          <w:rFonts w:hint="eastAsia" w:ascii="仿宋_GB2312" w:hAnsi="仿宋_GB2312" w:eastAsia="仿宋_GB2312" w:cs="仿宋_GB2312"/>
          <w:sz w:val="32"/>
          <w:szCs w:val="32"/>
        </w:rPr>
        <w:t>……………………5</w:t>
      </w:r>
    </w:p>
    <w:p w14:paraId="4BD2E2C2">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………………………5</w:t>
      </w:r>
    </w:p>
    <w:p w14:paraId="4C636A78">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…………………………………5</w:t>
      </w:r>
    </w:p>
    <w:p w14:paraId="38CF5EC1">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…………………………………6</w:t>
      </w:r>
    </w:p>
    <w:p w14:paraId="557007CD">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……………7</w:t>
      </w:r>
    </w:p>
    <w:p w14:paraId="259EE38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 xml:space="preserve"> </w:t>
      </w:r>
      <w:r>
        <w:rPr>
          <w:rFonts w:hint="eastAsia" w:ascii="仿宋_GB2312" w:hAnsi="仿宋_GB2312" w:eastAsia="仿宋_GB2312" w:cs="仿宋_GB2312"/>
          <w:sz w:val="32"/>
          <w:szCs w:val="32"/>
        </w:rPr>
        <w:t>………8</w:t>
      </w:r>
    </w:p>
    <w:p w14:paraId="4FC6059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…11</w:t>
      </w:r>
    </w:p>
    <w:p w14:paraId="0B71DE5C">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ascii="仿宋_GB2312" w:hAnsi="仿宋_GB2312" w:eastAsia="仿宋_GB2312" w:cs="仿宋_GB2312"/>
          <w:sz w:val="32"/>
          <w:szCs w:val="32"/>
        </w:rPr>
        <w:t>………12</w:t>
      </w:r>
    </w:p>
    <w:p w14:paraId="5E9CC590">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ascii="仿宋_GB2312" w:hAnsi="仿宋_GB2312" w:eastAsia="仿宋_GB2312" w:cs="仿宋_GB2312"/>
          <w:sz w:val="32"/>
          <w:szCs w:val="32"/>
        </w:rPr>
        <w:t>………………13</w:t>
      </w:r>
    </w:p>
    <w:p w14:paraId="17E1529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仿宋_GB2312" w:hAnsi="仿宋_GB2312" w:eastAsia="仿宋_GB2312" w:cs="仿宋_GB2312"/>
          <w:sz w:val="32"/>
          <w:szCs w:val="32"/>
        </w:rPr>
        <w:t>……………13</w:t>
      </w:r>
    </w:p>
    <w:p w14:paraId="3C9B134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ascii="仿宋_GB2312" w:hAnsi="仿宋_GB2312" w:eastAsia="仿宋_GB2312" w:cs="仿宋_GB2312"/>
          <w:sz w:val="32"/>
          <w:szCs w:val="32"/>
        </w:rPr>
        <w:t>…………………………13</w:t>
      </w:r>
    </w:p>
    <w:p w14:paraId="4AE00C44">
      <w:pPr>
        <w:tabs>
          <w:tab w:val="right" w:leader="dot" w:pos="8296"/>
        </w:tabs>
        <w:adjustRightInd w:val="0"/>
        <w:snapToGrid w:val="0"/>
        <w:spacing w:line="560" w:lineRule="exact"/>
        <w:jc w:val="left"/>
        <w:rPr>
          <w:rFonts w:hint="eastAsia" w:eastAsia="仿宋_GB2312" w:cs="黑体"/>
          <w:sz w:val="32"/>
          <w:szCs w:val="32"/>
          <w:lang w:val="en-US" w:eastAsia="zh-CN"/>
        </w:rPr>
      </w:pPr>
      <w:r>
        <w:rPr>
          <w:rFonts w:hint="eastAsia" w:eastAsia="黑体" w:cs="黑体"/>
          <w:sz w:val="32"/>
          <w:szCs w:val="32"/>
        </w:rPr>
        <w:t>第三部分 名词解释</w:t>
      </w:r>
      <w:r>
        <w:rPr>
          <w:rFonts w:hint="eastAsia" w:eastAsia="黑体" w:cs="黑体"/>
          <w:sz w:val="28"/>
          <w:szCs w:val="28"/>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p>
    <w:p w14:paraId="4D79CB11">
      <w:pPr>
        <w:tabs>
          <w:tab w:val="right" w:leader="dot" w:pos="8296"/>
        </w:tabs>
        <w:adjustRightInd w:val="0"/>
        <w:snapToGrid w:val="0"/>
        <w:spacing w:line="560" w:lineRule="exact"/>
        <w:jc w:val="left"/>
        <w:rPr>
          <w:rFonts w:hint="default" w:eastAsia="黑体" w:cs="黑体"/>
          <w:sz w:val="32"/>
          <w:szCs w:val="32"/>
          <w:lang w:val="en-US"/>
        </w:rPr>
      </w:pPr>
      <w:r>
        <w:rPr>
          <w:rFonts w:hint="eastAsia" w:eastAsia="黑体" w:cs="黑体"/>
          <w:sz w:val="32"/>
          <w:szCs w:val="32"/>
        </w:rPr>
        <w:t>第四部分 附件</w:t>
      </w:r>
      <w:r>
        <w:rPr>
          <w:rFonts w:hint="eastAsia" w:eastAsia="黑体" w:cs="黑体"/>
          <w:sz w:val="28"/>
          <w:szCs w:val="28"/>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p>
    <w:p w14:paraId="0EBAE94C">
      <w:pPr>
        <w:pStyle w:val="13"/>
        <w:adjustRightInd w:val="0"/>
        <w:snapToGrid w:val="0"/>
        <w:spacing w:before="0" w:line="560" w:lineRule="exact"/>
        <w:jc w:val="left"/>
        <w:rPr>
          <w:rFonts w:hint="default" w:ascii="Times New Roman" w:hAnsi="Times New Roman" w:eastAsia="仿宋_GB2312"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28"/>
          <w:szCs w:val="28"/>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p>
    <w:p w14:paraId="001D18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1F1E415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43B2D3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2E678D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4010404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3CE27F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100CB2B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06D736B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32E556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7967C6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70576F0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635448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6ECF3A1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2C0E98CC">
      <w:pPr>
        <w:pStyle w:val="14"/>
        <w:adjustRightInd w:val="0"/>
        <w:snapToGrid w:val="0"/>
        <w:spacing w:line="560" w:lineRule="exact"/>
        <w:ind w:left="0" w:leftChars="0" w:firstLine="643" w:firstLineChars="200"/>
        <w:jc w:val="left"/>
        <w:rPr>
          <w:rFonts w:eastAsia="仿宋_GB2312" w:cs="仿宋_GB2312"/>
          <w:b/>
          <w:bCs/>
          <w:sz w:val="32"/>
          <w:szCs w:val="32"/>
        </w:rPr>
      </w:pPr>
    </w:p>
    <w:p w14:paraId="6CD5F1D8">
      <w:pPr>
        <w:widowControl/>
        <w:spacing w:line="560" w:lineRule="exact"/>
        <w:jc w:val="left"/>
        <w:rPr>
          <w:rFonts w:eastAsia="仿宋_GB2312" w:cs="仿宋_GB2312"/>
          <w:bCs/>
          <w:kern w:val="44"/>
          <w:sz w:val="32"/>
          <w:szCs w:val="32"/>
        </w:rPr>
      </w:pPr>
      <w:bookmarkStart w:id="12" w:name="_Toc15396599"/>
      <w:bookmarkStart w:id="13" w:name="_Toc15377196"/>
      <w:r>
        <w:rPr>
          <w:rFonts w:hint="eastAsia" w:eastAsia="仿宋_GB2312" w:cs="仿宋_GB2312"/>
          <w:b/>
          <w:sz w:val="32"/>
          <w:szCs w:val="32"/>
        </w:rPr>
        <w:br w:type="page"/>
      </w:r>
    </w:p>
    <w:p w14:paraId="28F64BE4">
      <w:pPr>
        <w:pStyle w:val="5"/>
        <w:jc w:val="center"/>
        <w:rPr>
          <w:rStyle w:val="30"/>
          <w:rFonts w:eastAsia="方正小标宋简体" w:cs="方正小标宋简体"/>
          <w:b/>
          <w:bCs w:val="0"/>
        </w:rPr>
      </w:pPr>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12"/>
      <w:bookmarkEnd w:id="13"/>
    </w:p>
    <w:p w14:paraId="3CE468D4">
      <w:pPr>
        <w:widowControl/>
        <w:jc w:val="left"/>
        <w:rPr>
          <w:rFonts w:eastAsia="黑体"/>
          <w:sz w:val="32"/>
          <w:szCs w:val="32"/>
        </w:rPr>
      </w:pPr>
    </w:p>
    <w:p w14:paraId="5CCF5AB3">
      <w:pPr>
        <w:pStyle w:val="6"/>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25226C45">
      <w:pPr>
        <w:ind w:firstLine="640" w:firstLineChars="200"/>
      </w:pPr>
      <w:r>
        <w:rPr>
          <w:rFonts w:hint="eastAsia" w:ascii="仿宋_GB2312" w:hAnsi="仿宋" w:eastAsia="仿宋_GB2312"/>
          <w:sz w:val="32"/>
          <w:szCs w:val="32"/>
        </w:rPr>
        <w:t>四川省遂宁市安居区第一幼儿园地处遂宁市安居区安居镇陶家湾，我校主要服务区域为四川省遂宁市安居区安居镇陶家湾及附近区域。我校正确贯彻执行党和国家的教育方针、政策、法规；积极实施学前教育，促进学前教育发展，负责学前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6434F6D3">
      <w:pPr>
        <w:pStyle w:val="6"/>
        <w:rPr>
          <w:rStyle w:val="31"/>
          <w:rFonts w:ascii="Times New Roman" w:hAnsi="Times New Roman"/>
          <w:b w:val="0"/>
          <w:bCs w:val="0"/>
        </w:rPr>
      </w:pPr>
      <w:bookmarkStart w:id="14" w:name="_Toc15396601"/>
      <w:bookmarkStart w:id="15" w:name="_Toc15377200"/>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14"/>
      <w:bookmarkEnd w:id="15"/>
    </w:p>
    <w:p w14:paraId="4C6E4B01">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我校为独立编制机构1个，独立核算机构1个。</w:t>
      </w:r>
    </w:p>
    <w:p w14:paraId="28FAE6FF">
      <w:pPr>
        <w:snapToGrid w:val="0"/>
        <w:spacing w:line="520" w:lineRule="exact"/>
        <w:ind w:firstLine="640" w:firstLineChars="200"/>
        <w:rPr>
          <w:rFonts w:cs="仿宋_GB2312"/>
          <w:sz w:val="32"/>
          <w:szCs w:val="32"/>
        </w:rPr>
      </w:pPr>
      <w:r>
        <w:rPr>
          <w:rFonts w:hint="eastAsia" w:ascii="仿宋_GB2312" w:hAnsi="仿宋" w:eastAsia="仿宋_GB2312"/>
          <w:sz w:val="32"/>
          <w:szCs w:val="32"/>
        </w:rPr>
        <w:t>我校现有在编教师20人。学校现设有行政办、德育处、教导处、后勤处等部门。</w:t>
      </w:r>
    </w:p>
    <w:p w14:paraId="03FDB7B6">
      <w:pPr>
        <w:widowControl/>
        <w:jc w:val="left"/>
        <w:rPr>
          <w:rFonts w:eastAsia="仿宋_GB2312"/>
          <w:kern w:val="0"/>
          <w:sz w:val="32"/>
          <w:szCs w:val="32"/>
        </w:rPr>
      </w:pPr>
      <w:r>
        <w:rPr>
          <w:rFonts w:eastAsia="仿宋_GB2312"/>
          <w:sz w:val="32"/>
          <w:szCs w:val="32"/>
        </w:rPr>
        <w:br w:type="page"/>
      </w:r>
    </w:p>
    <w:p w14:paraId="3F2B8583">
      <w:pPr>
        <w:pStyle w:val="5"/>
        <w:jc w:val="center"/>
        <w:rPr>
          <w:rFonts w:eastAsia="方正小标宋简体" w:cs="方正小标宋简体"/>
          <w:b w:val="0"/>
        </w:rPr>
      </w:pPr>
      <w:bookmarkStart w:id="16" w:name="_Toc15396602"/>
      <w:bookmarkStart w:id="17" w:name="_Toc15377204"/>
      <w:r>
        <w:rPr>
          <w:rFonts w:hint="eastAsia" w:eastAsia="方正小标宋简体" w:cs="方正小标宋简体"/>
          <w:b w:val="0"/>
        </w:rPr>
        <w:t>第二部分  2024年度部门决算情况说明</w:t>
      </w:r>
      <w:bookmarkEnd w:id="16"/>
      <w:bookmarkEnd w:id="17"/>
    </w:p>
    <w:p w14:paraId="090C5DC4"/>
    <w:p w14:paraId="58AA5065">
      <w:pPr>
        <w:pStyle w:val="29"/>
        <w:spacing w:line="600" w:lineRule="exact"/>
        <w:ind w:firstLine="640"/>
        <w:outlineLvl w:val="1"/>
        <w:rPr>
          <w:rStyle w:val="31"/>
          <w:rFonts w:ascii="Times New Roman" w:hAnsi="Times New Roman" w:eastAsia="黑体"/>
          <w:b w:val="0"/>
        </w:rPr>
      </w:pPr>
      <w:bookmarkStart w:id="18" w:name="_Toc15377205"/>
      <w:bookmarkStart w:id="19" w:name="_Toc15396603"/>
      <w:r>
        <w:rPr>
          <w:rFonts w:hint="eastAsia" w:eastAsia="黑体"/>
          <w:sz w:val="32"/>
          <w:szCs w:val="32"/>
        </w:rPr>
        <w:t>一、收</w:t>
      </w:r>
      <w:r>
        <w:rPr>
          <w:rStyle w:val="31"/>
          <w:rFonts w:hint="eastAsia" w:ascii="Times New Roman" w:hAnsi="Times New Roman" w:eastAsia="黑体"/>
          <w:b w:val="0"/>
        </w:rPr>
        <w:t>入支出决算总体情况说明</w:t>
      </w:r>
      <w:bookmarkEnd w:id="18"/>
      <w:bookmarkEnd w:id="19"/>
    </w:p>
    <w:p w14:paraId="3F708103">
      <w:pPr>
        <w:pStyle w:val="29"/>
        <w:spacing w:line="600" w:lineRule="exact"/>
        <w:ind w:firstLine="640"/>
        <w:outlineLvl w:val="1"/>
        <w:rPr>
          <w:rFonts w:hint="eastAsia"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487.22</w:t>
      </w:r>
      <w:r>
        <w:rPr>
          <w:rFonts w:hint="eastAsia" w:eastAsia="仿宋_GB2312" w:cs="仿宋_GB2312"/>
          <w:sz w:val="32"/>
          <w:szCs w:val="32"/>
        </w:rPr>
        <w:t>万元。与2023年度相比，收入、支出总计各减少65.34万元，下降11.82%。主要变动原因是本年度学生人数减少，导致财政匹配公用经费减少；上年度项目完成，本年度项目资金减少。综上本年度经费减少。</w:t>
      </w:r>
    </w:p>
    <w:p w14:paraId="413ACD98">
      <w:pPr>
        <w:pStyle w:val="29"/>
        <w:ind w:left="0" w:leftChars="0" w:firstLine="0" w:firstLineChars="0"/>
        <w:jc w:val="center"/>
        <w:outlineLvl w:val="1"/>
        <w:rPr>
          <w:rFonts w:eastAsia="仿宋_GB2312" w:cs="仿宋_GB2312"/>
          <w:sz w:val="32"/>
          <w:szCs w:val="32"/>
        </w:rPr>
      </w:pPr>
      <w:r>
        <w:drawing>
          <wp:inline distT="0" distB="0" distL="0" distR="0">
            <wp:extent cx="3857625" cy="2724150"/>
            <wp:effectExtent l="0" t="0" r="9525"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D354D4">
      <w:pPr>
        <w:ind w:left="0" w:leftChars="0" w:firstLine="0" w:firstLineChars="0"/>
        <w:jc w:val="center"/>
        <w:rPr>
          <w:rFonts w:eastAsia="仿宋_GB2312" w:cs="仿宋_GB2312"/>
          <w:sz w:val="32"/>
          <w:szCs w:val="32"/>
        </w:rPr>
      </w:pPr>
      <w:r>
        <w:rPr>
          <w:rFonts w:hint="eastAsia" w:eastAsia="仿宋_GB2312" w:cs="仿宋_GB2312"/>
          <w:sz w:val="32"/>
          <w:szCs w:val="32"/>
        </w:rPr>
        <w:t>（图1：收入、支出决算总计变动情况图）</w:t>
      </w:r>
    </w:p>
    <w:p w14:paraId="17C5BB12">
      <w:pPr>
        <w:ind w:firstLine="640" w:firstLineChars="200"/>
        <w:rPr>
          <w:rFonts w:eastAsia="仿宋_GB2312" w:cs="仿宋_GB2312"/>
          <w:sz w:val="32"/>
          <w:szCs w:val="32"/>
        </w:rPr>
      </w:pPr>
    </w:p>
    <w:p w14:paraId="4A428B75">
      <w:pPr>
        <w:pStyle w:val="29"/>
        <w:spacing w:line="600" w:lineRule="exact"/>
        <w:ind w:firstLine="640"/>
        <w:outlineLvl w:val="1"/>
        <w:rPr>
          <w:rFonts w:eastAsia="黑体"/>
          <w:sz w:val="32"/>
          <w:szCs w:val="32"/>
        </w:rPr>
      </w:pPr>
      <w:bookmarkStart w:id="20" w:name="_Toc15396604"/>
      <w:bookmarkStart w:id="21" w:name="_Toc15377206"/>
      <w:r>
        <w:rPr>
          <w:rFonts w:hint="eastAsia" w:eastAsia="黑体"/>
          <w:sz w:val="32"/>
          <w:szCs w:val="32"/>
        </w:rPr>
        <w:t>二、收入决算情况说明</w:t>
      </w:r>
      <w:bookmarkEnd w:id="20"/>
      <w:bookmarkEnd w:id="21"/>
    </w:p>
    <w:p w14:paraId="2159BF67">
      <w:pPr>
        <w:pStyle w:val="29"/>
        <w:spacing w:line="600" w:lineRule="exact"/>
        <w:ind w:firstLine="640"/>
        <w:jc w:val="left"/>
        <w:outlineLvl w:val="1"/>
        <w:rPr>
          <w:rFonts w:hint="eastAsia" w:eastAsia="仿宋_GB2312" w:cs="仿宋_GB2312"/>
          <w:b/>
          <w:bCs/>
          <w:sz w:val="32"/>
          <w:szCs w:val="32"/>
        </w:rPr>
      </w:pPr>
      <w:r>
        <w:rPr>
          <w:rFonts w:hint="eastAsia" w:ascii="仿宋_GB2312" w:hAnsi="仿宋_GB2312" w:eastAsia="仿宋_GB2312" w:cs="仿宋_GB2312"/>
          <w:sz w:val="32"/>
          <w:szCs w:val="32"/>
        </w:rPr>
        <w:t>2024年度本年收入合计487.22万元，其中：一般公共预算财政拨款收入439万元，占90.11%；其他收入48.22万元，占9.89%。</w:t>
      </w:r>
    </w:p>
    <w:p w14:paraId="6F6E2860">
      <w:pPr>
        <w:pStyle w:val="29"/>
        <w:ind w:left="0" w:leftChars="0" w:firstLine="0" w:firstLineChars="0"/>
        <w:jc w:val="center"/>
        <w:outlineLvl w:val="1"/>
        <w:rPr>
          <w:rFonts w:eastAsia="仿宋_GB2312" w:cs="仿宋_GB2312"/>
          <w:b/>
          <w:bCs/>
          <w:sz w:val="32"/>
          <w:szCs w:val="32"/>
        </w:rPr>
      </w:pPr>
      <w:r>
        <w:drawing>
          <wp:inline distT="0" distB="0" distL="114300" distR="114300">
            <wp:extent cx="4274185" cy="3476625"/>
            <wp:effectExtent l="4445" t="4445" r="7620" b="508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72B6FB">
      <w:pPr>
        <w:ind w:left="0" w:leftChars="0" w:firstLine="0" w:firstLineChars="0"/>
        <w:jc w:val="center"/>
        <w:rPr>
          <w:rFonts w:eastAsia="仿宋_GB2312" w:cs="仿宋_GB2312"/>
          <w:sz w:val="32"/>
          <w:szCs w:val="32"/>
        </w:rPr>
      </w:pPr>
      <w:r>
        <w:rPr>
          <w:rFonts w:hint="eastAsia" w:eastAsia="仿宋_GB2312" w:cs="仿宋_GB2312"/>
          <w:sz w:val="32"/>
          <w:szCs w:val="32"/>
        </w:rPr>
        <w:t>（图2：收入决算结构图）</w:t>
      </w:r>
    </w:p>
    <w:p w14:paraId="4FA6E759">
      <w:pPr>
        <w:ind w:firstLine="800" w:firstLineChars="250"/>
        <w:rPr>
          <w:rFonts w:eastAsia="仿宋_GB2312" w:cs="仿宋_GB2312"/>
          <w:sz w:val="32"/>
          <w:szCs w:val="32"/>
        </w:rPr>
      </w:pPr>
    </w:p>
    <w:p w14:paraId="2E9E515B">
      <w:pPr>
        <w:pStyle w:val="29"/>
        <w:spacing w:line="600" w:lineRule="exact"/>
        <w:ind w:firstLine="640"/>
        <w:outlineLvl w:val="1"/>
        <w:rPr>
          <w:rStyle w:val="31"/>
          <w:rFonts w:ascii="Times New Roman" w:hAnsi="Times New Roman" w:eastAsia="黑体"/>
          <w:b w:val="0"/>
        </w:rPr>
      </w:pPr>
      <w:bookmarkStart w:id="22" w:name="_Toc15396605"/>
      <w:bookmarkStart w:id="23" w:name="_Toc15377207"/>
      <w:r>
        <w:rPr>
          <w:rFonts w:hint="eastAsia" w:eastAsia="黑体"/>
          <w:sz w:val="32"/>
          <w:szCs w:val="32"/>
        </w:rPr>
        <w:t>三、支</w:t>
      </w:r>
      <w:r>
        <w:rPr>
          <w:rStyle w:val="31"/>
          <w:rFonts w:hint="eastAsia" w:ascii="Times New Roman" w:hAnsi="Times New Roman" w:eastAsia="黑体"/>
          <w:b w:val="0"/>
        </w:rPr>
        <w:t>出决算情况说明</w:t>
      </w:r>
      <w:bookmarkEnd w:id="22"/>
      <w:bookmarkEnd w:id="23"/>
    </w:p>
    <w:p w14:paraId="422F9CC1">
      <w:pPr>
        <w:pStyle w:val="29"/>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2024年度本年支出合计477.6万元，其中：基本支出312.68万元，占65.4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%；项目支出164.92万元，占34.5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2B59555A">
      <w:pPr>
        <w:pStyle w:val="29"/>
        <w:ind w:left="0" w:leftChars="0" w:firstLine="0" w:firstLineChars="0"/>
        <w:jc w:val="center"/>
        <w:outlineLvl w:val="1"/>
        <w:rPr>
          <w:rFonts w:eastAsia="仿宋_GB2312" w:cs="仿宋_GB2312"/>
          <w:sz w:val="32"/>
          <w:szCs w:val="32"/>
        </w:rPr>
      </w:pPr>
      <w:r>
        <w:drawing>
          <wp:inline distT="0" distB="0" distL="0" distR="0">
            <wp:extent cx="3439160" cy="3588385"/>
            <wp:effectExtent l="4445" t="4445" r="23495"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1B3FA10">
      <w:pPr>
        <w:ind w:left="0" w:leftChars="0" w:firstLine="0" w:firstLineChars="0"/>
        <w:jc w:val="center"/>
        <w:rPr>
          <w:rFonts w:eastAsia="仿宋_GB2312" w:cs="仿宋_GB2312"/>
          <w:sz w:val="32"/>
          <w:szCs w:val="32"/>
        </w:rPr>
      </w:pPr>
      <w:r>
        <w:rPr>
          <w:rFonts w:hint="eastAsia" w:eastAsia="仿宋_GB2312" w:cs="仿宋_GB2312"/>
          <w:sz w:val="32"/>
          <w:szCs w:val="32"/>
        </w:rPr>
        <w:t>（图3：支出决算结构图）（饼状图）</w:t>
      </w:r>
    </w:p>
    <w:p w14:paraId="6D9C3257">
      <w:pPr>
        <w:ind w:firstLine="800" w:firstLineChars="250"/>
        <w:rPr>
          <w:rFonts w:eastAsia="仿宋_GB2312" w:cs="仿宋_GB2312"/>
          <w:sz w:val="32"/>
          <w:szCs w:val="32"/>
        </w:rPr>
      </w:pPr>
    </w:p>
    <w:p w14:paraId="4B9B594C">
      <w:pPr>
        <w:spacing w:line="600" w:lineRule="exact"/>
        <w:ind w:firstLine="640" w:firstLineChars="200"/>
        <w:outlineLvl w:val="1"/>
        <w:rPr>
          <w:rStyle w:val="31"/>
          <w:rFonts w:ascii="Times New Roman" w:hAnsi="Times New Roman" w:eastAsia="黑体"/>
          <w:b w:val="0"/>
        </w:rPr>
      </w:pPr>
      <w:bookmarkStart w:id="24" w:name="_Toc15396606"/>
      <w:bookmarkStart w:id="25" w:name="_Toc15377208"/>
      <w:r>
        <w:rPr>
          <w:rFonts w:hint="eastAsia" w:eastAsia="黑体"/>
          <w:sz w:val="32"/>
          <w:szCs w:val="32"/>
        </w:rPr>
        <w:t>四、财</w:t>
      </w:r>
      <w:r>
        <w:rPr>
          <w:rStyle w:val="31"/>
          <w:rFonts w:hint="eastAsia" w:ascii="Times New Roman" w:hAnsi="Times New Roman" w:eastAsia="黑体"/>
          <w:b w:val="0"/>
        </w:rPr>
        <w:t>政拨款收入支出决算总体情况说明</w:t>
      </w:r>
      <w:bookmarkEnd w:id="24"/>
      <w:bookmarkEnd w:id="25"/>
    </w:p>
    <w:p w14:paraId="7A8FEAF7">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439</w:t>
      </w:r>
      <w:r>
        <w:rPr>
          <w:rFonts w:hint="eastAsia" w:eastAsia="仿宋_GB2312" w:cs="仿宋_GB2312"/>
          <w:sz w:val="32"/>
          <w:szCs w:val="32"/>
        </w:rPr>
        <w:t>万元。与2023年度相比，财政拨款收入总计、支出总计各减少113.56万元，下降20.55%。主要变动原因是本年度学生人数减少，导致财政匹配公用经费减少；上年度项目完成，本年度项目资金减少。综上本年度经费减少。</w:t>
      </w:r>
    </w:p>
    <w:p w14:paraId="732F47D1">
      <w:pPr>
        <w:pStyle w:val="2"/>
        <w:ind w:left="0" w:leftChars="0" w:firstLine="0" w:firstLineChars="0"/>
        <w:jc w:val="center"/>
      </w:pPr>
      <w:r>
        <w:drawing>
          <wp:inline distT="0" distB="0" distL="0" distR="0">
            <wp:extent cx="5143500" cy="3854450"/>
            <wp:effectExtent l="4445" t="4445" r="14605" b="825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BE057A">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（图4：财政拨款收、支决算总计变动情况）</w:t>
      </w:r>
    </w:p>
    <w:p w14:paraId="09FB9919">
      <w:pPr>
        <w:spacing w:line="600" w:lineRule="exact"/>
        <w:ind w:firstLine="640"/>
        <w:rPr>
          <w:rFonts w:eastAsia="仿宋_GB2312" w:cs="仿宋_GB2312"/>
          <w:sz w:val="32"/>
          <w:szCs w:val="32"/>
        </w:rPr>
      </w:pPr>
    </w:p>
    <w:p w14:paraId="26D46BDB">
      <w:pPr>
        <w:spacing w:line="600" w:lineRule="exact"/>
        <w:ind w:firstLine="640" w:firstLineChars="200"/>
        <w:outlineLvl w:val="1"/>
        <w:rPr>
          <w:rStyle w:val="31"/>
          <w:rFonts w:ascii="Times New Roman" w:hAnsi="Times New Roman" w:eastAsia="黑体"/>
          <w:b w:val="0"/>
        </w:rPr>
      </w:pPr>
      <w:bookmarkStart w:id="26" w:name="_Toc15396607"/>
      <w:bookmarkStart w:id="27" w:name="_Toc15377209"/>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6"/>
      <w:bookmarkEnd w:id="27"/>
    </w:p>
    <w:p w14:paraId="37B2035C">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3490C546">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439万元，占本年支出合计的91.91%。与2023年度相比，一般公共预算财政拨款支出减少113.56万元，下降20.55%。主要变动原因是本年度学生人数减少，导致财政匹配公用经费减少；上年度项目完成，本年度项目资金减少。综上本年度经费减少。</w:t>
      </w:r>
    </w:p>
    <w:p w14:paraId="07E515B4">
      <w:pPr>
        <w:pStyle w:val="2"/>
        <w:ind w:left="0" w:leftChars="0" w:firstLine="0" w:firstLineChars="0"/>
        <w:jc w:val="center"/>
      </w:pPr>
      <w:r>
        <w:drawing>
          <wp:inline distT="0" distB="0" distL="0" distR="0">
            <wp:extent cx="5058410" cy="3472815"/>
            <wp:effectExtent l="4445" t="4445" r="23495" b="88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1A0CAA">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（图5：一般公共预算财政拨款支出决算变动情况）</w:t>
      </w:r>
    </w:p>
    <w:p w14:paraId="1B19FD83">
      <w:pPr>
        <w:spacing w:line="600" w:lineRule="exact"/>
        <w:ind w:firstLine="640"/>
        <w:rPr>
          <w:rFonts w:eastAsia="仿宋_GB2312" w:cs="仿宋_GB2312"/>
          <w:sz w:val="32"/>
          <w:szCs w:val="32"/>
        </w:rPr>
      </w:pPr>
    </w:p>
    <w:p w14:paraId="46934232">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67D990CE">
      <w:pPr>
        <w:spacing w:line="600" w:lineRule="exact"/>
        <w:ind w:firstLine="640"/>
        <w:rPr>
          <w:rFonts w:hint="eastAsia"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439万元</w:t>
      </w:r>
      <w:r>
        <w:rPr>
          <w:rFonts w:hint="eastAsia" w:eastAsia="仿宋_GB2312" w:cs="仿宋_GB2312"/>
          <w:sz w:val="32"/>
          <w:szCs w:val="32"/>
        </w:rPr>
        <w:t>，主要用于以下方面：教育支出357.9万元，占81.52%；社会保障和就业支出39.32万元，占8.96%；卫生健康支出15.61万元，占3.56%；住房保障支出26.17万元，占5.96%。</w:t>
      </w:r>
    </w:p>
    <w:p w14:paraId="3D3CD64C">
      <w:pPr>
        <w:pStyle w:val="2"/>
        <w:ind w:left="0" w:leftChars="0" w:firstLine="0" w:firstLineChars="0"/>
        <w:jc w:val="center"/>
      </w:pPr>
      <w:r>
        <w:drawing>
          <wp:inline distT="0" distB="0" distL="114300" distR="114300">
            <wp:extent cx="4653915" cy="3549650"/>
            <wp:effectExtent l="4445" t="4445" r="8890" b="825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F097CE9">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（图6：一般公共预算财政拨款支出决算结构）</w:t>
      </w:r>
    </w:p>
    <w:p w14:paraId="22284B97">
      <w:pPr>
        <w:spacing w:line="600" w:lineRule="exact"/>
        <w:ind w:firstLine="640"/>
        <w:rPr>
          <w:rFonts w:eastAsia="仿宋_GB2312" w:cs="仿宋_GB2312"/>
          <w:sz w:val="32"/>
          <w:szCs w:val="32"/>
        </w:rPr>
      </w:pPr>
    </w:p>
    <w:p w14:paraId="31DAE0B6">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27FD2A84">
      <w:pPr>
        <w:spacing w:line="600" w:lineRule="exact"/>
        <w:ind w:firstLine="640"/>
        <w:rPr>
          <w:rFonts w:eastAsia="仿宋_GB2312" w:cs="仿宋_GB2312"/>
          <w:sz w:val="32"/>
          <w:szCs w:val="32"/>
        </w:rPr>
      </w:pPr>
      <w:bookmarkStart w:id="31" w:name="_Toc15377444"/>
      <w:bookmarkStart w:id="32" w:name="_Toc15377213"/>
      <w:bookmarkStart w:id="33"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439，</w:t>
      </w:r>
      <w:r>
        <w:rPr>
          <w:rFonts w:hint="eastAsia" w:eastAsia="仿宋_GB2312" w:cs="仿宋_GB2312"/>
          <w:sz w:val="32"/>
          <w:szCs w:val="32"/>
        </w:rPr>
        <w:t>完成预算100%。其中：</w:t>
      </w:r>
      <w:bookmarkEnd w:id="31"/>
      <w:bookmarkEnd w:id="32"/>
      <w:bookmarkEnd w:id="33"/>
    </w:p>
    <w:p w14:paraId="01374750">
      <w:pPr>
        <w:spacing w:line="600" w:lineRule="exact"/>
        <w:ind w:firstLine="640"/>
        <w:rPr>
          <w:rFonts w:hint="eastAsia" w:eastAsia="仿宋_GB2312" w:cs="仿宋_GB2312"/>
          <w:sz w:val="32"/>
          <w:szCs w:val="32"/>
        </w:rPr>
      </w:pPr>
      <w:r>
        <w:rPr>
          <w:rFonts w:hint="eastAsia" w:eastAsia="仿宋_GB2312" w:cs="仿宋_GB2312"/>
          <w:sz w:val="32"/>
          <w:szCs w:val="32"/>
        </w:rPr>
        <w:t>1. 教育支出205(类)普通教育02(款)学前教育01(款)：支出决算为349.33万元，完成预算100%。</w:t>
      </w:r>
    </w:p>
    <w:p w14:paraId="4C0DFD5A">
      <w:pPr>
        <w:spacing w:line="600" w:lineRule="exact"/>
        <w:ind w:firstLine="640"/>
        <w:rPr>
          <w:rFonts w:eastAsia="仿宋_GB2312" w:cs="仿宋_GB2312"/>
          <w:sz w:val="32"/>
          <w:szCs w:val="32"/>
        </w:rPr>
      </w:pPr>
      <w:r>
        <w:rPr>
          <w:rFonts w:hint="eastAsia" w:eastAsia="仿宋_GB2312" w:cs="仿宋_GB2312"/>
          <w:sz w:val="32"/>
          <w:szCs w:val="32"/>
        </w:rPr>
        <w:t>2. 教育支出205(类)普通教育02(款)其他普通教育支出99(款)：支出决算为8.57万元，完成预算100%。</w:t>
      </w:r>
    </w:p>
    <w:p w14:paraId="59FDAFC2">
      <w:pPr>
        <w:spacing w:line="600" w:lineRule="exact"/>
        <w:ind w:firstLine="640"/>
        <w:rPr>
          <w:rFonts w:eastAsia="仿宋_GB2312" w:cs="仿宋_GB2312"/>
          <w:sz w:val="32"/>
          <w:szCs w:val="32"/>
        </w:rPr>
      </w:pPr>
      <w:r>
        <w:rPr>
          <w:rFonts w:hint="eastAsia" w:eastAsia="仿宋_GB2312" w:cs="仿宋_GB2312"/>
          <w:sz w:val="32"/>
          <w:szCs w:val="32"/>
        </w:rPr>
        <w:t>3. 社会保障和就业支出208(类)行政事业单位养老支出05(款)机关事业单位基本养老保险缴费支出05(款)：支出决算为36.25万元，完成预算100%。</w:t>
      </w:r>
    </w:p>
    <w:p w14:paraId="374C3428">
      <w:pPr>
        <w:spacing w:line="600" w:lineRule="exact"/>
        <w:ind w:firstLine="640"/>
        <w:rPr>
          <w:rFonts w:eastAsia="仿宋_GB2312" w:cs="仿宋_GB2312"/>
          <w:sz w:val="32"/>
          <w:szCs w:val="32"/>
        </w:rPr>
      </w:pPr>
      <w:r>
        <w:rPr>
          <w:rFonts w:hint="eastAsia" w:eastAsia="仿宋_GB2312" w:cs="仿宋_GB2312"/>
          <w:sz w:val="32"/>
          <w:szCs w:val="32"/>
        </w:rPr>
        <w:t>4. 社会保障和就业支出208(类)其他社会保障和就业支出99(款)其他社会保障和就业支出99(款)：支出决算为3.07万元，完成预算100%。</w:t>
      </w:r>
    </w:p>
    <w:p w14:paraId="36C9BB4D">
      <w:pPr>
        <w:spacing w:line="600" w:lineRule="exact"/>
        <w:ind w:firstLine="640"/>
        <w:rPr>
          <w:rFonts w:eastAsia="仿宋_GB2312" w:cs="仿宋_GB2312"/>
          <w:sz w:val="32"/>
          <w:szCs w:val="32"/>
        </w:rPr>
      </w:pPr>
      <w:r>
        <w:rPr>
          <w:rFonts w:hint="eastAsia" w:eastAsia="仿宋_GB2312" w:cs="仿宋_GB2312"/>
          <w:sz w:val="32"/>
          <w:szCs w:val="32"/>
        </w:rPr>
        <w:t>5. 卫生健康支出210(类)行政事业单位医疗11(款)事业单位医疗02(款)：支出决算为15.61万元，完成预算100%。</w:t>
      </w:r>
    </w:p>
    <w:p w14:paraId="0821B112">
      <w:pPr>
        <w:spacing w:line="600" w:lineRule="exact"/>
        <w:ind w:firstLine="640"/>
        <w:rPr>
          <w:rFonts w:hint="eastAsia" w:eastAsia="仿宋_GB2312" w:cs="仿宋_GB2312"/>
          <w:sz w:val="32"/>
          <w:szCs w:val="32"/>
        </w:rPr>
      </w:pPr>
      <w:r>
        <w:rPr>
          <w:rFonts w:hint="eastAsia" w:eastAsia="仿宋_GB2312" w:cs="仿宋_GB2312"/>
          <w:sz w:val="32"/>
          <w:szCs w:val="32"/>
        </w:rPr>
        <w:t>6. 住房保障支出221(类)住房改革支出02(款)住房公积金01(款)：支出决算为26.17万元，完成预算100%。</w:t>
      </w:r>
    </w:p>
    <w:p w14:paraId="7AFDE07D">
      <w:pPr>
        <w:spacing w:line="600" w:lineRule="exact"/>
        <w:ind w:firstLine="640"/>
        <w:rPr>
          <w:rFonts w:eastAsia="仿宋_GB2312" w:cs="仿宋_GB2312"/>
          <w:sz w:val="32"/>
          <w:szCs w:val="32"/>
        </w:rPr>
      </w:pPr>
    </w:p>
    <w:p w14:paraId="68EDF792">
      <w:pPr>
        <w:tabs>
          <w:tab w:val="right" w:pos="8306"/>
        </w:tabs>
        <w:spacing w:line="600" w:lineRule="exact"/>
        <w:ind w:firstLine="640"/>
        <w:outlineLvl w:val="1"/>
        <w:rPr>
          <w:rStyle w:val="31"/>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4"/>
      <w:bookmarkEnd w:id="35"/>
      <w:r>
        <w:rPr>
          <w:rStyle w:val="31"/>
          <w:rFonts w:ascii="Times New Roman" w:hAnsi="Times New Roman" w:eastAsia="黑体"/>
          <w:b w:val="0"/>
        </w:rPr>
        <w:tab/>
      </w:r>
    </w:p>
    <w:p w14:paraId="7884C52C">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312.68万</w:t>
      </w:r>
      <w:r>
        <w:rPr>
          <w:rFonts w:hint="eastAsia" w:eastAsia="仿宋_GB2312" w:cs="仿宋_GB2312"/>
          <w:sz w:val="32"/>
          <w:szCs w:val="32"/>
        </w:rPr>
        <w:t>元，其中：</w:t>
      </w:r>
    </w:p>
    <w:p w14:paraId="532B6667">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304.12万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8.56万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1B08801">
      <w:pPr>
        <w:spacing w:line="600" w:lineRule="exact"/>
        <w:ind w:firstLine="640"/>
        <w:rPr>
          <w:rFonts w:eastAsia="仿宋_GB2312" w:cs="仿宋_GB2312"/>
          <w:sz w:val="32"/>
          <w:szCs w:val="32"/>
        </w:rPr>
      </w:pPr>
    </w:p>
    <w:p w14:paraId="496A0FB1">
      <w:pPr>
        <w:spacing w:line="600" w:lineRule="exact"/>
        <w:ind w:firstLine="640"/>
        <w:outlineLvl w:val="1"/>
        <w:rPr>
          <w:rStyle w:val="31"/>
          <w:rFonts w:ascii="Times New Roman" w:hAnsi="Times New Roman" w:eastAsia="黑体"/>
          <w:b w:val="0"/>
          <w:color w:val="auto"/>
          <w:highlight w:val="none"/>
        </w:rPr>
      </w:pPr>
      <w:bookmarkStart w:id="36" w:name="_Toc15396609"/>
      <w:bookmarkStart w:id="37" w:name="_Toc15377215"/>
      <w:bookmarkStart w:id="38" w:name="_Toc15396610"/>
      <w:bookmarkStart w:id="39" w:name="_Toc15377218"/>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14:paraId="797E12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7D23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66DF22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5C511E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444B9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30AD385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27BFA0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98191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996E8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57D40A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12E0F6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12BD3CB3">
      <w:pPr>
        <w:pStyle w:val="2"/>
      </w:pPr>
    </w:p>
    <w:p w14:paraId="204BC476">
      <w:pPr>
        <w:spacing w:line="600" w:lineRule="exact"/>
        <w:ind w:firstLine="640"/>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38"/>
      <w:bookmarkEnd w:id="39"/>
    </w:p>
    <w:p w14:paraId="1D49DE4F">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2024年度政府性基金预算财政拨款支出0万元，占本年支出合计的0%</w:t>
      </w:r>
      <w:r>
        <w:rPr>
          <w:rFonts w:hint="eastAsia" w:eastAsia="仿宋_GB2312" w:cs="仿宋_GB2312"/>
          <w:sz w:val="32"/>
          <w:szCs w:val="32"/>
        </w:rPr>
        <w:t>。与2023年度决算数持平。</w:t>
      </w:r>
    </w:p>
    <w:p w14:paraId="00453B3F">
      <w:pPr>
        <w:spacing w:line="600" w:lineRule="exact"/>
        <w:ind w:firstLine="640"/>
        <w:rPr>
          <w:rFonts w:eastAsia="仿宋_GB2312" w:cs="仿宋_GB2312"/>
          <w:sz w:val="32"/>
          <w:szCs w:val="32"/>
        </w:rPr>
      </w:pPr>
    </w:p>
    <w:p w14:paraId="3A79E16A">
      <w:pPr>
        <w:spacing w:line="600" w:lineRule="exact"/>
        <w:ind w:left="630"/>
        <w:outlineLvl w:val="1"/>
        <w:rPr>
          <w:rStyle w:val="31"/>
          <w:rFonts w:ascii="Times New Roman" w:hAnsi="Times New Roman" w:eastAsia="黑体"/>
          <w:b w:val="0"/>
        </w:rPr>
      </w:pPr>
      <w:bookmarkStart w:id="42" w:name="_Toc15377219"/>
      <w:bookmarkStart w:id="43" w:name="_Toc15396611"/>
      <w:r>
        <w:rPr>
          <w:rStyle w:val="31"/>
          <w:rFonts w:hint="eastAsia" w:ascii="Times New Roman" w:hAnsi="Times New Roman" w:eastAsia="黑体"/>
          <w:b w:val="0"/>
        </w:rPr>
        <w:t>九、国有资本经营预算支出决算情况说明</w:t>
      </w:r>
      <w:bookmarkEnd w:id="42"/>
      <w:bookmarkEnd w:id="43"/>
    </w:p>
    <w:p w14:paraId="24BC87EB">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。与2023年度决算数持平。</w:t>
      </w:r>
    </w:p>
    <w:p w14:paraId="6C2C1997">
      <w:pPr>
        <w:spacing w:line="600" w:lineRule="exact"/>
        <w:ind w:firstLine="640"/>
        <w:rPr>
          <w:rFonts w:eastAsia="仿宋_GB2312" w:cs="仿宋_GB2312"/>
          <w:sz w:val="32"/>
          <w:szCs w:val="32"/>
        </w:rPr>
      </w:pPr>
    </w:p>
    <w:p w14:paraId="271C3D1F">
      <w:pPr>
        <w:spacing w:line="600" w:lineRule="exact"/>
        <w:ind w:left="630"/>
        <w:outlineLvl w:val="1"/>
        <w:rPr>
          <w:rStyle w:val="31"/>
          <w:rFonts w:ascii="Times New Roman" w:hAnsi="Times New Roman" w:eastAsia="黑体"/>
          <w:b w:val="0"/>
        </w:rPr>
      </w:pPr>
      <w:bookmarkStart w:id="44" w:name="_Toc15396612"/>
      <w:bookmarkStart w:id="45" w:name="_Toc15377221"/>
      <w:r>
        <w:rPr>
          <w:rStyle w:val="31"/>
          <w:rFonts w:hint="eastAsia" w:ascii="Times New Roman" w:hAnsi="Times New Roman" w:eastAsia="黑体"/>
          <w:b w:val="0"/>
        </w:rPr>
        <w:t>十、其他重要事项的情况说明</w:t>
      </w:r>
      <w:bookmarkEnd w:id="44"/>
      <w:bookmarkEnd w:id="45"/>
    </w:p>
    <w:p w14:paraId="46EC53E9">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2F665DF9">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，遂宁市安居区第一幼儿园机关运行经费支出0万</w:t>
      </w:r>
      <w:r>
        <w:rPr>
          <w:rFonts w:hint="eastAsia" w:eastAsia="仿宋_GB2312" w:cs="仿宋_GB2312"/>
          <w:sz w:val="32"/>
          <w:szCs w:val="32"/>
        </w:rPr>
        <w:t>元。与2023年度决算数持平。</w:t>
      </w:r>
    </w:p>
    <w:p w14:paraId="45C8CFCE">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3D9A8B6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遂宁市安居区第一幼儿园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06E10CB">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750192DA">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截至2024年12月31日，遂宁市安居区第一幼儿园共有车辆0辆，其中：主要负责人用车0辆、机要通信用车0辆、应急保障用车0辆、其他用车0辆。单价100万元（含）以上设备（不含车辆）0台（套）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1B685527">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3926AD7D">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根据预算绩效管理要求，本单位在2024年度预算编制阶段，组织对幼儿保教费、幼儿资助及幼儿发展资金、区级名师工程建设、2021年支持学前教育发展专项</w:t>
      </w:r>
      <w:bookmarkStart w:id="70" w:name="_GoBack"/>
      <w:bookmarkEnd w:id="70"/>
      <w:r>
        <w:rPr>
          <w:rFonts w:hint="eastAsia" w:eastAsia="仿宋_GB2312" w:cs="仿宋_GB2312"/>
          <w:sz w:val="32"/>
          <w:szCs w:val="32"/>
        </w:rPr>
        <w:t>资金（激励奖补）、幼儿资助及幼儿发展补助资金（省市区级）等</w:t>
      </w:r>
      <w:r>
        <w:rPr>
          <w:rFonts w:hint="eastAsia" w:eastAsia="仿宋_GB2312" w:cs="仿宋_GB2312"/>
          <w:sz w:val="32"/>
          <w:szCs w:val="32"/>
          <w:lang w:val="en-US" w:eastAsia="zh-CN"/>
        </w:rPr>
        <w:t>5</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5</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5</w:t>
      </w:r>
      <w:r>
        <w:rPr>
          <w:rFonts w:hint="eastAsia" w:eastAsia="仿宋_GB2312" w:cs="仿宋_GB2312"/>
          <w:sz w:val="32"/>
          <w:szCs w:val="32"/>
        </w:rPr>
        <w:t>个项目开展绩效监控。</w:t>
      </w:r>
    </w:p>
    <w:p w14:paraId="5DFA288D">
      <w:pPr>
        <w:spacing w:line="600" w:lineRule="exact"/>
        <w:ind w:firstLine="640"/>
        <w:rPr>
          <w:rFonts w:hint="eastAsia"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2024年我单位部门整体（含部门预算项目）绩效自评报告，幼儿保教费、幼儿资助及幼儿发展资金、区级名师工程建设、2021年支持学前教育发展专项资金（激励奖补）、幼儿资助及幼儿发展补助资金（省市区级）等预算项目绩效自评报告。其中，2024年我单位部门整体（含部门预算项目）绩效自评得分为9</w:t>
      </w:r>
      <w:r>
        <w:rPr>
          <w:rFonts w:hint="eastAsia" w:eastAsia="仿宋_GB2312" w:cs="仿宋_GB2312"/>
          <w:sz w:val="32"/>
          <w:szCs w:val="32"/>
          <w:lang w:val="en-US" w:eastAsia="zh-CN"/>
        </w:rPr>
        <w:t>6</w:t>
      </w:r>
      <w:r>
        <w:rPr>
          <w:rFonts w:hint="eastAsia" w:eastAsia="仿宋_GB2312" w:cs="仿宋_GB2312"/>
          <w:sz w:val="32"/>
          <w:szCs w:val="32"/>
        </w:rPr>
        <w:t>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幼儿保教费预算项目绩效自评得分为100分，绩效自评综述保障了学校家庭经济困难学生正常入学，减轻其家庭经济负担。幼儿资助及幼儿发展资金预算项目绩效自评得分为100分，绩效自评综述保障了学校家庭经济困难学生正常入学，减轻其家庭经济负担，促进学校健康发展。区级名师工程建设预算项目绩效自评得分为100分，绩效自评综述严格执行相关政策，保障资金及时、合规、足额支付到位，减少结余资金。2021年支持学前教育发展专项资金（激励奖补）预算项目绩效自评得分为100分，绩效自评综述严格执行预算，及时申请支付资金，促进学校健康发展。幼儿资助及幼儿发展补助资金（省市区级）预算项目绩效自评得分为100分，绩效自评综述保障了学校家庭经济困难学生正常入学，减轻其家庭经济负担，促进学校健康发展。</w:t>
      </w:r>
    </w:p>
    <w:p w14:paraId="655B4168">
      <w:pPr>
        <w:spacing w:line="600" w:lineRule="exact"/>
        <w:ind w:firstLine="640"/>
        <w:rPr>
          <w:rFonts w:eastAsia="黑体"/>
          <w:sz w:val="44"/>
          <w:szCs w:val="44"/>
        </w:rPr>
      </w:pPr>
      <w:r>
        <w:rPr>
          <w:rFonts w:hint="eastAsia" w:eastAsia="仿宋_GB2312" w:cs="仿宋_GB2312"/>
          <w:sz w:val="32"/>
          <w:szCs w:val="32"/>
        </w:rPr>
        <w:t>绩效自评表详见第四部分附件。</w:t>
      </w:r>
      <w:bookmarkStart w:id="49" w:name="_Toc15396613"/>
      <w:bookmarkStart w:id="50" w:name="_Toc15377225"/>
      <w:r>
        <w:rPr>
          <w:rFonts w:eastAsia="黑体"/>
          <w:sz w:val="44"/>
          <w:szCs w:val="44"/>
        </w:rPr>
        <w:br w:type="page"/>
      </w:r>
    </w:p>
    <w:p w14:paraId="61C76002">
      <w:pPr>
        <w:spacing w:line="600" w:lineRule="exact"/>
        <w:jc w:val="center"/>
        <w:outlineLvl w:val="0"/>
        <w:rPr>
          <w:rFonts w:eastAsia="黑体"/>
          <w:sz w:val="44"/>
          <w:szCs w:val="44"/>
        </w:rPr>
      </w:pPr>
      <w:r>
        <w:rPr>
          <w:rFonts w:hint="eastAsia" w:eastAsia="黑体"/>
          <w:sz w:val="44"/>
          <w:szCs w:val="44"/>
        </w:rPr>
        <w:t>第三部分  名词解释</w:t>
      </w:r>
      <w:bookmarkEnd w:id="49"/>
      <w:bookmarkEnd w:id="50"/>
    </w:p>
    <w:p w14:paraId="5F254AB8">
      <w:pPr>
        <w:spacing w:line="600" w:lineRule="exact"/>
        <w:jc w:val="left"/>
        <w:rPr>
          <w:b/>
          <w:sz w:val="44"/>
          <w:szCs w:val="44"/>
        </w:rPr>
      </w:pPr>
    </w:p>
    <w:p w14:paraId="2E621A9E">
      <w:pPr>
        <w:spacing w:line="600" w:lineRule="exact"/>
        <w:ind w:firstLine="640"/>
        <w:rPr>
          <w:rFonts w:hint="eastAsia" w:eastAsia="仿宋_GB2312" w:cs="仿宋_GB2312"/>
          <w:sz w:val="32"/>
          <w:szCs w:val="32"/>
        </w:rPr>
      </w:pPr>
      <w:r>
        <w:rPr>
          <w:rFonts w:hint="eastAsia" w:eastAsia="仿宋_GB2312" w:cs="仿宋_GB2312"/>
          <w:sz w:val="32"/>
          <w:szCs w:val="32"/>
        </w:rPr>
        <w:t>1.财政拨款收入：指单位从同级财政部门取得的财政预算资金。</w:t>
      </w:r>
    </w:p>
    <w:p w14:paraId="3CC55E0D">
      <w:pPr>
        <w:spacing w:line="600" w:lineRule="exact"/>
        <w:ind w:firstLine="640"/>
        <w:rPr>
          <w:rFonts w:hint="eastAsia" w:eastAsia="仿宋_GB2312" w:cs="仿宋_GB2312"/>
          <w:sz w:val="32"/>
          <w:szCs w:val="32"/>
        </w:rPr>
      </w:pPr>
      <w:r>
        <w:rPr>
          <w:rFonts w:hint="eastAsia" w:eastAsia="仿宋_GB2312" w:cs="仿宋_GB2312"/>
          <w:sz w:val="32"/>
          <w:szCs w:val="32"/>
        </w:rPr>
        <w:t>2.事业收入：指事业单位开展专业业务活动及辅助活动取得的收入。如学前教育保教费收入等。</w:t>
      </w:r>
    </w:p>
    <w:p w14:paraId="5AB4E56E">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143B59E3">
      <w:pPr>
        <w:spacing w:line="600" w:lineRule="exact"/>
        <w:ind w:firstLine="640"/>
        <w:rPr>
          <w:rFonts w:hint="eastAsia" w:eastAsia="仿宋_GB2312" w:cs="仿宋_GB2312"/>
          <w:sz w:val="32"/>
          <w:szCs w:val="32"/>
        </w:rPr>
      </w:pPr>
      <w:r>
        <w:rPr>
          <w:rFonts w:hint="eastAsia" w:eastAsia="仿宋_GB2312" w:cs="仿宋_GB2312"/>
          <w:sz w:val="32"/>
          <w:szCs w:val="32"/>
        </w:rPr>
        <w:t xml:space="preserve">4.其他收入：指单位取得的除上述收入以外的各项收入。主要是利息收入、捐赠收入等。 </w:t>
      </w:r>
    </w:p>
    <w:p w14:paraId="3CACE557">
      <w:pPr>
        <w:spacing w:line="600" w:lineRule="exact"/>
        <w:ind w:firstLine="640"/>
        <w:rPr>
          <w:rFonts w:hint="eastAsia"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047FE707">
      <w:pPr>
        <w:spacing w:line="600" w:lineRule="exact"/>
        <w:ind w:firstLine="640"/>
        <w:rPr>
          <w:rFonts w:hint="eastAsia"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72EF4A39">
      <w:pPr>
        <w:spacing w:line="600" w:lineRule="exact"/>
        <w:ind w:firstLine="640"/>
        <w:rPr>
          <w:rFonts w:hint="eastAsia"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7C768C27">
      <w:pPr>
        <w:spacing w:line="600" w:lineRule="exact"/>
        <w:ind w:firstLine="640"/>
        <w:rPr>
          <w:rFonts w:hint="eastAsia"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1DDFEE76">
      <w:pPr>
        <w:spacing w:line="600" w:lineRule="exact"/>
        <w:ind w:firstLine="640"/>
        <w:rPr>
          <w:rFonts w:hint="eastAsia" w:eastAsia="仿宋_GB2312" w:cs="仿宋_GB2312"/>
          <w:sz w:val="32"/>
          <w:szCs w:val="32"/>
        </w:rPr>
      </w:pPr>
      <w:r>
        <w:rPr>
          <w:rFonts w:hint="eastAsia" w:eastAsia="仿宋_GB2312" w:cs="仿宋_GB2312"/>
          <w:sz w:val="32"/>
          <w:szCs w:val="32"/>
        </w:rPr>
        <w:t>9.教育（205类）教育管理事务（01款）行政运行（01项）: 反映行政单位（包括实行公务员管理的事业单位）的基本支出。</w:t>
      </w:r>
    </w:p>
    <w:p w14:paraId="60C94C22">
      <w:pPr>
        <w:spacing w:line="600" w:lineRule="exact"/>
        <w:ind w:firstLine="640"/>
        <w:rPr>
          <w:rFonts w:hint="eastAsia" w:eastAsia="仿宋_GB2312" w:cs="仿宋_GB2312"/>
          <w:sz w:val="32"/>
          <w:szCs w:val="32"/>
        </w:rPr>
      </w:pPr>
      <w:r>
        <w:rPr>
          <w:rFonts w:hint="eastAsia" w:eastAsia="仿宋_GB2312" w:cs="仿宋_GB2312"/>
          <w:sz w:val="32"/>
          <w:szCs w:val="32"/>
        </w:rPr>
        <w:t>10.教育（205类）教育管理事务（01款）一般行政管理事务（02项）: 反映行政单位（包括实行公务员管理的事业单位）未单独设置项级科目的其他项目支出。</w:t>
      </w:r>
    </w:p>
    <w:p w14:paraId="2EFE7434">
      <w:pPr>
        <w:spacing w:line="600" w:lineRule="exact"/>
        <w:ind w:firstLine="640"/>
        <w:rPr>
          <w:rFonts w:hint="eastAsia" w:eastAsia="仿宋_GB2312" w:cs="仿宋_GB2312"/>
          <w:sz w:val="32"/>
          <w:szCs w:val="32"/>
        </w:rPr>
      </w:pPr>
      <w:r>
        <w:rPr>
          <w:rFonts w:hint="eastAsia" w:eastAsia="仿宋_GB2312" w:cs="仿宋_GB2312"/>
          <w:sz w:val="32"/>
          <w:szCs w:val="32"/>
        </w:rPr>
        <w:t>11.教育（205类）教育管理事务（01款）其他教育管理事务支出（99项）: 反映除上述项目以外其他用于教育管理事务方面的支出。</w:t>
      </w:r>
    </w:p>
    <w:p w14:paraId="430F5ECE">
      <w:pPr>
        <w:spacing w:line="600" w:lineRule="exact"/>
        <w:ind w:firstLine="640"/>
        <w:rPr>
          <w:rFonts w:hint="eastAsia" w:eastAsia="仿宋_GB2312" w:cs="仿宋_GB2312"/>
          <w:sz w:val="32"/>
          <w:szCs w:val="32"/>
        </w:rPr>
      </w:pPr>
      <w:r>
        <w:rPr>
          <w:rFonts w:hint="eastAsia" w:eastAsia="仿宋_GB2312" w:cs="仿宋_GB2312"/>
          <w:sz w:val="32"/>
          <w:szCs w:val="32"/>
        </w:rPr>
        <w:t>12.教育（205类）普通教育（02款）学前教育（01项）: 反映各部门举办的学前教育支出。</w:t>
      </w:r>
    </w:p>
    <w:p w14:paraId="05021BF2">
      <w:pPr>
        <w:spacing w:line="600" w:lineRule="exact"/>
        <w:ind w:firstLine="640"/>
        <w:rPr>
          <w:rFonts w:hint="eastAsia" w:eastAsia="仿宋_GB2312" w:cs="仿宋_GB2312"/>
          <w:sz w:val="32"/>
          <w:szCs w:val="32"/>
        </w:rPr>
      </w:pPr>
      <w:r>
        <w:rPr>
          <w:rFonts w:hint="eastAsia" w:eastAsia="仿宋_GB2312" w:cs="仿宋_GB2312"/>
          <w:sz w:val="32"/>
          <w:szCs w:val="32"/>
        </w:rPr>
        <w:t>13.教育（205类）普通教育（02款）小学教育（02项）: 反映各部门举办的小学教育支出。政府各部门对社会中介组织等举办的小学的资助，如各类捐赠、补贴等，也在本科目中反映。</w:t>
      </w:r>
    </w:p>
    <w:p w14:paraId="1DC0ECE8">
      <w:pPr>
        <w:spacing w:line="600" w:lineRule="exact"/>
        <w:ind w:firstLine="640"/>
        <w:rPr>
          <w:rFonts w:hint="eastAsia" w:eastAsia="仿宋_GB2312" w:cs="仿宋_GB2312"/>
          <w:sz w:val="32"/>
          <w:szCs w:val="32"/>
        </w:rPr>
      </w:pPr>
      <w:r>
        <w:rPr>
          <w:rFonts w:hint="eastAsia" w:eastAsia="仿宋_GB2312" w:cs="仿宋_GB2312"/>
          <w:sz w:val="32"/>
          <w:szCs w:val="32"/>
        </w:rPr>
        <w:t>14.教育（205类）普通教育（02款）其他普通教育支出（99项）: 反映除上述项目以外其他用于普通教育方面的支出。</w:t>
      </w:r>
    </w:p>
    <w:p w14:paraId="586B764F">
      <w:pPr>
        <w:spacing w:line="600" w:lineRule="exact"/>
        <w:ind w:firstLine="640"/>
        <w:rPr>
          <w:rFonts w:hint="eastAsia" w:eastAsia="仿宋_GB2312" w:cs="仿宋_GB2312"/>
          <w:sz w:val="32"/>
          <w:szCs w:val="32"/>
        </w:rPr>
      </w:pPr>
      <w:r>
        <w:rPr>
          <w:rFonts w:hint="eastAsia" w:eastAsia="仿宋_GB2312" w:cs="仿宋_GB2312"/>
          <w:sz w:val="32"/>
          <w:szCs w:val="32"/>
        </w:rPr>
        <w:t>15.教育（205类）其他教育支出（09款）其他教育支出（99项）: 反映除上述项目以外其他教育费附加安排的支出。</w:t>
      </w:r>
    </w:p>
    <w:p w14:paraId="4DBF2F14">
      <w:pPr>
        <w:spacing w:line="600" w:lineRule="exact"/>
        <w:ind w:firstLine="640"/>
        <w:rPr>
          <w:rFonts w:hint="eastAsia" w:eastAsia="仿宋_GB2312" w:cs="仿宋_GB2312"/>
          <w:sz w:val="32"/>
          <w:szCs w:val="32"/>
        </w:rPr>
      </w:pPr>
      <w:r>
        <w:rPr>
          <w:rFonts w:hint="eastAsia" w:eastAsia="仿宋_GB2312" w:cs="仿宋_GB2312"/>
          <w:sz w:val="32"/>
          <w:szCs w:val="32"/>
        </w:rPr>
        <w:t>16.教育（205类）其他教育支出（99款）其他教育支出（99项）: 反映除上述项目以外其他教育方面的支出。</w:t>
      </w:r>
    </w:p>
    <w:p w14:paraId="0FF4D7C6">
      <w:pPr>
        <w:spacing w:line="600" w:lineRule="exact"/>
        <w:ind w:firstLine="640"/>
        <w:rPr>
          <w:rFonts w:hint="eastAsia" w:eastAsia="仿宋_GB2312" w:cs="仿宋_GB2312"/>
          <w:sz w:val="32"/>
          <w:szCs w:val="32"/>
        </w:rPr>
      </w:pPr>
      <w:r>
        <w:rPr>
          <w:rFonts w:hint="eastAsia" w:eastAsia="仿宋_GB2312" w:cs="仿宋_GB2312"/>
          <w:sz w:val="32"/>
          <w:szCs w:val="32"/>
        </w:rPr>
        <w:t>17.社会保障和就业（208类）行政事业单位养老支出（05款）事业单位离退休（02项）: 反映机关事业单位实施事业单位离退支出。</w:t>
      </w:r>
    </w:p>
    <w:p w14:paraId="3886FFBC">
      <w:pPr>
        <w:spacing w:line="600" w:lineRule="exact"/>
        <w:ind w:firstLine="640"/>
        <w:rPr>
          <w:rFonts w:hint="eastAsia" w:eastAsia="仿宋_GB2312" w:cs="仿宋_GB2312"/>
          <w:sz w:val="32"/>
          <w:szCs w:val="32"/>
        </w:rPr>
      </w:pPr>
      <w:r>
        <w:rPr>
          <w:rFonts w:hint="eastAsia" w:eastAsia="仿宋_GB2312" w:cs="仿宋_GB2312"/>
          <w:sz w:val="32"/>
          <w:szCs w:val="32"/>
        </w:rPr>
        <w:t>18.社会保障和就业（208类）行政事业单位养老支出（05款）机关事业单位基本养老保险缴费支出（05项）: 反映机关事业单位实施养老保险制度由单位缴纳的基本养老保险费支出。</w:t>
      </w:r>
    </w:p>
    <w:p w14:paraId="1238CC3A">
      <w:pPr>
        <w:spacing w:line="600" w:lineRule="exact"/>
        <w:ind w:firstLine="640"/>
        <w:rPr>
          <w:rFonts w:hint="eastAsia" w:eastAsia="仿宋_GB2312" w:cs="仿宋_GB2312"/>
          <w:sz w:val="32"/>
          <w:szCs w:val="32"/>
        </w:rPr>
      </w:pPr>
      <w:r>
        <w:rPr>
          <w:rFonts w:hint="eastAsia" w:eastAsia="仿宋_GB2312" w:cs="仿宋_GB2312"/>
          <w:sz w:val="32"/>
          <w:szCs w:val="32"/>
        </w:rPr>
        <w:t>19.社会保障和就业（208类）行政事业单位养老支出（05款）其他行政事业单位养老支出（99项）: 反映机关事业单位实施养老保险制度其他行政事业单位养老支出支出。</w:t>
      </w:r>
    </w:p>
    <w:p w14:paraId="0D81A5C9">
      <w:pPr>
        <w:spacing w:line="600" w:lineRule="exact"/>
        <w:ind w:firstLine="640"/>
        <w:rPr>
          <w:rFonts w:hint="eastAsia" w:eastAsia="仿宋_GB2312" w:cs="仿宋_GB2312"/>
          <w:sz w:val="32"/>
          <w:szCs w:val="32"/>
        </w:rPr>
      </w:pPr>
      <w:r>
        <w:rPr>
          <w:rFonts w:hint="eastAsia" w:eastAsia="仿宋_GB2312" w:cs="仿宋_GB2312"/>
          <w:sz w:val="32"/>
          <w:szCs w:val="32"/>
        </w:rPr>
        <w:t>20.社会保障和就业（208类）其他社会保障和就业支出（99款）其他社会保障和就业支出（99项）: 反映上述项目以外其他用用于社会保障和就业方面的支出。</w:t>
      </w:r>
    </w:p>
    <w:p w14:paraId="17183F1A">
      <w:pPr>
        <w:spacing w:line="600" w:lineRule="exact"/>
        <w:ind w:firstLine="640"/>
        <w:rPr>
          <w:rFonts w:hint="eastAsia" w:eastAsia="仿宋_GB2312" w:cs="仿宋_GB2312"/>
          <w:sz w:val="32"/>
          <w:szCs w:val="32"/>
        </w:rPr>
      </w:pPr>
      <w:r>
        <w:rPr>
          <w:rFonts w:hint="eastAsia" w:eastAsia="仿宋_GB2312" w:cs="仿宋_GB2312"/>
          <w:sz w:val="32"/>
          <w:szCs w:val="32"/>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4A170606">
      <w:pPr>
        <w:spacing w:line="600" w:lineRule="exact"/>
        <w:ind w:firstLine="640"/>
        <w:rPr>
          <w:rFonts w:hint="eastAsia" w:eastAsia="仿宋_GB2312" w:cs="仿宋_GB2312"/>
          <w:sz w:val="32"/>
          <w:szCs w:val="32"/>
        </w:rPr>
      </w:pPr>
      <w:r>
        <w:rPr>
          <w:rFonts w:hint="eastAsia" w:eastAsia="仿宋_GB2312" w:cs="仿宋_GB2312"/>
          <w:sz w:val="32"/>
          <w:szCs w:val="32"/>
        </w:rPr>
        <w:t>22.住房保障支出（221类）住房改革支出（02款）住房公积金（01项）:反映行政事业单位按人力资源和社会保障部、财政部规定的基本工资和津贴补贴以及规定比例为职工缴纳的住房公积金。</w:t>
      </w:r>
    </w:p>
    <w:p w14:paraId="1CA4BC40">
      <w:pPr>
        <w:spacing w:line="600" w:lineRule="exact"/>
        <w:ind w:firstLine="640"/>
        <w:rPr>
          <w:rFonts w:hint="eastAsia" w:eastAsia="仿宋_GB2312" w:cs="仿宋_GB2312"/>
          <w:sz w:val="32"/>
          <w:szCs w:val="32"/>
        </w:rPr>
      </w:pPr>
      <w:r>
        <w:rPr>
          <w:rFonts w:hint="eastAsia" w:eastAsia="仿宋_GB2312" w:cs="仿宋_GB2312"/>
          <w:sz w:val="32"/>
          <w:szCs w:val="32"/>
        </w:rPr>
        <w:t>23.基本支出：指为保障机构正常运转、完成日常工作任务而发生的人员支出和公用支出。</w:t>
      </w:r>
    </w:p>
    <w:p w14:paraId="5A5714D6">
      <w:pPr>
        <w:spacing w:line="600" w:lineRule="exact"/>
        <w:ind w:firstLine="640"/>
        <w:rPr>
          <w:rFonts w:hint="eastAsia" w:eastAsia="仿宋_GB2312" w:cs="仿宋_GB2312"/>
          <w:sz w:val="32"/>
          <w:szCs w:val="32"/>
        </w:rPr>
      </w:pPr>
      <w:r>
        <w:rPr>
          <w:rFonts w:hint="eastAsia" w:eastAsia="仿宋_GB2312" w:cs="仿宋_GB2312"/>
          <w:sz w:val="32"/>
          <w:szCs w:val="32"/>
        </w:rPr>
        <w:t xml:space="preserve">24.项目支出：指在基本支出之外为完成特定行政任务和事业发展目标所发生的支出。  </w:t>
      </w:r>
    </w:p>
    <w:p w14:paraId="04AE8614">
      <w:pPr>
        <w:spacing w:line="600" w:lineRule="exact"/>
        <w:ind w:firstLine="640"/>
        <w:rPr>
          <w:rFonts w:hint="eastAsia" w:eastAsia="仿宋_GB2312" w:cs="仿宋_GB2312"/>
          <w:sz w:val="32"/>
          <w:szCs w:val="32"/>
        </w:rPr>
      </w:pPr>
      <w:r>
        <w:rPr>
          <w:rFonts w:hint="eastAsia" w:eastAsia="仿宋_GB2312" w:cs="仿宋_GB2312"/>
          <w:sz w:val="32"/>
          <w:szCs w:val="32"/>
        </w:rPr>
        <w:t>25.经营支出：指事业单位在专业业务活动及其辅助活动之外开展非独立核算经营活动发生的支出。</w:t>
      </w:r>
    </w:p>
    <w:p w14:paraId="6F19009C">
      <w:pPr>
        <w:spacing w:line="600" w:lineRule="exact"/>
        <w:ind w:firstLine="640"/>
        <w:rPr>
          <w:rFonts w:hint="eastAsia" w:eastAsia="仿宋_GB2312" w:cs="仿宋_GB2312"/>
          <w:sz w:val="32"/>
          <w:szCs w:val="32"/>
        </w:rPr>
      </w:pPr>
      <w:r>
        <w:rPr>
          <w:rFonts w:hint="eastAsia" w:eastAsia="仿宋_GB2312" w:cs="仿宋_GB2312"/>
          <w:sz w:val="32"/>
          <w:szCs w:val="32"/>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BC47F76">
      <w:pPr>
        <w:spacing w:line="600" w:lineRule="exact"/>
        <w:ind w:firstLine="640"/>
        <w:rPr>
          <w:rFonts w:hint="eastAsia" w:eastAsia="仿宋_GB2312" w:cs="仿宋_GB2312"/>
          <w:sz w:val="32"/>
          <w:szCs w:val="32"/>
        </w:rPr>
      </w:pPr>
      <w:r>
        <w:rPr>
          <w:rFonts w:hint="eastAsia" w:eastAsia="仿宋_GB2312" w:cs="仿宋_GB2312"/>
          <w:sz w:val="32"/>
          <w:szCs w:val="32"/>
        </w:rPr>
        <w:t>27.工资福利：反映单位开支的在职职工和编制外长期聘用人员的各类劳动报酬，以及为上述人员缴纳的各项社会保险费等。</w:t>
      </w:r>
    </w:p>
    <w:p w14:paraId="708ED967">
      <w:pPr>
        <w:spacing w:line="600" w:lineRule="exact"/>
        <w:ind w:firstLine="640"/>
        <w:rPr>
          <w:rFonts w:hint="eastAsia" w:eastAsia="仿宋_GB2312" w:cs="仿宋_GB2312"/>
          <w:sz w:val="32"/>
          <w:szCs w:val="32"/>
        </w:rPr>
      </w:pPr>
      <w:r>
        <w:rPr>
          <w:rFonts w:hint="eastAsia" w:eastAsia="仿宋_GB2312" w:cs="仿宋_GB2312"/>
          <w:sz w:val="32"/>
          <w:szCs w:val="32"/>
        </w:rPr>
        <w:t>28.商品和服务：反映单位购买商品和服务的支出，不包括用于购置固定资产、战略性和应急性物资储备等资本支出。</w:t>
      </w:r>
    </w:p>
    <w:p w14:paraId="3E39F4E2">
      <w:pPr>
        <w:spacing w:line="600" w:lineRule="exact"/>
        <w:ind w:firstLine="640"/>
        <w:rPr>
          <w:rFonts w:hint="eastAsia" w:eastAsia="仿宋_GB2312" w:cs="仿宋_GB2312"/>
          <w:sz w:val="32"/>
          <w:szCs w:val="32"/>
        </w:rPr>
      </w:pPr>
      <w:r>
        <w:rPr>
          <w:rFonts w:hint="eastAsia" w:eastAsia="仿宋_GB2312" w:cs="仿宋_GB2312"/>
          <w:sz w:val="32"/>
          <w:szCs w:val="32"/>
        </w:rPr>
        <w:t>29.对个人和家庭的补助：反映政府用于对个人和家庭的补助支出。</w:t>
      </w:r>
    </w:p>
    <w:p w14:paraId="5E49FDD8">
      <w:pPr>
        <w:spacing w:line="600" w:lineRule="exact"/>
        <w:ind w:firstLine="640"/>
        <w:rPr>
          <w:rFonts w:eastAsia="仿宋_GB2312" w:cs="仿宋_GB2312"/>
          <w:b/>
          <w:bCs/>
          <w:sz w:val="32"/>
          <w:szCs w:val="32"/>
        </w:rPr>
      </w:pPr>
      <w:r>
        <w:rPr>
          <w:rFonts w:hint="eastAsia" w:eastAsia="仿宋_GB2312" w:cs="仿宋_GB2312"/>
          <w:sz w:val="32"/>
          <w:szCs w:val="32"/>
        </w:rPr>
        <w:t>30.资本性支出：反映各单位安排的资本性支出。切块由发展改革部门安排的基本建设支出不在此科目反映。</w:t>
      </w:r>
    </w:p>
    <w:p w14:paraId="44F6A54A">
      <w:pPr>
        <w:spacing w:line="600" w:lineRule="exact"/>
        <w:jc w:val="center"/>
        <w:rPr>
          <w:rStyle w:val="30"/>
          <w:rFonts w:eastAsia="黑体"/>
          <w:b w:val="0"/>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2B1F3E87">
      <w:pPr>
        <w:spacing w:line="600" w:lineRule="exact"/>
        <w:outlineLvl w:val="0"/>
        <w:rPr>
          <w:rFonts w:ascii="仿宋" w:hAnsi="仿宋" w:eastAsia="仿宋_GB2312"/>
          <w:bCs/>
          <w:sz w:val="36"/>
          <w:szCs w:val="36"/>
        </w:rPr>
      </w:pPr>
      <w:bookmarkStart w:id="53" w:name="OLE_LINK2"/>
      <w:bookmarkStart w:id="54" w:name="OLE_LINK1"/>
      <w:r>
        <w:rPr>
          <w:rFonts w:hint="eastAsia"/>
          <w:bCs/>
          <w:sz w:val="32"/>
          <w:szCs w:val="32"/>
        </w:rPr>
        <w:t>附件1</w:t>
      </w:r>
      <w:r>
        <w:rPr>
          <w:rFonts w:ascii="仿宋" w:hAnsi="仿宋" w:eastAsia="仿宋_GB2312"/>
          <w:bCs/>
          <w:sz w:val="36"/>
          <w:szCs w:val="36"/>
        </w:rPr>
        <w:t>：</w:t>
      </w:r>
      <w:r>
        <w:rPr>
          <w:rFonts w:ascii="仿宋" w:hAnsi="仿宋" w:eastAsia="仿宋_GB2312"/>
          <w:bCs/>
          <w:sz w:val="36"/>
          <w:szCs w:val="36"/>
        </w:rPr>
        <w:fldChar w:fldCharType="begin"/>
      </w:r>
      <w:r>
        <w:rPr>
          <w:rFonts w:ascii="仿宋" w:hAnsi="仿宋" w:eastAsia="仿宋_GB2312"/>
          <w:bCs/>
          <w:sz w:val="36"/>
          <w:szCs w:val="36"/>
        </w:rPr>
        <w:instrText xml:space="preserve"> </w:instrText>
      </w:r>
      <w:r>
        <w:rPr>
          <w:rFonts w:hint="eastAsia" w:ascii="仿宋" w:hAnsi="仿宋" w:eastAsia="仿宋_GB2312"/>
          <w:bCs/>
          <w:sz w:val="36"/>
          <w:szCs w:val="36"/>
        </w:rPr>
        <w:instrText xml:space="preserve">LINK </w:instrText>
      </w:r>
      <w:r>
        <w:rPr>
          <w:rFonts w:ascii="仿宋" w:hAnsi="仿宋" w:eastAsia="仿宋_GB2312"/>
          <w:bCs/>
          <w:sz w:val="36"/>
          <w:szCs w:val="36"/>
        </w:rPr>
        <w:instrText xml:space="preserve">Excel.Sheet.8</w:instrText>
      </w:r>
      <w:r>
        <w:rPr>
          <w:rFonts w:hint="eastAsia" w:ascii="仿宋" w:hAnsi="仿宋" w:eastAsia="仿宋_GB2312"/>
          <w:bCs/>
          <w:sz w:val="36"/>
          <w:szCs w:val="36"/>
        </w:rPr>
        <w:instrText xml:space="preserve"> "E:\\磨幼2023\\2022年决算\\2022年决算公开\\绩效自评表\\（公开5项）磨幼2022绩效自评表 -5.xls" 自评表!R2C1:R102C11 \a \f 4 \h</w:instrText>
      </w:r>
      <w:r>
        <w:rPr>
          <w:rFonts w:ascii="仿宋" w:hAnsi="仿宋" w:eastAsia="仿宋_GB2312"/>
          <w:bCs/>
          <w:sz w:val="36"/>
          <w:szCs w:val="36"/>
        </w:rPr>
        <w:instrText xml:space="preserve">  \* MERGEFORMAT </w:instrText>
      </w:r>
      <w:bookmarkStart w:id="55" w:name="_1753987489"/>
      <w:bookmarkEnd w:id="55"/>
      <w:r>
        <w:rPr>
          <w:rFonts w:ascii="仿宋" w:hAnsi="仿宋" w:eastAsia="仿宋_GB2312"/>
          <w:bCs/>
          <w:sz w:val="36"/>
          <w:szCs w:val="36"/>
        </w:rPr>
        <w:fldChar w:fldCharType="separate"/>
      </w:r>
    </w:p>
    <w:p w14:paraId="381C76A2">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eastAsia" w:ascii="方正小标宋简体" w:hAnsi="方正小标宋简体" w:eastAsia="方正小标宋简体" w:cs="方正小标宋简体"/>
          <w:b w:val="0"/>
          <w:bCs w:val="0"/>
          <w:sz w:val="40"/>
          <w:szCs w:val="40"/>
        </w:rPr>
      </w:pPr>
      <w:r>
        <w:rPr>
          <w:rFonts w:ascii="仿宋" w:hAnsi="仿宋" w:eastAsia="仿宋_GB2312"/>
          <w:b/>
          <w:bCs/>
          <w:sz w:val="36"/>
          <w:szCs w:val="36"/>
        </w:rPr>
        <w:fldChar w:fldCharType="end"/>
      </w:r>
      <w:bookmarkEnd w:id="53"/>
      <w:bookmarkEnd w:id="54"/>
      <w:r>
        <w:rPr>
          <w:rFonts w:hint="eastAsia" w:ascii="方正小标宋简体" w:hAnsi="方正小标宋简体" w:eastAsia="方正小标宋简体" w:cs="方正小标宋简体"/>
          <w:b w:val="0"/>
          <w:bCs w:val="0"/>
          <w:sz w:val="40"/>
          <w:szCs w:val="40"/>
        </w:rPr>
        <w:t>2024年整体支出绩效评</w:t>
      </w:r>
      <w:r>
        <w:rPr>
          <w:rFonts w:hint="eastAsia" w:ascii="方正小标宋简体" w:hAnsi="方正小标宋简体" w:eastAsia="方正小标宋简体" w:cs="方正小标宋简体"/>
          <w:b w:val="0"/>
          <w:bCs w:val="0"/>
          <w:sz w:val="40"/>
          <w:szCs w:val="40"/>
          <w:lang w:val="en-US" w:eastAsia="zh-CN"/>
        </w:rPr>
        <w:t>价</w:t>
      </w:r>
      <w:r>
        <w:rPr>
          <w:rFonts w:hint="eastAsia" w:ascii="方正小标宋简体" w:hAnsi="方正小标宋简体" w:eastAsia="方正小标宋简体" w:cs="方正小标宋简体"/>
          <w:b w:val="0"/>
          <w:bCs w:val="0"/>
          <w:sz w:val="40"/>
          <w:szCs w:val="40"/>
        </w:rPr>
        <w:t>报告</w:t>
      </w:r>
    </w:p>
    <w:p w14:paraId="51198F3C">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p>
    <w:p w14:paraId="1E2C973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14:paraId="22D58AD1">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遂宁市安居区第一幼儿园是遂宁市安居区公办幼儿园，负责辖区内3-6岁幼儿保教服务。</w:t>
      </w:r>
    </w:p>
    <w:p w14:paraId="2A0D8401">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14:paraId="1FCC3200">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w:t>
      </w:r>
      <w:r>
        <w:rPr>
          <w:rFonts w:hint="eastAsia" w:ascii="仿宋" w:hAnsi="仿宋" w:eastAsia="仿宋_GB2312"/>
          <w:sz w:val="32"/>
          <w:szCs w:val="32"/>
          <w:lang w:val="en-US" w:eastAsia="zh-CN"/>
        </w:rPr>
        <w:t>园</w:t>
      </w:r>
      <w:r>
        <w:rPr>
          <w:rFonts w:hint="eastAsia" w:ascii="仿宋" w:hAnsi="仿宋" w:eastAsia="仿宋_GB2312"/>
          <w:sz w:val="32"/>
          <w:szCs w:val="32"/>
        </w:rPr>
        <w:t>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14:paraId="1C8C7243">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14:paraId="25D15841">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14:paraId="018B8DAA">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14:paraId="4F0D6BD6">
      <w:pPr>
        <w:spacing w:line="540" w:lineRule="exact"/>
        <w:ind w:firstLine="640" w:firstLineChars="200"/>
        <w:rPr>
          <w:rFonts w:hint="eastAsia" w:ascii="宋体" w:hAnsi="宋体" w:eastAsia="黑体" w:cs="Times New Roman"/>
          <w:color w:val="000000"/>
          <w:sz w:val="32"/>
          <w:szCs w:val="32"/>
          <w:shd w:val="clear" w:color="auto" w:fill="FFFFFF"/>
          <w:lang w:val="en-US" w:eastAsia="zh-CN"/>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20</w:t>
      </w:r>
      <w:r>
        <w:rPr>
          <w:rFonts w:hint="eastAsia" w:ascii="仿宋" w:hAnsi="仿宋" w:eastAsia="仿宋_GB2312"/>
          <w:sz w:val="32"/>
          <w:szCs w:val="32"/>
        </w:rPr>
        <w:t>人</w:t>
      </w:r>
      <w:r>
        <w:rPr>
          <w:rFonts w:hint="eastAsia" w:ascii="仿宋" w:hAnsi="仿宋" w:eastAsia="仿宋_GB2312"/>
          <w:sz w:val="32"/>
          <w:szCs w:val="32"/>
          <w:lang w:eastAsia="zh-CN"/>
        </w:rPr>
        <w:t>。</w:t>
      </w:r>
      <w:r>
        <w:rPr>
          <w:rFonts w:hint="eastAsia" w:ascii="仿宋" w:hAnsi="仿宋" w:eastAsia="仿宋_GB2312"/>
          <w:sz w:val="32"/>
          <w:szCs w:val="32"/>
        </w:rPr>
        <w:t>学校现设有行政办、德育处、教导处、后勤处等部门。</w:t>
      </w:r>
    </w:p>
    <w:p w14:paraId="5B2ED0A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14:paraId="49243FA2">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14:paraId="47A220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487.22</w:t>
      </w:r>
      <w:r>
        <w:rPr>
          <w:rFonts w:ascii="仿宋" w:hAnsi="仿宋" w:eastAsia="仿宋_GB2312"/>
          <w:sz w:val="32"/>
          <w:szCs w:val="32"/>
        </w:rPr>
        <w:t>万元，其中：</w:t>
      </w:r>
      <w:r>
        <w:rPr>
          <w:rFonts w:hint="eastAsia" w:ascii="仿宋" w:hAnsi="仿宋" w:eastAsia="仿宋_GB2312"/>
          <w:sz w:val="32"/>
          <w:szCs w:val="32"/>
        </w:rPr>
        <w:t>一般公共预算财政拨款收入</w:t>
      </w:r>
      <w:r>
        <w:rPr>
          <w:rFonts w:hint="eastAsia" w:ascii="仿宋" w:hAnsi="仿宋" w:eastAsia="仿宋_GB2312"/>
          <w:sz w:val="32"/>
          <w:szCs w:val="32"/>
          <w:lang w:val="en-US" w:eastAsia="zh-CN"/>
        </w:rPr>
        <w:t>439.00</w:t>
      </w:r>
      <w:r>
        <w:rPr>
          <w:rFonts w:ascii="仿宋" w:hAnsi="仿宋" w:eastAsia="仿宋_GB2312"/>
          <w:sz w:val="32"/>
          <w:szCs w:val="32"/>
        </w:rPr>
        <w:t>万</w:t>
      </w:r>
      <w:r>
        <w:rPr>
          <w:rFonts w:hint="eastAsia" w:ascii="仿宋" w:hAnsi="仿宋" w:eastAsia="仿宋_GB2312"/>
          <w:sz w:val="32"/>
          <w:szCs w:val="32"/>
        </w:rPr>
        <w:t>元，</w:t>
      </w:r>
      <w:r>
        <w:rPr>
          <w:rFonts w:hint="eastAsia" w:ascii="仿宋" w:hAnsi="仿宋" w:eastAsia="仿宋_GB2312"/>
          <w:sz w:val="32"/>
          <w:szCs w:val="32"/>
          <w:lang w:val="en-US" w:eastAsia="zh-CN"/>
        </w:rPr>
        <w:t>其他收入</w:t>
      </w:r>
      <w:r>
        <w:rPr>
          <w:rFonts w:hint="eastAsia" w:ascii="仿宋_GB2312" w:eastAsia="仿宋_GB2312"/>
          <w:sz w:val="32"/>
          <w:szCs w:val="32"/>
          <w:lang w:val="en-US" w:eastAsia="zh-CN"/>
        </w:rPr>
        <w:t>48.22</w:t>
      </w:r>
      <w:r>
        <w:rPr>
          <w:rFonts w:ascii="仿宋_GB2312" w:eastAsia="仿宋_GB2312"/>
          <w:sz w:val="32"/>
          <w:szCs w:val="32"/>
        </w:rPr>
        <w:t>万元。</w:t>
      </w:r>
    </w:p>
    <w:p w14:paraId="281BFBFB">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14:paraId="4D6F26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477.60</w:t>
      </w:r>
      <w:r>
        <w:rPr>
          <w:rFonts w:ascii="仿宋" w:hAnsi="仿宋" w:eastAsia="仿宋_GB2312"/>
          <w:sz w:val="32"/>
          <w:szCs w:val="32"/>
        </w:rPr>
        <w:t>万</w:t>
      </w:r>
      <w:r>
        <w:rPr>
          <w:rFonts w:hint="eastAsia" w:ascii="仿宋" w:hAnsi="仿宋" w:eastAsia="仿宋_GB2312"/>
          <w:sz w:val="32"/>
          <w:szCs w:val="32"/>
        </w:rPr>
        <w:t>元，其中：基本支出</w:t>
      </w:r>
      <w:r>
        <w:rPr>
          <w:rFonts w:hint="eastAsia" w:ascii="仿宋" w:hAnsi="仿宋" w:eastAsia="仿宋_GB2312"/>
          <w:sz w:val="32"/>
          <w:szCs w:val="32"/>
          <w:lang w:val="en-US" w:eastAsia="zh-CN"/>
        </w:rPr>
        <w:t>312.68</w:t>
      </w:r>
      <w:r>
        <w:rPr>
          <w:rFonts w:hint="eastAsia" w:ascii="仿宋" w:hAnsi="仿宋" w:eastAsia="仿宋_GB2312"/>
          <w:sz w:val="32"/>
          <w:szCs w:val="32"/>
        </w:rPr>
        <w:t>万元，占</w:t>
      </w:r>
      <w:r>
        <w:rPr>
          <w:rFonts w:hint="eastAsia" w:ascii="仿宋" w:hAnsi="仿宋" w:eastAsia="仿宋_GB2312"/>
          <w:sz w:val="32"/>
          <w:szCs w:val="32"/>
          <w:lang w:val="en-US" w:eastAsia="zh-CN"/>
        </w:rPr>
        <w:t>65.47</w:t>
      </w:r>
      <w:r>
        <w:rPr>
          <w:rFonts w:hint="eastAsia" w:ascii="仿宋" w:hAnsi="仿宋" w:eastAsia="仿宋_GB2312"/>
          <w:sz w:val="32"/>
          <w:szCs w:val="32"/>
        </w:rPr>
        <w:t>%；项目支出</w:t>
      </w:r>
      <w:r>
        <w:rPr>
          <w:rFonts w:hint="eastAsia" w:ascii="仿宋" w:hAnsi="仿宋" w:eastAsia="仿宋_GB2312"/>
          <w:sz w:val="32"/>
          <w:szCs w:val="32"/>
          <w:lang w:val="en-US" w:eastAsia="zh-CN"/>
        </w:rPr>
        <w:t>164.92</w:t>
      </w:r>
      <w:r>
        <w:rPr>
          <w:rFonts w:hint="eastAsia" w:ascii="仿宋" w:hAnsi="仿宋" w:eastAsia="仿宋_GB2312"/>
          <w:sz w:val="32"/>
          <w:szCs w:val="32"/>
        </w:rPr>
        <w:t>万元，占</w:t>
      </w:r>
      <w:r>
        <w:rPr>
          <w:rFonts w:hint="eastAsia" w:ascii="仿宋" w:hAnsi="仿宋" w:eastAsia="仿宋_GB2312"/>
          <w:sz w:val="32"/>
          <w:szCs w:val="32"/>
          <w:lang w:val="en-US" w:eastAsia="zh-CN"/>
        </w:rPr>
        <w:t>34.53</w:t>
      </w:r>
      <w:r>
        <w:rPr>
          <w:rFonts w:hint="eastAsia" w:ascii="仿宋" w:hAnsi="仿宋" w:eastAsia="仿宋_GB2312"/>
          <w:sz w:val="32"/>
          <w:szCs w:val="32"/>
        </w:rPr>
        <w:t>%。。</w:t>
      </w:r>
    </w:p>
    <w:p w14:paraId="521D3247">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14:paraId="5A1045C9">
      <w:pPr>
        <w:keepNext w:val="0"/>
        <w:keepLines w:val="0"/>
        <w:pageBreakBefore w:val="0"/>
        <w:widowControl/>
        <w:kinsoku/>
        <w:wordWrap/>
        <w:overflowPunct/>
        <w:topLinePunct w:val="0"/>
        <w:autoSpaceDE/>
        <w:autoSpaceDN/>
        <w:bidi w:val="0"/>
        <w:adjustRightInd w:val="0"/>
        <w:snapToGrid w:val="0"/>
        <w:spacing w:line="578" w:lineRule="exact"/>
        <w:ind w:left="0" w:firstLine="640" w:firstLineChars="200"/>
        <w:contextualSpacing/>
        <w:jc w:val="left"/>
        <w:textAlignment w:val="auto"/>
        <w:rPr>
          <w:rFonts w:hint="eastAsia" w:eastAsia="仿宋_GB2312"/>
          <w:color w:val="000000"/>
          <w:kern w:val="0"/>
          <w:szCs w:val="32"/>
          <w:shd w:val="clear" w:color="auto" w:fill="FFFFFF"/>
          <w:lang w:val="zh-CN"/>
        </w:rPr>
      </w:pPr>
      <w:r>
        <w:rPr>
          <w:rFonts w:hint="eastAsia" w:eastAsia="仿宋_GB2312"/>
          <w:sz w:val="32"/>
          <w:szCs w:val="32"/>
        </w:rPr>
        <w:t>2024年决算报表</w:t>
      </w:r>
      <w:r>
        <w:rPr>
          <w:rFonts w:hint="eastAsia" w:eastAsia="仿宋_GB2312"/>
          <w:sz w:val="32"/>
          <w:szCs w:val="32"/>
          <w:lang w:val="en-US" w:eastAsia="zh-CN"/>
        </w:rPr>
        <w:t>中，非财政拨款其他收入</w:t>
      </w:r>
      <w:r>
        <w:rPr>
          <w:rFonts w:eastAsia="仿宋_GB2312"/>
          <w:sz w:val="32"/>
          <w:szCs w:val="32"/>
        </w:rPr>
        <w:t>结转结余</w:t>
      </w:r>
      <w:r>
        <w:rPr>
          <w:rFonts w:hint="eastAsia" w:eastAsia="仿宋_GB2312"/>
          <w:sz w:val="32"/>
          <w:szCs w:val="32"/>
          <w:lang w:val="en-US" w:eastAsia="zh-CN"/>
        </w:rPr>
        <w:t>9.62万元，于下一年度根据相关规定继续使用</w:t>
      </w:r>
      <w:r>
        <w:rPr>
          <w:rFonts w:eastAsia="仿宋_GB2312"/>
          <w:sz w:val="32"/>
          <w:szCs w:val="32"/>
        </w:rPr>
        <w:t>。</w:t>
      </w:r>
    </w:p>
    <w:p w14:paraId="36080A9C">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14:paraId="7171302A">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14:paraId="2BA8E6A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14:paraId="4CC47EC1">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14:paraId="2B03A90D">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14:paraId="2B7A89E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14:paraId="0493F235">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14:paraId="771D9F7E">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14:paraId="4C4C2EB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14:paraId="211F707E">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14:paraId="4D311F23">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14:paraId="41B5B9CE">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14:paraId="0A3DFD96">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14:paraId="737EFE82">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14:paraId="509F7BF4">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认真履职尽责，认真完成项目任务，所有项目均开展绩效评价，评价效果良好，对于财政预算资金多次接受省、市、区的检查，所有资金的支出，接受财政部门的监督管理，圆满完成2024年的目标任务。</w:t>
      </w:r>
    </w:p>
    <w:p w14:paraId="4EA53AF3">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14:paraId="737D51C1">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14:paraId="5A94B87C">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96</w:t>
      </w:r>
      <w:r>
        <w:rPr>
          <w:rFonts w:hint="eastAsia" w:ascii="仿宋_GB2312" w:hAnsi="仿宋" w:eastAsia="仿宋_GB2312" w:cs="Times New Roman"/>
          <w:sz w:val="32"/>
          <w:szCs w:val="32"/>
        </w:rPr>
        <w:t>分 。</w:t>
      </w:r>
    </w:p>
    <w:p w14:paraId="71E590CA">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14:paraId="472E99A7">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招收的学生逐年减少</w:t>
      </w:r>
      <w:r>
        <w:rPr>
          <w:rFonts w:hint="eastAsia" w:ascii="仿宋_GB2312" w:hAnsi="仿宋" w:eastAsia="仿宋_GB2312" w:cs="Times New Roman"/>
          <w:sz w:val="32"/>
          <w:szCs w:val="32"/>
        </w:rPr>
        <w:t>。</w:t>
      </w:r>
    </w:p>
    <w:p w14:paraId="210E5A5D">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14:paraId="3D44DA8D">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14:paraId="6526B07F">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14:paraId="4F365BD9">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加强绩效评价管理制度和流程的建设。进一步深化、完善绩效管理体系，建立全过程的预算绩效管理机制。 规范绩效评价管理资料的收集整理。确保相关信息完整、可靠，客观公正地反映项目资金实际使用和产生的绩效状况。</w:t>
      </w:r>
      <w:r>
        <w:rPr>
          <w:rFonts w:ascii="仿宋" w:hAnsi="仿宋" w:eastAsia="仿宋_GB2312"/>
          <w:sz w:val="32"/>
          <w:szCs w:val="32"/>
        </w:rPr>
        <w:t xml:space="preserve"> </w:t>
      </w:r>
    </w:p>
    <w:p w14:paraId="0CFB41B4">
      <w:pPr>
        <w:keepNext w:val="0"/>
        <w:keepLines w:val="0"/>
        <w:pageBreakBefore w:val="0"/>
        <w:widowControl w:val="0"/>
        <w:kinsoku/>
        <w:wordWrap/>
        <w:overflowPunct/>
        <w:topLinePunct w:val="0"/>
        <w:autoSpaceDE/>
        <w:autoSpaceDN/>
        <w:bidi w:val="0"/>
        <w:adjustRightInd/>
        <w:snapToGrid/>
        <w:spacing w:before="313" w:beforeLines="100" w:line="540" w:lineRule="exact"/>
        <w:ind w:firstLine="640" w:firstLineChars="200"/>
        <w:textAlignment w:val="auto"/>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14:paraId="735D66A0">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14:paraId="77B0332D">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14:paraId="26FBB3C2">
      <w:pPr>
        <w:pStyle w:val="2"/>
        <w:rPr>
          <w:rFonts w:hint="default" w:eastAsia="黑体" w:cs="黑体"/>
          <w:color w:val="auto"/>
          <w:sz w:val="32"/>
          <w:szCs w:val="32"/>
          <w:highlight w:val="none"/>
          <w:lang w:val="en-US" w:eastAsia="zh-CN"/>
        </w:rPr>
      </w:pPr>
      <w:r>
        <w:rPr>
          <w:rFonts w:hint="eastAsia" w:eastAsia="黑体" w:cs="黑体"/>
          <w:color w:val="auto"/>
          <w:sz w:val="32"/>
          <w:szCs w:val="32"/>
          <w:highlight w:val="none"/>
          <w:lang w:val="en-US" w:eastAsia="zh-CN"/>
        </w:rPr>
        <w:t xml:space="preserve">附表1：       </w:t>
      </w:r>
      <w:r>
        <w:rPr>
          <w:rFonts w:hint="eastAsia" w:ascii="仿宋" w:hAnsi="仿宋" w:eastAsia="仿宋_GB2312"/>
          <w:b/>
          <w:bCs/>
          <w:sz w:val="36"/>
          <w:szCs w:val="36"/>
        </w:rPr>
        <w:t>部门整体支出绩效自评表</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14:paraId="130FC495">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14:paraId="17216959">
            <w:pPr>
              <w:ind w:firstLine="2880" w:firstLineChars="800"/>
              <w:rPr>
                <w:rFonts w:ascii="黑体" w:hAnsi="黑体" w:eastAsia="黑体" w:cs="黑体"/>
                <w:kern w:val="0"/>
                <w:sz w:val="36"/>
                <w:szCs w:val="36"/>
                <w:shd w:val="clear" w:color="auto" w:fill="FFFFFF"/>
                <w:lang w:val="zh-CN"/>
              </w:rPr>
            </w:pPr>
          </w:p>
        </w:tc>
      </w:tr>
      <w:tr w14:paraId="7107213C">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14:paraId="3B04CE75">
            <w:pPr>
              <w:widowControl/>
              <w:jc w:val="center"/>
              <w:rPr>
                <w:rFonts w:ascii="仿宋" w:hAnsi="仿宋" w:eastAsia="仿宋" w:cs="宋体"/>
                <w:kern w:val="0"/>
                <w:szCs w:val="21"/>
              </w:rPr>
            </w:pPr>
            <w:r>
              <w:rPr>
                <w:rFonts w:hint="eastAsia" w:ascii="仿宋" w:hAnsi="仿宋" w:eastAsia="仿宋_GB2312" w:cs="宋体"/>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E9F4D8">
            <w:pPr>
              <w:widowControl/>
              <w:jc w:val="center"/>
              <w:rPr>
                <w:rFonts w:ascii="仿宋" w:hAnsi="仿宋" w:eastAsia="仿宋" w:cs="宋体"/>
                <w:kern w:val="0"/>
                <w:szCs w:val="21"/>
              </w:rPr>
            </w:pPr>
            <w:r>
              <w:rPr>
                <w:rFonts w:hint="eastAsia" w:ascii="仿宋" w:hAnsi="仿宋" w:eastAsia="仿宋_GB2312" w:cs="宋体"/>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010D92FA">
            <w:pPr>
              <w:widowControl/>
              <w:jc w:val="center"/>
              <w:rPr>
                <w:rFonts w:ascii="仿宋" w:hAnsi="仿宋" w:eastAsia="仿宋" w:cs="宋体"/>
                <w:kern w:val="0"/>
                <w:szCs w:val="21"/>
              </w:rPr>
            </w:pPr>
            <w:r>
              <w:rPr>
                <w:rFonts w:hint="eastAsia" w:ascii="仿宋" w:hAnsi="仿宋" w:eastAsia="仿宋_GB2312" w:cs="宋体"/>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14:paraId="43523909">
            <w:pPr>
              <w:widowControl/>
              <w:jc w:val="center"/>
              <w:rPr>
                <w:rFonts w:ascii="仿宋" w:hAnsi="仿宋" w:eastAsia="仿宋" w:cs="宋体"/>
                <w:kern w:val="0"/>
                <w:szCs w:val="21"/>
              </w:rPr>
            </w:pPr>
            <w:r>
              <w:rPr>
                <w:rFonts w:hint="eastAsia" w:ascii="仿宋" w:hAnsi="仿宋" w:eastAsia="仿宋_GB2312" w:cs="宋体"/>
                <w:kern w:val="0"/>
                <w:szCs w:val="21"/>
              </w:rPr>
              <w:t xml:space="preserve">自评 </w:t>
            </w:r>
            <w:r>
              <w:rPr>
                <w:rFonts w:ascii="仿宋" w:hAnsi="仿宋" w:eastAsia="仿宋_GB2312" w:cs="宋体"/>
                <w:kern w:val="0"/>
                <w:szCs w:val="21"/>
              </w:rPr>
              <w:t xml:space="preserve"> </w:t>
            </w:r>
            <w:r>
              <w:rPr>
                <w:rFonts w:hint="eastAsia" w:ascii="仿宋" w:hAnsi="仿宋" w:eastAsia="仿宋_GB2312" w:cs="宋体"/>
                <w:kern w:val="0"/>
                <w:szCs w:val="21"/>
              </w:rPr>
              <w:t>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14:paraId="62EC63D7">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14:paraId="5C10F3AB">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14:paraId="1CB051FA">
            <w:pPr>
              <w:widowControl/>
              <w:jc w:val="center"/>
              <w:rPr>
                <w:rFonts w:ascii="仿宋" w:hAnsi="仿宋" w:eastAsia="仿宋" w:cs="宋体"/>
                <w:kern w:val="0"/>
                <w:szCs w:val="21"/>
              </w:rPr>
            </w:pPr>
            <w:r>
              <w:rPr>
                <w:rFonts w:hint="eastAsia" w:ascii="仿宋" w:hAnsi="仿宋" w:eastAsia="仿宋_GB2312" w:cs="宋体"/>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14:paraId="66A3B9D4">
            <w:pPr>
              <w:widowControl/>
              <w:jc w:val="center"/>
              <w:rPr>
                <w:rFonts w:ascii="仿宋" w:hAnsi="仿宋" w:eastAsia="仿宋" w:cs="宋体"/>
                <w:kern w:val="0"/>
                <w:szCs w:val="21"/>
              </w:rPr>
            </w:pPr>
            <w:r>
              <w:rPr>
                <w:rFonts w:hint="eastAsia" w:ascii="仿宋" w:hAnsi="仿宋" w:eastAsia="仿宋_GB2312" w:cs="宋体"/>
                <w:kern w:val="0"/>
                <w:szCs w:val="21"/>
              </w:rPr>
              <w:t>二级 指标</w:t>
            </w:r>
          </w:p>
        </w:tc>
        <w:tc>
          <w:tcPr>
            <w:tcW w:w="1819" w:type="dxa"/>
            <w:tcBorders>
              <w:top w:val="nil"/>
              <w:left w:val="nil"/>
              <w:bottom w:val="single" w:color="auto" w:sz="4" w:space="0"/>
              <w:right w:val="single" w:color="auto" w:sz="4" w:space="0"/>
            </w:tcBorders>
            <w:noWrap w:val="0"/>
            <w:vAlign w:val="center"/>
          </w:tcPr>
          <w:p w14:paraId="309519AF">
            <w:pPr>
              <w:widowControl/>
              <w:jc w:val="center"/>
              <w:rPr>
                <w:rFonts w:ascii="仿宋" w:hAnsi="仿宋" w:eastAsia="仿宋" w:cs="宋体"/>
                <w:kern w:val="0"/>
                <w:szCs w:val="21"/>
              </w:rPr>
            </w:pPr>
            <w:r>
              <w:rPr>
                <w:rFonts w:hint="eastAsia" w:ascii="仿宋" w:hAnsi="仿宋" w:eastAsia="仿宋_GB2312" w:cs="宋体"/>
                <w:kern w:val="0"/>
                <w:szCs w:val="21"/>
              </w:rPr>
              <w:t>三级指标</w:t>
            </w:r>
          </w:p>
        </w:tc>
        <w:tc>
          <w:tcPr>
            <w:tcW w:w="748" w:type="dxa"/>
            <w:tcBorders>
              <w:top w:val="nil"/>
              <w:left w:val="nil"/>
              <w:bottom w:val="single" w:color="auto" w:sz="4" w:space="0"/>
              <w:right w:val="single" w:color="auto" w:sz="4" w:space="0"/>
            </w:tcBorders>
            <w:noWrap w:val="0"/>
            <w:vAlign w:val="center"/>
          </w:tcPr>
          <w:p w14:paraId="4537E19D">
            <w:pPr>
              <w:widowControl/>
              <w:jc w:val="center"/>
              <w:rPr>
                <w:rFonts w:ascii="仿宋" w:hAnsi="仿宋" w:eastAsia="仿宋" w:cs="宋体"/>
                <w:kern w:val="0"/>
                <w:szCs w:val="21"/>
              </w:rPr>
            </w:pPr>
            <w:r>
              <w:rPr>
                <w:rFonts w:hint="eastAsia" w:ascii="仿宋" w:hAnsi="仿宋" w:eastAsia="仿宋_GB2312" w:cs="宋体"/>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8815743">
            <w:pPr>
              <w:widowControl/>
              <w:jc w:val="left"/>
              <w:rPr>
                <w:rFonts w:ascii="仿宋" w:hAnsi="仿宋" w:eastAsia="仿宋" w:cs="宋体"/>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DAA9737">
            <w:pPr>
              <w:widowControl/>
              <w:jc w:val="left"/>
              <w:rPr>
                <w:rFonts w:ascii="仿宋" w:hAnsi="仿宋" w:eastAsia="仿宋" w:cs="宋体"/>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14:paraId="55FEF068">
            <w:pPr>
              <w:widowControl/>
              <w:jc w:val="center"/>
              <w:rPr>
                <w:rFonts w:ascii="仿宋" w:hAnsi="仿宋" w:eastAsia="仿宋" w:cs="宋体"/>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14:paraId="1C47C7D2">
            <w:pPr>
              <w:widowControl/>
              <w:jc w:val="center"/>
              <w:rPr>
                <w:rFonts w:ascii="仿宋" w:hAnsi="仿宋" w:eastAsia="仿宋" w:cs="宋体"/>
                <w:kern w:val="0"/>
                <w:szCs w:val="21"/>
              </w:rPr>
            </w:pPr>
          </w:p>
        </w:tc>
      </w:tr>
      <w:tr w14:paraId="07F038DA">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14:paraId="643EB05E">
            <w:pPr>
              <w:jc w:val="center"/>
              <w:rPr>
                <w:rFonts w:hint="eastAsia" w:ascii="仿宋" w:hAnsi="仿宋" w:eastAsia="仿宋" w:cs="宋体"/>
                <w:kern w:val="0"/>
                <w:szCs w:val="21"/>
              </w:rPr>
            </w:pPr>
            <w:r>
              <w:rPr>
                <w:rFonts w:hint="eastAsia" w:ascii="仿宋" w:hAnsi="仿宋" w:eastAsia="仿宋_GB2312" w:cs="宋体"/>
                <w:b/>
                <w:bCs/>
                <w:kern w:val="0"/>
                <w:szCs w:val="21"/>
              </w:rPr>
              <w:t>总体绩效</w:t>
            </w:r>
            <w:r>
              <w:rPr>
                <w:rFonts w:hint="eastAsia" w:ascii="仿宋" w:hAnsi="仿宋" w:eastAsia="仿宋_GB2312" w:cs="宋体"/>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14:paraId="2A9066AA">
            <w:pPr>
              <w:jc w:val="center"/>
              <w:rPr>
                <w:rFonts w:hint="eastAsia" w:ascii="仿宋" w:hAnsi="仿宋" w:eastAsia="仿宋" w:cs="宋体"/>
                <w:b/>
                <w:kern w:val="0"/>
                <w:szCs w:val="21"/>
              </w:rPr>
            </w:pPr>
            <w:r>
              <w:rPr>
                <w:rFonts w:hint="eastAsia" w:ascii="仿宋" w:hAnsi="仿宋" w:eastAsia="仿宋_GB2312" w:cs="宋体"/>
                <w:b/>
                <w:bCs/>
                <w:kern w:val="0"/>
                <w:szCs w:val="21"/>
              </w:rPr>
              <w:t>履职 效能</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20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205D22D0">
            <w:pPr>
              <w:widowControl/>
              <w:jc w:val="center"/>
              <w:rPr>
                <w:rFonts w:hint="eastAsia" w:ascii="仿宋" w:hAnsi="仿宋" w:eastAsia="仿宋" w:cs="宋体"/>
                <w:kern w:val="0"/>
                <w:szCs w:val="21"/>
              </w:rPr>
            </w:pPr>
            <w:r>
              <w:rPr>
                <w:rFonts w:ascii="仿宋" w:hAnsi="仿宋" w:eastAsia="仿宋_GB2312" w:cs="宋体"/>
                <w:color w:val="000000"/>
                <w:kern w:val="0"/>
                <w:szCs w:val="21"/>
              </w:rPr>
              <w:t>绩效目标合理性</w:t>
            </w:r>
          </w:p>
        </w:tc>
        <w:tc>
          <w:tcPr>
            <w:tcW w:w="748" w:type="dxa"/>
            <w:vMerge w:val="restart"/>
            <w:tcBorders>
              <w:top w:val="nil"/>
              <w:left w:val="nil"/>
              <w:right w:val="single" w:color="auto" w:sz="4" w:space="0"/>
            </w:tcBorders>
            <w:noWrap w:val="0"/>
            <w:vAlign w:val="center"/>
          </w:tcPr>
          <w:p w14:paraId="0828A50F">
            <w:pPr>
              <w:widowControl/>
              <w:jc w:val="center"/>
              <w:rPr>
                <w:rFonts w:hint="default" w:ascii="仿宋" w:hAnsi="仿宋" w:eastAsia="仿宋" w:cs="宋体"/>
                <w:kern w:val="0"/>
                <w:szCs w:val="21"/>
                <w:lang w:val="en-US" w:eastAsia="zh-CN"/>
              </w:rPr>
            </w:pPr>
            <w:r>
              <w:rPr>
                <w:rFonts w:hint="eastAsia" w:ascii="仿宋" w:hAnsi="仿宋" w:eastAsia="仿宋_GB2312" w:cs="宋体"/>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14:paraId="351DBB46">
            <w:pPr>
              <w:widowControl/>
              <w:jc w:val="left"/>
              <w:rPr>
                <w:rFonts w:ascii="仿宋" w:hAnsi="仿宋" w:eastAsia="仿宋_GB2312" w:cs="宋体"/>
                <w:kern w:val="0"/>
                <w:szCs w:val="21"/>
              </w:rPr>
            </w:pPr>
            <w:r>
              <w:rPr>
                <w:rFonts w:ascii="仿宋" w:hAnsi="仿宋" w:eastAsia="仿宋_GB2312" w:cs="宋体"/>
                <w:kern w:val="0"/>
                <w:szCs w:val="21"/>
              </w:rPr>
              <w:t>是否符合发展规划</w:t>
            </w:r>
          </w:p>
          <w:p w14:paraId="4E87BB9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14:paraId="213BAAB8">
            <w:pPr>
              <w:widowControl/>
              <w:jc w:val="left"/>
              <w:rPr>
                <w:rFonts w:hint="eastAsia" w:ascii="仿宋" w:hAnsi="仿宋" w:eastAsia="仿宋" w:cs="宋体"/>
                <w:color w:val="000000"/>
                <w:kern w:val="0"/>
                <w:szCs w:val="21"/>
              </w:rPr>
            </w:pPr>
            <w:r>
              <w:rPr>
                <w:rFonts w:ascii="仿宋" w:hAnsi="仿宋" w:eastAsia="仿宋_GB2312" w:cs="宋体"/>
                <w:kern w:val="0"/>
                <w:szCs w:val="21"/>
              </w:rPr>
              <w:t>目标明确、合理</w:t>
            </w:r>
            <w:r>
              <w:rPr>
                <w:rFonts w:hint="eastAsia" w:ascii="仿宋" w:hAnsi="仿宋" w:eastAsia="仿宋_GB2312" w:cs="宋体"/>
                <w:kern w:val="0"/>
                <w:szCs w:val="21"/>
                <w:lang w:eastAsia="zh-CN"/>
              </w:rPr>
              <w:t>，</w:t>
            </w:r>
            <w:r>
              <w:rPr>
                <w:rFonts w:hint="eastAsia" w:ascii="仿宋" w:hAnsi="仿宋" w:eastAsia="仿宋_GB2312" w:cs="宋体"/>
                <w:kern w:val="0"/>
                <w:szCs w:val="21"/>
                <w:lang w:val="en-US" w:eastAsia="zh-CN"/>
              </w:rPr>
              <w:t>教学效果好，社会满意度高，校园无安全事故。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14:paraId="487DFCE7">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14:paraId="57503595">
            <w:pPr>
              <w:widowControl/>
              <w:jc w:val="center"/>
              <w:rPr>
                <w:rFonts w:ascii="仿宋" w:hAnsi="仿宋" w:eastAsia="仿宋" w:cs="宋体"/>
                <w:kern w:val="0"/>
                <w:szCs w:val="21"/>
              </w:rPr>
            </w:pPr>
          </w:p>
        </w:tc>
      </w:tr>
      <w:tr w14:paraId="53590A8B">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14:paraId="41100927">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14:paraId="40CB7F88">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2D0677A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教学质量达标</w:t>
            </w:r>
          </w:p>
        </w:tc>
        <w:tc>
          <w:tcPr>
            <w:tcW w:w="748" w:type="dxa"/>
            <w:vMerge w:val="continue"/>
            <w:tcBorders>
              <w:left w:val="nil"/>
              <w:bottom w:val="nil"/>
              <w:right w:val="single" w:color="auto" w:sz="4" w:space="0"/>
            </w:tcBorders>
            <w:noWrap w:val="0"/>
            <w:vAlign w:val="center"/>
          </w:tcPr>
          <w:p w14:paraId="602C9672">
            <w:pPr>
              <w:widowControl/>
              <w:jc w:val="center"/>
              <w:rPr>
                <w:rFonts w:ascii="仿宋" w:hAnsi="仿宋" w:eastAsia="仿宋" w:cs="宋体"/>
                <w:kern w:val="0"/>
                <w:szCs w:val="21"/>
              </w:rPr>
            </w:pPr>
          </w:p>
        </w:tc>
        <w:tc>
          <w:tcPr>
            <w:tcW w:w="2552" w:type="dxa"/>
            <w:vMerge w:val="continue"/>
            <w:tcBorders>
              <w:left w:val="single" w:color="auto" w:sz="4" w:space="0"/>
              <w:right w:val="single" w:color="auto" w:sz="4" w:space="0"/>
            </w:tcBorders>
            <w:noWrap w:val="0"/>
            <w:vAlign w:val="center"/>
          </w:tcPr>
          <w:p w14:paraId="3BB9786B">
            <w:pPr>
              <w:widowControl/>
              <w:jc w:val="left"/>
              <w:rPr>
                <w:rFonts w:hint="eastAsia" w:ascii="仿宋" w:hAnsi="仿宋" w:eastAsia="仿宋" w:cs="宋体"/>
                <w:color w:val="000000"/>
                <w:kern w:val="0"/>
                <w:szCs w:val="21"/>
              </w:rPr>
            </w:pPr>
          </w:p>
        </w:tc>
        <w:tc>
          <w:tcPr>
            <w:tcW w:w="2268" w:type="dxa"/>
            <w:vMerge w:val="continue"/>
            <w:tcBorders>
              <w:left w:val="single" w:color="auto" w:sz="4" w:space="0"/>
              <w:right w:val="single" w:color="auto" w:sz="4" w:space="0"/>
            </w:tcBorders>
            <w:noWrap w:val="0"/>
            <w:vAlign w:val="center"/>
          </w:tcPr>
          <w:p w14:paraId="291489F5">
            <w:pPr>
              <w:widowControl/>
              <w:jc w:val="left"/>
              <w:rPr>
                <w:rFonts w:hint="eastAsia" w:ascii="仿宋" w:hAnsi="仿宋" w:eastAsia="仿宋" w:cs="宋体"/>
                <w:color w:val="000000"/>
                <w:kern w:val="0"/>
                <w:szCs w:val="21"/>
              </w:rPr>
            </w:pPr>
          </w:p>
        </w:tc>
        <w:tc>
          <w:tcPr>
            <w:tcW w:w="729" w:type="dxa"/>
            <w:vMerge w:val="continue"/>
            <w:tcBorders>
              <w:left w:val="single" w:color="auto" w:sz="4" w:space="0"/>
              <w:right w:val="single" w:color="auto" w:sz="4" w:space="0"/>
            </w:tcBorders>
            <w:noWrap w:val="0"/>
            <w:vAlign w:val="center"/>
          </w:tcPr>
          <w:p w14:paraId="0DEAB19B">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89C19EE">
            <w:pPr>
              <w:widowControl/>
              <w:jc w:val="center"/>
              <w:rPr>
                <w:rFonts w:ascii="仿宋" w:hAnsi="仿宋" w:eastAsia="仿宋" w:cs="宋体"/>
                <w:kern w:val="0"/>
                <w:szCs w:val="21"/>
              </w:rPr>
            </w:pPr>
          </w:p>
        </w:tc>
      </w:tr>
      <w:tr w14:paraId="7DF26E4F">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14:paraId="31180764">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14:paraId="1D8939E9">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4DE371D6">
            <w:pPr>
              <w:widowControl/>
              <w:jc w:val="left"/>
              <w:rPr>
                <w:rFonts w:hint="default" w:ascii="仿宋" w:hAnsi="仿宋" w:eastAsia="仿宋" w:cs="宋体"/>
                <w:color w:val="000000"/>
                <w:kern w:val="0"/>
                <w:szCs w:val="21"/>
                <w:lang w:val="en-US" w:eastAsia="zh-CN"/>
              </w:rPr>
            </w:pPr>
            <w:r>
              <w:rPr>
                <w:rFonts w:hint="default" w:ascii="仿宋" w:hAnsi="仿宋" w:eastAsia="仿宋_GB2312" w:cs="宋体"/>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14:paraId="620FDFE3">
            <w:pPr>
              <w:widowControl/>
              <w:jc w:val="center"/>
              <w:rPr>
                <w:rFonts w:ascii="仿宋" w:hAnsi="仿宋" w:eastAsia="仿宋" w:cs="宋体"/>
                <w:kern w:val="0"/>
                <w:szCs w:val="21"/>
              </w:rPr>
            </w:pPr>
          </w:p>
        </w:tc>
        <w:tc>
          <w:tcPr>
            <w:tcW w:w="2552" w:type="dxa"/>
            <w:vMerge w:val="continue"/>
            <w:tcBorders>
              <w:left w:val="single" w:color="auto" w:sz="4" w:space="0"/>
              <w:bottom w:val="nil"/>
              <w:right w:val="single" w:color="auto" w:sz="4" w:space="0"/>
            </w:tcBorders>
            <w:noWrap w:val="0"/>
            <w:vAlign w:val="center"/>
          </w:tcPr>
          <w:p w14:paraId="2C7CDB66">
            <w:pPr>
              <w:widowControl/>
              <w:jc w:val="left"/>
              <w:rPr>
                <w:rFonts w:ascii="仿宋" w:hAnsi="仿宋" w:eastAsia="仿宋" w:cs="宋体"/>
                <w:color w:val="000000"/>
                <w:kern w:val="0"/>
                <w:szCs w:val="21"/>
              </w:rPr>
            </w:pPr>
          </w:p>
        </w:tc>
        <w:tc>
          <w:tcPr>
            <w:tcW w:w="2268" w:type="dxa"/>
            <w:vMerge w:val="continue"/>
            <w:tcBorders>
              <w:left w:val="single" w:color="auto" w:sz="4" w:space="0"/>
              <w:bottom w:val="nil"/>
              <w:right w:val="single" w:color="auto" w:sz="4" w:space="0"/>
            </w:tcBorders>
            <w:noWrap w:val="0"/>
            <w:vAlign w:val="center"/>
          </w:tcPr>
          <w:p w14:paraId="3AD36AE5">
            <w:pPr>
              <w:widowControl/>
              <w:jc w:val="left"/>
              <w:rPr>
                <w:rFonts w:ascii="仿宋" w:hAnsi="仿宋" w:eastAsia="仿宋" w:cs="宋体"/>
                <w:color w:val="000000"/>
                <w:kern w:val="0"/>
                <w:szCs w:val="21"/>
              </w:rPr>
            </w:pPr>
          </w:p>
        </w:tc>
        <w:tc>
          <w:tcPr>
            <w:tcW w:w="729" w:type="dxa"/>
            <w:vMerge w:val="continue"/>
            <w:tcBorders>
              <w:left w:val="single" w:color="auto" w:sz="4" w:space="0"/>
              <w:bottom w:val="nil"/>
              <w:right w:val="single" w:color="auto" w:sz="4" w:space="0"/>
            </w:tcBorders>
            <w:noWrap w:val="0"/>
            <w:vAlign w:val="center"/>
          </w:tcPr>
          <w:p w14:paraId="0F5F52F4">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C7665A7">
            <w:pPr>
              <w:widowControl/>
              <w:jc w:val="center"/>
              <w:rPr>
                <w:rFonts w:ascii="仿宋" w:hAnsi="仿宋" w:eastAsia="仿宋" w:cs="宋体"/>
                <w:kern w:val="0"/>
                <w:szCs w:val="21"/>
              </w:rPr>
            </w:pPr>
          </w:p>
        </w:tc>
      </w:tr>
      <w:tr w14:paraId="7249E50D">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14:paraId="3FE1BAEE">
            <w:pPr>
              <w:jc w:val="center"/>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14:paraId="7E4D6C2B">
            <w:pPr>
              <w:widowControl/>
              <w:jc w:val="center"/>
              <w:rPr>
                <w:rFonts w:ascii="仿宋" w:hAnsi="仿宋" w:eastAsia="仿宋" w:cs="宋体"/>
                <w:b/>
                <w:bCs/>
                <w:kern w:val="0"/>
                <w:szCs w:val="21"/>
              </w:rPr>
            </w:pPr>
            <w:r>
              <w:rPr>
                <w:rFonts w:hint="eastAsia" w:ascii="仿宋" w:hAnsi="仿宋" w:eastAsia="仿宋_GB2312" w:cs="宋体"/>
                <w:b/>
                <w:bCs/>
                <w:kern w:val="0"/>
                <w:szCs w:val="21"/>
              </w:rPr>
              <w:t>预算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（2</w:t>
            </w:r>
            <w:r>
              <w:rPr>
                <w:rFonts w:ascii="仿宋" w:hAnsi="仿宋" w:eastAsia="仿宋_GB2312" w:cs="宋体"/>
                <w:b/>
                <w:bCs/>
                <w:kern w:val="0"/>
                <w:sz w:val="15"/>
                <w:szCs w:val="15"/>
              </w:rPr>
              <w:t>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3C9CA794">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14:paraId="7204C4AD">
            <w:pPr>
              <w:widowControl/>
              <w:jc w:val="center"/>
              <w:rPr>
                <w:rFonts w:hint="eastAsia"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14:paraId="7C653FA6">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14:paraId="2872D9C4">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14:paraId="1E4FA64B">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6B52C9A8">
            <w:pPr>
              <w:widowControl/>
              <w:jc w:val="center"/>
              <w:rPr>
                <w:rFonts w:ascii="仿宋" w:hAnsi="仿宋" w:eastAsia="仿宋" w:cs="宋体"/>
                <w:kern w:val="0"/>
                <w:szCs w:val="21"/>
              </w:rPr>
            </w:pPr>
          </w:p>
        </w:tc>
      </w:tr>
      <w:tr w14:paraId="6198711C">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14:paraId="0683E13C">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6B156262">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A54D95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14:paraId="35209070">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7C1933A5">
            <w:pPr>
              <w:widowControl/>
              <w:jc w:val="left"/>
              <w:rPr>
                <w:rFonts w:ascii="仿宋" w:hAnsi="仿宋" w:eastAsia="仿宋" w:cs="宋体"/>
                <w:color w:val="000000"/>
                <w:kern w:val="0"/>
                <w:szCs w:val="21"/>
              </w:rPr>
            </w:pPr>
            <w:r>
              <w:rPr>
                <w:rFonts w:ascii="仿宋" w:hAnsi="仿宋" w:eastAsia="仿宋_GB2312" w:cs="宋体"/>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14:paraId="03BAB9A3">
            <w:pPr>
              <w:widowControl/>
              <w:jc w:val="left"/>
              <w:rPr>
                <w:rFonts w:ascii="仿宋" w:hAnsi="仿宋" w:eastAsia="仿宋" w:cs="宋体"/>
                <w:color w:val="000000"/>
                <w:kern w:val="0"/>
                <w:szCs w:val="21"/>
              </w:rPr>
            </w:pPr>
            <w:r>
              <w:rPr>
                <w:rFonts w:ascii="仿宋" w:hAnsi="仿宋" w:eastAsia="仿宋_GB2312" w:cs="宋体"/>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14:paraId="6A8F17F1">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2C800B8">
            <w:pPr>
              <w:widowControl/>
              <w:jc w:val="center"/>
              <w:rPr>
                <w:rFonts w:ascii="仿宋" w:hAnsi="仿宋" w:eastAsia="仿宋" w:cs="宋体"/>
                <w:kern w:val="0"/>
                <w:szCs w:val="21"/>
              </w:rPr>
            </w:pPr>
          </w:p>
        </w:tc>
      </w:tr>
      <w:tr w14:paraId="282DEE7C">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14:paraId="4A40FD49">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75DA42F0">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E0F614D">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14:paraId="19B9293E">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114DDD79">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14:paraId="3F104349">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58141117">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F6C414F">
            <w:pPr>
              <w:widowControl/>
              <w:jc w:val="center"/>
              <w:rPr>
                <w:rFonts w:ascii="仿宋" w:hAnsi="仿宋" w:eastAsia="仿宋" w:cs="宋体"/>
                <w:kern w:val="0"/>
                <w:szCs w:val="21"/>
              </w:rPr>
            </w:pPr>
          </w:p>
        </w:tc>
      </w:tr>
      <w:tr w14:paraId="43750DC4">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14:paraId="53C3FC02">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523276E7">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6E0F1254">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14:paraId="6CE320E1">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5749DB2D">
            <w:pPr>
              <w:widowControl/>
              <w:jc w:val="left"/>
              <w:rPr>
                <w:rFonts w:hint="eastAsia" w:ascii="仿宋" w:hAnsi="仿宋" w:eastAsia="仿宋" w:cs="宋体"/>
                <w:color w:val="000000"/>
                <w:kern w:val="0"/>
                <w:szCs w:val="21"/>
              </w:rPr>
            </w:pPr>
            <w:r>
              <w:rPr>
                <w:rFonts w:hint="eastAsia" w:ascii="仿宋" w:hAnsi="仿宋" w:eastAsia="仿宋_GB2312" w:cs="宋体"/>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14:paraId="0B844752">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14:paraId="008C2B78">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4E520022">
            <w:pPr>
              <w:widowControl/>
              <w:jc w:val="center"/>
              <w:rPr>
                <w:rFonts w:ascii="仿宋" w:hAnsi="仿宋" w:eastAsia="仿宋" w:cs="宋体"/>
                <w:kern w:val="0"/>
                <w:szCs w:val="21"/>
              </w:rPr>
            </w:pPr>
          </w:p>
        </w:tc>
      </w:tr>
      <w:tr w14:paraId="7C0A4C7D">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14:paraId="263486E2">
            <w:pPr>
              <w:jc w:val="center"/>
              <w:rPr>
                <w:rFonts w:ascii="仿宋" w:hAnsi="仿宋" w:eastAsia="仿宋" w:cs="宋体"/>
                <w:b/>
                <w:bCs/>
                <w:kern w:val="0"/>
                <w:szCs w:val="21"/>
              </w:rPr>
            </w:pPr>
          </w:p>
        </w:tc>
        <w:tc>
          <w:tcPr>
            <w:tcW w:w="861" w:type="dxa"/>
            <w:vMerge w:val="restart"/>
            <w:tcBorders>
              <w:top w:val="nil"/>
              <w:left w:val="single" w:color="auto" w:sz="4" w:space="0"/>
              <w:right w:val="single" w:color="auto" w:sz="4" w:space="0"/>
            </w:tcBorders>
            <w:noWrap w:val="0"/>
            <w:vAlign w:val="center"/>
          </w:tcPr>
          <w:p w14:paraId="74AD7FE6">
            <w:pPr>
              <w:widowControl/>
              <w:jc w:val="center"/>
              <w:rPr>
                <w:rFonts w:hint="eastAsia" w:ascii="仿宋" w:hAnsi="仿宋" w:eastAsia="仿宋" w:cs="宋体"/>
                <w:b/>
                <w:bCs/>
                <w:kern w:val="0"/>
                <w:szCs w:val="21"/>
              </w:rPr>
            </w:pPr>
            <w:r>
              <w:rPr>
                <w:rFonts w:hint="eastAsia" w:ascii="仿宋" w:hAnsi="仿宋" w:eastAsia="仿宋_GB2312" w:cs="宋体"/>
                <w:b/>
                <w:bCs/>
                <w:kern w:val="0"/>
                <w:szCs w:val="21"/>
              </w:rPr>
              <w:t>资产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15</w:t>
            </w:r>
            <w:r>
              <w:rPr>
                <w:rFonts w:hint="eastAsia" w:ascii="仿宋" w:hAnsi="仿宋" w:eastAsia="仿宋_GB2312" w:cs="宋体"/>
                <w:b/>
                <w:bCs/>
                <w:kern w:val="0"/>
                <w:sz w:val="15"/>
                <w:szCs w:val="15"/>
              </w:rPr>
              <w:t>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60967D">
            <w:pPr>
              <w:widowControl/>
              <w:jc w:val="left"/>
              <w:rPr>
                <w:rFonts w:ascii="仿宋" w:hAnsi="仿宋" w:eastAsia="仿宋" w:cs="宋体"/>
                <w:color w:val="000000"/>
                <w:kern w:val="0"/>
                <w:szCs w:val="21"/>
              </w:rPr>
            </w:pPr>
            <w:r>
              <w:rPr>
                <w:rFonts w:ascii="仿宋" w:hAnsi="仿宋" w:eastAsia="仿宋_GB2312" w:cs="宋体"/>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14:paraId="72E229E6">
            <w:pPr>
              <w:widowControl/>
              <w:jc w:val="center"/>
              <w:rPr>
                <w:rFonts w:ascii="仿宋" w:hAnsi="仿宋" w:eastAsia="仿宋" w:cs="宋体"/>
                <w:color w:val="000000"/>
                <w:kern w:val="0"/>
                <w:szCs w:val="21"/>
              </w:rPr>
            </w:pPr>
            <w:r>
              <w:rPr>
                <w:rFonts w:ascii="仿宋" w:hAnsi="仿宋" w:eastAsia="仿宋_GB2312" w:cs="宋体"/>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14:paraId="7199086C">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14:paraId="19CCCC6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14:paraId="59E33791">
            <w:pPr>
              <w:widowControl/>
              <w:jc w:val="center"/>
              <w:rPr>
                <w:rFonts w:hint="eastAsia"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14:paraId="6455060C">
            <w:pPr>
              <w:widowControl/>
              <w:jc w:val="center"/>
              <w:rPr>
                <w:rFonts w:ascii="仿宋" w:hAnsi="仿宋" w:eastAsia="仿宋" w:cs="宋体"/>
                <w:kern w:val="0"/>
                <w:szCs w:val="21"/>
              </w:rPr>
            </w:pPr>
          </w:p>
        </w:tc>
      </w:tr>
      <w:tr w14:paraId="16EC1665">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14:paraId="0ADC4978">
            <w:pPr>
              <w:widowControl/>
              <w:jc w:val="center"/>
              <w:rPr>
                <w:rFonts w:ascii="仿宋" w:hAnsi="仿宋" w:eastAsia="仿宋" w:cs="宋体"/>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14:paraId="36CEAE39">
            <w:pPr>
              <w:widowControl/>
              <w:jc w:val="center"/>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556345C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14:paraId="4E7E7E62">
            <w:pPr>
              <w:widowControl/>
              <w:jc w:val="center"/>
              <w:rPr>
                <w:rFonts w:ascii="仿宋" w:hAnsi="仿宋" w:eastAsia="仿宋" w:cs="宋体"/>
                <w:color w:val="000000"/>
                <w:kern w:val="0"/>
                <w:szCs w:val="21"/>
              </w:rPr>
            </w:pPr>
            <w:r>
              <w:rPr>
                <w:rFonts w:ascii="仿宋" w:hAnsi="仿宋" w:eastAsia="仿宋_GB2312" w:cs="宋体"/>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14:paraId="345212F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14:paraId="543A47EF">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13524903">
            <w:pPr>
              <w:widowControl/>
              <w:jc w:val="center"/>
              <w:rPr>
                <w:rFonts w:hint="eastAsia" w:ascii="仿宋" w:hAnsi="仿宋" w:eastAsia="仿宋" w:cs="宋体"/>
                <w:color w:val="000000"/>
                <w:kern w:val="0"/>
                <w:szCs w:val="21"/>
                <w:lang w:eastAsia="zh-CN"/>
              </w:rPr>
            </w:pPr>
            <w:r>
              <w:rPr>
                <w:rFonts w:hint="eastAsia" w:ascii="仿宋" w:hAnsi="仿宋" w:eastAsia="仿宋_GB2312" w:cs="宋体"/>
                <w:color w:val="000000"/>
                <w:kern w:val="0"/>
                <w:szCs w:val="21"/>
                <w:lang w:val="en-US" w:eastAsia="zh-CN"/>
              </w:rPr>
              <w:t>6</w:t>
            </w:r>
          </w:p>
        </w:tc>
        <w:tc>
          <w:tcPr>
            <w:tcW w:w="567" w:type="dxa"/>
            <w:vMerge w:val="continue"/>
            <w:tcBorders>
              <w:left w:val="single" w:color="auto" w:sz="4" w:space="0"/>
              <w:bottom w:val="single" w:color="auto" w:sz="4" w:space="0"/>
              <w:right w:val="single" w:color="auto" w:sz="4" w:space="0"/>
            </w:tcBorders>
            <w:noWrap w:val="0"/>
            <w:vAlign w:val="center"/>
          </w:tcPr>
          <w:p w14:paraId="7A946CC6">
            <w:pPr>
              <w:widowControl/>
              <w:jc w:val="center"/>
              <w:rPr>
                <w:rFonts w:ascii="仿宋" w:hAnsi="仿宋" w:eastAsia="仿宋" w:cs="宋体"/>
                <w:kern w:val="0"/>
                <w:szCs w:val="21"/>
              </w:rPr>
            </w:pPr>
          </w:p>
        </w:tc>
      </w:tr>
      <w:tr w14:paraId="64023763">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14:paraId="3F6CF1E1">
            <w:pPr>
              <w:widowControl/>
              <w:jc w:val="left"/>
              <w:rPr>
                <w:rFonts w:ascii="仿宋" w:hAnsi="仿宋" w:eastAsia="仿宋" w:cs="宋体"/>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14:paraId="13936D12">
            <w:pPr>
              <w:widowControl/>
              <w:jc w:val="center"/>
              <w:rPr>
                <w:rFonts w:ascii="仿宋" w:hAnsi="仿宋" w:eastAsia="仿宋" w:cs="宋体"/>
                <w:b/>
                <w:bCs/>
                <w:kern w:val="0"/>
                <w:szCs w:val="21"/>
              </w:rPr>
            </w:pPr>
            <w:r>
              <w:rPr>
                <w:rFonts w:hint="eastAsia" w:ascii="仿宋" w:hAnsi="仿宋" w:eastAsia="仿宋_GB2312" w:cs="宋体"/>
                <w:b/>
                <w:bCs/>
                <w:kern w:val="0"/>
                <w:szCs w:val="21"/>
              </w:rPr>
              <w:t>采购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4B4C71D9">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14:paraId="2C173C10">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2552" w:type="dxa"/>
            <w:tcBorders>
              <w:top w:val="nil"/>
              <w:left w:val="nil"/>
              <w:bottom w:val="single" w:color="auto" w:sz="4" w:space="0"/>
              <w:right w:val="single" w:color="auto" w:sz="4" w:space="0"/>
            </w:tcBorders>
            <w:noWrap w:val="0"/>
            <w:vAlign w:val="center"/>
          </w:tcPr>
          <w:p w14:paraId="23FA97BB">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14:paraId="68C90450">
            <w:pPr>
              <w:widowControl/>
              <w:jc w:val="left"/>
              <w:rPr>
                <w:rFonts w:ascii="仿宋" w:hAnsi="仿宋" w:eastAsia="仿宋" w:cs="宋体"/>
                <w:color w:val="000000"/>
                <w:kern w:val="0"/>
                <w:szCs w:val="21"/>
              </w:rPr>
            </w:pPr>
            <w:r>
              <w:rPr>
                <w:rFonts w:ascii="仿宋" w:hAnsi="仿宋" w:eastAsia="仿宋_GB2312" w:cs="宋体"/>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14:paraId="08F2A20A">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14:paraId="705F9AB3">
            <w:pPr>
              <w:widowControl/>
              <w:jc w:val="center"/>
              <w:rPr>
                <w:rFonts w:ascii="仿宋" w:hAnsi="仿宋" w:eastAsia="仿宋" w:cs="宋体"/>
                <w:kern w:val="0"/>
                <w:szCs w:val="21"/>
              </w:rPr>
            </w:pPr>
          </w:p>
        </w:tc>
      </w:tr>
      <w:tr w14:paraId="439AD1E8">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1FFC6E7C">
            <w:pPr>
              <w:widowControl/>
              <w:jc w:val="center"/>
              <w:rPr>
                <w:rFonts w:ascii="仿宋" w:hAnsi="仿宋" w:eastAsia="仿宋" w:cs="宋体"/>
                <w:b/>
                <w:bCs/>
                <w:kern w:val="0"/>
                <w:szCs w:val="21"/>
              </w:rPr>
            </w:pPr>
            <w:r>
              <w:rPr>
                <w:rFonts w:hint="eastAsia" w:ascii="仿宋" w:hAnsi="仿宋" w:eastAsia="仿宋_GB2312" w:cs="宋体"/>
                <w:b/>
                <w:bCs/>
                <w:kern w:val="0"/>
                <w:szCs w:val="21"/>
              </w:rPr>
              <w:t>项目绩效</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14:paraId="689269B7">
            <w:pPr>
              <w:widowControl/>
              <w:jc w:val="center"/>
              <w:rPr>
                <w:rFonts w:ascii="仿宋" w:hAnsi="仿宋" w:eastAsia="仿宋" w:cs="宋体"/>
                <w:b/>
                <w:bCs/>
                <w:kern w:val="0"/>
                <w:szCs w:val="21"/>
              </w:rPr>
            </w:pPr>
            <w:r>
              <w:rPr>
                <w:rFonts w:hint="eastAsia" w:ascii="仿宋" w:hAnsi="仿宋" w:eastAsia="仿宋_GB2312" w:cs="宋体"/>
                <w:b/>
                <w:bCs/>
                <w:kern w:val="0"/>
                <w:szCs w:val="21"/>
              </w:rPr>
              <w:t>项目 决策</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31516AC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14:paraId="6556466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332B2C1B">
            <w:pPr>
              <w:widowControl/>
              <w:jc w:val="left"/>
              <w:rPr>
                <w:rFonts w:ascii="仿宋" w:hAnsi="仿宋" w:eastAsia="仿宋" w:cs="宋体"/>
                <w:color w:val="000000"/>
                <w:kern w:val="0"/>
                <w:szCs w:val="21"/>
              </w:rPr>
            </w:pPr>
            <w:r>
              <w:rPr>
                <w:rFonts w:ascii="仿宋" w:hAnsi="仿宋" w:eastAsia="仿宋_GB2312" w:cs="宋体"/>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14:paraId="55BB3F17">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246E832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5DCF6EE0">
            <w:pPr>
              <w:widowControl/>
              <w:jc w:val="center"/>
              <w:rPr>
                <w:rFonts w:ascii="仿宋" w:hAnsi="仿宋" w:eastAsia="仿宋" w:cs="宋体"/>
                <w:kern w:val="0"/>
                <w:sz w:val="20"/>
                <w:szCs w:val="21"/>
              </w:rPr>
            </w:pPr>
          </w:p>
        </w:tc>
      </w:tr>
      <w:tr w14:paraId="0E2657A7">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1629E641">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568CC3BF">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E0AD0A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14:paraId="57A44E3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7DFA5F4">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14:paraId="768826D3">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F45CCD1">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E540982">
            <w:pPr>
              <w:widowControl/>
              <w:jc w:val="center"/>
              <w:rPr>
                <w:rFonts w:ascii="仿宋" w:hAnsi="仿宋" w:eastAsia="仿宋" w:cs="宋体"/>
                <w:kern w:val="0"/>
                <w:sz w:val="20"/>
                <w:szCs w:val="21"/>
              </w:rPr>
            </w:pPr>
          </w:p>
        </w:tc>
      </w:tr>
      <w:tr w14:paraId="5630C9C1">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1E2E38F">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2262B411">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75C6DF58">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14:paraId="042D505D">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D9BB6EA">
            <w:pPr>
              <w:widowControl/>
              <w:jc w:val="left"/>
              <w:rPr>
                <w:rFonts w:ascii="仿宋" w:hAnsi="仿宋" w:eastAsia="仿宋" w:cs="宋体"/>
                <w:color w:val="000000"/>
                <w:kern w:val="0"/>
                <w:szCs w:val="21"/>
              </w:rPr>
            </w:pPr>
            <w:r>
              <w:rPr>
                <w:rFonts w:ascii="仿宋" w:hAnsi="仿宋" w:eastAsia="仿宋_GB2312" w:cs="宋体"/>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14:paraId="327B4D52">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E4C705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0757927">
            <w:pPr>
              <w:widowControl/>
              <w:jc w:val="center"/>
              <w:rPr>
                <w:rFonts w:ascii="仿宋" w:hAnsi="仿宋" w:eastAsia="仿宋" w:cs="宋体"/>
                <w:kern w:val="0"/>
                <w:szCs w:val="21"/>
              </w:rPr>
            </w:pPr>
          </w:p>
        </w:tc>
      </w:tr>
      <w:tr w14:paraId="46082235">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5DA11470">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14:paraId="55D54A11">
            <w:pPr>
              <w:widowControl/>
              <w:jc w:val="center"/>
              <w:rPr>
                <w:rFonts w:ascii="仿宋" w:hAnsi="仿宋" w:eastAsia="仿宋" w:cs="宋体"/>
                <w:b/>
                <w:bCs/>
                <w:kern w:val="0"/>
                <w:szCs w:val="21"/>
              </w:rPr>
            </w:pPr>
            <w:r>
              <w:rPr>
                <w:rFonts w:hint="eastAsia" w:ascii="仿宋" w:hAnsi="仿宋" w:eastAsia="仿宋_GB2312" w:cs="宋体"/>
                <w:b/>
                <w:bCs/>
                <w:kern w:val="0"/>
                <w:szCs w:val="21"/>
              </w:rPr>
              <w:t>项目 执行</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6E2A686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14:paraId="6B96B8BD">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539170DB">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14:paraId="40606874">
            <w:pPr>
              <w:widowControl/>
              <w:jc w:val="left"/>
              <w:rPr>
                <w:rFonts w:ascii="仿宋" w:hAnsi="仿宋" w:eastAsia="仿宋" w:cs="宋体"/>
                <w:color w:val="000000"/>
                <w:kern w:val="0"/>
                <w:szCs w:val="21"/>
              </w:rPr>
            </w:pPr>
            <w:r>
              <w:rPr>
                <w:rFonts w:ascii="仿宋" w:hAnsi="仿宋" w:eastAsia="仿宋_GB2312" w:cs="宋体"/>
                <w:color w:val="000000"/>
                <w:kern w:val="0"/>
                <w:szCs w:val="21"/>
              </w:rPr>
              <w:t>一致</w:t>
            </w:r>
          </w:p>
        </w:tc>
        <w:tc>
          <w:tcPr>
            <w:tcW w:w="729" w:type="dxa"/>
            <w:tcBorders>
              <w:top w:val="nil"/>
              <w:left w:val="nil"/>
              <w:bottom w:val="single" w:color="auto" w:sz="4" w:space="0"/>
              <w:right w:val="single" w:color="auto" w:sz="4" w:space="0"/>
            </w:tcBorders>
            <w:noWrap w:val="0"/>
            <w:vAlign w:val="center"/>
          </w:tcPr>
          <w:p w14:paraId="40CB6F5B">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298FE72D">
            <w:pPr>
              <w:widowControl/>
              <w:jc w:val="center"/>
              <w:rPr>
                <w:rFonts w:ascii="仿宋" w:hAnsi="仿宋" w:eastAsia="仿宋" w:cs="宋体"/>
                <w:kern w:val="0"/>
                <w:szCs w:val="21"/>
              </w:rPr>
            </w:pPr>
          </w:p>
        </w:tc>
      </w:tr>
      <w:tr w14:paraId="518BEEE4">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5B011E2">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5161F7C8">
            <w:pPr>
              <w:widowControl/>
              <w:jc w:val="left"/>
              <w:rPr>
                <w:rFonts w:ascii="仿宋" w:hAnsi="仿宋" w:eastAsia="仿宋" w:cs="宋体"/>
                <w:b/>
                <w:bCs/>
                <w:kern w:val="0"/>
                <w:szCs w:val="21"/>
              </w:rPr>
            </w:pPr>
          </w:p>
        </w:tc>
        <w:tc>
          <w:tcPr>
            <w:tcW w:w="1819" w:type="dxa"/>
            <w:tcBorders>
              <w:top w:val="nil"/>
              <w:left w:val="nil"/>
              <w:bottom w:val="nil"/>
              <w:right w:val="single" w:color="auto" w:sz="4" w:space="0"/>
            </w:tcBorders>
            <w:noWrap w:val="0"/>
            <w:vAlign w:val="center"/>
          </w:tcPr>
          <w:p w14:paraId="54BBE8E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14:paraId="53B7577E">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2B6621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14:paraId="5739D6A6">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0308C2C1">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14:paraId="48D8B834">
            <w:pPr>
              <w:widowControl/>
              <w:jc w:val="center"/>
              <w:rPr>
                <w:rFonts w:ascii="仿宋" w:hAnsi="仿宋" w:eastAsia="仿宋" w:cs="宋体"/>
                <w:kern w:val="0"/>
                <w:szCs w:val="21"/>
              </w:rPr>
            </w:pPr>
          </w:p>
        </w:tc>
      </w:tr>
      <w:tr w14:paraId="45B0FD08">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3D3BA100">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671810CB">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0DCF088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14:paraId="37FEFD3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60C534C">
            <w:pPr>
              <w:widowControl/>
              <w:jc w:val="left"/>
              <w:rPr>
                <w:rFonts w:ascii="仿宋" w:hAnsi="仿宋" w:eastAsia="仿宋" w:cs="宋体"/>
                <w:color w:val="000000"/>
                <w:kern w:val="0"/>
                <w:szCs w:val="21"/>
              </w:rPr>
            </w:pPr>
            <w:r>
              <w:rPr>
                <w:rFonts w:ascii="仿宋" w:hAnsi="仿宋" w:eastAsia="仿宋_GB2312" w:cs="宋体"/>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14:paraId="6F22C067">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14:paraId="20E99FB1">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7249E6A">
            <w:pPr>
              <w:widowControl/>
              <w:jc w:val="center"/>
              <w:rPr>
                <w:rFonts w:ascii="仿宋" w:hAnsi="仿宋" w:eastAsia="仿宋" w:cs="宋体"/>
                <w:kern w:val="0"/>
                <w:szCs w:val="21"/>
              </w:rPr>
            </w:pPr>
          </w:p>
        </w:tc>
      </w:tr>
      <w:tr w14:paraId="6C2F51AA">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79162FDE">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14:paraId="6933AAE3">
            <w:pPr>
              <w:widowControl/>
              <w:jc w:val="center"/>
              <w:rPr>
                <w:rFonts w:ascii="仿宋" w:hAnsi="仿宋" w:eastAsia="仿宋" w:cs="宋体"/>
                <w:b/>
                <w:bCs/>
                <w:kern w:val="0"/>
                <w:szCs w:val="21"/>
              </w:rPr>
            </w:pPr>
            <w:r>
              <w:rPr>
                <w:rFonts w:hint="eastAsia" w:ascii="仿宋" w:hAnsi="仿宋" w:eastAsia="仿宋_GB2312" w:cs="宋体"/>
                <w:b/>
                <w:bCs/>
                <w:kern w:val="0"/>
                <w:szCs w:val="21"/>
              </w:rPr>
              <w:t>目标 实现</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（11分）</w:t>
            </w:r>
          </w:p>
        </w:tc>
        <w:tc>
          <w:tcPr>
            <w:tcW w:w="1819" w:type="dxa"/>
            <w:tcBorders>
              <w:top w:val="nil"/>
              <w:left w:val="nil"/>
              <w:bottom w:val="single" w:color="auto" w:sz="4" w:space="0"/>
              <w:right w:val="single" w:color="auto" w:sz="4" w:space="0"/>
            </w:tcBorders>
            <w:noWrap w:val="0"/>
            <w:vAlign w:val="center"/>
          </w:tcPr>
          <w:p w14:paraId="09444852">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14:paraId="267A4460">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4034E4E">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14:paraId="6BFC49AA">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14:paraId="4C78DF1E">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086BC6CD">
            <w:pPr>
              <w:widowControl/>
              <w:jc w:val="center"/>
              <w:rPr>
                <w:rFonts w:ascii="仿宋" w:hAnsi="仿宋" w:eastAsia="仿宋" w:cs="宋体"/>
                <w:kern w:val="0"/>
                <w:szCs w:val="21"/>
              </w:rPr>
            </w:pPr>
          </w:p>
        </w:tc>
      </w:tr>
      <w:tr w14:paraId="13F739EE">
        <w:tblPrEx>
          <w:tblCellMar>
            <w:top w:w="0" w:type="dxa"/>
            <w:left w:w="108" w:type="dxa"/>
            <w:bottom w:w="0" w:type="dxa"/>
            <w:right w:w="108" w:type="dxa"/>
          </w:tblCellMar>
        </w:tblPrEx>
        <w:trPr>
          <w:trHeight w:val="372"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088AEC3">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3BBD5D19">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37BF300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14:paraId="164D6EDB">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AAA0B9C">
            <w:pPr>
              <w:widowControl/>
              <w:jc w:val="left"/>
              <w:rPr>
                <w:rFonts w:ascii="仿宋" w:hAnsi="仿宋" w:eastAsia="仿宋" w:cs="宋体"/>
                <w:color w:val="000000"/>
                <w:kern w:val="0"/>
                <w:szCs w:val="21"/>
              </w:rPr>
            </w:pPr>
            <w:r>
              <w:rPr>
                <w:rFonts w:ascii="仿宋" w:hAnsi="仿宋" w:eastAsia="仿宋_GB2312" w:cs="宋体"/>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14:paraId="0A1707A2">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w:t>
            </w:r>
          </w:p>
        </w:tc>
        <w:tc>
          <w:tcPr>
            <w:tcW w:w="729" w:type="dxa"/>
            <w:tcBorders>
              <w:top w:val="nil"/>
              <w:left w:val="nil"/>
              <w:bottom w:val="single" w:color="auto" w:sz="4" w:space="0"/>
              <w:right w:val="single" w:color="auto" w:sz="4" w:space="0"/>
            </w:tcBorders>
            <w:noWrap w:val="0"/>
            <w:vAlign w:val="center"/>
          </w:tcPr>
          <w:p w14:paraId="5920F6AA">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4FA61E3">
            <w:pPr>
              <w:widowControl/>
              <w:jc w:val="center"/>
              <w:rPr>
                <w:rFonts w:ascii="仿宋" w:hAnsi="仿宋" w:eastAsia="仿宋" w:cs="宋体"/>
                <w:kern w:val="0"/>
                <w:szCs w:val="21"/>
              </w:rPr>
            </w:pPr>
          </w:p>
        </w:tc>
      </w:tr>
      <w:tr w14:paraId="76492BA5">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4F2F90E9">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03222460">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3763B59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14:paraId="1048C834">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2552" w:type="dxa"/>
            <w:tcBorders>
              <w:top w:val="nil"/>
              <w:left w:val="nil"/>
              <w:bottom w:val="single" w:color="auto" w:sz="4" w:space="0"/>
              <w:right w:val="single" w:color="auto" w:sz="4" w:space="0"/>
            </w:tcBorders>
            <w:noWrap w:val="0"/>
            <w:vAlign w:val="center"/>
          </w:tcPr>
          <w:p w14:paraId="18220417">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14:paraId="2FC0B09C">
            <w:pPr>
              <w:widowControl/>
              <w:jc w:val="left"/>
              <w:rPr>
                <w:rFonts w:ascii="仿宋" w:hAnsi="仿宋" w:eastAsia="仿宋" w:cs="宋体"/>
                <w:color w:val="000000"/>
                <w:kern w:val="0"/>
                <w:szCs w:val="21"/>
              </w:rPr>
            </w:pPr>
            <w:r>
              <w:rPr>
                <w:rFonts w:ascii="仿宋" w:hAnsi="仿宋" w:eastAsia="仿宋_GB2312" w:cs="宋体"/>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14:paraId="4BE2F055">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567" w:type="dxa"/>
            <w:tcBorders>
              <w:top w:val="nil"/>
              <w:left w:val="nil"/>
              <w:bottom w:val="single" w:color="auto" w:sz="4" w:space="0"/>
              <w:right w:val="single" w:color="auto" w:sz="4" w:space="0"/>
            </w:tcBorders>
            <w:noWrap w:val="0"/>
            <w:vAlign w:val="center"/>
          </w:tcPr>
          <w:p w14:paraId="0F036AB0">
            <w:pPr>
              <w:widowControl/>
              <w:jc w:val="center"/>
              <w:rPr>
                <w:rFonts w:ascii="仿宋" w:hAnsi="仿宋" w:eastAsia="仿宋" w:cs="宋体"/>
                <w:kern w:val="0"/>
                <w:szCs w:val="21"/>
              </w:rPr>
            </w:pPr>
          </w:p>
        </w:tc>
      </w:tr>
      <w:tr w14:paraId="7CCFE2A0">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14:paraId="3CA36627">
            <w:pPr>
              <w:widowControl/>
              <w:jc w:val="center"/>
              <w:rPr>
                <w:rFonts w:ascii="仿宋" w:hAnsi="仿宋" w:eastAsia="仿宋" w:cs="宋体"/>
                <w:b/>
                <w:bCs/>
                <w:kern w:val="0"/>
                <w:szCs w:val="21"/>
              </w:rPr>
            </w:pPr>
            <w:r>
              <w:rPr>
                <w:rFonts w:hint="eastAsia" w:ascii="仿宋" w:hAnsi="仿宋" w:eastAsia="仿宋_GB2312" w:cs="宋体"/>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14:paraId="656C84F9">
            <w:pPr>
              <w:widowControl/>
              <w:jc w:val="center"/>
              <w:rPr>
                <w:rFonts w:ascii="仿宋" w:hAnsi="仿宋" w:eastAsia="仿宋" w:cs="宋体"/>
                <w:b/>
                <w:bCs/>
                <w:kern w:val="0"/>
                <w:szCs w:val="21"/>
              </w:rPr>
            </w:pPr>
            <w:r>
              <w:rPr>
                <w:rFonts w:hint="eastAsia" w:ascii="仿宋" w:hAnsi="仿宋" w:eastAsia="仿宋_GB2312" w:cs="宋体"/>
                <w:b/>
                <w:bCs/>
                <w:kern w:val="0"/>
                <w:szCs w:val="21"/>
              </w:rPr>
              <w:t>财务 管理</w:t>
            </w:r>
          </w:p>
        </w:tc>
        <w:tc>
          <w:tcPr>
            <w:tcW w:w="1819" w:type="dxa"/>
            <w:tcBorders>
              <w:top w:val="nil"/>
              <w:left w:val="nil"/>
              <w:bottom w:val="single" w:color="auto" w:sz="4" w:space="0"/>
              <w:right w:val="single" w:color="auto" w:sz="4" w:space="0"/>
            </w:tcBorders>
            <w:noWrap w:val="0"/>
            <w:vAlign w:val="center"/>
          </w:tcPr>
          <w:p w14:paraId="3E8DCFF7">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14:paraId="5EB1CB1B">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DE973C3">
            <w:pPr>
              <w:widowControl/>
              <w:jc w:val="left"/>
              <w:rPr>
                <w:rFonts w:ascii="仿宋" w:hAnsi="仿宋" w:eastAsia="仿宋" w:cs="宋体"/>
                <w:color w:val="000000"/>
                <w:kern w:val="0"/>
                <w:szCs w:val="21"/>
              </w:rPr>
            </w:pPr>
            <w:r>
              <w:rPr>
                <w:rFonts w:ascii="仿宋" w:hAnsi="仿宋" w:eastAsia="仿宋_GB2312" w:cs="宋体"/>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14:paraId="72FB5923">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626921BF">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64C7B7DD">
            <w:pPr>
              <w:widowControl/>
              <w:jc w:val="center"/>
              <w:rPr>
                <w:rFonts w:ascii="仿宋" w:hAnsi="仿宋" w:eastAsia="仿宋" w:cs="宋体"/>
                <w:kern w:val="0"/>
                <w:szCs w:val="21"/>
              </w:rPr>
            </w:pPr>
          </w:p>
        </w:tc>
      </w:tr>
      <w:tr w14:paraId="38A2B847">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069DFF67">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09074A8A">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185C1D33">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14:paraId="60773B2F">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C1D14A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14:paraId="287346F1">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3A582D8F">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2943AFBE">
            <w:pPr>
              <w:widowControl/>
              <w:jc w:val="center"/>
              <w:rPr>
                <w:rFonts w:ascii="仿宋" w:hAnsi="仿宋" w:eastAsia="仿宋" w:cs="宋体"/>
                <w:kern w:val="0"/>
                <w:szCs w:val="21"/>
              </w:rPr>
            </w:pPr>
          </w:p>
        </w:tc>
      </w:tr>
      <w:tr w14:paraId="3D2E5F3A">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399BFAFA">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7FDA8275">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4BC057AD">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14:paraId="0EBEA8FF">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76399C8">
            <w:pPr>
              <w:widowControl/>
              <w:jc w:val="left"/>
              <w:rPr>
                <w:rFonts w:ascii="仿宋" w:hAnsi="仿宋" w:eastAsia="仿宋" w:cs="宋体"/>
                <w:color w:val="000000"/>
                <w:kern w:val="0"/>
                <w:szCs w:val="21"/>
              </w:rPr>
            </w:pPr>
            <w:r>
              <w:rPr>
                <w:rFonts w:ascii="仿宋" w:hAnsi="仿宋" w:eastAsia="仿宋_GB2312" w:cs="宋体"/>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14:paraId="291A7081">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214565CB">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14:paraId="67E7B27A">
            <w:pPr>
              <w:widowControl/>
              <w:jc w:val="center"/>
              <w:rPr>
                <w:rFonts w:ascii="仿宋" w:hAnsi="仿宋" w:eastAsia="仿宋" w:cs="宋体"/>
                <w:kern w:val="0"/>
                <w:szCs w:val="21"/>
              </w:rPr>
            </w:pPr>
          </w:p>
        </w:tc>
      </w:tr>
      <w:tr w14:paraId="5392F52C">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7FAA6CEE">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5866AEDB">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14:paraId="0D5C9B01">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9C5415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14:paraId="18990A25">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4A7FC3F8">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14:paraId="42FC9985">
            <w:pPr>
              <w:widowControl/>
              <w:jc w:val="center"/>
              <w:rPr>
                <w:rFonts w:ascii="仿宋" w:hAnsi="仿宋" w:eastAsia="仿宋" w:cs="宋体"/>
                <w:kern w:val="0"/>
                <w:szCs w:val="21"/>
              </w:rPr>
            </w:pPr>
          </w:p>
        </w:tc>
      </w:tr>
      <w:tr w14:paraId="637E5BC9">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605D8E73">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6CF01B06">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14:paraId="6B1685A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40A8738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14:paraId="3BE41D9B">
            <w:pPr>
              <w:widowControl/>
              <w:jc w:val="left"/>
              <w:rPr>
                <w:rFonts w:ascii="仿宋" w:hAnsi="仿宋" w:eastAsia="仿宋" w:cs="宋体"/>
                <w:color w:val="000000"/>
                <w:kern w:val="0"/>
                <w:szCs w:val="21"/>
              </w:rPr>
            </w:pPr>
            <w:r>
              <w:rPr>
                <w:rFonts w:ascii="仿宋" w:hAnsi="仿宋" w:eastAsia="仿宋_GB2312" w:cs="宋体"/>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14:paraId="16D7ED73">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64CE7FA4">
            <w:pPr>
              <w:widowControl/>
              <w:jc w:val="center"/>
              <w:rPr>
                <w:rFonts w:ascii="仿宋" w:hAnsi="仿宋" w:eastAsia="仿宋" w:cs="宋体"/>
                <w:kern w:val="0"/>
                <w:szCs w:val="21"/>
              </w:rPr>
            </w:pPr>
          </w:p>
        </w:tc>
      </w:tr>
      <w:tr w14:paraId="63898FF0">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14:paraId="6307518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分值</w:t>
            </w:r>
          </w:p>
        </w:tc>
        <w:tc>
          <w:tcPr>
            <w:tcW w:w="748" w:type="dxa"/>
            <w:tcBorders>
              <w:top w:val="nil"/>
              <w:left w:val="nil"/>
              <w:bottom w:val="single" w:color="auto" w:sz="4" w:space="0"/>
              <w:right w:val="single" w:color="auto" w:sz="4" w:space="0"/>
            </w:tcBorders>
            <w:noWrap/>
            <w:vAlign w:val="center"/>
          </w:tcPr>
          <w:p w14:paraId="09D794D2">
            <w:pPr>
              <w:widowControl/>
              <w:jc w:val="center"/>
              <w:rPr>
                <w:rFonts w:ascii="仿宋" w:hAnsi="仿宋" w:eastAsia="仿宋" w:cs="宋体"/>
                <w:color w:val="000000"/>
                <w:kern w:val="0"/>
                <w:szCs w:val="21"/>
              </w:rPr>
            </w:pPr>
          </w:p>
        </w:tc>
        <w:tc>
          <w:tcPr>
            <w:tcW w:w="2552" w:type="dxa"/>
            <w:tcBorders>
              <w:top w:val="nil"/>
              <w:left w:val="nil"/>
              <w:bottom w:val="single" w:color="auto" w:sz="4" w:space="0"/>
              <w:right w:val="single" w:color="auto" w:sz="4" w:space="0"/>
            </w:tcBorders>
            <w:noWrap/>
            <w:vAlign w:val="center"/>
          </w:tcPr>
          <w:p w14:paraId="7F7FD9E8">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2268" w:type="dxa"/>
            <w:tcBorders>
              <w:top w:val="nil"/>
              <w:left w:val="nil"/>
              <w:bottom w:val="single" w:color="auto" w:sz="4" w:space="0"/>
              <w:right w:val="single" w:color="auto" w:sz="4" w:space="0"/>
            </w:tcBorders>
            <w:noWrap/>
            <w:vAlign w:val="center"/>
          </w:tcPr>
          <w:p w14:paraId="11A53F93">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729" w:type="dxa"/>
            <w:tcBorders>
              <w:top w:val="nil"/>
              <w:left w:val="nil"/>
              <w:bottom w:val="single" w:color="auto" w:sz="4" w:space="0"/>
              <w:right w:val="single" w:color="auto" w:sz="4" w:space="0"/>
            </w:tcBorders>
            <w:noWrap/>
            <w:vAlign w:val="center"/>
          </w:tcPr>
          <w:p w14:paraId="2475D135">
            <w:pPr>
              <w:widowControl/>
              <w:jc w:val="center"/>
              <w:rPr>
                <w:rFonts w:hint="default" w:ascii="仿宋" w:hAnsi="仿宋" w:eastAsia="仿宋" w:cs="宋体"/>
                <w:color w:val="000000"/>
                <w:kern w:val="0"/>
                <w:szCs w:val="21"/>
              </w:rPr>
            </w:pPr>
            <w:r>
              <w:rPr>
                <w:rFonts w:hint="default" w:ascii="仿宋" w:hAnsi="仿宋" w:eastAsia="仿宋_GB2312" w:cs="宋体"/>
                <w:color w:val="000000"/>
                <w:kern w:val="0"/>
                <w:szCs w:val="21"/>
              </w:rPr>
              <w:fldChar w:fldCharType="begin"/>
            </w:r>
            <w:r>
              <w:rPr>
                <w:rFonts w:hint="default" w:ascii="仿宋" w:hAnsi="仿宋" w:eastAsia="仿宋_GB2312" w:cs="宋体"/>
                <w:color w:val="000000"/>
                <w:kern w:val="0"/>
                <w:szCs w:val="21"/>
              </w:rPr>
              <w:instrText xml:space="preserve"> =sum(above) \# "0" \* MERGEFORMAT </w:instrText>
            </w:r>
            <w:r>
              <w:rPr>
                <w:rFonts w:hint="default" w:ascii="仿宋" w:hAnsi="仿宋" w:eastAsia="仿宋_GB2312" w:cs="宋体"/>
                <w:color w:val="000000"/>
                <w:kern w:val="0"/>
                <w:szCs w:val="21"/>
              </w:rPr>
              <w:fldChar w:fldCharType="separate"/>
            </w:r>
            <w:r>
              <w:t>96</w:t>
            </w:r>
            <w:r>
              <w:rPr>
                <w:rFonts w:hint="default" w:ascii="仿宋" w:hAnsi="仿宋" w:eastAsia="仿宋_GB2312" w:cs="宋体"/>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14:paraId="3B2A55B3">
            <w:pPr>
              <w:widowControl/>
              <w:jc w:val="center"/>
              <w:rPr>
                <w:rFonts w:ascii="仿宋" w:hAnsi="仿宋" w:eastAsia="仿宋" w:cs="宋体"/>
                <w:color w:val="000000"/>
                <w:kern w:val="0"/>
                <w:szCs w:val="21"/>
              </w:rPr>
            </w:pPr>
          </w:p>
        </w:tc>
      </w:tr>
    </w:tbl>
    <w:p w14:paraId="2A30B982">
      <w:pPr>
        <w:pStyle w:val="3"/>
        <w:rPr>
          <w:rFonts w:hint="eastAsia"/>
          <w:lang w:val="en-US" w:eastAsia="zh-CN"/>
        </w:rPr>
      </w:pPr>
    </w:p>
    <w:p w14:paraId="4C4BF955">
      <w:pPr>
        <w:keepNext w:val="0"/>
        <w:keepLines w:val="0"/>
        <w:pageBreakBefore w:val="0"/>
        <w:kinsoku/>
        <w:wordWrap/>
        <w:overflowPunct/>
        <w:topLinePunct w:val="0"/>
        <w:autoSpaceDE/>
        <w:autoSpaceDN/>
        <w:bidi w:val="0"/>
        <w:spacing w:line="572" w:lineRule="exact"/>
        <w:jc w:val="left"/>
        <w:textAlignment w:val="auto"/>
        <w:outlineLvl w:val="9"/>
        <w:rPr>
          <w:rFonts w:eastAsia="黑体" w:cs="黑体"/>
          <w:color w:val="FF0000"/>
          <w:sz w:val="32"/>
          <w:szCs w:val="32"/>
        </w:rPr>
      </w:pPr>
      <w:r>
        <w:rPr>
          <w:rFonts w:hint="eastAsia" w:eastAsia="黑体" w:cs="黑体"/>
          <w:color w:val="auto"/>
          <w:sz w:val="32"/>
          <w:szCs w:val="32"/>
          <w:highlight w:val="none"/>
          <w:lang w:val="en-US" w:eastAsia="zh-CN"/>
        </w:rPr>
        <w:t xml:space="preserve">附表2：   </w:t>
      </w:r>
    </w:p>
    <w:tbl>
      <w:tblPr>
        <w:tblStyle w:val="16"/>
        <w:tblW w:w="10940" w:type="dxa"/>
        <w:jc w:val="center"/>
        <w:tblLayout w:type="autofit"/>
        <w:tblCellMar>
          <w:top w:w="0" w:type="dxa"/>
          <w:left w:w="108" w:type="dxa"/>
          <w:bottom w:w="0" w:type="dxa"/>
          <w:right w:w="108" w:type="dxa"/>
        </w:tblCellMar>
      </w:tblPr>
      <w:tblGrid>
        <w:gridCol w:w="880"/>
        <w:gridCol w:w="1180"/>
        <w:gridCol w:w="1140"/>
        <w:gridCol w:w="1140"/>
        <w:gridCol w:w="780"/>
        <w:gridCol w:w="780"/>
        <w:gridCol w:w="720"/>
        <w:gridCol w:w="1080"/>
        <w:gridCol w:w="1080"/>
        <w:gridCol w:w="1080"/>
        <w:gridCol w:w="1080"/>
      </w:tblGrid>
      <w:tr w14:paraId="5BD85F15">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2FA37A98">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6AA987A7">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44A3FD">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6074FB0C">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51090422T000006631660-幼儿保教费</w:t>
            </w:r>
          </w:p>
        </w:tc>
      </w:tr>
      <w:tr w14:paraId="2C7A6BF8">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EC19DB">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30A6487">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遂宁市安居区第一幼儿园部门</w:t>
            </w:r>
          </w:p>
        </w:tc>
        <w:tc>
          <w:tcPr>
            <w:tcW w:w="1080" w:type="dxa"/>
            <w:tcBorders>
              <w:top w:val="nil"/>
              <w:left w:val="nil"/>
              <w:bottom w:val="single" w:color="auto" w:sz="4" w:space="0"/>
              <w:right w:val="single" w:color="auto" w:sz="4" w:space="0"/>
            </w:tcBorders>
            <w:shd w:val="clear" w:color="auto" w:fill="auto"/>
            <w:vAlign w:val="center"/>
          </w:tcPr>
          <w:p w14:paraId="67496447">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1A7F445D">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遂宁市安居区第一幼儿园</w:t>
            </w:r>
          </w:p>
        </w:tc>
      </w:tr>
      <w:tr w14:paraId="346E64A7">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1A5A9E2B">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1F24B3E5">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A717E1F">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FF7EEB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493FD5D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4CCAA9C5">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0C4420F5">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81BF15C">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5A8E8B3E">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14:paraId="7A3B636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7F3A147">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C2B3451">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A72A610">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14:paraId="054B3D9D">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673C2CD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5D6AE001">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72FC669E">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720AD3A1">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95D3D34">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7A805FD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7C7484EA">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1BB8242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290EC37C">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5F0A7B1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A011B9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4138734">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4EC2F99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87907E8">
            <w:pPr>
              <w:widowControl/>
              <w:jc w:val="center"/>
              <w:rPr>
                <w:rFonts w:ascii="宋体" w:hAnsi="宋体" w:cs="宋体"/>
                <w:color w:val="000000"/>
                <w:kern w:val="0"/>
                <w:sz w:val="20"/>
                <w:szCs w:val="20"/>
              </w:rPr>
            </w:pPr>
            <w:r>
              <w:rPr>
                <w:rFonts w:hint="eastAsia" w:ascii="宋体" w:hAnsi="宋体" w:cs="宋体"/>
                <w:color w:val="000000"/>
                <w:kern w:val="0"/>
                <w:sz w:val="20"/>
                <w:szCs w:val="20"/>
              </w:rPr>
              <w:t>67.48</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F7B1CFC">
            <w:pPr>
              <w:widowControl/>
              <w:jc w:val="center"/>
              <w:rPr>
                <w:rFonts w:ascii="宋体" w:hAnsi="宋体" w:cs="宋体"/>
                <w:color w:val="000000"/>
                <w:kern w:val="0"/>
                <w:sz w:val="20"/>
                <w:szCs w:val="20"/>
              </w:rPr>
            </w:pPr>
            <w:r>
              <w:rPr>
                <w:rFonts w:hint="eastAsia" w:ascii="宋体" w:hAnsi="宋体" w:cs="宋体"/>
                <w:color w:val="000000"/>
                <w:kern w:val="0"/>
                <w:sz w:val="20"/>
                <w:szCs w:val="20"/>
              </w:rPr>
              <w:t>67.48</w:t>
            </w:r>
          </w:p>
        </w:tc>
        <w:tc>
          <w:tcPr>
            <w:tcW w:w="1080" w:type="dxa"/>
            <w:tcBorders>
              <w:top w:val="nil"/>
              <w:left w:val="nil"/>
              <w:bottom w:val="single" w:color="auto" w:sz="4" w:space="0"/>
              <w:right w:val="single" w:color="auto" w:sz="4" w:space="0"/>
            </w:tcBorders>
            <w:shd w:val="clear" w:color="auto" w:fill="auto"/>
            <w:vAlign w:val="center"/>
          </w:tcPr>
          <w:p w14:paraId="237D0FC4">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0FF4390E">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4B6EBE94">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316FC5E2">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736F2C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14DF6C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A80AF05">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61FBCF2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7551258">
            <w:pPr>
              <w:widowControl/>
              <w:jc w:val="center"/>
              <w:rPr>
                <w:rFonts w:ascii="宋体" w:hAnsi="宋体" w:cs="宋体"/>
                <w:color w:val="000000"/>
                <w:kern w:val="0"/>
                <w:sz w:val="20"/>
                <w:szCs w:val="20"/>
              </w:rPr>
            </w:pPr>
            <w:r>
              <w:rPr>
                <w:rFonts w:hint="eastAsia" w:ascii="宋体" w:hAnsi="宋体" w:cs="宋体"/>
                <w:color w:val="000000"/>
                <w:kern w:val="0"/>
                <w:sz w:val="20"/>
                <w:szCs w:val="20"/>
              </w:rPr>
              <w:t>67.48</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297075B">
            <w:pPr>
              <w:widowControl/>
              <w:jc w:val="center"/>
              <w:rPr>
                <w:rFonts w:ascii="宋体" w:hAnsi="宋体" w:cs="宋体"/>
                <w:color w:val="000000"/>
                <w:kern w:val="0"/>
                <w:sz w:val="20"/>
                <w:szCs w:val="20"/>
              </w:rPr>
            </w:pPr>
            <w:r>
              <w:rPr>
                <w:rFonts w:hint="eastAsia" w:ascii="宋体" w:hAnsi="宋体" w:cs="宋体"/>
                <w:color w:val="000000"/>
                <w:kern w:val="0"/>
                <w:sz w:val="20"/>
                <w:szCs w:val="20"/>
              </w:rPr>
              <w:t>67.48</w:t>
            </w:r>
          </w:p>
        </w:tc>
        <w:tc>
          <w:tcPr>
            <w:tcW w:w="1080" w:type="dxa"/>
            <w:tcBorders>
              <w:top w:val="nil"/>
              <w:left w:val="nil"/>
              <w:bottom w:val="single" w:color="auto" w:sz="4" w:space="0"/>
              <w:right w:val="single" w:color="auto" w:sz="4" w:space="0"/>
            </w:tcBorders>
            <w:shd w:val="clear" w:color="auto" w:fill="auto"/>
            <w:vAlign w:val="center"/>
          </w:tcPr>
          <w:p w14:paraId="5486106D">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618E1BC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6E2477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7271BD4">
            <w:pPr>
              <w:widowControl/>
              <w:jc w:val="left"/>
              <w:rPr>
                <w:rFonts w:ascii="宋体" w:hAnsi="宋体" w:cs="宋体"/>
                <w:i/>
                <w:iCs/>
                <w:color w:val="000000"/>
                <w:kern w:val="0"/>
                <w:sz w:val="20"/>
                <w:szCs w:val="20"/>
              </w:rPr>
            </w:pPr>
          </w:p>
        </w:tc>
      </w:tr>
      <w:tr w14:paraId="654F630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58F149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CAECD4C">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400065D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7BBDD20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550B5B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6A04D1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E777AA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CF88C6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F2DD8E6">
            <w:pPr>
              <w:widowControl/>
              <w:jc w:val="left"/>
              <w:rPr>
                <w:rFonts w:ascii="宋体" w:hAnsi="宋体" w:cs="宋体"/>
                <w:i/>
                <w:iCs/>
                <w:color w:val="000000"/>
                <w:kern w:val="0"/>
                <w:sz w:val="20"/>
                <w:szCs w:val="20"/>
              </w:rPr>
            </w:pPr>
          </w:p>
        </w:tc>
      </w:tr>
      <w:tr w14:paraId="642D653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E736F90">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56A8B43">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1B33027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1A9E2B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88FC08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75FEAC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2E5F34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AA7D48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CD64613">
            <w:pPr>
              <w:widowControl/>
              <w:jc w:val="left"/>
              <w:rPr>
                <w:rFonts w:ascii="宋体" w:hAnsi="宋体" w:cs="宋体"/>
                <w:i/>
                <w:iCs/>
                <w:color w:val="000000"/>
                <w:kern w:val="0"/>
                <w:sz w:val="20"/>
                <w:szCs w:val="20"/>
              </w:rPr>
            </w:pPr>
          </w:p>
        </w:tc>
      </w:tr>
      <w:tr w14:paraId="6E2F055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11B0CBE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CDF6870">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36B3E4E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4EAF2FE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A994EB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936161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ED908A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778BAB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1F3BF47">
            <w:pPr>
              <w:widowControl/>
              <w:jc w:val="left"/>
              <w:rPr>
                <w:rFonts w:ascii="宋体" w:hAnsi="宋体" w:cs="宋体"/>
                <w:i/>
                <w:iCs/>
                <w:color w:val="000000"/>
                <w:kern w:val="0"/>
                <w:sz w:val="20"/>
                <w:szCs w:val="20"/>
              </w:rPr>
            </w:pPr>
          </w:p>
        </w:tc>
      </w:tr>
      <w:tr w14:paraId="643F0DE8">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6C459F89">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6F5B2519">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773A4D9D">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4F137028">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18F71118">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48729346">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2AB3437B">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5DDCCA78">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6A1155D8">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7EB428B1">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2C5DFA61">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53EA3D9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080B31DC">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B20EAAC">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E7E6D5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0FF1D73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57A6DB9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7CCCCE8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5C6F382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7752D36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2BC2DE0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48C835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65560320">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2BD4B6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F190212">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56E7F1C9">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2BF9172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4C9930C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025E759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42FC52D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1DB3041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10A7CDB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6A81EA1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C33F9E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4032DCBC">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3AB84405">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9AEC66">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76144E32">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592C139">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6AB927B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86082E0">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0F65D29">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739983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14:paraId="1BABD720">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7927EC3">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F260641">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636EB01">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91A7ACA">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1392B921">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4B529FD2">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70CA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项目负责人：唐秀琼</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7E9F7CE3">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财务负责人：刘丽春</w:t>
            </w:r>
          </w:p>
        </w:tc>
      </w:tr>
      <w:tr w14:paraId="3833531F">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0B0BDE22">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7DC79DAE">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1EFDD875">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1B9381CC">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2BB08F1">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63C618DE">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104A006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A2C7328">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3AC2713">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5364EA9">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7A83521">
            <w:pPr>
              <w:widowControl/>
              <w:jc w:val="left"/>
              <w:rPr>
                <w:rFonts w:ascii="宋体" w:hAnsi="宋体" w:cs="宋体"/>
                <w:color w:val="000000"/>
                <w:kern w:val="0"/>
                <w:sz w:val="20"/>
                <w:szCs w:val="20"/>
              </w:rPr>
            </w:pPr>
          </w:p>
        </w:tc>
      </w:tr>
      <w:tr w14:paraId="42443F51">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1B129A3D">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5EE09126">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3DE4A6">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2F6A170">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51090422T000006818424-幼儿资助及幼儿发展资金</w:t>
            </w:r>
          </w:p>
        </w:tc>
      </w:tr>
      <w:tr w14:paraId="499015B0">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443B5B">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41C759E">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遂宁市安居区第一幼儿园部门</w:t>
            </w:r>
          </w:p>
        </w:tc>
        <w:tc>
          <w:tcPr>
            <w:tcW w:w="1080" w:type="dxa"/>
            <w:tcBorders>
              <w:top w:val="nil"/>
              <w:left w:val="nil"/>
              <w:bottom w:val="single" w:color="auto" w:sz="4" w:space="0"/>
              <w:right w:val="single" w:color="auto" w:sz="4" w:space="0"/>
            </w:tcBorders>
            <w:shd w:val="clear" w:color="auto" w:fill="auto"/>
            <w:vAlign w:val="center"/>
          </w:tcPr>
          <w:p w14:paraId="0EEB0DA6">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27B4A5E0">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遂宁市安居区第一幼儿园</w:t>
            </w:r>
          </w:p>
        </w:tc>
      </w:tr>
      <w:tr w14:paraId="449511CC">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02F8F58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549803C4">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C0FA119">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28D090C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75BFAD6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133EBFD4">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0AB82BEB">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29351F03">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002CEBC">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保障了学校家庭经济困难学生正常入学，减轻其家庭经济负担，促进学校健康发展。</w:t>
            </w:r>
          </w:p>
        </w:tc>
      </w:tr>
      <w:tr w14:paraId="0C8DE01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0C6AACE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C6B1E12">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0B2B266">
            <w:pPr>
              <w:widowControl/>
              <w:jc w:val="left"/>
              <w:rPr>
                <w:rFonts w:ascii="宋体" w:hAnsi="宋体" w:cs="宋体"/>
                <w:color w:val="000000"/>
                <w:kern w:val="0"/>
                <w:sz w:val="20"/>
                <w:szCs w:val="20"/>
              </w:rPr>
            </w:pPr>
            <w:r>
              <w:rPr>
                <w:rFonts w:hint="eastAsia" w:ascii="宋体" w:hAnsi="宋体" w:cs="宋体"/>
                <w:color w:val="000000"/>
                <w:kern w:val="0"/>
                <w:sz w:val="20"/>
                <w:szCs w:val="20"/>
              </w:rPr>
              <w:t>加强资金专项管理，提高资金使用效益，确保专款专用，按程序及时按要求支付资金，促进学校健康发展。</w:t>
            </w:r>
          </w:p>
        </w:tc>
      </w:tr>
      <w:tr w14:paraId="1E74E4D4">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4FC824A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4B506A15">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4DC1D795">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31AF1BEF">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FF4AC72">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445E3D73">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2558A969">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35C42084">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591BA8C5">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7C06209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1EB5A550">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EA9F374">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795D5E4B">
            <w:pPr>
              <w:widowControl/>
              <w:jc w:val="center"/>
              <w:rPr>
                <w:rFonts w:ascii="宋体" w:hAnsi="宋体" w:cs="宋体"/>
                <w:color w:val="000000"/>
                <w:kern w:val="0"/>
                <w:sz w:val="20"/>
                <w:szCs w:val="20"/>
              </w:rPr>
            </w:pPr>
            <w:r>
              <w:rPr>
                <w:rFonts w:hint="eastAsia" w:ascii="宋体" w:hAnsi="宋体" w:cs="宋体"/>
                <w:color w:val="000000"/>
                <w:kern w:val="0"/>
                <w:sz w:val="20"/>
                <w:szCs w:val="20"/>
              </w:rPr>
              <w:t>9.16</w:t>
            </w:r>
          </w:p>
        </w:tc>
        <w:tc>
          <w:tcPr>
            <w:tcW w:w="1140" w:type="dxa"/>
            <w:tcBorders>
              <w:top w:val="nil"/>
              <w:left w:val="nil"/>
              <w:bottom w:val="single" w:color="auto" w:sz="4" w:space="0"/>
              <w:right w:val="single" w:color="auto" w:sz="4" w:space="0"/>
            </w:tcBorders>
            <w:shd w:val="clear" w:color="auto" w:fill="auto"/>
            <w:vAlign w:val="center"/>
          </w:tcPr>
          <w:p w14:paraId="143B357C">
            <w:pPr>
              <w:widowControl/>
              <w:jc w:val="center"/>
              <w:rPr>
                <w:rFonts w:ascii="宋体" w:hAnsi="宋体" w:cs="宋体"/>
                <w:color w:val="000000"/>
                <w:kern w:val="0"/>
                <w:sz w:val="20"/>
                <w:szCs w:val="20"/>
              </w:rPr>
            </w:pPr>
            <w:r>
              <w:rPr>
                <w:rFonts w:hint="eastAsia" w:ascii="宋体" w:hAnsi="宋体" w:cs="宋体"/>
                <w:color w:val="000000"/>
                <w:kern w:val="0"/>
                <w:sz w:val="20"/>
                <w:szCs w:val="20"/>
              </w:rPr>
              <w:t>19.26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4833678">
            <w:pPr>
              <w:widowControl/>
              <w:jc w:val="center"/>
              <w:rPr>
                <w:rFonts w:ascii="宋体" w:hAnsi="宋体" w:cs="宋体"/>
                <w:color w:val="000000"/>
                <w:kern w:val="0"/>
                <w:sz w:val="20"/>
                <w:szCs w:val="20"/>
              </w:rPr>
            </w:pPr>
            <w:r>
              <w:rPr>
                <w:rFonts w:hint="eastAsia" w:ascii="宋体" w:hAnsi="宋体" w:cs="宋体"/>
                <w:color w:val="000000"/>
                <w:kern w:val="0"/>
                <w:sz w:val="20"/>
                <w:szCs w:val="20"/>
              </w:rPr>
              <w:t>19.26</w:t>
            </w:r>
          </w:p>
        </w:tc>
        <w:tc>
          <w:tcPr>
            <w:tcW w:w="1080" w:type="dxa"/>
            <w:tcBorders>
              <w:top w:val="nil"/>
              <w:left w:val="nil"/>
              <w:bottom w:val="single" w:color="auto" w:sz="4" w:space="0"/>
              <w:right w:val="single" w:color="auto" w:sz="4" w:space="0"/>
            </w:tcBorders>
            <w:shd w:val="clear" w:color="auto" w:fill="auto"/>
            <w:vAlign w:val="center"/>
          </w:tcPr>
          <w:p w14:paraId="00FA3713">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BE7900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4D285974">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C9B7289">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DE5FCD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8F3D8D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C9D2FCB">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75F60743">
            <w:pPr>
              <w:widowControl/>
              <w:jc w:val="center"/>
              <w:rPr>
                <w:rFonts w:ascii="宋体" w:hAnsi="宋体" w:cs="宋体"/>
                <w:color w:val="000000"/>
                <w:kern w:val="0"/>
                <w:sz w:val="20"/>
                <w:szCs w:val="20"/>
              </w:rPr>
            </w:pPr>
            <w:r>
              <w:rPr>
                <w:rFonts w:hint="eastAsia" w:ascii="宋体" w:hAnsi="宋体" w:cs="宋体"/>
                <w:color w:val="000000"/>
                <w:kern w:val="0"/>
                <w:sz w:val="20"/>
                <w:szCs w:val="20"/>
              </w:rPr>
              <w:t>9.16</w:t>
            </w:r>
          </w:p>
        </w:tc>
        <w:tc>
          <w:tcPr>
            <w:tcW w:w="1140" w:type="dxa"/>
            <w:tcBorders>
              <w:top w:val="nil"/>
              <w:left w:val="nil"/>
              <w:bottom w:val="single" w:color="auto" w:sz="4" w:space="0"/>
              <w:right w:val="single" w:color="auto" w:sz="4" w:space="0"/>
            </w:tcBorders>
            <w:shd w:val="clear" w:color="auto" w:fill="auto"/>
            <w:vAlign w:val="center"/>
          </w:tcPr>
          <w:p w14:paraId="31EDE269">
            <w:pPr>
              <w:widowControl/>
              <w:jc w:val="center"/>
              <w:rPr>
                <w:rFonts w:ascii="宋体" w:hAnsi="宋体" w:cs="宋体"/>
                <w:color w:val="000000"/>
                <w:kern w:val="0"/>
                <w:sz w:val="20"/>
                <w:szCs w:val="20"/>
              </w:rPr>
            </w:pPr>
            <w:r>
              <w:rPr>
                <w:rFonts w:hint="eastAsia" w:ascii="宋体" w:hAnsi="宋体" w:cs="宋体"/>
                <w:color w:val="000000"/>
                <w:kern w:val="0"/>
                <w:sz w:val="20"/>
                <w:szCs w:val="20"/>
              </w:rPr>
              <w:t>19.26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3990DA8">
            <w:pPr>
              <w:widowControl/>
              <w:jc w:val="center"/>
              <w:rPr>
                <w:rFonts w:ascii="宋体" w:hAnsi="宋体" w:cs="宋体"/>
                <w:color w:val="000000"/>
                <w:kern w:val="0"/>
                <w:sz w:val="20"/>
                <w:szCs w:val="20"/>
              </w:rPr>
            </w:pPr>
            <w:r>
              <w:rPr>
                <w:rFonts w:hint="eastAsia" w:ascii="宋体" w:hAnsi="宋体" w:cs="宋体"/>
                <w:color w:val="000000"/>
                <w:kern w:val="0"/>
                <w:sz w:val="20"/>
                <w:szCs w:val="20"/>
              </w:rPr>
              <w:t>19.26</w:t>
            </w:r>
          </w:p>
        </w:tc>
        <w:tc>
          <w:tcPr>
            <w:tcW w:w="1080" w:type="dxa"/>
            <w:tcBorders>
              <w:top w:val="nil"/>
              <w:left w:val="nil"/>
              <w:bottom w:val="single" w:color="auto" w:sz="4" w:space="0"/>
              <w:right w:val="single" w:color="auto" w:sz="4" w:space="0"/>
            </w:tcBorders>
            <w:shd w:val="clear" w:color="auto" w:fill="auto"/>
            <w:vAlign w:val="center"/>
          </w:tcPr>
          <w:p w14:paraId="3C64EE8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0673A3F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28A1813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4BBB140">
            <w:pPr>
              <w:widowControl/>
              <w:jc w:val="left"/>
              <w:rPr>
                <w:rFonts w:ascii="宋体" w:hAnsi="宋体" w:cs="宋体"/>
                <w:i/>
                <w:iCs/>
                <w:color w:val="000000"/>
                <w:kern w:val="0"/>
                <w:sz w:val="20"/>
                <w:szCs w:val="20"/>
              </w:rPr>
            </w:pPr>
          </w:p>
        </w:tc>
      </w:tr>
      <w:tr w14:paraId="39651B4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602192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CD3F88D">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079BB4F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6C5D48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6766D5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8FEA97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4FFC56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52659E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51A367E">
            <w:pPr>
              <w:widowControl/>
              <w:jc w:val="left"/>
              <w:rPr>
                <w:rFonts w:ascii="宋体" w:hAnsi="宋体" w:cs="宋体"/>
                <w:i/>
                <w:iCs/>
                <w:color w:val="000000"/>
                <w:kern w:val="0"/>
                <w:sz w:val="20"/>
                <w:szCs w:val="20"/>
              </w:rPr>
            </w:pPr>
          </w:p>
        </w:tc>
      </w:tr>
      <w:tr w14:paraId="3998286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034538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E365C8E">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1C20144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764CB9F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A32B84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40E308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6E9CAF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B8EB09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9C0CF71">
            <w:pPr>
              <w:widowControl/>
              <w:jc w:val="left"/>
              <w:rPr>
                <w:rFonts w:ascii="宋体" w:hAnsi="宋体" w:cs="宋体"/>
                <w:i/>
                <w:iCs/>
                <w:color w:val="000000"/>
                <w:kern w:val="0"/>
                <w:sz w:val="20"/>
                <w:szCs w:val="20"/>
              </w:rPr>
            </w:pPr>
          </w:p>
        </w:tc>
      </w:tr>
      <w:tr w14:paraId="77C5055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CA1F969">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76089AA">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375267E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51B3A41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6AC985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818DAF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55CFA4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5DF0A1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56C62F0">
            <w:pPr>
              <w:widowControl/>
              <w:jc w:val="left"/>
              <w:rPr>
                <w:rFonts w:ascii="宋体" w:hAnsi="宋体" w:cs="宋体"/>
                <w:i/>
                <w:iCs/>
                <w:color w:val="000000"/>
                <w:kern w:val="0"/>
                <w:sz w:val="20"/>
                <w:szCs w:val="20"/>
              </w:rPr>
            </w:pPr>
          </w:p>
        </w:tc>
      </w:tr>
      <w:tr w14:paraId="448655E3">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1F82C9BE">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3D064700">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09087B25">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7CB5FD94">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5899BDC4">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7E8BCFCF">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01A4D8A9">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06885AD2">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7FE10905">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4BE0879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751C3EAF">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17727B6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42C6C28B">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1971D5C3">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A7C7D4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27EE0FB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776F704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40882CF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5A44D3A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423D419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773F90D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540F30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64EC6B8A">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116840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5FC5ECF3">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019C769">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6672DA2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26007FC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6DD229C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485B2B5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175416B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310A45B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55CE465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B20AFB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1911513F">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8D10DE4">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9F4815">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5E0E7C37">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02B635C">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0AD1A60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2C993D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6B7250B">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440A74CD">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004499A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A844ECD">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1D8DD6EE">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436AC8A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BA0E9C1">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11DF3FBD">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C18DEFF">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A9CC9D">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项目负责人：唐秀琼</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58BDA946">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财务负责人：刘丽春</w:t>
            </w:r>
          </w:p>
        </w:tc>
      </w:tr>
      <w:tr w14:paraId="61C99174">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041F368E">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4A8FAD2D">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33DE7AA3">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25335413">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7CDFBDE9">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0FEEB36C">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7DA4DC0F">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34BDCC6">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D29BD18">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18C3309">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EA41A41">
            <w:pPr>
              <w:widowControl/>
              <w:jc w:val="left"/>
              <w:rPr>
                <w:rFonts w:ascii="宋体" w:hAnsi="宋体" w:cs="宋体"/>
                <w:color w:val="000000"/>
                <w:kern w:val="0"/>
                <w:sz w:val="20"/>
                <w:szCs w:val="20"/>
              </w:rPr>
            </w:pPr>
          </w:p>
        </w:tc>
      </w:tr>
      <w:tr w14:paraId="493E397D">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6824FAC2">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03D6D5C1">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E1F36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B5A7348">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51090423T000009655849-区级名师工程建设</w:t>
            </w:r>
          </w:p>
        </w:tc>
      </w:tr>
      <w:tr w14:paraId="54287C19">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ABFEF2">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0315C95">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遂宁市安居区第一幼儿园部门</w:t>
            </w:r>
          </w:p>
        </w:tc>
        <w:tc>
          <w:tcPr>
            <w:tcW w:w="1080" w:type="dxa"/>
            <w:tcBorders>
              <w:top w:val="nil"/>
              <w:left w:val="nil"/>
              <w:bottom w:val="single" w:color="auto" w:sz="4" w:space="0"/>
              <w:right w:val="single" w:color="auto" w:sz="4" w:space="0"/>
            </w:tcBorders>
            <w:shd w:val="clear" w:color="auto" w:fill="auto"/>
            <w:vAlign w:val="center"/>
          </w:tcPr>
          <w:p w14:paraId="481E070B">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10AEE502">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遂宁市安居区第一幼儿园</w:t>
            </w:r>
          </w:p>
        </w:tc>
      </w:tr>
      <w:tr w14:paraId="6D83A3F0">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127C6262">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14105257">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F7A8E4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0C4844E">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3112008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417C1A81">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43066FA8">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D3D5166">
            <w:pPr>
              <w:widowControl/>
              <w:jc w:val="left"/>
              <w:rPr>
                <w:rFonts w:ascii="宋体" w:hAnsi="宋体" w:cs="宋体"/>
                <w:color w:val="000000"/>
                <w:kern w:val="0"/>
                <w:sz w:val="20"/>
                <w:szCs w:val="20"/>
              </w:rPr>
            </w:pPr>
            <w:r>
              <w:rPr>
                <w:rFonts w:hint="eastAsia" w:ascii="宋体" w:hAnsi="宋体" w:cs="宋体"/>
                <w:color w:val="000000"/>
                <w:kern w:val="0"/>
                <w:sz w:val="20"/>
                <w:szCs w:val="20"/>
              </w:rPr>
              <w:t>　资金及时、合规、足额支付到位，减少结余资金。</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1D3A072">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严格执行相关政策，保障资金及时、合规、足额支付到位，减少结余资金。</w:t>
            </w:r>
          </w:p>
        </w:tc>
      </w:tr>
      <w:tr w14:paraId="04CA2E1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1111023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C146DA3">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FF27A67">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及时申报，保障补助及时、足额发放，预算编制科学合理，减少结余资金</w:t>
            </w:r>
          </w:p>
        </w:tc>
      </w:tr>
      <w:tr w14:paraId="2B8E8227">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8B3B1DB">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27F935D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5A0D3966">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79148A04">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9527B1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3B8E1B8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098364B3">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52434B4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48475887">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3FBEA53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5D1080A">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D1D9FD9">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00DBAD5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3AEC4FA">
            <w:pPr>
              <w:widowControl/>
              <w:jc w:val="center"/>
              <w:rPr>
                <w:rFonts w:ascii="宋体" w:hAnsi="宋体" w:cs="宋体"/>
                <w:color w:val="000000"/>
                <w:kern w:val="0"/>
                <w:sz w:val="20"/>
                <w:szCs w:val="20"/>
              </w:rPr>
            </w:pPr>
            <w:r>
              <w:rPr>
                <w:rFonts w:hint="eastAsia" w:ascii="宋体" w:hAnsi="宋体" w:cs="宋体"/>
                <w:color w:val="000000"/>
                <w:kern w:val="0"/>
                <w:sz w:val="20"/>
                <w:szCs w:val="20"/>
              </w:rPr>
              <w:t>2.93</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D267C79">
            <w:pPr>
              <w:widowControl/>
              <w:jc w:val="center"/>
              <w:rPr>
                <w:rFonts w:ascii="宋体" w:hAnsi="宋体" w:cs="宋体"/>
                <w:color w:val="000000"/>
                <w:kern w:val="0"/>
                <w:sz w:val="20"/>
                <w:szCs w:val="20"/>
              </w:rPr>
            </w:pPr>
            <w:r>
              <w:rPr>
                <w:rFonts w:hint="eastAsia" w:ascii="宋体" w:hAnsi="宋体" w:cs="宋体"/>
                <w:color w:val="000000"/>
                <w:kern w:val="0"/>
                <w:sz w:val="20"/>
                <w:szCs w:val="20"/>
              </w:rPr>
              <w:t>2.93</w:t>
            </w:r>
          </w:p>
        </w:tc>
        <w:tc>
          <w:tcPr>
            <w:tcW w:w="1080" w:type="dxa"/>
            <w:tcBorders>
              <w:top w:val="nil"/>
              <w:left w:val="nil"/>
              <w:bottom w:val="single" w:color="auto" w:sz="4" w:space="0"/>
              <w:right w:val="single" w:color="auto" w:sz="4" w:space="0"/>
            </w:tcBorders>
            <w:shd w:val="clear" w:color="auto" w:fill="auto"/>
            <w:vAlign w:val="center"/>
          </w:tcPr>
          <w:p w14:paraId="503E3F4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184573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4F8332CC">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9794875">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71E4E42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FA198B3">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5CBA045">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57A5E5C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496CDFF">
            <w:pPr>
              <w:widowControl/>
              <w:jc w:val="center"/>
              <w:rPr>
                <w:rFonts w:ascii="宋体" w:hAnsi="宋体" w:cs="宋体"/>
                <w:color w:val="000000"/>
                <w:kern w:val="0"/>
                <w:sz w:val="20"/>
                <w:szCs w:val="20"/>
              </w:rPr>
            </w:pPr>
            <w:r>
              <w:rPr>
                <w:rFonts w:hint="eastAsia" w:ascii="宋体" w:hAnsi="宋体" w:cs="宋体"/>
                <w:color w:val="000000"/>
                <w:kern w:val="0"/>
                <w:sz w:val="20"/>
                <w:szCs w:val="20"/>
              </w:rPr>
              <w:t>2.93</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8A2BE37">
            <w:pPr>
              <w:widowControl/>
              <w:jc w:val="center"/>
              <w:rPr>
                <w:rFonts w:ascii="宋体" w:hAnsi="宋体" w:cs="宋体"/>
                <w:color w:val="000000"/>
                <w:kern w:val="0"/>
                <w:sz w:val="20"/>
                <w:szCs w:val="20"/>
              </w:rPr>
            </w:pPr>
            <w:r>
              <w:rPr>
                <w:rFonts w:hint="eastAsia" w:ascii="宋体" w:hAnsi="宋体" w:cs="宋体"/>
                <w:color w:val="000000"/>
                <w:kern w:val="0"/>
                <w:sz w:val="20"/>
                <w:szCs w:val="20"/>
              </w:rPr>
              <w:t>2.93</w:t>
            </w:r>
          </w:p>
        </w:tc>
        <w:tc>
          <w:tcPr>
            <w:tcW w:w="1080" w:type="dxa"/>
            <w:tcBorders>
              <w:top w:val="nil"/>
              <w:left w:val="nil"/>
              <w:bottom w:val="single" w:color="auto" w:sz="4" w:space="0"/>
              <w:right w:val="single" w:color="auto" w:sz="4" w:space="0"/>
            </w:tcBorders>
            <w:shd w:val="clear" w:color="auto" w:fill="auto"/>
            <w:vAlign w:val="center"/>
          </w:tcPr>
          <w:p w14:paraId="69BD3D0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4E6C072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91BFEB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77BC585">
            <w:pPr>
              <w:widowControl/>
              <w:jc w:val="left"/>
              <w:rPr>
                <w:rFonts w:ascii="宋体" w:hAnsi="宋体" w:cs="宋体"/>
                <w:i/>
                <w:iCs/>
                <w:color w:val="000000"/>
                <w:kern w:val="0"/>
                <w:sz w:val="20"/>
                <w:szCs w:val="20"/>
              </w:rPr>
            </w:pPr>
          </w:p>
        </w:tc>
      </w:tr>
      <w:tr w14:paraId="3F49308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BB37FE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F88AA69">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71D563C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CEB98E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D5259B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B848DD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58A586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404B72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C884139">
            <w:pPr>
              <w:widowControl/>
              <w:jc w:val="left"/>
              <w:rPr>
                <w:rFonts w:ascii="宋体" w:hAnsi="宋体" w:cs="宋体"/>
                <w:i/>
                <w:iCs/>
                <w:color w:val="000000"/>
                <w:kern w:val="0"/>
                <w:sz w:val="20"/>
                <w:szCs w:val="20"/>
              </w:rPr>
            </w:pPr>
          </w:p>
        </w:tc>
      </w:tr>
      <w:tr w14:paraId="75BA9B1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BC2FB4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22F838E">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672480F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0AEF34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BE90BE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BE5A70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93C9F5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26AF54C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D333439">
            <w:pPr>
              <w:widowControl/>
              <w:jc w:val="left"/>
              <w:rPr>
                <w:rFonts w:ascii="宋体" w:hAnsi="宋体" w:cs="宋体"/>
                <w:i/>
                <w:iCs/>
                <w:color w:val="000000"/>
                <w:kern w:val="0"/>
                <w:sz w:val="20"/>
                <w:szCs w:val="20"/>
              </w:rPr>
            </w:pPr>
          </w:p>
        </w:tc>
      </w:tr>
      <w:tr w14:paraId="2C38671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B153FD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BE067C8">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0BADAC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05B4598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5844B4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9423E5A">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343ABC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14160F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E9F235A">
            <w:pPr>
              <w:widowControl/>
              <w:jc w:val="left"/>
              <w:rPr>
                <w:rFonts w:ascii="宋体" w:hAnsi="宋体" w:cs="宋体"/>
                <w:i/>
                <w:iCs/>
                <w:color w:val="000000"/>
                <w:kern w:val="0"/>
                <w:sz w:val="20"/>
                <w:szCs w:val="20"/>
              </w:rPr>
            </w:pPr>
          </w:p>
        </w:tc>
      </w:tr>
      <w:tr w14:paraId="331D0CF6">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6AD66266">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7E9EAA85">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23721226">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36CB6DCE">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6ABE7946">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6BFE0775">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592584AF">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25423722">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43EBCB89">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0124C478">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7F029E00">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55756D7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30CA51ED">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60ACEBF1">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67511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5427A3B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4E47C2E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0F5D85E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2F75C26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4CC316F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5BACBA7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DCF5B9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73FB8A01">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C726DF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1B747B2D">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22CC2AA">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6EF6A58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3DD25AC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2C236D7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0D43174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53C52F6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7019CBA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22E67BA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944D0D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0E7EB149">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44B0A23">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D2760F">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7820BF67">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B20FCA1">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w:t>
            </w:r>
          </w:p>
        </w:tc>
        <w:tc>
          <w:tcPr>
            <w:tcW w:w="1080" w:type="dxa"/>
            <w:tcBorders>
              <w:top w:val="nil"/>
              <w:left w:val="nil"/>
              <w:bottom w:val="single" w:color="000000" w:sz="4" w:space="0"/>
              <w:right w:val="single" w:color="000000" w:sz="4" w:space="0"/>
            </w:tcBorders>
            <w:shd w:val="clear" w:color="auto" w:fill="auto"/>
            <w:vAlign w:val="center"/>
          </w:tcPr>
          <w:p w14:paraId="2534AEB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36CAB68">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50CF09C">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30B3A33">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w:t>
            </w:r>
          </w:p>
        </w:tc>
      </w:tr>
      <w:tr w14:paraId="7E2C868F">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0BF4298">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1A83831">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64C06187">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1AA5F29">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7911007">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36404F8C">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607C5">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项目负责人：唐秀琼</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5CB12334">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财务负责人：刘丽春</w:t>
            </w:r>
          </w:p>
        </w:tc>
      </w:tr>
      <w:tr w14:paraId="41AD3AF2">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6B0D5A19">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1CB566BE">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78BC074A">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44C12E8F">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02969148">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3169C6C9">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5127898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1A64DF5">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E36E3BC">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8E7D6E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AB04951">
            <w:pPr>
              <w:widowControl/>
              <w:jc w:val="left"/>
              <w:rPr>
                <w:rFonts w:ascii="宋体" w:hAnsi="宋体" w:cs="宋体"/>
                <w:color w:val="000000"/>
                <w:kern w:val="0"/>
                <w:sz w:val="20"/>
                <w:szCs w:val="20"/>
              </w:rPr>
            </w:pPr>
          </w:p>
        </w:tc>
      </w:tr>
      <w:tr w14:paraId="3C172BE0">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3EF93477">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6C9BFAA8">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FCDDAA">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28899D6">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51090424T000011578972-2021年支持学前教育发展专项资金（激励奖补）</w:t>
            </w:r>
          </w:p>
        </w:tc>
      </w:tr>
      <w:tr w14:paraId="029B5678">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A29000">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2EB854F">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遂宁市安居区第一幼儿园部门</w:t>
            </w:r>
          </w:p>
        </w:tc>
        <w:tc>
          <w:tcPr>
            <w:tcW w:w="1080" w:type="dxa"/>
            <w:tcBorders>
              <w:top w:val="nil"/>
              <w:left w:val="nil"/>
              <w:bottom w:val="single" w:color="auto" w:sz="4" w:space="0"/>
              <w:right w:val="single" w:color="auto" w:sz="4" w:space="0"/>
            </w:tcBorders>
            <w:shd w:val="clear" w:color="auto" w:fill="auto"/>
            <w:vAlign w:val="center"/>
          </w:tcPr>
          <w:p w14:paraId="62D03B29">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3109CCF8">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遂宁市安居区第一幼儿园</w:t>
            </w:r>
          </w:p>
        </w:tc>
      </w:tr>
      <w:tr w14:paraId="29F575BC">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3333E0B7">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60F91E31">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CE8B762">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1A9079E">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3370B13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17EB37DF">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5D4BA905">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7326C0B">
            <w:pPr>
              <w:widowControl/>
              <w:jc w:val="left"/>
              <w:rPr>
                <w:rFonts w:ascii="宋体" w:hAnsi="宋体" w:cs="宋体"/>
                <w:color w:val="000000"/>
                <w:kern w:val="0"/>
                <w:sz w:val="20"/>
                <w:szCs w:val="20"/>
              </w:rPr>
            </w:pPr>
            <w:r>
              <w:rPr>
                <w:rFonts w:hint="eastAsia" w:ascii="宋体" w:hAnsi="宋体" w:cs="宋体"/>
                <w:color w:val="000000"/>
                <w:kern w:val="0"/>
                <w:sz w:val="20"/>
                <w:szCs w:val="20"/>
              </w:rPr>
              <w:t>　及时申请支付资金，促进学校健康发展。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8767A2D">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477A95D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210BA15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54C9891">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C5A3D19">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14:paraId="3F0CDFE7">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385087CF">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3327F90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3C52FD36">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5F2CDE09">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BA314E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7111B5F4">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4E6CAB5E">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4E3E276C">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265C9F8D">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1107678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84EC4B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8EF64A9">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46B7107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7A6694DB">
            <w:pPr>
              <w:widowControl/>
              <w:jc w:val="center"/>
              <w:rPr>
                <w:rFonts w:ascii="宋体" w:hAnsi="宋体" w:cs="宋体"/>
                <w:color w:val="000000"/>
                <w:kern w:val="0"/>
                <w:sz w:val="20"/>
                <w:szCs w:val="20"/>
              </w:rPr>
            </w:pPr>
            <w:r>
              <w:rPr>
                <w:rFonts w:hint="eastAsia" w:ascii="宋体" w:hAnsi="宋体" w:cs="宋体"/>
                <w:color w:val="000000"/>
                <w:kern w:val="0"/>
                <w:sz w:val="20"/>
                <w:szCs w:val="20"/>
              </w:rPr>
              <w:t>12.44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3CC1644">
            <w:pPr>
              <w:widowControl/>
              <w:jc w:val="center"/>
              <w:rPr>
                <w:rFonts w:ascii="宋体" w:hAnsi="宋体" w:cs="宋体"/>
                <w:color w:val="000000"/>
                <w:kern w:val="0"/>
                <w:sz w:val="20"/>
                <w:szCs w:val="20"/>
              </w:rPr>
            </w:pPr>
            <w:r>
              <w:rPr>
                <w:rFonts w:hint="eastAsia" w:ascii="宋体" w:hAnsi="宋体" w:cs="宋体"/>
                <w:color w:val="000000"/>
                <w:kern w:val="0"/>
                <w:sz w:val="20"/>
                <w:szCs w:val="20"/>
              </w:rPr>
              <w:t>12.44</w:t>
            </w:r>
          </w:p>
        </w:tc>
        <w:tc>
          <w:tcPr>
            <w:tcW w:w="1080" w:type="dxa"/>
            <w:tcBorders>
              <w:top w:val="nil"/>
              <w:left w:val="nil"/>
              <w:bottom w:val="single" w:color="auto" w:sz="4" w:space="0"/>
              <w:right w:val="single" w:color="auto" w:sz="4" w:space="0"/>
            </w:tcBorders>
            <w:shd w:val="clear" w:color="auto" w:fill="auto"/>
            <w:vAlign w:val="center"/>
          </w:tcPr>
          <w:p w14:paraId="0BD23E82">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D5014A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32FB556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43799CBA">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75A6CF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336C59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0B5596E">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69449BC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3A598BA">
            <w:pPr>
              <w:widowControl/>
              <w:jc w:val="center"/>
              <w:rPr>
                <w:rFonts w:ascii="宋体" w:hAnsi="宋体" w:cs="宋体"/>
                <w:color w:val="000000"/>
                <w:kern w:val="0"/>
                <w:sz w:val="20"/>
                <w:szCs w:val="20"/>
              </w:rPr>
            </w:pPr>
            <w:r>
              <w:rPr>
                <w:rFonts w:hint="eastAsia" w:ascii="宋体" w:hAnsi="宋体" w:cs="宋体"/>
                <w:color w:val="000000"/>
                <w:kern w:val="0"/>
                <w:sz w:val="20"/>
                <w:szCs w:val="20"/>
              </w:rPr>
              <w:t>12.44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98E8313">
            <w:pPr>
              <w:widowControl/>
              <w:jc w:val="center"/>
              <w:rPr>
                <w:rFonts w:ascii="宋体" w:hAnsi="宋体" w:cs="宋体"/>
                <w:color w:val="000000"/>
                <w:kern w:val="0"/>
                <w:sz w:val="20"/>
                <w:szCs w:val="20"/>
              </w:rPr>
            </w:pPr>
            <w:r>
              <w:rPr>
                <w:rFonts w:hint="eastAsia" w:ascii="宋体" w:hAnsi="宋体" w:cs="宋体"/>
                <w:color w:val="000000"/>
                <w:kern w:val="0"/>
                <w:sz w:val="20"/>
                <w:szCs w:val="20"/>
              </w:rPr>
              <w:t>12.44</w:t>
            </w:r>
          </w:p>
        </w:tc>
        <w:tc>
          <w:tcPr>
            <w:tcW w:w="1080" w:type="dxa"/>
            <w:tcBorders>
              <w:top w:val="nil"/>
              <w:left w:val="nil"/>
              <w:bottom w:val="single" w:color="auto" w:sz="4" w:space="0"/>
              <w:right w:val="single" w:color="auto" w:sz="4" w:space="0"/>
            </w:tcBorders>
            <w:shd w:val="clear" w:color="auto" w:fill="auto"/>
            <w:vAlign w:val="center"/>
          </w:tcPr>
          <w:p w14:paraId="712C81CA">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FECFD2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A4FBD6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6A391FA">
            <w:pPr>
              <w:widowControl/>
              <w:jc w:val="left"/>
              <w:rPr>
                <w:rFonts w:ascii="宋体" w:hAnsi="宋体" w:cs="宋体"/>
                <w:i/>
                <w:iCs/>
                <w:color w:val="000000"/>
                <w:kern w:val="0"/>
                <w:sz w:val="20"/>
                <w:szCs w:val="20"/>
              </w:rPr>
            </w:pPr>
          </w:p>
        </w:tc>
      </w:tr>
      <w:tr w14:paraId="612A706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A8CE93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8814B62">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4B17623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BFE125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2643A4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8C2789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014C39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84BC4B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7BFAE5A">
            <w:pPr>
              <w:widowControl/>
              <w:jc w:val="left"/>
              <w:rPr>
                <w:rFonts w:ascii="宋体" w:hAnsi="宋体" w:cs="宋体"/>
                <w:i/>
                <w:iCs/>
                <w:color w:val="000000"/>
                <w:kern w:val="0"/>
                <w:sz w:val="20"/>
                <w:szCs w:val="20"/>
              </w:rPr>
            </w:pPr>
          </w:p>
        </w:tc>
      </w:tr>
      <w:tr w14:paraId="07EE22F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C3D7FD9">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784F2FE">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448F0D5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F6C624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246779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3AED7B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2B3CCF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086484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4068B19">
            <w:pPr>
              <w:widowControl/>
              <w:jc w:val="left"/>
              <w:rPr>
                <w:rFonts w:ascii="宋体" w:hAnsi="宋体" w:cs="宋体"/>
                <w:i/>
                <w:iCs/>
                <w:color w:val="000000"/>
                <w:kern w:val="0"/>
                <w:sz w:val="20"/>
                <w:szCs w:val="20"/>
              </w:rPr>
            </w:pPr>
          </w:p>
        </w:tc>
      </w:tr>
      <w:tr w14:paraId="6252AE5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115B611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6A81BE5">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64ACA22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610FFD8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BFF40B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99A41F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0F0AE2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AB1DCD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7A6F19F">
            <w:pPr>
              <w:widowControl/>
              <w:jc w:val="left"/>
              <w:rPr>
                <w:rFonts w:ascii="宋体" w:hAnsi="宋体" w:cs="宋体"/>
                <w:i/>
                <w:iCs/>
                <w:color w:val="000000"/>
                <w:kern w:val="0"/>
                <w:sz w:val="20"/>
                <w:szCs w:val="20"/>
              </w:rPr>
            </w:pPr>
          </w:p>
        </w:tc>
      </w:tr>
      <w:tr w14:paraId="3C3899AD">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711C92DB">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34B520FA">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5CB12F34">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635A43FA">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73A18357">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6CB9BD53">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1F1B55B0">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47E74389">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027649E5">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1046870F">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538813EB">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7FD852E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D64F54F">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17C38735">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E15FD0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6B7CD62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79B8EAE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737120E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4BD0F1F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7F5B6EC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32578CF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C7CC05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23AA7DD8">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D8FBCE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4784DA6">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6E737904">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01BA4D4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2F12D5C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49199FD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5973270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2CCB36A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12240F8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4C3D139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C8D477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099E557D">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C72CFE6">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17F1A7">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16A5EAD4">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C8F1E9D">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5B6A435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1124290">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B5ABE35">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5EB9DA6">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4BBFEF1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640F495">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66D3FAB">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636D3074">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E9E38A0">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89322BD">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2A36B5B">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F6781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项目负责人：唐秀琼</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5C7DD694">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财务负责人：刘丽春</w:t>
            </w:r>
          </w:p>
        </w:tc>
      </w:tr>
      <w:tr w14:paraId="1D36A385">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3B3BA227">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6ACF87C5">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07775E4A">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1B583F46">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11754EC4">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721C02DF">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1D111A09">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3EB99C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A492EA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761529C">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DB69B0C">
            <w:pPr>
              <w:widowControl/>
              <w:jc w:val="left"/>
              <w:rPr>
                <w:rFonts w:ascii="宋体" w:hAnsi="宋体" w:cs="宋体"/>
                <w:color w:val="000000"/>
                <w:kern w:val="0"/>
                <w:sz w:val="20"/>
                <w:szCs w:val="20"/>
              </w:rPr>
            </w:pPr>
          </w:p>
        </w:tc>
      </w:tr>
      <w:tr w14:paraId="78F1EDFC">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255B8245">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7C3BD785">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E9C141">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DA24F9B">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51090425T000013017380-幼儿资助及幼儿发展补助资金（省市区级）</w:t>
            </w:r>
          </w:p>
        </w:tc>
      </w:tr>
      <w:tr w14:paraId="7B4F531C">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F9B8AD">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733F0961">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遂宁市安居区第一幼儿园部门</w:t>
            </w:r>
          </w:p>
        </w:tc>
        <w:tc>
          <w:tcPr>
            <w:tcW w:w="1080" w:type="dxa"/>
            <w:tcBorders>
              <w:top w:val="nil"/>
              <w:left w:val="nil"/>
              <w:bottom w:val="single" w:color="auto" w:sz="4" w:space="0"/>
              <w:right w:val="single" w:color="auto" w:sz="4" w:space="0"/>
            </w:tcBorders>
            <w:shd w:val="clear" w:color="auto" w:fill="auto"/>
            <w:vAlign w:val="center"/>
          </w:tcPr>
          <w:p w14:paraId="7E8CFBE5">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42AA9CCF">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遂宁市安居区第一幼儿园</w:t>
            </w:r>
          </w:p>
        </w:tc>
      </w:tr>
      <w:tr w14:paraId="07C20A8A">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56834B93">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357EF25D">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0531267A">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C216745">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142F1DF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5EF0750B">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7E9A93D9">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BBABDE6">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3D525843">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保障了学校家庭经济困难学生正常入学，减轻其家庭经济负担，促进学校健康发展。</w:t>
            </w:r>
          </w:p>
        </w:tc>
      </w:tr>
      <w:tr w14:paraId="52890B8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0164F43F">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D76FC6B">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24F7961">
            <w:pPr>
              <w:widowControl/>
              <w:jc w:val="left"/>
              <w:rPr>
                <w:rFonts w:ascii="宋体" w:hAnsi="宋体" w:cs="宋体"/>
                <w:color w:val="000000"/>
                <w:kern w:val="0"/>
                <w:sz w:val="20"/>
                <w:szCs w:val="20"/>
              </w:rPr>
            </w:pPr>
            <w:r>
              <w:rPr>
                <w:rFonts w:hint="eastAsia" w:ascii="宋体" w:hAnsi="宋体" w:cs="宋体"/>
                <w:color w:val="000000"/>
                <w:kern w:val="0"/>
                <w:sz w:val="20"/>
                <w:szCs w:val="20"/>
              </w:rPr>
              <w:t>加强资金专项管理，提高资金使用效益，确保专款专用，按程序及时按要求支付资金，促进学校健康发展。</w:t>
            </w:r>
          </w:p>
        </w:tc>
      </w:tr>
      <w:tr w14:paraId="22007BF5">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4FDAFB0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2AC13BD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2B384A8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17C838A7">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8BE37F6">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71E7D51E">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4F2732F6">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572CD31E">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0606E576">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324E149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0ABD3D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DB9E17E">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248B633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38545AF">
            <w:pPr>
              <w:widowControl/>
              <w:jc w:val="center"/>
              <w:rPr>
                <w:rFonts w:ascii="宋体" w:hAnsi="宋体" w:cs="宋体"/>
                <w:color w:val="000000"/>
                <w:kern w:val="0"/>
                <w:sz w:val="20"/>
                <w:szCs w:val="20"/>
              </w:rPr>
            </w:pPr>
            <w:r>
              <w:rPr>
                <w:rFonts w:hint="eastAsia" w:ascii="宋体" w:hAnsi="宋体" w:cs="宋体"/>
                <w:color w:val="000000"/>
                <w:kern w:val="0"/>
                <w:sz w:val="20"/>
                <w:szCs w:val="20"/>
              </w:rPr>
              <w:t>1.75</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E7C57A9">
            <w:pPr>
              <w:widowControl/>
              <w:jc w:val="center"/>
              <w:rPr>
                <w:rFonts w:ascii="宋体" w:hAnsi="宋体" w:cs="宋体"/>
                <w:color w:val="000000"/>
                <w:kern w:val="0"/>
                <w:sz w:val="20"/>
                <w:szCs w:val="20"/>
              </w:rPr>
            </w:pPr>
            <w:r>
              <w:rPr>
                <w:rFonts w:hint="eastAsia" w:ascii="宋体" w:hAnsi="宋体" w:cs="宋体"/>
                <w:color w:val="000000"/>
                <w:kern w:val="0"/>
                <w:sz w:val="20"/>
                <w:szCs w:val="20"/>
              </w:rPr>
              <w:t>1.75</w:t>
            </w:r>
          </w:p>
        </w:tc>
        <w:tc>
          <w:tcPr>
            <w:tcW w:w="1080" w:type="dxa"/>
            <w:tcBorders>
              <w:top w:val="nil"/>
              <w:left w:val="nil"/>
              <w:bottom w:val="single" w:color="auto" w:sz="4" w:space="0"/>
              <w:right w:val="single" w:color="auto" w:sz="4" w:space="0"/>
            </w:tcBorders>
            <w:shd w:val="clear" w:color="auto" w:fill="auto"/>
            <w:vAlign w:val="center"/>
          </w:tcPr>
          <w:p w14:paraId="6310690D">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6D82C9E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77CC22A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92648D7">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6A1D7D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7ABD8C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2F7D1FC">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50768BC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DC51534">
            <w:pPr>
              <w:widowControl/>
              <w:jc w:val="center"/>
              <w:rPr>
                <w:rFonts w:ascii="宋体" w:hAnsi="宋体" w:cs="宋体"/>
                <w:color w:val="000000"/>
                <w:kern w:val="0"/>
                <w:sz w:val="20"/>
                <w:szCs w:val="20"/>
              </w:rPr>
            </w:pPr>
            <w:r>
              <w:rPr>
                <w:rFonts w:hint="eastAsia" w:ascii="宋体" w:hAnsi="宋体" w:cs="宋体"/>
                <w:color w:val="000000"/>
                <w:kern w:val="0"/>
                <w:sz w:val="20"/>
                <w:szCs w:val="20"/>
              </w:rPr>
              <w:t>1.75</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6FEFAFE">
            <w:pPr>
              <w:widowControl/>
              <w:jc w:val="center"/>
              <w:rPr>
                <w:rFonts w:ascii="宋体" w:hAnsi="宋体" w:cs="宋体"/>
                <w:color w:val="000000"/>
                <w:kern w:val="0"/>
                <w:sz w:val="20"/>
                <w:szCs w:val="20"/>
              </w:rPr>
            </w:pPr>
            <w:r>
              <w:rPr>
                <w:rFonts w:hint="eastAsia" w:ascii="宋体" w:hAnsi="宋体" w:cs="宋体"/>
                <w:color w:val="000000"/>
                <w:kern w:val="0"/>
                <w:sz w:val="20"/>
                <w:szCs w:val="20"/>
              </w:rPr>
              <w:t>1.75</w:t>
            </w:r>
          </w:p>
        </w:tc>
        <w:tc>
          <w:tcPr>
            <w:tcW w:w="1080" w:type="dxa"/>
            <w:tcBorders>
              <w:top w:val="nil"/>
              <w:left w:val="nil"/>
              <w:bottom w:val="single" w:color="auto" w:sz="4" w:space="0"/>
              <w:right w:val="single" w:color="auto" w:sz="4" w:space="0"/>
            </w:tcBorders>
            <w:shd w:val="clear" w:color="auto" w:fill="auto"/>
            <w:vAlign w:val="center"/>
          </w:tcPr>
          <w:p w14:paraId="43ED7A10">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0A9E9FB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9D86EA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C315BEF">
            <w:pPr>
              <w:widowControl/>
              <w:jc w:val="left"/>
              <w:rPr>
                <w:rFonts w:ascii="宋体" w:hAnsi="宋体" w:cs="宋体"/>
                <w:i/>
                <w:iCs/>
                <w:color w:val="000000"/>
                <w:kern w:val="0"/>
                <w:sz w:val="20"/>
                <w:szCs w:val="20"/>
              </w:rPr>
            </w:pPr>
          </w:p>
        </w:tc>
      </w:tr>
      <w:tr w14:paraId="4C78473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1C4E1E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2C9AE67">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156D3ED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721CF39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AE2776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47BC26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19970D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A46953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B23CB33">
            <w:pPr>
              <w:widowControl/>
              <w:jc w:val="left"/>
              <w:rPr>
                <w:rFonts w:ascii="宋体" w:hAnsi="宋体" w:cs="宋体"/>
                <w:i/>
                <w:iCs/>
                <w:color w:val="000000"/>
                <w:kern w:val="0"/>
                <w:sz w:val="20"/>
                <w:szCs w:val="20"/>
              </w:rPr>
            </w:pPr>
          </w:p>
        </w:tc>
      </w:tr>
      <w:tr w14:paraId="4746812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ECB712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CAC8F23">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31F4201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5070E5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968C6F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3E9C70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4D0886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E71FFF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FB3610E">
            <w:pPr>
              <w:widowControl/>
              <w:jc w:val="left"/>
              <w:rPr>
                <w:rFonts w:ascii="宋体" w:hAnsi="宋体" w:cs="宋体"/>
                <w:i/>
                <w:iCs/>
                <w:color w:val="000000"/>
                <w:kern w:val="0"/>
                <w:sz w:val="20"/>
                <w:szCs w:val="20"/>
              </w:rPr>
            </w:pPr>
          </w:p>
        </w:tc>
      </w:tr>
      <w:tr w14:paraId="5ACB6D1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1CE81CF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6F65062">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324259A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2412488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4DF8FB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EDEFB6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267D1A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9446A7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F286C91">
            <w:pPr>
              <w:widowControl/>
              <w:jc w:val="left"/>
              <w:rPr>
                <w:rFonts w:ascii="宋体" w:hAnsi="宋体" w:cs="宋体"/>
                <w:i/>
                <w:iCs/>
                <w:color w:val="000000"/>
                <w:kern w:val="0"/>
                <w:sz w:val="20"/>
                <w:szCs w:val="20"/>
              </w:rPr>
            </w:pPr>
          </w:p>
        </w:tc>
      </w:tr>
      <w:tr w14:paraId="26771E45">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0F5DA897">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618AA0A8">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7B50E727">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2FE01B87">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08ADB506">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62BD80BF">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7EFD86ED">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755B68DB">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210992AA">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43EAB42D">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7FBA3C9D">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10D9EDA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04A3AE08">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2C4A00A1">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5A52B0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776BB49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793A12D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48D7B1D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46EF31D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2AF0E2B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5376FFA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457C6E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38176AAE">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9AD067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10BACA5">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31C8B644">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0D8FD76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2110A1F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7FED6FF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36C154B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2006987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4FA5F7E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48409C9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8D297A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10EC156B">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6CFD722">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B958DD">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48D6CAC7">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7A2AB67">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6156483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02A05A4">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E5CCDB1">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6579D499">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4ECBB2B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1DD4365">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4BFC6F53">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0CC391FF">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C068937">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E798C9B">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769F435F">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056DF">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项目负责人：唐秀琼</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31AAF883">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财务负责人：刘丽春</w:t>
            </w:r>
          </w:p>
        </w:tc>
      </w:tr>
    </w:tbl>
    <w:p w14:paraId="747011C2">
      <w:pPr>
        <w:spacing w:line="578" w:lineRule="exact"/>
        <w:ind w:firstLine="640"/>
        <w:rPr>
          <w:rFonts w:eastAsia="仿宋_GB2312" w:cs="仿宋_GB2312"/>
          <w:kern w:val="0"/>
          <w:sz w:val="32"/>
          <w:szCs w:val="32"/>
        </w:rPr>
      </w:pPr>
      <w:bookmarkStart w:id="56" w:name="_Toc15396618"/>
    </w:p>
    <w:p w14:paraId="5CB1A49B">
      <w:pPr>
        <w:widowControl/>
        <w:jc w:val="center"/>
        <w:rPr>
          <w:rFonts w:eastAsia="仿宋_GB2312"/>
        </w:rPr>
      </w:pPr>
      <w:r>
        <w:rPr>
          <w:rFonts w:hint="eastAsia" w:eastAsia="黑体"/>
          <w:sz w:val="44"/>
          <w:szCs w:val="44"/>
        </w:rPr>
        <w:t>第</w:t>
      </w:r>
      <w:r>
        <w:rPr>
          <w:rStyle w:val="30"/>
          <w:rFonts w:hint="eastAsia" w:eastAsia="黑体"/>
          <w:b w:val="0"/>
        </w:rPr>
        <w:t>五部分 附表</w:t>
      </w:r>
      <w:bookmarkEnd w:id="51"/>
      <w:bookmarkEnd w:id="56"/>
      <w:bookmarkStart w:id="57" w:name="_Toc15396619"/>
    </w:p>
    <w:p w14:paraId="05428728">
      <w:pPr>
        <w:pStyle w:val="14"/>
        <w:adjustRightInd w:val="0"/>
        <w:snapToGrid w:val="0"/>
        <w:spacing w:line="560" w:lineRule="exact"/>
        <w:jc w:val="left"/>
        <w:rPr>
          <w:rFonts w:eastAsia="仿宋_GB2312" w:cs="仿宋_GB2312"/>
          <w:sz w:val="32"/>
          <w:szCs w:val="32"/>
        </w:rPr>
      </w:pPr>
    </w:p>
    <w:p w14:paraId="04CD4D84">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7"/>
    </w:p>
    <w:p w14:paraId="34470862">
      <w:pPr>
        <w:pStyle w:val="14"/>
        <w:adjustRightInd w:val="0"/>
        <w:snapToGrid w:val="0"/>
        <w:spacing w:line="560" w:lineRule="exact"/>
        <w:jc w:val="left"/>
        <w:rPr>
          <w:rFonts w:eastAsia="仿宋_GB2312" w:cs="仿宋_GB2312"/>
          <w:sz w:val="32"/>
          <w:szCs w:val="32"/>
        </w:rPr>
      </w:pPr>
      <w:bookmarkStart w:id="58" w:name="_Toc15396620"/>
      <w:r>
        <w:rPr>
          <w:rFonts w:hint="eastAsia" w:eastAsia="仿宋_GB2312" w:cs="仿宋_GB2312"/>
          <w:sz w:val="32"/>
          <w:szCs w:val="32"/>
        </w:rPr>
        <w:t>二、收入决算表</w:t>
      </w:r>
      <w:bookmarkEnd w:id="58"/>
    </w:p>
    <w:p w14:paraId="65ABFEE9">
      <w:pPr>
        <w:pStyle w:val="14"/>
        <w:adjustRightInd w:val="0"/>
        <w:snapToGrid w:val="0"/>
        <w:spacing w:line="560" w:lineRule="exact"/>
        <w:jc w:val="left"/>
        <w:rPr>
          <w:rFonts w:eastAsia="仿宋_GB2312" w:cs="仿宋_GB2312"/>
          <w:sz w:val="32"/>
          <w:szCs w:val="32"/>
        </w:rPr>
      </w:pPr>
      <w:bookmarkStart w:id="59" w:name="_Toc15396621"/>
      <w:r>
        <w:rPr>
          <w:rFonts w:hint="eastAsia" w:eastAsia="仿宋_GB2312" w:cs="仿宋_GB2312"/>
          <w:sz w:val="32"/>
          <w:szCs w:val="32"/>
        </w:rPr>
        <w:t>三、支出决算表</w:t>
      </w:r>
      <w:bookmarkEnd w:id="59"/>
    </w:p>
    <w:p w14:paraId="2F2B82CD">
      <w:pPr>
        <w:pStyle w:val="14"/>
        <w:adjustRightInd w:val="0"/>
        <w:snapToGrid w:val="0"/>
        <w:spacing w:line="560" w:lineRule="exact"/>
        <w:jc w:val="left"/>
        <w:rPr>
          <w:rFonts w:eastAsia="仿宋_GB2312" w:cs="仿宋_GB2312"/>
          <w:sz w:val="32"/>
          <w:szCs w:val="32"/>
        </w:rPr>
      </w:pPr>
      <w:bookmarkStart w:id="60" w:name="_Toc15396622"/>
      <w:r>
        <w:rPr>
          <w:rFonts w:hint="eastAsia" w:eastAsia="仿宋_GB2312" w:cs="仿宋_GB2312"/>
          <w:sz w:val="32"/>
          <w:szCs w:val="32"/>
        </w:rPr>
        <w:t>四、财政拨款收入支出决算总表</w:t>
      </w:r>
      <w:bookmarkEnd w:id="60"/>
    </w:p>
    <w:p w14:paraId="27032414">
      <w:pPr>
        <w:pStyle w:val="14"/>
        <w:adjustRightInd w:val="0"/>
        <w:snapToGrid w:val="0"/>
        <w:spacing w:line="560" w:lineRule="exact"/>
        <w:jc w:val="left"/>
        <w:rPr>
          <w:rFonts w:eastAsia="仿宋_GB2312" w:cs="仿宋_GB2312"/>
          <w:sz w:val="32"/>
          <w:szCs w:val="32"/>
        </w:rPr>
      </w:pPr>
      <w:bookmarkStart w:id="61" w:name="_Toc15396623"/>
      <w:r>
        <w:rPr>
          <w:rFonts w:hint="eastAsia" w:eastAsia="仿宋_GB2312" w:cs="仿宋_GB2312"/>
          <w:sz w:val="32"/>
          <w:szCs w:val="32"/>
        </w:rPr>
        <w:t>五、财政拨款支出决算明细表</w:t>
      </w:r>
      <w:bookmarkEnd w:id="61"/>
      <w:bookmarkStart w:id="62" w:name="_Toc15396624"/>
    </w:p>
    <w:p w14:paraId="583B9786">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2"/>
    </w:p>
    <w:p w14:paraId="52A8AF9E">
      <w:pPr>
        <w:pStyle w:val="14"/>
        <w:adjustRightInd w:val="0"/>
        <w:snapToGrid w:val="0"/>
        <w:spacing w:line="560" w:lineRule="exact"/>
        <w:jc w:val="left"/>
        <w:rPr>
          <w:rFonts w:eastAsia="仿宋_GB2312" w:cs="仿宋_GB2312"/>
          <w:sz w:val="32"/>
          <w:szCs w:val="32"/>
        </w:rPr>
      </w:pPr>
      <w:bookmarkStart w:id="63" w:name="_Toc15396625"/>
      <w:r>
        <w:rPr>
          <w:rFonts w:hint="eastAsia" w:eastAsia="仿宋_GB2312" w:cs="仿宋_GB2312"/>
          <w:sz w:val="32"/>
          <w:szCs w:val="32"/>
        </w:rPr>
        <w:t>七、一般公共预算财政拨款支出决算明细表</w:t>
      </w:r>
      <w:bookmarkEnd w:id="63"/>
    </w:p>
    <w:p w14:paraId="48624672">
      <w:pPr>
        <w:pStyle w:val="14"/>
        <w:adjustRightInd w:val="0"/>
        <w:snapToGrid w:val="0"/>
        <w:spacing w:line="560" w:lineRule="exact"/>
        <w:jc w:val="left"/>
        <w:rPr>
          <w:rFonts w:eastAsia="仿宋_GB2312" w:cs="仿宋_GB2312"/>
          <w:sz w:val="32"/>
          <w:szCs w:val="32"/>
        </w:rPr>
      </w:pPr>
      <w:bookmarkStart w:id="64" w:name="_Toc15396626"/>
      <w:r>
        <w:rPr>
          <w:rFonts w:hint="eastAsia" w:eastAsia="仿宋_GB2312" w:cs="仿宋_GB2312"/>
          <w:sz w:val="32"/>
          <w:szCs w:val="32"/>
        </w:rPr>
        <w:t>八、一般公共预算财政拨款基本支出决算表</w:t>
      </w:r>
      <w:bookmarkEnd w:id="64"/>
    </w:p>
    <w:p w14:paraId="53EC1D4B">
      <w:pPr>
        <w:pStyle w:val="14"/>
        <w:adjustRightInd w:val="0"/>
        <w:snapToGrid w:val="0"/>
        <w:spacing w:line="560" w:lineRule="exact"/>
        <w:jc w:val="left"/>
        <w:rPr>
          <w:rFonts w:eastAsia="仿宋_GB2312" w:cs="仿宋_GB2312"/>
          <w:sz w:val="32"/>
          <w:szCs w:val="32"/>
        </w:rPr>
      </w:pPr>
      <w:bookmarkStart w:id="65" w:name="_Toc15396627"/>
      <w:r>
        <w:rPr>
          <w:rFonts w:hint="eastAsia" w:eastAsia="仿宋_GB2312" w:cs="仿宋_GB2312"/>
          <w:sz w:val="32"/>
          <w:szCs w:val="32"/>
        </w:rPr>
        <w:t>九、一般公共预算财政拨款项目支出决算表</w:t>
      </w:r>
      <w:bookmarkEnd w:id="65"/>
    </w:p>
    <w:p w14:paraId="1E9208EF">
      <w:pPr>
        <w:pStyle w:val="14"/>
        <w:adjustRightInd w:val="0"/>
        <w:snapToGrid w:val="0"/>
        <w:spacing w:line="560" w:lineRule="exact"/>
        <w:jc w:val="left"/>
        <w:rPr>
          <w:rFonts w:eastAsia="仿宋_GB2312" w:cs="仿宋_GB2312"/>
          <w:sz w:val="32"/>
          <w:szCs w:val="32"/>
        </w:rPr>
      </w:pPr>
      <w:bookmarkStart w:id="66" w:name="_Toc15396628"/>
      <w:r>
        <w:rPr>
          <w:rFonts w:hint="eastAsia" w:eastAsia="仿宋_GB2312" w:cs="仿宋_GB2312"/>
          <w:sz w:val="32"/>
          <w:szCs w:val="32"/>
        </w:rPr>
        <w:t>十、</w:t>
      </w:r>
      <w:bookmarkEnd w:id="66"/>
      <w:r>
        <w:rPr>
          <w:rFonts w:hint="eastAsia" w:eastAsia="仿宋_GB2312" w:cs="仿宋_GB2312"/>
          <w:sz w:val="32"/>
          <w:szCs w:val="32"/>
        </w:rPr>
        <w:t>政府性基金预算财政拨款收入支出决算表</w:t>
      </w:r>
    </w:p>
    <w:p w14:paraId="4AD9BB31">
      <w:pPr>
        <w:pStyle w:val="14"/>
        <w:adjustRightInd w:val="0"/>
        <w:snapToGrid w:val="0"/>
        <w:spacing w:line="560" w:lineRule="exact"/>
        <w:jc w:val="left"/>
        <w:rPr>
          <w:rFonts w:eastAsia="仿宋_GB2312" w:cs="仿宋_GB2312"/>
          <w:sz w:val="32"/>
          <w:szCs w:val="32"/>
        </w:rPr>
      </w:pPr>
      <w:bookmarkStart w:id="67" w:name="_Toc15396629"/>
      <w:r>
        <w:rPr>
          <w:rFonts w:hint="eastAsia" w:eastAsia="仿宋_GB2312" w:cs="仿宋_GB2312"/>
          <w:sz w:val="32"/>
          <w:szCs w:val="32"/>
        </w:rPr>
        <w:t>十一、</w:t>
      </w:r>
      <w:bookmarkEnd w:id="67"/>
      <w:r>
        <w:rPr>
          <w:rFonts w:hint="eastAsia" w:eastAsia="仿宋_GB2312" w:cs="仿宋_GB2312"/>
          <w:sz w:val="32"/>
          <w:szCs w:val="32"/>
        </w:rPr>
        <w:t>国有资本经营预算财政拨款收入支出决算表</w:t>
      </w:r>
    </w:p>
    <w:p w14:paraId="32464B65">
      <w:pPr>
        <w:pStyle w:val="14"/>
        <w:adjustRightInd w:val="0"/>
        <w:snapToGrid w:val="0"/>
        <w:spacing w:line="560" w:lineRule="exact"/>
        <w:jc w:val="left"/>
        <w:rPr>
          <w:rFonts w:eastAsia="仿宋_GB2312" w:cs="仿宋_GB2312"/>
          <w:sz w:val="32"/>
          <w:szCs w:val="32"/>
        </w:rPr>
      </w:pPr>
      <w:bookmarkStart w:id="68" w:name="_Toc15396630"/>
      <w:r>
        <w:rPr>
          <w:rFonts w:hint="eastAsia" w:eastAsia="仿宋_GB2312" w:cs="仿宋_GB2312"/>
          <w:sz w:val="32"/>
          <w:szCs w:val="32"/>
        </w:rPr>
        <w:t>十二、</w:t>
      </w:r>
      <w:bookmarkEnd w:id="68"/>
      <w:r>
        <w:rPr>
          <w:rFonts w:hint="eastAsia" w:eastAsia="仿宋_GB2312" w:cs="仿宋_GB2312"/>
          <w:sz w:val="32"/>
          <w:szCs w:val="32"/>
        </w:rPr>
        <w:t>国有资本经营预算财政拨款支出决算表</w:t>
      </w:r>
    </w:p>
    <w:p w14:paraId="643B20EE">
      <w:pPr>
        <w:pStyle w:val="14"/>
        <w:adjustRightInd w:val="0"/>
        <w:snapToGrid w:val="0"/>
        <w:spacing w:line="560" w:lineRule="exact"/>
        <w:jc w:val="left"/>
        <w:rPr>
          <w:rFonts w:eastAsia="仿宋_GB2312" w:cs="仿宋_GB2312"/>
          <w:sz w:val="32"/>
          <w:szCs w:val="32"/>
        </w:rPr>
      </w:pPr>
      <w:bookmarkStart w:id="69" w:name="_Toc15396631"/>
      <w:r>
        <w:rPr>
          <w:rFonts w:hint="eastAsia" w:eastAsia="仿宋_GB2312" w:cs="仿宋_GB2312"/>
          <w:sz w:val="32"/>
          <w:szCs w:val="32"/>
        </w:rPr>
        <w:t>十三、</w:t>
      </w:r>
      <w:bookmarkEnd w:id="69"/>
      <w:r>
        <w:rPr>
          <w:rFonts w:hint="eastAsia" w:eastAsia="仿宋_GB2312" w:cs="仿宋_GB2312"/>
          <w:sz w:val="32"/>
          <w:szCs w:val="32"/>
        </w:rPr>
        <w:t>财政拨款“三公”经费支出决算表</w:t>
      </w:r>
    </w:p>
    <w:p w14:paraId="46D6CEDC"/>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0635929"/>
      <w:docPartObj>
        <w:docPartGallery w:val="autotext"/>
      </w:docPartObj>
    </w:sdtPr>
    <w:sdtContent>
      <w:p w14:paraId="7E417685">
        <w:pPr>
          <w:pStyle w:val="11"/>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29DB22B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CC5EC">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7481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76B0E"/>
    <w:multiLevelType w:val="multilevel"/>
    <w:tmpl w:val="1F676B0E"/>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37E7A"/>
    <w:rsid w:val="00142216"/>
    <w:rsid w:val="00144D6A"/>
    <w:rsid w:val="0014729F"/>
    <w:rsid w:val="00157BAB"/>
    <w:rsid w:val="001654D1"/>
    <w:rsid w:val="00174518"/>
    <w:rsid w:val="0018106D"/>
    <w:rsid w:val="001877A7"/>
    <w:rsid w:val="00191536"/>
    <w:rsid w:val="00196687"/>
    <w:rsid w:val="001C0962"/>
    <w:rsid w:val="001C1042"/>
    <w:rsid w:val="001D7531"/>
    <w:rsid w:val="001E737D"/>
    <w:rsid w:val="001F0592"/>
    <w:rsid w:val="001F7506"/>
    <w:rsid w:val="002006CD"/>
    <w:rsid w:val="00202B36"/>
    <w:rsid w:val="00204B7A"/>
    <w:rsid w:val="00204CDE"/>
    <w:rsid w:val="00204D48"/>
    <w:rsid w:val="0021101A"/>
    <w:rsid w:val="00220536"/>
    <w:rsid w:val="00235629"/>
    <w:rsid w:val="00260C38"/>
    <w:rsid w:val="002616C0"/>
    <w:rsid w:val="00265372"/>
    <w:rsid w:val="002662AA"/>
    <w:rsid w:val="002767AB"/>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A685C"/>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1BAF"/>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95ACA"/>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B5D83"/>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5561"/>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E61904"/>
    <w:rsid w:val="02FEBE30"/>
    <w:rsid w:val="048E0FCE"/>
    <w:rsid w:val="04916F1E"/>
    <w:rsid w:val="061E35DE"/>
    <w:rsid w:val="066E0107"/>
    <w:rsid w:val="07996F6E"/>
    <w:rsid w:val="07DFD8BA"/>
    <w:rsid w:val="088B2251"/>
    <w:rsid w:val="09867E8F"/>
    <w:rsid w:val="09CA3AFF"/>
    <w:rsid w:val="0A2032A3"/>
    <w:rsid w:val="0CA8290A"/>
    <w:rsid w:val="0D35B1ED"/>
    <w:rsid w:val="0E254B6B"/>
    <w:rsid w:val="0F98263C"/>
    <w:rsid w:val="101860EC"/>
    <w:rsid w:val="101F47CC"/>
    <w:rsid w:val="10C055FF"/>
    <w:rsid w:val="11694EBD"/>
    <w:rsid w:val="11772AA4"/>
    <w:rsid w:val="118107EC"/>
    <w:rsid w:val="11844F9F"/>
    <w:rsid w:val="12E24EE2"/>
    <w:rsid w:val="12FD3568"/>
    <w:rsid w:val="13D50BC4"/>
    <w:rsid w:val="14B17F78"/>
    <w:rsid w:val="16313A49"/>
    <w:rsid w:val="165E0673"/>
    <w:rsid w:val="16B831D5"/>
    <w:rsid w:val="16BB723D"/>
    <w:rsid w:val="17E50567"/>
    <w:rsid w:val="186504BB"/>
    <w:rsid w:val="19A445FC"/>
    <w:rsid w:val="1BE8440E"/>
    <w:rsid w:val="1D155CEE"/>
    <w:rsid w:val="1D1638FE"/>
    <w:rsid w:val="1E312DEB"/>
    <w:rsid w:val="1E740ACF"/>
    <w:rsid w:val="1FF35744"/>
    <w:rsid w:val="1FF6BC77"/>
    <w:rsid w:val="21096C00"/>
    <w:rsid w:val="2186353C"/>
    <w:rsid w:val="23860B96"/>
    <w:rsid w:val="240371BF"/>
    <w:rsid w:val="244F3473"/>
    <w:rsid w:val="24C97D99"/>
    <w:rsid w:val="25A718F0"/>
    <w:rsid w:val="25BB59F6"/>
    <w:rsid w:val="260F557C"/>
    <w:rsid w:val="26970054"/>
    <w:rsid w:val="281408E2"/>
    <w:rsid w:val="28AD1698"/>
    <w:rsid w:val="29FD04D3"/>
    <w:rsid w:val="2BC9400A"/>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DA0EFA"/>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60B1B2E"/>
    <w:rsid w:val="46C0647A"/>
    <w:rsid w:val="486A6C7A"/>
    <w:rsid w:val="49B64957"/>
    <w:rsid w:val="4A627F82"/>
    <w:rsid w:val="4B0E749A"/>
    <w:rsid w:val="4B2477C4"/>
    <w:rsid w:val="4B4F25DA"/>
    <w:rsid w:val="4B5E0F27"/>
    <w:rsid w:val="4BE068DB"/>
    <w:rsid w:val="4D577224"/>
    <w:rsid w:val="4DBF1CEB"/>
    <w:rsid w:val="4DF0007C"/>
    <w:rsid w:val="4E052108"/>
    <w:rsid w:val="4EAB630A"/>
    <w:rsid w:val="4ECE2238"/>
    <w:rsid w:val="4F360885"/>
    <w:rsid w:val="4F833267"/>
    <w:rsid w:val="4FE9BD67"/>
    <w:rsid w:val="4FFB052F"/>
    <w:rsid w:val="537E6D0A"/>
    <w:rsid w:val="53F74C96"/>
    <w:rsid w:val="55170BA8"/>
    <w:rsid w:val="553218C9"/>
    <w:rsid w:val="56384123"/>
    <w:rsid w:val="567E1AA5"/>
    <w:rsid w:val="56E47B74"/>
    <w:rsid w:val="57175D52"/>
    <w:rsid w:val="57BD3DD4"/>
    <w:rsid w:val="58565C15"/>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500DEB"/>
    <w:rsid w:val="67277B67"/>
    <w:rsid w:val="67AA3209"/>
    <w:rsid w:val="67E4584E"/>
    <w:rsid w:val="698D0931"/>
    <w:rsid w:val="69A76B28"/>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626B2"/>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37"/>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FollowedHyperlink"/>
    <w:basedOn w:val="17"/>
    <w:semiHidden/>
    <w:unhideWhenUsed/>
    <w:qFormat/>
    <w:uiPriority w:val="99"/>
    <w:rPr>
      <w:color w:val="954F72"/>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5"/>
    <w:qFormat/>
    <w:uiPriority w:val="9"/>
    <w:rPr>
      <w:rFonts w:ascii="Times New Roman" w:hAnsi="Times New Roman"/>
      <w:b/>
      <w:bCs/>
      <w:kern w:val="44"/>
      <w:sz w:val="44"/>
      <w:szCs w:val="44"/>
    </w:rPr>
  </w:style>
  <w:style w:type="character" w:customStyle="1" w:styleId="31">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脚注文本 Char"/>
    <w:basedOn w:val="17"/>
    <w:link w:val="2"/>
    <w:semiHidden/>
    <w:qFormat/>
    <w:uiPriority w:val="99"/>
    <w:rPr>
      <w:rFonts w:ascii="Times New Roman" w:hAnsi="Times New Roman" w:eastAsia="宋体" w:cs="Times New Roman"/>
      <w:kern w:val="2"/>
      <w:sz w:val="18"/>
      <w:szCs w:val="18"/>
    </w:rPr>
  </w:style>
  <w:style w:type="paragraph" w:customStyle="1" w:styleId="38">
    <w:name w:val="xl6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3">
    <w:name w:val="xl6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4">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5">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46">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i/>
      <w:iCs/>
      <w:color w:val="000000"/>
      <w:kern w:val="0"/>
      <w:sz w:val="20"/>
      <w:szCs w:val="20"/>
    </w:rPr>
  </w:style>
  <w:style w:type="paragraph" w:customStyle="1" w:styleId="47">
    <w:name w:val="xl7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32"/>
      <w:szCs w:val="32"/>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i/>
      <w:iCs/>
      <w:color w:val="000000"/>
      <w:kern w:val="0"/>
      <w:sz w:val="20"/>
      <w:szCs w:val="20"/>
    </w:rPr>
  </w:style>
  <w:style w:type="paragraph" w:customStyle="1" w:styleId="50">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1">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2">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Sheet1!$B$3:$B$4</c:f>
              <c:strCache>
                <c:ptCount val="2"/>
                <c:pt idx="0">
                  <c:v>2023年</c:v>
                </c:pt>
                <c:pt idx="1">
                  <c:v>2024年</c:v>
                </c:pt>
              </c:strCache>
            </c:strRef>
          </c:cat>
          <c:val>
            <c:numRef>
              <c:f>Sheet1!$C$3:$C$4</c:f>
              <c:numCache>
                <c:formatCode>General</c:formatCode>
                <c:ptCount val="2"/>
                <c:pt idx="0">
                  <c:v>552.56</c:v>
                </c:pt>
                <c:pt idx="1">
                  <c:v>487.22</c:v>
                </c:pt>
              </c:numCache>
            </c:numRef>
          </c:val>
        </c:ser>
        <c:dLbls>
          <c:showLegendKey val="0"/>
          <c:showVal val="0"/>
          <c:showCatName val="0"/>
          <c:showSerName val="0"/>
          <c:showPercent val="0"/>
          <c:showBubbleSize val="0"/>
        </c:dLbls>
        <c:gapWidth val="219"/>
        <c:overlap val="-27"/>
        <c:axId val="279197184"/>
        <c:axId val="316072704"/>
      </c:barChart>
      <c:catAx>
        <c:axId val="27919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316072704"/>
        <c:crosses val="autoZero"/>
        <c:auto val="1"/>
        <c:lblAlgn val="ctr"/>
        <c:lblOffset val="100"/>
        <c:noMultiLvlLbl val="0"/>
      </c:catAx>
      <c:valAx>
        <c:axId val="3160727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9197184"/>
        <c:crosses val="autoZero"/>
        <c:crossBetween val="between"/>
      </c:valAx>
      <c:spPr>
        <a:noFill/>
        <a:ln w="25400">
          <a:noFill/>
        </a:ln>
      </c:spPr>
    </c:plotArea>
    <c:plotVisOnly val="1"/>
    <c:dispBlanksAs val="gap"/>
    <c:showDLblsOverMax val="0"/>
    <c:extLst>
      <c:ext uri="{0b15fc19-7d7d-44ad-8c2d-2c3a37ce22c3}">
        <chartProps xmlns="https://web.wps.cn/et/2018/main" chartId="{97157cd0-a8cf-4da7-9d20-3b5f308fd98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314065639136778"/>
                  <c:y val="-8.8904662929905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8200474361497"/>
                  <c:y val="0.073901224106549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'[2024决算公开-公式-部门预算项目支出绩效自评表.xlsx]Sheet1'!$C$7:$C$9</c15:sqref>
                  </c15:fullRef>
                </c:ext>
              </c:extLst>
              <c:f>'[2024决算公开-公式-部门预算项目支出绩效自评表.xlsx]Sheet1'!$C$7:$C$8</c:f>
              <c:strCache>
                <c:ptCount val="2"/>
                <c:pt idx="0">
                  <c:v>一般公共预算财政拨款收入</c:v>
                </c:pt>
                <c:pt idx="1">
                  <c:v>其他收入</c:v>
                </c:pt>
              </c:strCache>
            </c:strRef>
          </c:cat>
          <c:val>
            <c:numRef>
              <c:extLst>
                <c:ext xmlns:c15="http://schemas.microsoft.com/office/drawing/2012/chart" uri="{02D57815-91ED-43cb-92C2-25804820EDAC}">
                  <c15:fullRef>
                    <c15:sqref>Sheet1!$D$7:$D$9</c15:sqref>
                  </c15:fullRef>
                </c:ext>
              </c:extLst>
              <c:f>'[2024决算公开-公式-部门预算项目支出绩效自评表.xlsx]Sheet1'!$D$7:$D$8</c:f>
              <c:numCache>
                <c:formatCode>General</c:formatCode>
                <c:ptCount val="2"/>
                <c:pt idx="0">
                  <c:v>439</c:v>
                </c:pt>
                <c:pt idx="1">
                  <c:v>48.22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4716afc-a323-4eeb-956c-bd3a674ef3b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33788774002954"/>
                  <c:y val="0.16752437503082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80489294563997"/>
                  <c:y val="-0.12908482524201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Sheet1!$C$25:$C$26</c:f>
              <c:strCache>
                <c:ptCount val="2"/>
                <c:pt idx="0">
                  <c:v>基本支出</c:v>
                </c:pt>
                <c:pt idx="1">
                  <c:v>项目支出</c:v>
                </c:pt>
              </c:strCache>
            </c:strRef>
          </c:cat>
          <c:val>
            <c:numRef>
              <c:f>Sheet1!$D$25:$D$26</c:f>
              <c:numCache>
                <c:formatCode>General</c:formatCode>
                <c:ptCount val="2"/>
                <c:pt idx="0">
                  <c:v>312.68</c:v>
                </c:pt>
                <c:pt idx="1">
                  <c:v>164.92</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extLst>
      <c:ext uri="{0b15fc19-7d7d-44ad-8c2d-2c3a37ce22c3}">
        <chartProps xmlns="https://web.wps.cn/et/2018/main" chartId="{4cc45ac2-4cb8-4180-9fb1-611ccfed4ac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Sheet1!$B$41:$B$42</c:f>
              <c:strCache>
                <c:ptCount val="2"/>
                <c:pt idx="0">
                  <c:v>2023年</c:v>
                </c:pt>
                <c:pt idx="1">
                  <c:v>2024年</c:v>
                </c:pt>
              </c:strCache>
            </c:strRef>
          </c:cat>
          <c:val>
            <c:numRef>
              <c:f>Sheet1!$C$41:$C$42</c:f>
              <c:numCache>
                <c:formatCode>General</c:formatCode>
                <c:ptCount val="2"/>
                <c:pt idx="0">
                  <c:v>552.56</c:v>
                </c:pt>
                <c:pt idx="1">
                  <c:v>439</c:v>
                </c:pt>
              </c:numCache>
            </c:numRef>
          </c:val>
        </c:ser>
        <c:dLbls>
          <c:showLegendKey val="0"/>
          <c:showVal val="0"/>
          <c:showCatName val="0"/>
          <c:showSerName val="0"/>
          <c:showPercent val="0"/>
          <c:showBubbleSize val="0"/>
        </c:dLbls>
        <c:gapWidth val="219"/>
        <c:overlap val="-27"/>
        <c:axId val="267859456"/>
        <c:axId val="267860992"/>
      </c:barChart>
      <c:catAx>
        <c:axId val="26785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67860992"/>
        <c:crosses val="autoZero"/>
        <c:auto val="1"/>
        <c:lblAlgn val="ctr"/>
        <c:lblOffset val="100"/>
        <c:noMultiLvlLbl val="0"/>
      </c:catAx>
      <c:valAx>
        <c:axId val="2678609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67859456"/>
        <c:crosses val="autoZero"/>
        <c:crossBetween val="between"/>
      </c:valAx>
      <c:spPr>
        <a:noFill/>
        <a:ln w="25400">
          <a:noFill/>
        </a:ln>
      </c:spPr>
    </c:plotArea>
    <c:plotVisOnly val="1"/>
    <c:dispBlanksAs val="gap"/>
    <c:showDLblsOverMax val="0"/>
    <c:extLst>
      <c:ext uri="{0b15fc19-7d7d-44ad-8c2d-2c3a37ce22c3}">
        <chartProps xmlns="https://web.wps.cn/et/2018/main" chartId="{29ad2c7f-d3b5-4551-8253-03f4862a9fe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Sheet1!$B$53:$B$54</c:f>
              <c:strCache>
                <c:ptCount val="2"/>
                <c:pt idx="0">
                  <c:v>2023年</c:v>
                </c:pt>
                <c:pt idx="1">
                  <c:v>2024年</c:v>
                </c:pt>
              </c:strCache>
            </c:strRef>
          </c:cat>
          <c:val>
            <c:numRef>
              <c:f>Sheet1!$C$53:$C$54</c:f>
              <c:numCache>
                <c:formatCode>General</c:formatCode>
                <c:ptCount val="2"/>
                <c:pt idx="0">
                  <c:v>552.56</c:v>
                </c:pt>
                <c:pt idx="1">
                  <c:v>439</c:v>
                </c:pt>
              </c:numCache>
            </c:numRef>
          </c:val>
        </c:ser>
        <c:dLbls>
          <c:showLegendKey val="0"/>
          <c:showVal val="0"/>
          <c:showCatName val="0"/>
          <c:showSerName val="0"/>
          <c:showPercent val="0"/>
          <c:showBubbleSize val="0"/>
        </c:dLbls>
        <c:gapWidth val="219"/>
        <c:overlap val="-27"/>
        <c:axId val="279243008"/>
        <c:axId val="279908352"/>
      </c:barChart>
      <c:catAx>
        <c:axId val="27924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9908352"/>
        <c:crosses val="autoZero"/>
        <c:auto val="1"/>
        <c:lblAlgn val="ctr"/>
        <c:lblOffset val="100"/>
        <c:noMultiLvlLbl val="0"/>
      </c:catAx>
      <c:valAx>
        <c:axId val="279908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9243008"/>
        <c:crosses val="autoZero"/>
        <c:crossBetween val="between"/>
      </c:valAx>
      <c:spPr>
        <a:noFill/>
        <a:ln w="25400">
          <a:noFill/>
        </a:ln>
      </c:spPr>
    </c:plotArea>
    <c:plotVisOnly val="1"/>
    <c:dispBlanksAs val="gap"/>
    <c:showDLblsOverMax val="0"/>
    <c:extLst>
      <c:ext uri="{0b15fc19-7d7d-44ad-8c2d-2c3a37ce22c3}">
        <chartProps xmlns="https://web.wps.cn/et/2018/main" chartId="{847552ac-9c6f-4b8e-ad7b-fcc4ccd0fd5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516956861396675"/>
                  <c:y val="0.0009160624458139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教育支出81.5</a:t>
                    </a:r>
                    <a:r>
                      <a:rPr lang="en-US" altLang="zh-CN"/>
                      <a:t>2</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829326490981003"/>
                  <c:y val="0.14393950282442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56833642709711"/>
                  <c:y val="0.091245887205613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88520152757938"/>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20947812182"/>
                      <c:h val="0.130928252938792"/>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'[2024决算公开-公式-部门预算项目支出绩效自评表.xlsx]Sheet1'!$C$34:$C$37</c:f>
              <c:strCache>
                <c:ptCount val="4"/>
                <c:pt idx="0">
                  <c:v>教育支出</c:v>
                </c:pt>
                <c:pt idx="1">
                  <c:v>社会保障和就业支出</c:v>
                </c:pt>
                <c:pt idx="2">
                  <c:v>卫生健康支出</c:v>
                </c:pt>
                <c:pt idx="3">
                  <c:v>住房保障支出</c:v>
                </c:pt>
              </c:strCache>
            </c:strRef>
          </c:cat>
          <c:val>
            <c:numRef>
              <c:f>'[2024决算公开-公式-部门预算项目支出绩效自评表.xlsx]Sheet1'!$D$34:$D$37</c:f>
              <c:numCache>
                <c:formatCode>General</c:formatCode>
                <c:ptCount val="4"/>
                <c:pt idx="0">
                  <c:v>357.9</c:v>
                </c:pt>
                <c:pt idx="1">
                  <c:v>39.32</c:v>
                </c:pt>
                <c:pt idx="2">
                  <c:v>15.61</c:v>
                </c:pt>
                <c:pt idx="3">
                  <c:v>26.17</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040977f9-0b3e-43fe-8005-ae0e5a16576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7971</Words>
  <Characters>8566</Characters>
  <Lines>79</Lines>
  <Paragraphs>22</Paragraphs>
  <TotalTime>2</TotalTime>
  <ScaleCrop>false</ScaleCrop>
  <LinksUpToDate>false</LinksUpToDate>
  <CharactersWithSpaces>8637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2025-08-26T02:47:27Z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eyJoZGlkIjoiMmY5ZTQzZDQ3NTQ1N2U0ODgyNTA0ZWM1YWUwZGE0NGIifQ==</vt:lpwstr>
  </property>
</Properties>
</file>