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宋体" w:hAnsi="宋体" w:cs="宋体"/>
          <w:sz w:val="72"/>
          <w:szCs w:val="72"/>
        </w:rPr>
      </w:pPr>
    </w:p>
    <w:p>
      <w:pPr>
        <w:pStyle w:val="9"/>
        <w:spacing w:before="93"/>
        <w:jc w:val="center"/>
        <w:rPr>
          <w:rFonts w:hint="eastAsia" w:ascii="Times New Roman" w:hAnsi="Times New Roman" w:eastAsia="方正小标宋简体" w:cs="Times New Roman"/>
          <w:kern w:val="2"/>
          <w:sz w:val="44"/>
          <w:szCs w:val="44"/>
        </w:rPr>
      </w:pPr>
      <w:bookmarkStart w:id="0" w:name="_Toc15377425"/>
      <w:bookmarkStart w:id="1" w:name="_Toc15396475"/>
      <w:bookmarkStart w:id="2" w:name="_Toc15378441"/>
      <w:bookmarkStart w:id="3" w:name="_Toc15396597"/>
      <w:bookmarkStart w:id="4" w:name="_Toc15377193"/>
    </w:p>
    <w:p>
      <w:pPr>
        <w:pStyle w:val="9"/>
        <w:spacing w:before="93"/>
        <w:jc w:val="center"/>
        <w:rPr>
          <w:rFonts w:hint="eastAsia" w:ascii="Times New Roman" w:hAnsi="Times New Roman" w:eastAsia="方正小标宋简体" w:cs="Times New Roman"/>
          <w:kern w:val="2"/>
          <w:sz w:val="44"/>
          <w:szCs w:val="44"/>
        </w:rPr>
      </w:pPr>
    </w:p>
    <w:p>
      <w:pPr>
        <w:pStyle w:val="9"/>
        <w:spacing w:before="93"/>
        <w:jc w:val="center"/>
        <w:rPr>
          <w:rFonts w:hint="eastAsia" w:ascii="Times New Roman" w:hAnsi="Times New Roman" w:eastAsia="方正小标宋简体" w:cs="Times New Roman"/>
          <w:kern w:val="2"/>
          <w:sz w:val="44"/>
          <w:szCs w:val="44"/>
        </w:rPr>
      </w:pPr>
    </w:p>
    <w:p>
      <w:pPr>
        <w:pStyle w:val="9"/>
        <w:spacing w:before="93"/>
        <w:jc w:val="center"/>
        <w:rPr>
          <w:rFonts w:hint="eastAsia" w:ascii="Times New Roman" w:hAnsi="Times New Roman" w:eastAsia="方正小标宋简体" w:cs="Times New Roman"/>
          <w:kern w:val="2"/>
          <w:sz w:val="44"/>
          <w:szCs w:val="44"/>
        </w:rPr>
      </w:pPr>
    </w:p>
    <w:p>
      <w:pPr>
        <w:pStyle w:val="9"/>
        <w:spacing w:before="93"/>
        <w:jc w:val="center"/>
        <w:rPr>
          <w:rFonts w:hint="eastAsia" w:ascii="Times New Roman" w:hAnsi="Times New Roman" w:eastAsia="方正小标宋简体" w:cs="Times New Roman"/>
          <w:kern w:val="2"/>
          <w:sz w:val="48"/>
          <w:szCs w:val="48"/>
        </w:rPr>
      </w:pPr>
      <w:r>
        <w:rPr>
          <w:rFonts w:hint="eastAsia" w:ascii="Times New Roman" w:hAnsi="Times New Roman" w:eastAsia="方正小标宋简体" w:cs="Times New Roman"/>
          <w:kern w:val="2"/>
          <w:sz w:val="48"/>
          <w:szCs w:val="48"/>
        </w:rPr>
        <w:t>2024年度</w:t>
      </w:r>
      <w:bookmarkEnd w:id="0"/>
      <w:bookmarkEnd w:id="1"/>
      <w:bookmarkEnd w:id="2"/>
      <w:bookmarkEnd w:id="3"/>
      <w:bookmarkEnd w:id="4"/>
    </w:p>
    <w:p>
      <w:pPr>
        <w:pStyle w:val="9"/>
        <w:spacing w:before="93"/>
        <w:jc w:val="center"/>
        <w:rPr>
          <w:rFonts w:hint="eastAsia" w:ascii="Times New Roman" w:hAnsi="Times New Roman" w:eastAsia="方正小标宋简体" w:cs="Times New Roman"/>
          <w:kern w:val="2"/>
          <w:sz w:val="48"/>
          <w:szCs w:val="48"/>
        </w:rPr>
      </w:pPr>
      <w:bookmarkStart w:id="5" w:name="_Toc15377194"/>
      <w:bookmarkStart w:id="6" w:name="_Toc15306268"/>
      <w:bookmarkStart w:id="7" w:name="_Toc15396476"/>
      <w:bookmarkStart w:id="8" w:name="_Toc15396598"/>
      <w:bookmarkStart w:id="9" w:name="_Toc15377426"/>
      <w:bookmarkStart w:id="10" w:name="_Toc15378442"/>
      <w:r>
        <w:rPr>
          <w:rFonts w:hint="eastAsia" w:ascii="Times New Roman" w:hAnsi="Times New Roman" w:eastAsia="方正小标宋简体" w:cs="Times New Roman"/>
          <w:kern w:val="2"/>
          <w:sz w:val="48"/>
          <w:szCs w:val="48"/>
        </w:rPr>
        <w:t>四川省遂宁市安居区</w:t>
      </w:r>
      <w:r>
        <w:rPr>
          <w:rFonts w:hint="eastAsia" w:ascii="Times New Roman" w:eastAsia="方正小标宋简体" w:cs="Times New Roman"/>
          <w:kern w:val="2"/>
          <w:sz w:val="48"/>
          <w:szCs w:val="48"/>
          <w:lang w:eastAsia="zh-CN"/>
        </w:rPr>
        <w:t>会龙镇保山</w:t>
      </w:r>
      <w:r>
        <w:rPr>
          <w:rFonts w:hint="eastAsia" w:ascii="Times New Roman" w:hAnsi="Times New Roman" w:eastAsia="方正小标宋简体" w:cs="Times New Roman"/>
          <w:kern w:val="2"/>
          <w:sz w:val="48"/>
          <w:szCs w:val="48"/>
        </w:rPr>
        <w:t>小学校部门决算</w:t>
      </w:r>
      <w:bookmarkEnd w:id="5"/>
      <w:bookmarkEnd w:id="6"/>
      <w:bookmarkEnd w:id="7"/>
      <w:bookmarkEnd w:id="8"/>
      <w:bookmarkEnd w:id="9"/>
      <w:bookmarkEnd w:id="10"/>
    </w:p>
    <w:p>
      <w:pPr>
        <w:widowControl/>
        <w:jc w:val="center"/>
        <w:rPr>
          <w:rFonts w:hint="eastAsia" w:ascii="宋体" w:hAnsi="宋体" w:cs="宋体"/>
          <w:sz w:val="52"/>
          <w:szCs w:val="52"/>
        </w:rPr>
      </w:pPr>
    </w:p>
    <w:p>
      <w:pPr>
        <w:spacing w:before="0" w:beforeLines="0" w:after="0" w:afterLines="0" w:line="240" w:lineRule="auto"/>
        <w:ind w:left="0" w:leftChars="0" w:right="0" w:rightChars="0" w:firstLine="0" w:firstLineChars="0"/>
        <w:jc w:val="center"/>
        <w:rPr>
          <w:rFonts w:hint="eastAsia" w:ascii="黑体" w:hAnsi="黑体" w:eastAsia="黑体" w:cs="黑体"/>
          <w:kern w:val="2"/>
          <w:sz w:val="32"/>
          <w:szCs w:val="32"/>
          <w:lang w:val="en-US" w:eastAsia="zh-CN" w:bidi="ar-SA"/>
        </w:rPr>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sdt>
      <w:sdtPr>
        <w:rPr>
          <w:rFonts w:hint="eastAsia" w:ascii="黑体" w:hAnsi="黑体" w:eastAsia="黑体" w:cs="黑体"/>
          <w:kern w:val="2"/>
          <w:sz w:val="32"/>
          <w:szCs w:val="32"/>
          <w:lang w:val="en-US" w:eastAsia="zh-CN" w:bidi="ar-SA"/>
        </w:rPr>
        <w:id w:val="147474302"/>
        <w15:color w:val="DBDBDB"/>
        <w:docPartObj>
          <w:docPartGallery w:val="Table of Contents"/>
          <w:docPartUnique/>
        </w:docPartObj>
      </w:sdtPr>
      <w:sdtEndPr>
        <w:rPr>
          <w:rFonts w:hint="eastAsia" w:ascii="仿宋_GB2312" w:hAnsi="Times New Roman" w:eastAsia="宋体" w:cs="Times New Roman"/>
          <w:kern w:val="2"/>
          <w:sz w:val="21"/>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目录</w:t>
          </w:r>
        </w:p>
        <w:p>
          <w:pPr>
            <w:tabs>
              <w:tab w:val="right" w:leader="dot" w:pos="8296"/>
            </w:tabs>
            <w:adjustRightInd w:val="0"/>
            <w:snapToGrid w:val="0"/>
            <w:spacing w:line="560" w:lineRule="exact"/>
            <w:ind w:firstLine="2240" w:firstLineChars="7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公开时间：2025年8月2</w:t>
          </w:r>
          <w:r>
            <w:rPr>
              <w:rFonts w:hint="eastAsia" w:eastAsia="仿宋_GB2312" w:cs="仿宋_GB2312"/>
              <w:sz w:val="32"/>
              <w:szCs w:val="32"/>
              <w:lang w:val="en-US" w:eastAsia="zh-CN"/>
            </w:rPr>
            <w:t>7</w:t>
          </w:r>
          <w:bookmarkStart w:id="94" w:name="_GoBack"/>
          <w:bookmarkEnd w:id="94"/>
          <w:r>
            <w:rPr>
              <w:rFonts w:hint="eastAsia" w:ascii="Times New Roman" w:hAnsi="Times New Roman" w:eastAsia="仿宋_GB2312" w:cs="仿宋_GB2312"/>
              <w:sz w:val="32"/>
              <w:szCs w:val="32"/>
            </w:rPr>
            <w:t>日</w:t>
          </w:r>
        </w:p>
        <w:p>
          <w:pPr>
            <w:pStyle w:val="2"/>
            <w:rPr>
              <w:rFonts w:hint="eastAsia"/>
            </w:rPr>
          </w:pPr>
        </w:p>
        <w:p>
          <w:pPr>
            <w:pStyle w:val="14"/>
            <w:rPr>
              <w:rFonts w:hint="eastAsia" w:ascii="仿宋" w:hAnsi="仿宋" w:eastAsia="仿宋" w:cs="仿宋"/>
              <w:sz w:val="32"/>
              <w:szCs w:val="32"/>
            </w:rPr>
          </w:pPr>
          <w:r>
            <w:rPr>
              <w:rFonts w:ascii="仿宋_GB2312" w:hAnsi="Times New Roman" w:eastAsia="宋体" w:cs="Times New Roman"/>
              <w:kern w:val="2"/>
              <w:sz w:val="21"/>
              <w:szCs w:val="32"/>
              <w:lang w:val="en-US" w:eastAsia="zh-CN" w:bidi="ar-SA"/>
            </w:rPr>
            <w:fldChar w:fldCharType="begin"/>
          </w:r>
          <w:r>
            <w:rPr>
              <w:rFonts w:ascii="仿宋_GB2312" w:hAnsi="Times New Roman" w:eastAsia="宋体" w:cs="Times New Roman"/>
              <w:kern w:val="2"/>
              <w:sz w:val="21"/>
              <w:szCs w:val="32"/>
              <w:lang w:val="en-US" w:eastAsia="zh-CN" w:bidi="ar-SA"/>
            </w:rPr>
            <w:instrText xml:space="preserve">TOC \o "1-2" \h \u </w:instrText>
          </w:r>
          <w:r>
            <w:rPr>
              <w:rFonts w:ascii="仿宋_GB2312" w:hAnsi="Times New Roman" w:eastAsia="宋体" w:cs="Times New Roman"/>
              <w:kern w:val="2"/>
              <w:sz w:val="21"/>
              <w:szCs w:val="32"/>
              <w:lang w:val="en-US" w:eastAsia="zh-CN" w:bidi="ar-SA"/>
            </w:rPr>
            <w:fldChar w:fldCharType="separate"/>
          </w:r>
          <w:r>
            <w:rPr>
              <w:rFonts w:hint="eastAsia" w:ascii="仿宋" w:hAnsi="仿宋" w:eastAsia="仿宋" w:cs="仿宋"/>
              <w:b/>
              <w:bCs/>
              <w:kern w:val="2"/>
              <w:sz w:val="32"/>
              <w:szCs w:val="32"/>
              <w:lang w:val="en-US" w:eastAsia="zh-CN" w:bidi="ar-SA"/>
            </w:rPr>
            <w:fldChar w:fldCharType="begin"/>
          </w:r>
          <w:r>
            <w:rPr>
              <w:rFonts w:hint="eastAsia" w:ascii="仿宋" w:hAnsi="仿宋" w:eastAsia="仿宋" w:cs="仿宋"/>
              <w:b/>
              <w:bCs/>
              <w:kern w:val="2"/>
              <w:sz w:val="32"/>
              <w:szCs w:val="32"/>
              <w:lang w:val="en-US" w:eastAsia="zh-CN" w:bidi="ar-SA"/>
            </w:rPr>
            <w:instrText xml:space="preserve"> HYPERLINK \l _Toc31072 </w:instrText>
          </w:r>
          <w:r>
            <w:rPr>
              <w:rFonts w:hint="eastAsia" w:ascii="仿宋" w:hAnsi="仿宋" w:eastAsia="仿宋" w:cs="仿宋"/>
              <w:b/>
              <w:bCs/>
              <w:kern w:val="2"/>
              <w:sz w:val="32"/>
              <w:szCs w:val="32"/>
              <w:lang w:val="en-US" w:eastAsia="zh-CN" w:bidi="ar-SA"/>
            </w:rPr>
            <w:fldChar w:fldCharType="separate"/>
          </w:r>
          <w:r>
            <w:rPr>
              <w:rFonts w:hint="eastAsia" w:ascii="仿宋" w:hAnsi="仿宋" w:eastAsia="仿宋" w:cs="仿宋"/>
              <w:b/>
              <w:bCs/>
              <w:sz w:val="32"/>
              <w:szCs w:val="32"/>
            </w:rPr>
            <w:t xml:space="preserve">第一部分 </w:t>
          </w:r>
          <w:r>
            <w:rPr>
              <w:rFonts w:hint="eastAsia" w:ascii="仿宋" w:hAnsi="仿宋" w:eastAsia="仿宋" w:cs="仿宋"/>
              <w:b/>
              <w:bCs/>
              <w:sz w:val="32"/>
              <w:szCs w:val="32"/>
              <w:lang w:eastAsia="zh-CN"/>
            </w:rPr>
            <w:t>部门</w:t>
          </w:r>
          <w:r>
            <w:rPr>
              <w:rFonts w:hint="eastAsia" w:ascii="仿宋" w:hAnsi="仿宋" w:eastAsia="仿宋" w:cs="仿宋"/>
              <w:b/>
              <w:bCs/>
              <w:sz w:val="32"/>
              <w:szCs w:val="32"/>
            </w:rPr>
            <w:t>概况</w:t>
          </w:r>
          <w:r>
            <w:rPr>
              <w:rFonts w:hint="eastAsia" w:ascii="仿宋" w:hAnsi="仿宋" w:eastAsia="仿宋" w:cs="仿宋"/>
              <w:b/>
              <w:bCs/>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_Toc31072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4</w:t>
          </w:r>
          <w:r>
            <w:rPr>
              <w:rFonts w:hint="eastAsia" w:ascii="仿宋" w:hAnsi="仿宋" w:eastAsia="仿宋" w:cs="仿宋"/>
              <w:b w:val="0"/>
              <w:bCs w:val="0"/>
              <w:sz w:val="32"/>
              <w:szCs w:val="32"/>
            </w:rPr>
            <w:fldChar w:fldCharType="end"/>
          </w:r>
          <w:r>
            <w:rPr>
              <w:rFonts w:hint="eastAsia" w:ascii="仿宋" w:hAnsi="仿宋" w:eastAsia="仿宋" w:cs="仿宋"/>
              <w:b/>
              <w:bCs/>
              <w:kern w:val="2"/>
              <w:sz w:val="32"/>
              <w:szCs w:val="32"/>
              <w:lang w:val="en-US" w:eastAsia="zh-CN" w:bidi="ar-SA"/>
            </w:rPr>
            <w:fldChar w:fldCharType="end"/>
          </w:r>
        </w:p>
        <w:p>
          <w:pPr>
            <w:pStyle w:val="14"/>
            <w:bidi w:val="0"/>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_Toc6190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bCs w:val="0"/>
              <w:sz w:val="32"/>
              <w:szCs w:val="32"/>
            </w:rPr>
            <w:t>一、</w:t>
          </w:r>
          <w:r>
            <w:rPr>
              <w:rFonts w:hint="eastAsia" w:ascii="仿宋" w:hAnsi="仿宋" w:eastAsia="仿宋" w:cs="仿宋"/>
              <w:bCs w:val="0"/>
              <w:sz w:val="32"/>
              <w:szCs w:val="32"/>
              <w:lang w:eastAsia="zh-CN"/>
            </w:rPr>
            <w:t>部门</w:t>
          </w:r>
          <w:r>
            <w:rPr>
              <w:rFonts w:hint="eastAsia" w:ascii="仿宋" w:hAnsi="仿宋" w:eastAsia="仿宋" w:cs="仿宋"/>
              <w:bCs w:val="0"/>
              <w:sz w:val="32"/>
              <w:szCs w:val="32"/>
            </w:rPr>
            <w:t>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_Toc6190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_Toc281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_Toc281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pPr>
            <w:pStyle w:val="14"/>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fldChar w:fldCharType="begin"/>
          </w:r>
          <w:r>
            <w:rPr>
              <w:rFonts w:hint="eastAsia" w:ascii="仿宋" w:hAnsi="仿宋" w:eastAsia="仿宋" w:cs="仿宋"/>
              <w:b/>
              <w:bCs/>
              <w:kern w:val="2"/>
              <w:sz w:val="32"/>
              <w:szCs w:val="32"/>
              <w:lang w:val="en-US" w:eastAsia="zh-CN" w:bidi="ar-SA"/>
            </w:rPr>
            <w:instrText xml:space="preserve"> HYPERLINK \l _Toc646 </w:instrText>
          </w:r>
          <w:r>
            <w:rPr>
              <w:rFonts w:hint="eastAsia" w:ascii="仿宋" w:hAnsi="仿宋" w:eastAsia="仿宋" w:cs="仿宋"/>
              <w:b/>
              <w:bCs/>
              <w:kern w:val="2"/>
              <w:sz w:val="32"/>
              <w:szCs w:val="32"/>
              <w:lang w:val="en-US" w:eastAsia="zh-CN" w:bidi="ar-SA"/>
            </w:rPr>
            <w:fldChar w:fldCharType="separate"/>
          </w:r>
          <w:r>
            <w:rPr>
              <w:rFonts w:hint="eastAsia" w:ascii="仿宋" w:hAnsi="仿宋" w:eastAsia="仿宋" w:cs="仿宋"/>
              <w:b/>
              <w:bCs/>
              <w:sz w:val="32"/>
              <w:szCs w:val="32"/>
            </w:rPr>
            <w:t>第二部分 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年度单位决算情况说明</w:t>
          </w:r>
          <w:r>
            <w:rPr>
              <w:rFonts w:hint="eastAsia" w:ascii="仿宋" w:hAnsi="仿宋" w:eastAsia="仿宋" w:cs="仿宋"/>
              <w:b/>
              <w:bCs/>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_Toc646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w:t>
          </w:r>
          <w:r>
            <w:rPr>
              <w:rFonts w:hint="eastAsia" w:ascii="仿宋" w:hAnsi="仿宋" w:eastAsia="仿宋" w:cs="仿宋"/>
              <w:b w:val="0"/>
              <w:bCs w:val="0"/>
              <w:sz w:val="32"/>
              <w:szCs w:val="32"/>
            </w:rPr>
            <w:fldChar w:fldCharType="end"/>
          </w:r>
          <w:r>
            <w:rPr>
              <w:rFonts w:hint="eastAsia" w:ascii="仿宋" w:hAnsi="仿宋" w:eastAsia="仿宋" w:cs="仿宋"/>
              <w:b/>
              <w:bCs/>
              <w:kern w:val="2"/>
              <w:sz w:val="32"/>
              <w:szCs w:val="32"/>
              <w:lang w:val="en-US" w:eastAsia="zh-CN" w:bidi="ar-SA"/>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_Toc25887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sz w:val="32"/>
              <w:szCs w:val="32"/>
            </w:rPr>
            <w:t>一、 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_Toc25887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_Toc30310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sz w:val="32"/>
              <w:szCs w:val="32"/>
            </w:rPr>
            <w:t>二、 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_Toc30310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_Toc3662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sz w:val="32"/>
              <w:szCs w:val="32"/>
            </w:rPr>
            <w:t>三、 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_Toc3662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_Toc16013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sz w:val="32"/>
              <w:szCs w:val="32"/>
            </w:rPr>
            <w:t>四、财政拨款收入支出决算总体情况说明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_Toc16013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_Toc29781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_Toc29781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_Toc13341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sz w:val="32"/>
              <w:szCs w:val="32"/>
            </w:rPr>
            <w:t>六、一般公共预算财政拨款基本支出决算情况说明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_Toc13341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_Toc29526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sz w:val="32"/>
              <w:szCs w:val="32"/>
            </w:rPr>
            <w:t>七、财政拨款“三公”经费支出决算情况说明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_Toc29526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_Toc5161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sz w:val="32"/>
              <w:szCs w:val="32"/>
            </w:rPr>
            <w:t>八、政府性基金预算支出决算情况说明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_Toc5161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_Toc18344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sz w:val="32"/>
              <w:szCs w:val="32"/>
            </w:rPr>
            <w:t>九、 国有资本经营预算支出决算情况说明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_Toc18344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_Toc5878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sz w:val="32"/>
              <w:szCs w:val="32"/>
            </w:rPr>
            <w:t>十、其他重要事项的情况说明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_Toc5878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pPr>
            <w:pStyle w:val="14"/>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fldChar w:fldCharType="begin"/>
          </w:r>
          <w:r>
            <w:rPr>
              <w:rFonts w:hint="eastAsia" w:ascii="仿宋" w:hAnsi="仿宋" w:eastAsia="仿宋" w:cs="仿宋"/>
              <w:b/>
              <w:bCs/>
              <w:kern w:val="2"/>
              <w:sz w:val="32"/>
              <w:szCs w:val="32"/>
              <w:lang w:val="en-US" w:eastAsia="zh-CN" w:bidi="ar-SA"/>
            </w:rPr>
            <w:instrText xml:space="preserve"> HYPERLINK \l _Toc10395 </w:instrText>
          </w:r>
          <w:r>
            <w:rPr>
              <w:rFonts w:hint="eastAsia" w:ascii="仿宋" w:hAnsi="仿宋" w:eastAsia="仿宋" w:cs="仿宋"/>
              <w:b/>
              <w:bCs/>
              <w:kern w:val="2"/>
              <w:sz w:val="32"/>
              <w:szCs w:val="32"/>
              <w:lang w:val="en-US" w:eastAsia="zh-CN" w:bidi="ar-SA"/>
            </w:rPr>
            <w:fldChar w:fldCharType="separate"/>
          </w:r>
          <w:r>
            <w:rPr>
              <w:rFonts w:hint="eastAsia" w:ascii="仿宋" w:hAnsi="仿宋" w:eastAsia="仿宋" w:cs="仿宋"/>
              <w:b/>
              <w:bCs/>
              <w:sz w:val="32"/>
              <w:szCs w:val="32"/>
            </w:rPr>
            <w:t>第三部分 名词解释</w:t>
          </w:r>
          <w:r>
            <w:rPr>
              <w:rFonts w:hint="eastAsia" w:ascii="仿宋" w:hAnsi="仿宋" w:eastAsia="仿宋" w:cs="仿宋"/>
              <w:b/>
              <w:bCs/>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_Toc10395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14</w:t>
          </w:r>
          <w:r>
            <w:rPr>
              <w:rFonts w:hint="eastAsia" w:ascii="仿宋" w:hAnsi="仿宋" w:eastAsia="仿宋" w:cs="仿宋"/>
              <w:b w:val="0"/>
              <w:bCs w:val="0"/>
              <w:sz w:val="32"/>
              <w:szCs w:val="32"/>
            </w:rPr>
            <w:fldChar w:fldCharType="end"/>
          </w:r>
          <w:r>
            <w:rPr>
              <w:rFonts w:hint="eastAsia" w:ascii="仿宋" w:hAnsi="仿宋" w:eastAsia="仿宋" w:cs="仿宋"/>
              <w:b/>
              <w:bCs/>
              <w:kern w:val="2"/>
              <w:sz w:val="32"/>
              <w:szCs w:val="32"/>
              <w:lang w:val="en-US" w:eastAsia="zh-CN" w:bidi="ar-SA"/>
            </w:rPr>
            <w:fldChar w:fldCharType="end"/>
          </w:r>
        </w:p>
        <w:p>
          <w:pPr>
            <w:pStyle w:val="14"/>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fldChar w:fldCharType="begin"/>
          </w:r>
          <w:r>
            <w:rPr>
              <w:rFonts w:hint="eastAsia" w:ascii="仿宋" w:hAnsi="仿宋" w:eastAsia="仿宋" w:cs="仿宋"/>
              <w:b/>
              <w:bCs/>
              <w:kern w:val="2"/>
              <w:sz w:val="32"/>
              <w:szCs w:val="32"/>
              <w:lang w:val="en-US" w:eastAsia="zh-CN" w:bidi="ar-SA"/>
            </w:rPr>
            <w:instrText xml:space="preserve"> HYPERLINK \l _Toc32300 </w:instrText>
          </w:r>
          <w:r>
            <w:rPr>
              <w:rFonts w:hint="eastAsia" w:ascii="仿宋" w:hAnsi="仿宋" w:eastAsia="仿宋" w:cs="仿宋"/>
              <w:b/>
              <w:bCs/>
              <w:kern w:val="2"/>
              <w:sz w:val="32"/>
              <w:szCs w:val="32"/>
              <w:lang w:val="en-US" w:eastAsia="zh-CN" w:bidi="ar-SA"/>
            </w:rPr>
            <w:fldChar w:fldCharType="separate"/>
          </w:r>
          <w:r>
            <w:rPr>
              <w:rFonts w:hint="eastAsia" w:ascii="仿宋" w:hAnsi="仿宋" w:eastAsia="仿宋" w:cs="仿宋"/>
              <w:b/>
              <w:bCs/>
              <w:sz w:val="32"/>
              <w:szCs w:val="32"/>
            </w:rPr>
            <w:t>第四部分 附件</w:t>
          </w:r>
          <w:r>
            <w:rPr>
              <w:rFonts w:hint="eastAsia" w:ascii="仿宋" w:hAnsi="仿宋" w:eastAsia="仿宋" w:cs="仿宋"/>
              <w:b/>
              <w:bCs/>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_Toc32300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17</w:t>
          </w:r>
          <w:r>
            <w:rPr>
              <w:rFonts w:hint="eastAsia" w:ascii="仿宋" w:hAnsi="仿宋" w:eastAsia="仿宋" w:cs="仿宋"/>
              <w:b w:val="0"/>
              <w:bCs w:val="0"/>
              <w:sz w:val="32"/>
              <w:szCs w:val="32"/>
            </w:rPr>
            <w:fldChar w:fldCharType="end"/>
          </w:r>
          <w:r>
            <w:rPr>
              <w:rFonts w:hint="eastAsia" w:ascii="仿宋" w:hAnsi="仿宋" w:eastAsia="仿宋" w:cs="仿宋"/>
              <w:b/>
              <w:bCs/>
              <w:kern w:val="2"/>
              <w:sz w:val="32"/>
              <w:szCs w:val="32"/>
              <w:lang w:val="en-US" w:eastAsia="zh-CN" w:bidi="ar-SA"/>
            </w:rPr>
            <w:fldChar w:fldCharType="end"/>
          </w:r>
        </w:p>
        <w:p>
          <w:pPr>
            <w:pStyle w:val="14"/>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fldChar w:fldCharType="begin"/>
          </w:r>
          <w:r>
            <w:rPr>
              <w:rFonts w:hint="eastAsia" w:ascii="仿宋" w:hAnsi="仿宋" w:eastAsia="仿宋" w:cs="仿宋"/>
              <w:b/>
              <w:bCs/>
              <w:kern w:val="2"/>
              <w:sz w:val="32"/>
              <w:szCs w:val="32"/>
              <w:lang w:val="en-US" w:eastAsia="zh-CN" w:bidi="ar-SA"/>
            </w:rPr>
            <w:instrText xml:space="preserve"> HYPERLINK \l _Toc622 </w:instrText>
          </w:r>
          <w:r>
            <w:rPr>
              <w:rFonts w:hint="eastAsia" w:ascii="仿宋" w:hAnsi="仿宋" w:eastAsia="仿宋" w:cs="仿宋"/>
              <w:b/>
              <w:bCs/>
              <w:kern w:val="2"/>
              <w:sz w:val="32"/>
              <w:szCs w:val="32"/>
              <w:lang w:val="en-US" w:eastAsia="zh-CN" w:bidi="ar-SA"/>
            </w:rPr>
            <w:fldChar w:fldCharType="separate"/>
          </w:r>
          <w:r>
            <w:rPr>
              <w:rFonts w:hint="eastAsia" w:ascii="仿宋" w:hAnsi="仿宋" w:eastAsia="仿宋" w:cs="仿宋"/>
              <w:b/>
              <w:bCs/>
              <w:sz w:val="32"/>
              <w:szCs w:val="32"/>
            </w:rPr>
            <w:t>第五部分 附表</w:t>
          </w:r>
          <w:r>
            <w:rPr>
              <w:rFonts w:hint="eastAsia" w:ascii="仿宋" w:hAnsi="仿宋" w:eastAsia="仿宋" w:cs="仿宋"/>
              <w:b/>
              <w:bCs/>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_Toc622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34</w:t>
          </w:r>
          <w:r>
            <w:rPr>
              <w:rFonts w:hint="eastAsia" w:ascii="仿宋" w:hAnsi="仿宋" w:eastAsia="仿宋" w:cs="仿宋"/>
              <w:b w:val="0"/>
              <w:bCs w:val="0"/>
              <w:sz w:val="32"/>
              <w:szCs w:val="32"/>
            </w:rPr>
            <w:fldChar w:fldCharType="end"/>
          </w:r>
          <w:r>
            <w:rPr>
              <w:rFonts w:hint="eastAsia" w:ascii="仿宋" w:hAnsi="仿宋" w:eastAsia="仿宋" w:cs="仿宋"/>
              <w:b/>
              <w:bCs/>
              <w:kern w:val="2"/>
              <w:sz w:val="32"/>
              <w:szCs w:val="32"/>
              <w:lang w:val="en-US" w:eastAsia="zh-CN" w:bidi="ar-SA"/>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_Toc14713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sz w:val="32"/>
              <w:szCs w:val="32"/>
            </w:rPr>
            <w:t>一、收</w:t>
          </w:r>
          <w:r>
            <w:rPr>
              <w:rFonts w:hint="eastAsia" w:ascii="仿宋" w:hAnsi="仿宋" w:eastAsia="仿宋" w:cs="仿宋"/>
              <w:bCs w:val="0"/>
              <w:sz w:val="32"/>
              <w:szCs w:val="32"/>
            </w:rPr>
            <w:t>入支出决算总表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_Toc14713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_Toc4307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sz w:val="32"/>
              <w:szCs w:val="32"/>
            </w:rPr>
            <w:t>二、收</w:t>
          </w:r>
          <w:r>
            <w:rPr>
              <w:rFonts w:hint="eastAsia" w:ascii="仿宋" w:hAnsi="仿宋" w:eastAsia="仿宋" w:cs="仿宋"/>
              <w:bCs w:val="0"/>
              <w:sz w:val="32"/>
              <w:szCs w:val="32"/>
            </w:rPr>
            <w:t>入决算表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_Toc4307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_Toc32129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bCs w:val="0"/>
              <w:sz w:val="32"/>
              <w:szCs w:val="32"/>
            </w:rPr>
            <w:t>三、</w:t>
          </w:r>
          <w:r>
            <w:rPr>
              <w:rFonts w:hint="eastAsia" w:ascii="仿宋" w:hAnsi="仿宋" w:eastAsia="仿宋" w:cs="仿宋"/>
              <w:sz w:val="32"/>
              <w:szCs w:val="32"/>
            </w:rPr>
            <w:t>支</w:t>
          </w:r>
          <w:r>
            <w:rPr>
              <w:rFonts w:hint="eastAsia" w:ascii="仿宋" w:hAnsi="仿宋" w:eastAsia="仿宋" w:cs="仿宋"/>
              <w:bCs w:val="0"/>
              <w:sz w:val="32"/>
              <w:szCs w:val="32"/>
            </w:rPr>
            <w:t>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_Toc32129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_Toc26295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bCs w:val="0"/>
              <w:sz w:val="32"/>
              <w:szCs w:val="32"/>
            </w:rPr>
            <w:t>四、</w:t>
          </w:r>
          <w:r>
            <w:rPr>
              <w:rFonts w:hint="eastAsia" w:ascii="仿宋" w:hAnsi="仿宋" w:eastAsia="仿宋" w:cs="仿宋"/>
              <w:sz w:val="32"/>
              <w:szCs w:val="32"/>
            </w:rPr>
            <w:t>财</w:t>
          </w:r>
          <w:r>
            <w:rPr>
              <w:rFonts w:hint="eastAsia" w:ascii="仿宋" w:hAnsi="仿宋" w:eastAsia="仿宋" w:cs="仿宋"/>
              <w:bCs w:val="0"/>
              <w:sz w:val="32"/>
              <w:szCs w:val="32"/>
            </w:rPr>
            <w:t>政拨款收入支出决算总表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_Toc26295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_Toc18185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bCs w:val="0"/>
              <w:sz w:val="32"/>
              <w:szCs w:val="32"/>
            </w:rPr>
            <w:t>五、</w:t>
          </w:r>
          <w:r>
            <w:rPr>
              <w:rFonts w:hint="eastAsia" w:ascii="仿宋" w:hAnsi="仿宋" w:eastAsia="仿宋" w:cs="仿宋"/>
              <w:sz w:val="32"/>
              <w:szCs w:val="32"/>
            </w:rPr>
            <w:t>财</w:t>
          </w:r>
          <w:r>
            <w:rPr>
              <w:rFonts w:hint="eastAsia" w:ascii="仿宋" w:hAnsi="仿宋" w:eastAsia="仿宋" w:cs="仿宋"/>
              <w:bCs w:val="0"/>
              <w:sz w:val="32"/>
              <w:szCs w:val="32"/>
            </w:rPr>
            <w:t>政拨款支出决算明细表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_Toc18185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_Toc5415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bCs w:val="0"/>
              <w:sz w:val="32"/>
              <w:szCs w:val="32"/>
            </w:rPr>
            <w:t>六、</w:t>
          </w:r>
          <w:r>
            <w:rPr>
              <w:rFonts w:hint="eastAsia" w:ascii="仿宋" w:hAnsi="仿宋" w:eastAsia="仿宋" w:cs="仿宋"/>
              <w:sz w:val="32"/>
              <w:szCs w:val="32"/>
            </w:rPr>
            <w:t>一</w:t>
          </w:r>
          <w:r>
            <w:rPr>
              <w:rFonts w:hint="eastAsia" w:ascii="仿宋" w:hAnsi="仿宋" w:eastAsia="仿宋" w:cs="仿宋"/>
              <w:bCs w:val="0"/>
              <w:sz w:val="32"/>
              <w:szCs w:val="32"/>
            </w:rPr>
            <w:t>般公共预算财政拨款支出决算表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_Toc5415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_Toc21695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bCs w:val="0"/>
              <w:sz w:val="32"/>
              <w:szCs w:val="32"/>
            </w:rPr>
            <w:t>七、</w:t>
          </w:r>
          <w:r>
            <w:rPr>
              <w:rFonts w:hint="eastAsia" w:ascii="仿宋" w:hAnsi="仿宋" w:eastAsia="仿宋" w:cs="仿宋"/>
              <w:sz w:val="32"/>
              <w:szCs w:val="32"/>
            </w:rPr>
            <w:t>一</w:t>
          </w:r>
          <w:r>
            <w:rPr>
              <w:rFonts w:hint="eastAsia" w:ascii="仿宋" w:hAnsi="仿宋" w:eastAsia="仿宋" w:cs="仿宋"/>
              <w:bCs w:val="0"/>
              <w:sz w:val="32"/>
              <w:szCs w:val="32"/>
            </w:rPr>
            <w:t>般公共预算财政拨款支出决算明细表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_Toc21695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_Toc29325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bCs w:val="0"/>
              <w:sz w:val="32"/>
              <w:szCs w:val="32"/>
            </w:rPr>
            <w:t>八、</w:t>
          </w:r>
          <w:r>
            <w:rPr>
              <w:rFonts w:hint="eastAsia" w:ascii="仿宋" w:hAnsi="仿宋" w:eastAsia="仿宋" w:cs="仿宋"/>
              <w:sz w:val="32"/>
              <w:szCs w:val="32"/>
            </w:rPr>
            <w:t>一</w:t>
          </w:r>
          <w:r>
            <w:rPr>
              <w:rFonts w:hint="eastAsia" w:ascii="仿宋" w:hAnsi="仿宋" w:eastAsia="仿宋" w:cs="仿宋"/>
              <w:bCs w:val="0"/>
              <w:sz w:val="32"/>
              <w:szCs w:val="32"/>
            </w:rPr>
            <w:t>般公共预算财政拨款基本支出决算表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_Toc29325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_Toc13333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bCs w:val="0"/>
              <w:sz w:val="32"/>
              <w:szCs w:val="32"/>
            </w:rPr>
            <w:t>九、</w:t>
          </w:r>
          <w:r>
            <w:rPr>
              <w:rFonts w:hint="eastAsia" w:ascii="仿宋" w:hAnsi="仿宋" w:eastAsia="仿宋" w:cs="仿宋"/>
              <w:sz w:val="32"/>
              <w:szCs w:val="32"/>
            </w:rPr>
            <w:t>一</w:t>
          </w:r>
          <w:r>
            <w:rPr>
              <w:rFonts w:hint="eastAsia" w:ascii="仿宋" w:hAnsi="仿宋" w:eastAsia="仿宋" w:cs="仿宋"/>
              <w:bCs w:val="0"/>
              <w:sz w:val="32"/>
              <w:szCs w:val="32"/>
            </w:rPr>
            <w:t>般公共预算财政拨款项目支出决算表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_Toc13333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_Toc19605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bCs w:val="0"/>
              <w:sz w:val="32"/>
              <w:szCs w:val="32"/>
            </w:rPr>
            <w:t>十、</w:t>
          </w:r>
          <w:r>
            <w:rPr>
              <w:rFonts w:hint="eastAsia" w:ascii="仿宋" w:hAnsi="仿宋" w:eastAsia="仿宋" w:cs="仿宋"/>
              <w:sz w:val="32"/>
              <w:szCs w:val="32"/>
            </w:rPr>
            <w:t>政</w:t>
          </w:r>
          <w:r>
            <w:rPr>
              <w:rFonts w:hint="eastAsia" w:ascii="仿宋" w:hAnsi="仿宋" w:eastAsia="仿宋" w:cs="仿宋"/>
              <w:bCs w:val="0"/>
              <w:sz w:val="32"/>
              <w:szCs w:val="32"/>
            </w:rPr>
            <w:t>府性基金预算财政拨款收入支出决算表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_Toc19605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_Toc8701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bCs w:val="0"/>
              <w:sz w:val="32"/>
              <w:szCs w:val="32"/>
            </w:rPr>
            <w:t>十一、</w:t>
          </w:r>
          <w:r>
            <w:rPr>
              <w:rFonts w:hint="eastAsia" w:ascii="仿宋" w:hAnsi="仿宋" w:eastAsia="仿宋" w:cs="仿宋"/>
              <w:sz w:val="32"/>
              <w:szCs w:val="32"/>
            </w:rPr>
            <w:t>国</w:t>
          </w:r>
          <w:r>
            <w:rPr>
              <w:rFonts w:hint="eastAsia" w:ascii="仿宋" w:hAnsi="仿宋" w:eastAsia="仿宋" w:cs="仿宋"/>
              <w:bCs w:val="0"/>
              <w:sz w:val="32"/>
              <w:szCs w:val="32"/>
            </w:rPr>
            <w:t>有资本经营预算财政拨款收入支出决算表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_Toc8701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_Toc25210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bCs w:val="0"/>
              <w:sz w:val="32"/>
              <w:szCs w:val="32"/>
            </w:rPr>
            <w:t>十二、国有资本经营预算财政拨款支出决算表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_Toc25210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pPr>
            <w:pStyle w:val="15"/>
            <w:tabs>
              <w:tab w:val="right" w:leader="dot" w:pos="8306"/>
              <w:tab w:val="clear" w:pos="8296"/>
            </w:tabs>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_Toc18066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bCs w:val="0"/>
              <w:sz w:val="32"/>
              <w:szCs w:val="32"/>
            </w:rPr>
            <w:t>十三、财政拨款“三公”经费支出决算表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_Toc18066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pPr>
            <w:pStyle w:val="3"/>
            <w:outlineLvl w:val="1"/>
            <w:rPr>
              <w:rFonts w:ascii="仿宋_GB2312" w:hAnsi="Times New Roman" w:eastAsia="宋体" w:cs="Times New Roman"/>
              <w:kern w:val="2"/>
              <w:sz w:val="21"/>
              <w:szCs w:val="32"/>
              <w:lang w:val="en-US" w:eastAsia="zh-CN" w:bidi="ar-SA"/>
            </w:rPr>
          </w:pPr>
          <w:r>
            <w:rPr>
              <w:rFonts w:ascii="仿宋_GB2312" w:hAnsi="Times New Roman" w:eastAsia="宋体" w:cs="Times New Roman"/>
              <w:kern w:val="2"/>
              <w:szCs w:val="32"/>
              <w:lang w:val="en-US" w:eastAsia="zh-CN" w:bidi="ar-SA"/>
            </w:rPr>
            <w:fldChar w:fldCharType="end"/>
          </w:r>
        </w:p>
      </w:sdtContent>
    </w:sdt>
    <w:p>
      <w:pPr>
        <w:pStyle w:val="3"/>
        <w:outlineLvl w:val="1"/>
        <w:rPr>
          <w:rFonts w:ascii="仿宋_GB2312" w:hAnsi="Times New Roman" w:eastAsia="宋体" w:cs="Times New Roman"/>
          <w:kern w:val="2"/>
          <w:sz w:val="21"/>
          <w:szCs w:val="32"/>
          <w:lang w:val="en-US" w:eastAsia="zh-CN" w:bidi="ar-SA"/>
        </w:rPr>
      </w:pPr>
    </w:p>
    <w:p>
      <w:pPr>
        <w:pStyle w:val="3"/>
        <w:rPr>
          <w:rFonts w:ascii="方正小标宋简体" w:hAnsi="宋体" w:eastAsia="方正小标宋简体"/>
          <w:sz w:val="36"/>
          <w:szCs w:val="36"/>
        </w:rPr>
      </w:pPr>
    </w:p>
    <w:p>
      <w:pPr>
        <w:pStyle w:val="3"/>
        <w:rPr>
          <w:rFonts w:ascii="方正小标宋简体" w:hAnsi="宋体" w:eastAsia="方正小标宋简体"/>
          <w:sz w:val="36"/>
          <w:szCs w:val="36"/>
        </w:rPr>
      </w:pPr>
    </w:p>
    <w:p>
      <w:pPr>
        <w:pStyle w:val="3"/>
        <w:rPr>
          <w:rFonts w:ascii="方正小标宋简体" w:hAnsi="宋体" w:eastAsia="方正小标宋简体"/>
          <w:sz w:val="36"/>
          <w:szCs w:val="36"/>
        </w:rPr>
      </w:pPr>
    </w:p>
    <w:p>
      <w:pPr>
        <w:pStyle w:val="3"/>
        <w:rPr>
          <w:rFonts w:ascii="方正小标宋简体" w:hAnsi="宋体" w:eastAsia="方正小标宋简体"/>
          <w:sz w:val="36"/>
          <w:szCs w:val="36"/>
        </w:rPr>
      </w:pPr>
    </w:p>
    <w:p>
      <w:pPr>
        <w:pStyle w:val="3"/>
        <w:rPr>
          <w:rFonts w:ascii="方正小标宋简体" w:hAnsi="宋体" w:eastAsia="方正小标宋简体"/>
          <w:sz w:val="36"/>
          <w:szCs w:val="36"/>
        </w:rPr>
      </w:pPr>
    </w:p>
    <w:p>
      <w:pPr>
        <w:pStyle w:val="3"/>
        <w:rPr>
          <w:rFonts w:ascii="方正小标宋简体" w:hAnsi="宋体" w:eastAsia="方正小标宋简体"/>
          <w:sz w:val="36"/>
          <w:szCs w:val="36"/>
        </w:rPr>
      </w:pPr>
    </w:p>
    <w:p>
      <w:pPr>
        <w:pStyle w:val="3"/>
        <w:rPr>
          <w:rFonts w:ascii="方正小标宋简体" w:hAnsi="宋体" w:eastAsia="方正小标宋简体"/>
          <w:sz w:val="36"/>
          <w:szCs w:val="36"/>
        </w:rPr>
      </w:pPr>
    </w:p>
    <w:p>
      <w:pPr>
        <w:pStyle w:val="3"/>
        <w:rPr>
          <w:rFonts w:ascii="方正小标宋简体" w:hAnsi="宋体" w:eastAsia="方正小标宋简体"/>
          <w:sz w:val="36"/>
          <w:szCs w:val="36"/>
        </w:rPr>
      </w:pPr>
    </w:p>
    <w:p>
      <w:pPr>
        <w:pStyle w:val="3"/>
        <w:ind w:left="0" w:leftChars="0" w:firstLine="0" w:firstLineChars="0"/>
        <w:rPr>
          <w:rFonts w:ascii="方正小标宋简体" w:hAnsi="宋体" w:eastAsia="方正小标宋简体"/>
          <w:sz w:val="36"/>
          <w:szCs w:val="36"/>
        </w:rPr>
      </w:pPr>
    </w:p>
    <w:p>
      <w:pPr>
        <w:rPr>
          <w:rFonts w:hint="eastAsia" w:ascii="黑体" w:hAnsi="黑体" w:eastAsia="黑体"/>
          <w:b w:val="0"/>
        </w:rPr>
      </w:pPr>
      <w:bookmarkStart w:id="11" w:name="_Toc31072"/>
      <w:r>
        <w:rPr>
          <w:rFonts w:hint="eastAsia" w:ascii="黑体" w:hAnsi="黑体" w:eastAsia="黑体"/>
          <w:b w:val="0"/>
        </w:rPr>
        <w:br w:type="page"/>
      </w:r>
    </w:p>
    <w:p>
      <w:pPr>
        <w:pStyle w:val="5"/>
        <w:jc w:val="center"/>
        <w:rPr>
          <w:rFonts w:hint="eastAsia" w:ascii="黑体" w:hAnsi="黑体" w:eastAsia="黑体"/>
          <w:b w:val="0"/>
        </w:rPr>
        <w:sectPr>
          <w:footerReference r:id="rId7" w:type="first"/>
          <w:footerReference r:id="rId6" w:type="default"/>
          <w:pgSz w:w="11906" w:h="16838"/>
          <w:pgMar w:top="1440" w:right="1800" w:bottom="1440" w:left="1800" w:header="851" w:footer="992" w:gutter="0"/>
          <w:pgNumType w:start="2"/>
          <w:cols w:space="425" w:num="1"/>
          <w:titlePg/>
          <w:docGrid w:type="lines" w:linePitch="312" w:charSpace="0"/>
        </w:sectPr>
      </w:pPr>
    </w:p>
    <w:p>
      <w:pPr>
        <w:pStyle w:val="5"/>
        <w:jc w:val="center"/>
        <w:rPr>
          <w:rStyle w:val="32"/>
          <w:rFonts w:ascii="黑体" w:hAnsi="黑体" w:eastAsia="黑体"/>
          <w:b/>
          <w:bCs w:val="0"/>
        </w:rPr>
      </w:pPr>
      <w:r>
        <w:rPr>
          <w:rFonts w:hint="eastAsia" w:ascii="黑体" w:hAnsi="黑体" w:eastAsia="黑体"/>
          <w:b w:val="0"/>
          <w:sz w:val="44"/>
          <w:szCs w:val="44"/>
        </w:rPr>
        <w:t xml:space="preserve">第一部分 </w:t>
      </w:r>
      <w:r>
        <w:rPr>
          <w:rFonts w:hint="eastAsia" w:ascii="黑体" w:hAnsi="黑体" w:eastAsia="黑体"/>
          <w:b w:val="0"/>
          <w:sz w:val="44"/>
          <w:szCs w:val="44"/>
          <w:lang w:eastAsia="zh-CN"/>
        </w:rPr>
        <w:t>部门</w:t>
      </w:r>
      <w:r>
        <w:rPr>
          <w:rStyle w:val="32"/>
          <w:rFonts w:hint="eastAsia" w:ascii="黑体" w:hAnsi="黑体" w:eastAsia="黑体"/>
          <w:b w:val="0"/>
          <w:bCs w:val="0"/>
          <w:sz w:val="44"/>
          <w:szCs w:val="44"/>
        </w:rPr>
        <w:t>概况</w:t>
      </w:r>
      <w:bookmarkEnd w:id="11"/>
    </w:p>
    <w:p>
      <w:pPr>
        <w:pStyle w:val="6"/>
        <w:pageBreakBefore w:val="0"/>
        <w:numPr>
          <w:ilvl w:val="0"/>
          <w:numId w:val="1"/>
        </w:numPr>
        <w:kinsoku/>
        <w:wordWrap/>
        <w:overflowPunct/>
        <w:topLinePunct w:val="0"/>
        <w:autoSpaceDE/>
        <w:autoSpaceDN/>
        <w:bidi w:val="0"/>
        <w:adjustRightInd/>
        <w:spacing w:before="0" w:after="0" w:line="600" w:lineRule="exact"/>
        <w:textAlignment w:val="auto"/>
        <w:rPr>
          <w:rStyle w:val="33"/>
          <w:rFonts w:ascii="黑体" w:hAnsi="黑体" w:eastAsia="黑体"/>
          <w:b w:val="0"/>
          <w:bCs w:val="0"/>
        </w:rPr>
      </w:pPr>
      <w:bookmarkStart w:id="12" w:name="_Toc6190"/>
      <w:bookmarkStart w:id="13" w:name="_Toc15396600"/>
      <w:bookmarkStart w:id="14" w:name="_Toc15377197"/>
      <w:r>
        <w:rPr>
          <w:rStyle w:val="33"/>
          <w:rFonts w:hint="eastAsia" w:ascii="黑体" w:hAnsi="黑体" w:eastAsia="黑体"/>
          <w:b w:val="0"/>
          <w:bCs w:val="0"/>
          <w:lang w:eastAsia="zh-CN"/>
        </w:rPr>
        <w:t>部门</w:t>
      </w:r>
      <w:r>
        <w:rPr>
          <w:rStyle w:val="33"/>
          <w:rFonts w:hint="eastAsia" w:ascii="黑体" w:hAnsi="黑体" w:eastAsia="黑体"/>
          <w:b w:val="0"/>
          <w:bCs w:val="0"/>
        </w:rPr>
        <w:t>职责</w:t>
      </w:r>
      <w:bookmarkEnd w:id="1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（1）正确贯彻执行党和国家的教育方针、政策、法规。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（2）维护学校的教学秩序，为学生创造良好的学习环境;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（3）积极稳妥地推进教育改革，按教育规律办事，不断提高教育质量;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（4）根据学校规模，设置学校管理机构，建立健全各项规章制度和岗位责任制。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（5）坚持教书育人，服务育人，环境育人方针，加强对学生的思想品德教育，使学生的德智体全面发展。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（6）抓好教师队伍建设，使每个教师都热心于教育事业;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（7）做好安全防范，保证学生的</w:t>
      </w:r>
      <w:r>
        <w:rPr>
          <w:rFonts w:hint="eastAsia" w:ascii="仿宋" w:hAnsi="仿宋" w:eastAsia="仿宋"/>
          <w:sz w:val="32"/>
          <w:szCs w:val="32"/>
          <w:lang w:eastAsia="zh-CN"/>
        </w:rPr>
        <w:t>人身安全</w:t>
      </w:r>
      <w:r>
        <w:rPr>
          <w:rFonts w:hint="eastAsia" w:ascii="仿宋" w:hAnsi="仿宋" w:eastAsia="仿宋"/>
          <w:sz w:val="32"/>
          <w:szCs w:val="32"/>
        </w:rPr>
        <w:t>。</w:t>
      </w:r>
    </w:p>
    <w:p>
      <w:pPr>
        <w:pStyle w:val="6"/>
        <w:pageBreakBefore w:val="0"/>
        <w:kinsoku/>
        <w:wordWrap/>
        <w:overflowPunct/>
        <w:topLinePunct w:val="0"/>
        <w:autoSpaceDE/>
        <w:autoSpaceDN/>
        <w:bidi w:val="0"/>
        <w:adjustRightInd/>
        <w:spacing w:before="0" w:after="0" w:line="600" w:lineRule="exact"/>
        <w:textAlignment w:val="auto"/>
        <w:rPr>
          <w:rFonts w:ascii="黑体" w:hAnsi="黑体" w:eastAsia="黑体"/>
          <w:b w:val="0"/>
        </w:rPr>
      </w:pPr>
      <w:bookmarkStart w:id="15" w:name="_Toc281"/>
      <w:r>
        <w:rPr>
          <w:rFonts w:hint="eastAsia" w:ascii="黑体" w:hAnsi="黑体" w:eastAsia="黑体"/>
          <w:b w:val="0"/>
        </w:rPr>
        <w:t>二、机构设置</w:t>
      </w:r>
      <w:bookmarkEnd w:id="15"/>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遂宁市安居区会龙镇保山小学校属于公益一类事业单位，无下属二级预算单位。</w:t>
      </w:r>
      <w:r>
        <w:rPr>
          <w:rFonts w:hint="eastAsia" w:ascii="仿宋_GB2312" w:hAnsi="仿宋" w:eastAsia="仿宋_GB2312"/>
          <w:sz w:val="32"/>
          <w:szCs w:val="32"/>
        </w:rPr>
        <w:t>我校为独立编制机构1个，独立核算机构1个。</w:t>
      </w:r>
      <w:r>
        <w:rPr>
          <w:rFonts w:hint="eastAsia" w:ascii="仿宋" w:hAnsi="仿宋" w:eastAsia="仿宋"/>
          <w:sz w:val="32"/>
          <w:szCs w:val="32"/>
        </w:rPr>
        <w:t>学校的主管部门为遂宁市安居区教育局。</w:t>
      </w:r>
    </w:p>
    <w:bookmarkEnd w:id="13"/>
    <w:bookmarkEnd w:id="14"/>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ascii="仿宋" w:hAnsi="仿宋" w:eastAsia="仿宋"/>
          <w:kern w:val="0"/>
          <w:sz w:val="32"/>
          <w:szCs w:val="32"/>
        </w:rPr>
      </w:pPr>
      <w:r>
        <w:rPr>
          <w:rFonts w:ascii="仿宋" w:hAnsi="仿宋" w:eastAsia="仿宋"/>
          <w:sz w:val="32"/>
          <w:szCs w:val="32"/>
        </w:rPr>
        <w:br w:type="page"/>
      </w:r>
    </w:p>
    <w:p>
      <w:pPr>
        <w:pStyle w:val="5"/>
        <w:jc w:val="center"/>
        <w:rPr>
          <w:rStyle w:val="32"/>
          <w:rFonts w:ascii="黑体" w:hAnsi="黑体" w:eastAsia="黑体"/>
          <w:b w:val="0"/>
          <w:bCs/>
        </w:rPr>
      </w:pPr>
      <w:bookmarkStart w:id="16" w:name="_Toc15377204"/>
      <w:bookmarkStart w:id="17" w:name="_Toc15396602"/>
      <w:bookmarkStart w:id="18" w:name="_Toc646"/>
      <w:r>
        <w:rPr>
          <w:rFonts w:hint="eastAsia" w:ascii="黑体" w:hAnsi="黑体" w:eastAsia="黑体"/>
          <w:b w:val="0"/>
          <w:sz w:val="44"/>
          <w:szCs w:val="44"/>
        </w:rPr>
        <w:t>第二部分 202</w:t>
      </w:r>
      <w:r>
        <w:rPr>
          <w:rFonts w:hint="eastAsia" w:ascii="黑体" w:hAnsi="黑体" w:eastAsia="黑体"/>
          <w:b w:val="0"/>
          <w:sz w:val="44"/>
          <w:szCs w:val="44"/>
          <w:lang w:val="en-US" w:eastAsia="zh-CN"/>
        </w:rPr>
        <w:t>4</w:t>
      </w:r>
      <w:r>
        <w:rPr>
          <w:rFonts w:hint="eastAsia" w:ascii="黑体" w:hAnsi="黑体" w:eastAsia="黑体"/>
          <w:b w:val="0"/>
          <w:sz w:val="44"/>
          <w:szCs w:val="44"/>
        </w:rPr>
        <w:t>年度单位决算情况说明</w:t>
      </w:r>
      <w:bookmarkEnd w:id="16"/>
      <w:bookmarkEnd w:id="17"/>
      <w:bookmarkEnd w:id="18"/>
    </w:p>
    <w:p>
      <w:pPr>
        <w:pStyle w:val="31"/>
        <w:numPr>
          <w:ilvl w:val="0"/>
          <w:numId w:val="0"/>
        </w:numPr>
        <w:spacing w:line="600" w:lineRule="exact"/>
        <w:outlineLvl w:val="1"/>
        <w:rPr>
          <w:rStyle w:val="33"/>
          <w:rFonts w:ascii="黑体" w:hAnsi="黑体" w:eastAsia="黑体"/>
          <w:b w:val="0"/>
        </w:rPr>
      </w:pPr>
      <w:bookmarkStart w:id="19" w:name="_Toc15396603"/>
      <w:bookmarkStart w:id="20" w:name="_Toc15377205"/>
      <w:bookmarkStart w:id="21" w:name="_Toc25887"/>
      <w:r>
        <w:rPr>
          <w:rFonts w:hint="eastAsia" w:ascii="黑体" w:hAnsi="黑体" w:eastAsia="黑体"/>
          <w:sz w:val="32"/>
          <w:szCs w:val="32"/>
          <w:lang w:eastAsia="zh-CN"/>
        </w:rPr>
        <w:t>一、</w:t>
      </w:r>
      <w:r>
        <w:rPr>
          <w:rFonts w:hint="eastAsia" w:ascii="黑体" w:hAnsi="黑体" w:eastAsia="黑体"/>
          <w:sz w:val="32"/>
          <w:szCs w:val="32"/>
        </w:rPr>
        <w:t>收</w:t>
      </w:r>
      <w:r>
        <w:rPr>
          <w:rStyle w:val="33"/>
          <w:rFonts w:hint="eastAsia" w:ascii="黑体" w:hAnsi="黑体" w:eastAsia="黑体"/>
          <w:b w:val="0"/>
        </w:rPr>
        <w:t>入支出决算总体情况说明</w:t>
      </w:r>
      <w:bookmarkEnd w:id="19"/>
      <w:bookmarkEnd w:id="20"/>
      <w:bookmarkEnd w:id="21"/>
    </w:p>
    <w:p>
      <w:pPr>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ascii="仿宋" w:hAnsi="仿宋" w:eastAsia="仿宋"/>
          <w:b/>
          <w:sz w:val="32"/>
          <w:szCs w:val="32"/>
          <w:lang w:val="en-US" w:eastAsia="zh-CN"/>
        </w:rPr>
        <w:t>408.01</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年度相比，收入总计</w:t>
      </w:r>
      <w:r>
        <w:rPr>
          <w:rFonts w:hint="eastAsia" w:ascii="仿宋" w:hAnsi="仿宋" w:eastAsia="仿宋"/>
          <w:sz w:val="32"/>
          <w:szCs w:val="32"/>
          <w:lang w:eastAsia="zh-CN"/>
        </w:rPr>
        <w:t>减少</w:t>
      </w:r>
      <w:r>
        <w:rPr>
          <w:rFonts w:hint="eastAsia" w:ascii="仿宋" w:hAnsi="仿宋" w:eastAsia="仿宋"/>
          <w:sz w:val="32"/>
          <w:szCs w:val="32"/>
          <w:lang w:val="en-US" w:eastAsia="zh-CN"/>
        </w:rPr>
        <w:t>65.10</w:t>
      </w:r>
      <w:r>
        <w:rPr>
          <w:rFonts w:hint="eastAsia" w:ascii="仿宋" w:hAnsi="仿宋" w:eastAsia="仿宋"/>
          <w:sz w:val="32"/>
          <w:szCs w:val="32"/>
        </w:rPr>
        <w:t>万元，</w:t>
      </w:r>
      <w:r>
        <w:rPr>
          <w:rFonts w:hint="eastAsia" w:ascii="仿宋" w:hAnsi="仿宋" w:eastAsia="仿宋"/>
          <w:sz w:val="32"/>
          <w:szCs w:val="32"/>
          <w:lang w:eastAsia="zh-CN"/>
        </w:rPr>
        <w:t>减幅</w:t>
      </w:r>
      <w:r>
        <w:rPr>
          <w:rFonts w:hint="eastAsia" w:ascii="仿宋" w:hAnsi="仿宋" w:eastAsia="仿宋"/>
          <w:sz w:val="32"/>
          <w:szCs w:val="32"/>
          <w:lang w:val="en-US" w:eastAsia="zh-CN"/>
        </w:rPr>
        <w:t>13.76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公办学校机构设置</w:t>
      </w:r>
      <w:r>
        <w:rPr>
          <w:rFonts w:hint="eastAsia" w:ascii="仿宋" w:hAnsi="仿宋" w:eastAsia="仿宋"/>
          <w:color w:val="000000"/>
          <w:sz w:val="32"/>
          <w:szCs w:val="32"/>
        </w:rPr>
        <w:t>调整，</w:t>
      </w:r>
      <w:r>
        <w:rPr>
          <w:rFonts w:hint="eastAsia" w:ascii="仿宋" w:hAnsi="仿宋" w:eastAsia="仿宋"/>
          <w:color w:val="000000"/>
          <w:sz w:val="32"/>
          <w:szCs w:val="32"/>
          <w:lang w:eastAsia="zh-CN"/>
        </w:rPr>
        <w:t>学校撤并，</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lang w:eastAsia="zh-CN"/>
        </w:rPr>
        <w:t>年度只</w:t>
      </w:r>
      <w:r>
        <w:rPr>
          <w:rFonts w:hint="eastAsia" w:ascii="仿宋" w:hAnsi="仿宋" w:eastAsia="仿宋"/>
          <w:color w:val="000000"/>
          <w:sz w:val="32"/>
          <w:szCs w:val="32"/>
        </w:rPr>
        <w:t>核算1-</w:t>
      </w:r>
      <w:r>
        <w:rPr>
          <w:rFonts w:hint="eastAsia" w:ascii="仿宋" w:hAnsi="仿宋" w:eastAsia="仿宋"/>
          <w:color w:val="000000"/>
          <w:sz w:val="32"/>
          <w:szCs w:val="32"/>
          <w:lang w:val="en-US" w:eastAsia="zh-CN"/>
        </w:rPr>
        <w:t>11</w:t>
      </w:r>
      <w:r>
        <w:rPr>
          <w:rFonts w:hint="eastAsia" w:ascii="仿宋" w:hAnsi="仿宋" w:eastAsia="仿宋"/>
          <w:color w:val="000000"/>
          <w:sz w:val="32"/>
          <w:szCs w:val="32"/>
        </w:rPr>
        <w:t>月；财政</w:t>
      </w:r>
      <w:r>
        <w:rPr>
          <w:rFonts w:ascii="仿宋" w:hAnsi="仿宋" w:eastAsia="仿宋"/>
          <w:color w:val="000000"/>
          <w:sz w:val="32"/>
          <w:szCs w:val="32"/>
        </w:rPr>
        <w:t>经费发生变化</w:t>
      </w:r>
      <w:r>
        <w:rPr>
          <w:rFonts w:hint="eastAsia" w:ascii="仿宋" w:hAnsi="仿宋" w:eastAsia="仿宋"/>
          <w:sz w:val="32"/>
          <w:szCs w:val="32"/>
        </w:rPr>
        <w:t>。支出总计</w:t>
      </w:r>
      <w:r>
        <w:rPr>
          <w:rFonts w:hint="eastAsia" w:ascii="仿宋" w:hAnsi="仿宋" w:eastAsia="仿宋"/>
          <w:sz w:val="32"/>
          <w:szCs w:val="32"/>
          <w:lang w:eastAsia="zh-CN"/>
        </w:rPr>
        <w:t>减少</w:t>
      </w:r>
      <w:r>
        <w:rPr>
          <w:rFonts w:hint="eastAsia" w:ascii="仿宋" w:hAnsi="仿宋" w:eastAsia="仿宋"/>
          <w:sz w:val="32"/>
          <w:szCs w:val="32"/>
          <w:lang w:val="en-US" w:eastAsia="zh-CN"/>
        </w:rPr>
        <w:t>65.10</w:t>
      </w:r>
      <w:r>
        <w:rPr>
          <w:rFonts w:hint="eastAsia" w:ascii="仿宋" w:hAnsi="仿宋" w:eastAsia="仿宋"/>
          <w:sz w:val="32"/>
          <w:szCs w:val="32"/>
        </w:rPr>
        <w:t>万元，</w:t>
      </w:r>
      <w:r>
        <w:rPr>
          <w:rFonts w:hint="eastAsia" w:ascii="仿宋" w:hAnsi="仿宋" w:eastAsia="仿宋"/>
          <w:sz w:val="32"/>
          <w:szCs w:val="32"/>
          <w:lang w:eastAsia="zh-CN"/>
        </w:rPr>
        <w:t>减幅</w:t>
      </w:r>
      <w:r>
        <w:rPr>
          <w:rFonts w:hint="eastAsia" w:ascii="仿宋" w:hAnsi="仿宋" w:eastAsia="仿宋"/>
          <w:sz w:val="32"/>
          <w:szCs w:val="32"/>
          <w:lang w:val="en-US" w:eastAsia="zh-CN"/>
        </w:rPr>
        <w:t>13.76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公办学校机构设置</w:t>
      </w:r>
      <w:r>
        <w:rPr>
          <w:rFonts w:hint="eastAsia" w:ascii="仿宋" w:hAnsi="仿宋" w:eastAsia="仿宋"/>
          <w:color w:val="000000"/>
          <w:sz w:val="32"/>
          <w:szCs w:val="32"/>
        </w:rPr>
        <w:t>调整，</w:t>
      </w:r>
      <w:r>
        <w:rPr>
          <w:rFonts w:hint="eastAsia" w:ascii="仿宋" w:hAnsi="仿宋" w:eastAsia="仿宋"/>
          <w:color w:val="000000"/>
          <w:sz w:val="32"/>
          <w:szCs w:val="32"/>
          <w:lang w:eastAsia="zh-CN"/>
        </w:rPr>
        <w:t>学校撤并，</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lang w:eastAsia="zh-CN"/>
        </w:rPr>
        <w:t>年度只</w:t>
      </w:r>
      <w:r>
        <w:rPr>
          <w:rFonts w:hint="eastAsia" w:ascii="仿宋" w:hAnsi="仿宋" w:eastAsia="仿宋"/>
          <w:color w:val="000000"/>
          <w:sz w:val="32"/>
          <w:szCs w:val="32"/>
        </w:rPr>
        <w:t>核算1-</w:t>
      </w:r>
      <w:r>
        <w:rPr>
          <w:rFonts w:hint="eastAsia" w:ascii="仿宋" w:hAnsi="仿宋" w:eastAsia="仿宋"/>
          <w:color w:val="000000"/>
          <w:sz w:val="32"/>
          <w:szCs w:val="32"/>
          <w:lang w:val="en-US" w:eastAsia="zh-CN"/>
        </w:rPr>
        <w:t>11</w:t>
      </w:r>
      <w:r>
        <w:rPr>
          <w:rFonts w:hint="eastAsia" w:ascii="仿宋" w:hAnsi="仿宋" w:eastAsia="仿宋"/>
          <w:color w:val="000000"/>
          <w:sz w:val="32"/>
          <w:szCs w:val="32"/>
        </w:rPr>
        <w:t>月；财政</w:t>
      </w:r>
      <w:r>
        <w:rPr>
          <w:rFonts w:ascii="仿宋" w:hAnsi="仿宋" w:eastAsia="仿宋"/>
          <w:color w:val="000000"/>
          <w:sz w:val="32"/>
          <w:szCs w:val="32"/>
        </w:rPr>
        <w:t>经费发生变化</w:t>
      </w:r>
      <w:r>
        <w:rPr>
          <w:rFonts w:hint="eastAsia" w:ascii="仿宋" w:hAnsi="仿宋" w:eastAsia="仿宋"/>
          <w:sz w:val="32"/>
          <w:szCs w:val="32"/>
        </w:rPr>
        <w:t>。</w:t>
      </w:r>
    </w:p>
    <w:p>
      <w:pPr>
        <w:pStyle w:val="23"/>
      </w:pPr>
      <w:r>
        <w:drawing>
          <wp:inline distT="0" distB="0" distL="0" distR="0">
            <wp:extent cx="5179060" cy="3092450"/>
            <wp:effectExtent l="4445" t="4445" r="17145" b="825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31"/>
        <w:numPr>
          <w:ilvl w:val="0"/>
          <w:numId w:val="0"/>
        </w:numPr>
        <w:spacing w:line="600" w:lineRule="exact"/>
        <w:outlineLvl w:val="1"/>
        <w:rPr>
          <w:rStyle w:val="33"/>
          <w:rFonts w:ascii="黑体" w:hAnsi="黑体" w:eastAsia="黑体"/>
          <w:b w:val="0"/>
        </w:rPr>
      </w:pPr>
      <w:bookmarkStart w:id="22" w:name="_Toc15377206"/>
      <w:bookmarkStart w:id="23" w:name="_Toc30310"/>
      <w:bookmarkStart w:id="24" w:name="_Toc15396604"/>
      <w:r>
        <w:rPr>
          <w:rFonts w:hint="eastAsia" w:ascii="黑体" w:hAnsi="黑体" w:eastAsia="黑体"/>
          <w:sz w:val="32"/>
          <w:szCs w:val="32"/>
          <w:lang w:eastAsia="zh-CN"/>
        </w:rPr>
        <w:t>二、</w:t>
      </w:r>
      <w:r>
        <w:rPr>
          <w:rFonts w:hint="eastAsia" w:ascii="黑体" w:hAnsi="黑体" w:eastAsia="黑体"/>
          <w:sz w:val="32"/>
          <w:szCs w:val="32"/>
        </w:rPr>
        <w:t>收</w:t>
      </w:r>
      <w:r>
        <w:rPr>
          <w:rStyle w:val="33"/>
          <w:rFonts w:hint="eastAsia" w:ascii="黑体" w:hAnsi="黑体" w:eastAsia="黑体"/>
          <w:b w:val="0"/>
        </w:rPr>
        <w:t>入决算情况说明</w:t>
      </w:r>
      <w:bookmarkEnd w:id="22"/>
      <w:bookmarkEnd w:id="23"/>
      <w:bookmarkEnd w:id="24"/>
    </w:p>
    <w:p>
      <w:pPr>
        <w:spacing w:line="600" w:lineRule="exact"/>
        <w:ind w:firstLine="640" w:firstLineChars="200"/>
        <w:outlineLvl w:val="2"/>
        <w:rPr>
          <w:rFonts w:ascii="仿宋" w:hAnsi="仿宋" w:eastAsia="仿宋"/>
          <w:b w:val="0"/>
          <w:bCs/>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年度本年收入合计</w:t>
      </w:r>
      <w:r>
        <w:rPr>
          <w:rFonts w:hint="eastAsia" w:ascii="仿宋" w:hAnsi="仿宋" w:eastAsia="仿宋"/>
          <w:b w:val="0"/>
          <w:bCs/>
          <w:sz w:val="32"/>
          <w:szCs w:val="32"/>
          <w:lang w:val="en-US" w:eastAsia="zh-CN"/>
        </w:rPr>
        <w:t>408.01</w:t>
      </w:r>
      <w:r>
        <w:rPr>
          <w:rFonts w:hint="eastAsia" w:ascii="仿宋" w:hAnsi="仿宋" w:eastAsia="仿宋"/>
          <w:b w:val="0"/>
          <w:bCs/>
          <w:sz w:val="32"/>
          <w:szCs w:val="32"/>
        </w:rPr>
        <w:t>万元，其中：一般公共预算财政拨款收入</w:t>
      </w:r>
      <w:r>
        <w:rPr>
          <w:rFonts w:hint="eastAsia" w:ascii="仿宋" w:hAnsi="仿宋" w:eastAsia="仿宋"/>
          <w:b w:val="0"/>
          <w:bCs/>
          <w:sz w:val="32"/>
          <w:szCs w:val="32"/>
          <w:lang w:val="en-US" w:eastAsia="zh-CN"/>
        </w:rPr>
        <w:t>406.36</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99.60</w:t>
      </w:r>
      <w:r>
        <w:rPr>
          <w:rFonts w:ascii="仿宋" w:hAnsi="仿宋" w:eastAsia="仿宋"/>
          <w:b w:val="0"/>
          <w:bCs/>
          <w:sz w:val="32"/>
          <w:szCs w:val="32"/>
        </w:rPr>
        <w:t>%</w:t>
      </w:r>
      <w:r>
        <w:rPr>
          <w:rFonts w:hint="eastAsia" w:ascii="仿宋" w:hAnsi="仿宋" w:eastAsia="仿宋"/>
          <w:b w:val="0"/>
          <w:bCs/>
          <w:sz w:val="32"/>
          <w:szCs w:val="32"/>
        </w:rPr>
        <w:t>；其他收入</w:t>
      </w:r>
      <w:r>
        <w:rPr>
          <w:rFonts w:hint="eastAsia" w:ascii="仿宋" w:hAnsi="仿宋" w:eastAsia="仿宋"/>
          <w:b w:val="0"/>
          <w:bCs/>
          <w:sz w:val="32"/>
          <w:szCs w:val="32"/>
          <w:lang w:val="en-US" w:eastAsia="zh-CN"/>
        </w:rPr>
        <w:t>1.65</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0.40</w:t>
      </w:r>
      <w:r>
        <w:rPr>
          <w:rFonts w:ascii="仿宋" w:hAnsi="仿宋" w:eastAsia="仿宋"/>
          <w:b w:val="0"/>
          <w:bCs/>
          <w:sz w:val="32"/>
          <w:szCs w:val="32"/>
        </w:rPr>
        <w:t>%</w:t>
      </w:r>
    </w:p>
    <w:p>
      <w:pPr>
        <w:spacing w:line="600" w:lineRule="exact"/>
        <w:ind w:firstLine="643" w:firstLineChars="200"/>
        <w:outlineLvl w:val="1"/>
        <w:rPr>
          <w:rFonts w:ascii="仿宋" w:hAnsi="仿宋" w:eastAsia="仿宋"/>
          <w:b/>
          <w:sz w:val="32"/>
          <w:szCs w:val="32"/>
        </w:rPr>
      </w:pPr>
    </w:p>
    <w:p>
      <w:pPr>
        <w:spacing w:line="600" w:lineRule="exact"/>
        <w:ind w:firstLine="1280" w:firstLineChars="400"/>
        <w:rPr>
          <w:rFonts w:ascii="仿宋" w:hAnsi="仿宋" w:eastAsia="仿宋"/>
          <w:sz w:val="32"/>
          <w:szCs w:val="32"/>
        </w:rPr>
      </w:pPr>
      <w:r>
        <w:rPr>
          <w:rFonts w:ascii="仿宋" w:hAnsi="仿宋" w:eastAsia="仿宋"/>
          <w:sz w:val="32"/>
          <w:szCs w:val="32"/>
        </w:rPr>
        <w:drawing>
          <wp:anchor distT="0" distB="0" distL="114300" distR="114300" simplePos="0" relativeHeight="251660288" behindDoc="0" locked="0" layoutInCell="1" allowOverlap="1">
            <wp:simplePos x="0" y="0"/>
            <wp:positionH relativeFrom="column">
              <wp:posOffset>100965</wp:posOffset>
            </wp:positionH>
            <wp:positionV relativeFrom="paragraph">
              <wp:posOffset>111760</wp:posOffset>
            </wp:positionV>
            <wp:extent cx="5027295" cy="3061970"/>
            <wp:effectExtent l="4445" t="4445" r="16510" b="1968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sz w:val="32"/>
          <w:szCs w:val="32"/>
        </w:rPr>
        <w:t>（图2：收入决算结构图）（饼状图）</w:t>
      </w:r>
    </w:p>
    <w:p>
      <w:pPr>
        <w:pStyle w:val="31"/>
        <w:numPr>
          <w:ilvl w:val="0"/>
          <w:numId w:val="0"/>
        </w:numPr>
        <w:spacing w:line="600" w:lineRule="exact"/>
        <w:outlineLvl w:val="1"/>
        <w:rPr>
          <w:rStyle w:val="33"/>
          <w:rFonts w:ascii="黑体" w:hAnsi="黑体" w:eastAsia="黑体"/>
          <w:b w:val="0"/>
        </w:rPr>
      </w:pPr>
      <w:bookmarkStart w:id="25" w:name="_Toc15377207"/>
      <w:bookmarkStart w:id="26" w:name="_Toc15396605"/>
      <w:bookmarkStart w:id="27" w:name="_Toc3662"/>
      <w:r>
        <w:rPr>
          <w:rFonts w:hint="eastAsia" w:ascii="黑体" w:hAnsi="黑体" w:eastAsia="黑体"/>
          <w:sz w:val="32"/>
          <w:szCs w:val="32"/>
          <w:lang w:eastAsia="zh-CN"/>
        </w:rPr>
        <w:t>三、</w:t>
      </w:r>
      <w:r>
        <w:rPr>
          <w:rFonts w:hint="eastAsia" w:ascii="黑体" w:hAnsi="黑体" w:eastAsia="黑体"/>
          <w:sz w:val="32"/>
          <w:szCs w:val="32"/>
        </w:rPr>
        <w:t>支</w:t>
      </w:r>
      <w:r>
        <w:rPr>
          <w:rStyle w:val="33"/>
          <w:rFonts w:hint="eastAsia" w:ascii="黑体" w:hAnsi="黑体" w:eastAsia="黑体"/>
          <w:b w:val="0"/>
        </w:rPr>
        <w:t>出决算情况说明</w:t>
      </w:r>
      <w:bookmarkEnd w:id="25"/>
      <w:bookmarkEnd w:id="26"/>
      <w:bookmarkEnd w:id="27"/>
    </w:p>
    <w:p>
      <w:pPr>
        <w:spacing w:line="600" w:lineRule="exact"/>
        <w:ind w:firstLine="640" w:firstLineChars="200"/>
        <w:outlineLvl w:val="2"/>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年度本年支出合计</w:t>
      </w:r>
      <w:r>
        <w:rPr>
          <w:rFonts w:hint="eastAsia" w:ascii="仿宋" w:hAnsi="仿宋" w:eastAsia="仿宋"/>
          <w:b w:val="0"/>
          <w:bCs/>
          <w:sz w:val="32"/>
          <w:szCs w:val="32"/>
          <w:lang w:val="en-US" w:eastAsia="zh-CN"/>
        </w:rPr>
        <w:t>408.01</w:t>
      </w:r>
      <w:r>
        <w:rPr>
          <w:rFonts w:hint="eastAsia" w:ascii="仿宋" w:hAnsi="仿宋" w:eastAsia="仿宋"/>
          <w:b w:val="0"/>
          <w:bCs/>
          <w:sz w:val="32"/>
          <w:szCs w:val="32"/>
        </w:rPr>
        <w:t>万元，其中：基本支出</w:t>
      </w:r>
      <w:r>
        <w:rPr>
          <w:rFonts w:hint="eastAsia" w:ascii="仿宋" w:hAnsi="仿宋" w:eastAsia="仿宋"/>
          <w:b w:val="0"/>
          <w:bCs/>
          <w:sz w:val="32"/>
          <w:szCs w:val="32"/>
          <w:lang w:val="en-US" w:eastAsia="zh-CN"/>
        </w:rPr>
        <w:t>375.87</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92.12</w:t>
      </w:r>
      <w:r>
        <w:rPr>
          <w:rFonts w:ascii="仿宋" w:hAnsi="仿宋" w:eastAsia="仿宋"/>
          <w:b w:val="0"/>
          <w:bCs/>
          <w:sz w:val="32"/>
          <w:szCs w:val="32"/>
        </w:rPr>
        <w:t>%</w:t>
      </w:r>
      <w:r>
        <w:rPr>
          <w:rFonts w:hint="eastAsia" w:ascii="仿宋" w:hAnsi="仿宋" w:eastAsia="仿宋"/>
          <w:b w:val="0"/>
          <w:bCs/>
          <w:sz w:val="32"/>
          <w:szCs w:val="32"/>
        </w:rPr>
        <w:t>；项目支出</w:t>
      </w:r>
      <w:r>
        <w:rPr>
          <w:rFonts w:hint="eastAsia" w:ascii="仿宋" w:hAnsi="仿宋" w:eastAsia="仿宋"/>
          <w:b w:val="0"/>
          <w:bCs/>
          <w:sz w:val="32"/>
          <w:szCs w:val="32"/>
          <w:lang w:val="en-US" w:eastAsia="zh-CN"/>
        </w:rPr>
        <w:t>32.14</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7.88</w:t>
      </w:r>
      <w:r>
        <w:rPr>
          <w:rFonts w:ascii="仿宋" w:hAnsi="仿宋" w:eastAsia="仿宋"/>
          <w:b w:val="0"/>
          <w:bCs/>
          <w:sz w:val="32"/>
          <w:szCs w:val="32"/>
        </w:rPr>
        <w:t>%</w:t>
      </w:r>
      <w:r>
        <w:rPr>
          <w:rFonts w:hint="eastAsia" w:ascii="仿宋" w:hAnsi="仿宋" w:eastAsia="仿宋"/>
          <w:b w:val="0"/>
          <w:bCs/>
          <w:sz w:val="32"/>
          <w:szCs w:val="32"/>
        </w:rPr>
        <w:t>。</w:t>
      </w:r>
    </w:p>
    <w:p>
      <w:pPr>
        <w:spacing w:line="600" w:lineRule="exact"/>
        <w:ind w:firstLine="640" w:firstLineChars="200"/>
        <w:outlineLvl w:val="2"/>
        <w:rPr>
          <w:rFonts w:ascii="仿宋" w:hAnsi="仿宋" w:eastAsia="仿宋"/>
          <w:sz w:val="32"/>
          <w:szCs w:val="32"/>
        </w:rPr>
      </w:pPr>
      <w:r>
        <w:rPr>
          <w:rFonts w:ascii="仿宋" w:hAnsi="仿宋" w:eastAsia="仿宋"/>
          <w:sz w:val="32"/>
          <w:szCs w:val="32"/>
          <w:shd w:val="pct10" w:color="auto" w:fill="FFFFFF"/>
        </w:rPr>
        <w:drawing>
          <wp:anchor distT="0" distB="0" distL="114300" distR="114300" simplePos="0" relativeHeight="251661312" behindDoc="0" locked="0" layoutInCell="1" allowOverlap="1">
            <wp:simplePos x="0" y="0"/>
            <wp:positionH relativeFrom="column">
              <wp:posOffset>80010</wp:posOffset>
            </wp:positionH>
            <wp:positionV relativeFrom="paragraph">
              <wp:posOffset>335280</wp:posOffset>
            </wp:positionV>
            <wp:extent cx="5060950" cy="2965450"/>
            <wp:effectExtent l="4445" t="4445" r="20955" b="2095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仿宋" w:hAnsi="仿宋" w:eastAsia="仿宋"/>
          <w:b/>
          <w:sz w:val="32"/>
          <w:szCs w:val="32"/>
        </w:rPr>
        <w:t xml:space="preserve">     </w:t>
      </w:r>
      <w:r>
        <w:rPr>
          <w:rFonts w:hint="eastAsia" w:ascii="仿宋" w:hAnsi="仿宋" w:eastAsia="仿宋"/>
          <w:sz w:val="32"/>
          <w:szCs w:val="32"/>
        </w:rPr>
        <w:t>（图3：支出决算结构图）（饼状图）</w:t>
      </w:r>
    </w:p>
    <w:p>
      <w:pPr>
        <w:spacing w:line="600" w:lineRule="exact"/>
        <w:outlineLvl w:val="1"/>
        <w:rPr>
          <w:rStyle w:val="33"/>
          <w:rFonts w:ascii="黑体" w:hAnsi="黑体" w:eastAsia="黑体"/>
          <w:b w:val="0"/>
        </w:rPr>
      </w:pPr>
      <w:bookmarkStart w:id="28" w:name="_Toc16013"/>
      <w:bookmarkStart w:id="29" w:name="_Toc15377208"/>
      <w:bookmarkStart w:id="30" w:name="_Toc15396606"/>
      <w:r>
        <w:rPr>
          <w:rFonts w:hint="eastAsia" w:ascii="黑体" w:hAnsi="黑体" w:eastAsia="黑体"/>
          <w:sz w:val="32"/>
          <w:szCs w:val="32"/>
        </w:rPr>
        <w:t>四、财</w:t>
      </w:r>
      <w:r>
        <w:rPr>
          <w:rStyle w:val="33"/>
          <w:rFonts w:hint="eastAsia" w:ascii="黑体" w:hAnsi="黑体" w:eastAsia="黑体"/>
          <w:b w:val="0"/>
        </w:rPr>
        <w:t>政拨款收入支出决算总体情况说明</w:t>
      </w:r>
      <w:bookmarkEnd w:id="28"/>
      <w:bookmarkEnd w:id="29"/>
      <w:bookmarkEnd w:id="3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年度财政拨款收、支总计均为</w:t>
      </w:r>
      <w:r>
        <w:rPr>
          <w:rFonts w:hint="eastAsia" w:ascii="仿宋" w:hAnsi="仿宋" w:eastAsia="仿宋"/>
          <w:b w:val="0"/>
          <w:bCs/>
          <w:sz w:val="32"/>
          <w:szCs w:val="32"/>
          <w:lang w:val="en-US" w:eastAsia="zh-CN"/>
        </w:rPr>
        <w:t>406.36</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年度相比，财政拨款收、支总计各</w:t>
      </w:r>
      <w:r>
        <w:rPr>
          <w:rFonts w:hint="eastAsia" w:ascii="仿宋" w:hAnsi="仿宋" w:eastAsia="仿宋"/>
          <w:sz w:val="32"/>
          <w:szCs w:val="32"/>
          <w:lang w:eastAsia="zh-CN"/>
        </w:rPr>
        <w:t>减少</w:t>
      </w:r>
      <w:r>
        <w:rPr>
          <w:rFonts w:hint="eastAsia" w:ascii="仿宋" w:hAnsi="仿宋" w:eastAsia="仿宋"/>
          <w:sz w:val="32"/>
          <w:szCs w:val="32"/>
          <w:lang w:val="en-US" w:eastAsia="zh-CN"/>
        </w:rPr>
        <w:t>66.75</w:t>
      </w:r>
      <w:r>
        <w:rPr>
          <w:rFonts w:hint="eastAsia" w:ascii="仿宋" w:hAnsi="仿宋" w:eastAsia="仿宋"/>
          <w:sz w:val="32"/>
          <w:szCs w:val="32"/>
        </w:rPr>
        <w:t>万元，</w:t>
      </w:r>
      <w:r>
        <w:rPr>
          <w:rFonts w:hint="eastAsia" w:ascii="仿宋" w:hAnsi="仿宋" w:eastAsia="仿宋"/>
          <w:sz w:val="32"/>
          <w:szCs w:val="32"/>
          <w:lang w:eastAsia="zh-CN"/>
        </w:rPr>
        <w:t>减幅</w:t>
      </w:r>
      <w:r>
        <w:rPr>
          <w:rFonts w:hint="eastAsia" w:ascii="仿宋" w:hAnsi="仿宋" w:eastAsia="仿宋"/>
          <w:sz w:val="32"/>
          <w:szCs w:val="32"/>
          <w:lang w:val="en-US" w:eastAsia="zh-CN"/>
        </w:rPr>
        <w:t>14.11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：公办学校机构设置</w:t>
      </w:r>
      <w:r>
        <w:rPr>
          <w:rFonts w:hint="eastAsia" w:ascii="仿宋" w:hAnsi="仿宋" w:eastAsia="仿宋"/>
          <w:color w:val="000000"/>
          <w:sz w:val="32"/>
          <w:szCs w:val="32"/>
        </w:rPr>
        <w:t>调整，</w:t>
      </w:r>
      <w:r>
        <w:rPr>
          <w:rFonts w:hint="eastAsia" w:ascii="仿宋" w:hAnsi="仿宋" w:eastAsia="仿宋"/>
          <w:color w:val="000000"/>
          <w:sz w:val="32"/>
          <w:szCs w:val="32"/>
          <w:lang w:eastAsia="zh-CN"/>
        </w:rPr>
        <w:t>学校撤并，</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lang w:eastAsia="zh-CN"/>
        </w:rPr>
        <w:t>年度只</w:t>
      </w:r>
      <w:r>
        <w:rPr>
          <w:rFonts w:hint="eastAsia" w:ascii="仿宋" w:hAnsi="仿宋" w:eastAsia="仿宋"/>
          <w:color w:val="000000"/>
          <w:sz w:val="32"/>
          <w:szCs w:val="32"/>
        </w:rPr>
        <w:t>核算1-</w:t>
      </w:r>
      <w:r>
        <w:rPr>
          <w:rFonts w:hint="eastAsia" w:ascii="仿宋" w:hAnsi="仿宋" w:eastAsia="仿宋"/>
          <w:color w:val="000000"/>
          <w:sz w:val="32"/>
          <w:szCs w:val="32"/>
          <w:lang w:val="en-US" w:eastAsia="zh-CN"/>
        </w:rPr>
        <w:t>11</w:t>
      </w:r>
      <w:r>
        <w:rPr>
          <w:rFonts w:hint="eastAsia" w:ascii="仿宋" w:hAnsi="仿宋" w:eastAsia="仿宋"/>
          <w:color w:val="000000"/>
          <w:sz w:val="32"/>
          <w:szCs w:val="32"/>
        </w:rPr>
        <w:t>月；财政</w:t>
      </w:r>
      <w:r>
        <w:rPr>
          <w:rFonts w:ascii="仿宋" w:hAnsi="仿宋" w:eastAsia="仿宋"/>
          <w:color w:val="000000"/>
          <w:sz w:val="32"/>
          <w:szCs w:val="32"/>
        </w:rPr>
        <w:t>经费发生变化</w:t>
      </w:r>
      <w:r>
        <w:rPr>
          <w:rFonts w:hint="eastAsia" w:ascii="仿宋" w:hAnsi="仿宋" w:eastAsia="仿宋"/>
          <w:sz w:val="32"/>
          <w:szCs w:val="32"/>
        </w:rPr>
        <w:t>。</w:t>
      </w:r>
    </w:p>
    <w:p>
      <w:pPr>
        <w:spacing w:line="600" w:lineRule="exact"/>
        <w:rPr>
          <w:rFonts w:ascii="仿宋" w:hAnsi="仿宋" w:eastAsia="仿宋"/>
          <w:sz w:val="32"/>
          <w:szCs w:val="32"/>
        </w:rPr>
      </w:pPr>
      <w:r>
        <w:rPr>
          <w:rFonts w:ascii="仿宋" w:hAnsi="仿宋" w:eastAsia="仿宋"/>
          <w:sz w:val="32"/>
          <w:szCs w:val="32"/>
        </w:rPr>
        <w:drawing>
          <wp:anchor distT="0" distB="0" distL="114300" distR="114300" simplePos="0" relativeHeight="251662336" behindDoc="0" locked="0" layoutInCell="1" allowOverlap="1">
            <wp:simplePos x="0" y="0"/>
            <wp:positionH relativeFrom="margin">
              <wp:posOffset>62230</wp:posOffset>
            </wp:positionH>
            <wp:positionV relativeFrom="paragraph">
              <wp:posOffset>95885</wp:posOffset>
            </wp:positionV>
            <wp:extent cx="5140325" cy="3027045"/>
            <wp:effectExtent l="4445" t="4445" r="17780" b="1651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sz w:val="32"/>
          <w:szCs w:val="32"/>
        </w:rPr>
        <w:t>（图4：财政拨款收、支决算总计变动情况）（柱状图）</w:t>
      </w:r>
    </w:p>
    <w:p>
      <w:pPr>
        <w:spacing w:line="600" w:lineRule="exact"/>
        <w:outlineLvl w:val="1"/>
        <w:rPr>
          <w:rStyle w:val="33"/>
          <w:rFonts w:ascii="黑体" w:hAnsi="黑体" w:eastAsia="黑体"/>
          <w:b w:val="0"/>
        </w:rPr>
      </w:pPr>
      <w:bookmarkStart w:id="31" w:name="_Toc29781"/>
      <w:bookmarkStart w:id="32" w:name="_Toc15396607"/>
      <w:bookmarkStart w:id="33" w:name="_Toc15377209"/>
      <w:r>
        <w:rPr>
          <w:rFonts w:hint="eastAsia" w:ascii="黑体" w:hAnsi="黑体" w:eastAsia="黑体"/>
          <w:sz w:val="32"/>
          <w:szCs w:val="32"/>
        </w:rPr>
        <w:t>五、</w:t>
      </w:r>
      <w:r>
        <w:rPr>
          <w:rFonts w:hint="eastAsia" w:ascii="黑体" w:hAnsi="黑体" w:eastAsia="黑体"/>
          <w:b/>
          <w:sz w:val="32"/>
          <w:szCs w:val="32"/>
        </w:rPr>
        <w:t>一</w:t>
      </w:r>
      <w:r>
        <w:rPr>
          <w:rStyle w:val="33"/>
          <w:rFonts w:hint="eastAsia" w:ascii="黑体" w:hAnsi="黑体" w:eastAsia="黑体"/>
          <w:b w:val="0"/>
        </w:rPr>
        <w:t>般公共预算财政拨款支出决算情况说明</w:t>
      </w:r>
      <w:bookmarkEnd w:id="31"/>
      <w:bookmarkEnd w:id="32"/>
      <w:bookmarkEnd w:id="33"/>
    </w:p>
    <w:p>
      <w:pPr>
        <w:spacing w:line="600" w:lineRule="exact"/>
        <w:ind w:firstLine="643"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val="0"/>
          <w:bCs/>
          <w:sz w:val="32"/>
          <w:szCs w:val="32"/>
          <w:lang w:val="en-US" w:eastAsia="zh-CN"/>
        </w:rPr>
        <w:t>406.36</w:t>
      </w:r>
      <w:r>
        <w:rPr>
          <w:rFonts w:hint="eastAsia" w:ascii="仿宋" w:hAnsi="仿宋" w:eastAsia="仿宋"/>
          <w:b w:val="0"/>
          <w:bCs/>
          <w:sz w:val="32"/>
          <w:szCs w:val="32"/>
        </w:rPr>
        <w:t>万元，占本年支出合计的</w:t>
      </w:r>
      <w:r>
        <w:rPr>
          <w:rFonts w:ascii="仿宋" w:hAnsi="仿宋" w:eastAsia="仿宋"/>
          <w:b w:val="0"/>
          <w:bCs/>
          <w:sz w:val="32"/>
          <w:szCs w:val="32"/>
        </w:rPr>
        <w:t>100%</w:t>
      </w:r>
      <w:r>
        <w:rPr>
          <w:rFonts w:hint="eastAsia" w:ascii="仿宋" w:hAnsi="仿宋" w:eastAsia="仿宋"/>
          <w:b w:val="0"/>
          <w:bCs/>
          <w:sz w:val="32"/>
          <w:szCs w:val="32"/>
        </w:rPr>
        <w:t>。与202</w:t>
      </w:r>
      <w:r>
        <w:rPr>
          <w:rFonts w:hint="eastAsia" w:ascii="仿宋" w:hAnsi="仿宋" w:eastAsia="仿宋"/>
          <w:b w:val="0"/>
          <w:bCs/>
          <w:sz w:val="32"/>
          <w:szCs w:val="32"/>
          <w:lang w:val="en-US" w:eastAsia="zh-CN"/>
        </w:rPr>
        <w:t>3</w:t>
      </w:r>
      <w:r>
        <w:rPr>
          <w:rFonts w:hint="eastAsia" w:ascii="仿宋" w:hAnsi="仿宋" w:eastAsia="仿宋"/>
          <w:b w:val="0"/>
          <w:bCs/>
          <w:sz w:val="32"/>
          <w:szCs w:val="32"/>
        </w:rPr>
        <w:t>年度相比，一般公共预算财政拨款支出</w:t>
      </w:r>
      <w:r>
        <w:rPr>
          <w:rFonts w:hint="eastAsia" w:ascii="仿宋" w:hAnsi="仿宋" w:eastAsia="仿宋"/>
          <w:b w:val="0"/>
          <w:bCs/>
          <w:sz w:val="32"/>
          <w:szCs w:val="32"/>
          <w:lang w:eastAsia="zh-CN"/>
        </w:rPr>
        <w:t>减少</w:t>
      </w:r>
      <w:r>
        <w:rPr>
          <w:rFonts w:hint="eastAsia" w:ascii="仿宋" w:hAnsi="仿宋" w:eastAsia="仿宋"/>
          <w:b w:val="0"/>
          <w:bCs/>
          <w:sz w:val="32"/>
          <w:szCs w:val="32"/>
          <w:lang w:val="en-US" w:eastAsia="zh-CN"/>
        </w:rPr>
        <w:t>66.75</w:t>
      </w:r>
      <w:r>
        <w:rPr>
          <w:rFonts w:hint="eastAsia" w:ascii="仿宋" w:hAnsi="仿宋" w:eastAsia="仿宋"/>
          <w:b w:val="0"/>
          <w:bCs/>
          <w:sz w:val="32"/>
          <w:szCs w:val="32"/>
        </w:rPr>
        <w:t>万元，</w:t>
      </w:r>
      <w:r>
        <w:rPr>
          <w:rFonts w:hint="eastAsia" w:ascii="仿宋" w:hAnsi="仿宋" w:eastAsia="仿宋"/>
          <w:b w:val="0"/>
          <w:bCs/>
          <w:sz w:val="32"/>
          <w:szCs w:val="32"/>
          <w:lang w:eastAsia="zh-CN"/>
        </w:rPr>
        <w:t>减幅</w:t>
      </w:r>
      <w:r>
        <w:rPr>
          <w:rFonts w:hint="eastAsia" w:ascii="仿宋" w:hAnsi="仿宋" w:eastAsia="仿宋"/>
          <w:b w:val="0"/>
          <w:bCs/>
          <w:sz w:val="32"/>
          <w:szCs w:val="32"/>
          <w:lang w:val="en-US" w:eastAsia="zh-CN"/>
        </w:rPr>
        <w:t>14.11</w:t>
      </w:r>
      <w:r>
        <w:rPr>
          <w:rFonts w:ascii="仿宋" w:hAnsi="仿宋" w:eastAsia="仿宋"/>
          <w:b w:val="0"/>
          <w:bCs/>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：公办学校机构设置</w:t>
      </w:r>
      <w:r>
        <w:rPr>
          <w:rFonts w:hint="eastAsia" w:ascii="仿宋" w:hAnsi="仿宋" w:eastAsia="仿宋"/>
          <w:color w:val="000000"/>
          <w:sz w:val="32"/>
          <w:szCs w:val="32"/>
        </w:rPr>
        <w:t>调整，</w:t>
      </w:r>
      <w:r>
        <w:rPr>
          <w:rFonts w:hint="eastAsia" w:ascii="仿宋" w:hAnsi="仿宋" w:eastAsia="仿宋"/>
          <w:color w:val="000000"/>
          <w:sz w:val="32"/>
          <w:szCs w:val="32"/>
          <w:lang w:eastAsia="zh-CN"/>
        </w:rPr>
        <w:t>学校撤并，</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lang w:eastAsia="zh-CN"/>
        </w:rPr>
        <w:t>年度只</w:t>
      </w:r>
      <w:r>
        <w:rPr>
          <w:rFonts w:hint="eastAsia" w:ascii="仿宋" w:hAnsi="仿宋" w:eastAsia="仿宋"/>
          <w:color w:val="000000"/>
          <w:sz w:val="32"/>
          <w:szCs w:val="32"/>
        </w:rPr>
        <w:t>核算1-</w:t>
      </w:r>
      <w:r>
        <w:rPr>
          <w:rFonts w:hint="eastAsia" w:ascii="仿宋" w:hAnsi="仿宋" w:eastAsia="仿宋"/>
          <w:color w:val="000000"/>
          <w:sz w:val="32"/>
          <w:szCs w:val="32"/>
          <w:lang w:val="en-US" w:eastAsia="zh-CN"/>
        </w:rPr>
        <w:t>11</w:t>
      </w:r>
      <w:r>
        <w:rPr>
          <w:rFonts w:hint="eastAsia" w:ascii="仿宋" w:hAnsi="仿宋" w:eastAsia="仿宋"/>
          <w:color w:val="000000"/>
          <w:sz w:val="32"/>
          <w:szCs w:val="32"/>
        </w:rPr>
        <w:t>月；财政</w:t>
      </w:r>
      <w:r>
        <w:rPr>
          <w:rFonts w:ascii="仿宋" w:hAnsi="仿宋" w:eastAsia="仿宋"/>
          <w:color w:val="000000"/>
          <w:sz w:val="32"/>
          <w:szCs w:val="32"/>
        </w:rPr>
        <w:t>经费发生变化</w:t>
      </w:r>
      <w:r>
        <w:rPr>
          <w:rFonts w:hint="eastAsia" w:ascii="仿宋" w:hAnsi="仿宋" w:eastAsia="仿宋"/>
          <w:sz w:val="32"/>
          <w:szCs w:val="32"/>
        </w:rPr>
        <w:t>。</w:t>
      </w:r>
    </w:p>
    <w:p>
      <w:pPr>
        <w:pStyle w:val="2"/>
      </w:pPr>
      <w:r>
        <w:rPr>
          <w:rFonts w:hint="eastAsia" w:ascii="仿宋" w:hAnsi="仿宋" w:eastAsia="仿宋"/>
          <w:sz w:val="32"/>
          <w:szCs w:val="32"/>
        </w:rPr>
        <w:drawing>
          <wp:anchor distT="0" distB="0" distL="114300" distR="114300" simplePos="0" relativeHeight="251663360" behindDoc="0" locked="0" layoutInCell="1" allowOverlap="1">
            <wp:simplePos x="0" y="0"/>
            <wp:positionH relativeFrom="column">
              <wp:posOffset>80645</wp:posOffset>
            </wp:positionH>
            <wp:positionV relativeFrom="paragraph">
              <wp:posOffset>488950</wp:posOffset>
            </wp:positionV>
            <wp:extent cx="5147945" cy="2966085"/>
            <wp:effectExtent l="4445" t="4445" r="10160" b="2032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rPr>
          <w:rFonts w:ascii="仿宋" w:hAnsi="仿宋" w:eastAsia="仿宋"/>
          <w:sz w:val="28"/>
          <w:szCs w:val="28"/>
        </w:rPr>
      </w:pPr>
      <w:r>
        <w:rPr>
          <w:rFonts w:hint="eastAsia" w:ascii="仿宋" w:hAnsi="仿宋" w:eastAsia="仿宋"/>
          <w:sz w:val="28"/>
          <w:szCs w:val="28"/>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spacing w:line="600" w:lineRule="exact"/>
        <w:ind w:firstLine="64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val="0"/>
          <w:bCs/>
          <w:sz w:val="32"/>
          <w:szCs w:val="32"/>
          <w:lang w:val="en-US" w:eastAsia="zh-CN"/>
        </w:rPr>
        <w:t>406.36</w:t>
      </w:r>
      <w:r>
        <w:rPr>
          <w:rFonts w:hint="eastAsia" w:ascii="仿宋" w:hAnsi="仿宋" w:eastAsia="仿宋"/>
          <w:b w:val="0"/>
          <w:bCs/>
          <w:sz w:val="32"/>
          <w:szCs w:val="32"/>
        </w:rPr>
        <w:t>万元，主要用于以下方面</w:t>
      </w:r>
      <w:r>
        <w:rPr>
          <w:rFonts w:ascii="仿宋" w:hAnsi="仿宋" w:eastAsia="仿宋"/>
          <w:b w:val="0"/>
          <w:bCs/>
          <w:sz w:val="32"/>
          <w:szCs w:val="32"/>
        </w:rPr>
        <w:t>:</w:t>
      </w:r>
      <w:r>
        <w:rPr>
          <w:rFonts w:hint="eastAsia" w:ascii="仿宋" w:hAnsi="仿宋" w:eastAsia="仿宋"/>
          <w:b w:val="0"/>
          <w:bCs/>
          <w:sz w:val="32"/>
          <w:szCs w:val="32"/>
        </w:rPr>
        <w:t>教育支出</w:t>
      </w:r>
      <w:r>
        <w:rPr>
          <w:rFonts w:hint="eastAsia" w:ascii="仿宋" w:hAnsi="仿宋" w:eastAsia="仿宋"/>
          <w:b w:val="0"/>
          <w:bCs/>
          <w:sz w:val="32"/>
          <w:szCs w:val="32"/>
          <w:lang w:val="en-US" w:eastAsia="zh-CN"/>
        </w:rPr>
        <w:t>309.85</w:t>
      </w:r>
      <w:r>
        <w:rPr>
          <w:rFonts w:hint="eastAsia" w:ascii="仿宋" w:hAnsi="仿宋" w:eastAsia="仿宋"/>
          <w:b w:val="0"/>
          <w:bCs/>
          <w:sz w:val="32"/>
          <w:szCs w:val="32"/>
        </w:rPr>
        <w:t>万元，占</w:t>
      </w:r>
      <w:r>
        <w:rPr>
          <w:rFonts w:ascii="仿宋" w:hAnsi="仿宋" w:eastAsia="仿宋"/>
          <w:b w:val="0"/>
          <w:bCs/>
          <w:sz w:val="32"/>
          <w:szCs w:val="32"/>
        </w:rPr>
        <w:t>7</w:t>
      </w:r>
      <w:r>
        <w:rPr>
          <w:rFonts w:hint="eastAsia" w:ascii="仿宋" w:hAnsi="仿宋" w:eastAsia="仿宋"/>
          <w:b w:val="0"/>
          <w:bCs/>
          <w:sz w:val="32"/>
          <w:szCs w:val="32"/>
          <w:lang w:val="en-US" w:eastAsia="zh-CN"/>
        </w:rPr>
        <w:t>6.25</w:t>
      </w:r>
      <w:r>
        <w:rPr>
          <w:rFonts w:ascii="仿宋" w:hAnsi="仿宋" w:eastAsia="仿宋"/>
          <w:b w:val="0"/>
          <w:bCs/>
          <w:sz w:val="32"/>
          <w:szCs w:val="32"/>
        </w:rPr>
        <w:t>%</w:t>
      </w:r>
      <w:r>
        <w:rPr>
          <w:rFonts w:hint="eastAsia" w:ascii="仿宋" w:hAnsi="仿宋" w:eastAsia="仿宋"/>
          <w:b w:val="0"/>
          <w:bCs/>
          <w:sz w:val="32"/>
          <w:szCs w:val="32"/>
        </w:rPr>
        <w:t>；社会保障和就业支出</w:t>
      </w:r>
      <w:r>
        <w:rPr>
          <w:rFonts w:hint="eastAsia" w:ascii="仿宋" w:hAnsi="仿宋" w:eastAsia="仿宋"/>
          <w:b w:val="0"/>
          <w:bCs/>
          <w:sz w:val="32"/>
          <w:szCs w:val="32"/>
          <w:lang w:val="en-US" w:eastAsia="zh-CN"/>
        </w:rPr>
        <w:t>55.28</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13.60</w:t>
      </w:r>
      <w:r>
        <w:rPr>
          <w:rFonts w:ascii="仿宋" w:hAnsi="仿宋" w:eastAsia="仿宋"/>
          <w:b w:val="0"/>
          <w:bCs/>
          <w:sz w:val="32"/>
          <w:szCs w:val="32"/>
        </w:rPr>
        <w:t>%</w:t>
      </w:r>
      <w:r>
        <w:rPr>
          <w:rFonts w:hint="eastAsia" w:ascii="仿宋" w:hAnsi="仿宋" w:eastAsia="仿宋"/>
          <w:b w:val="0"/>
          <w:bCs/>
          <w:sz w:val="32"/>
          <w:szCs w:val="32"/>
        </w:rPr>
        <w:t>；卫生健康支出</w:t>
      </w:r>
      <w:r>
        <w:rPr>
          <w:rFonts w:hint="eastAsia" w:ascii="仿宋" w:hAnsi="仿宋" w:eastAsia="仿宋"/>
          <w:b w:val="0"/>
          <w:bCs/>
          <w:sz w:val="32"/>
          <w:szCs w:val="32"/>
          <w:lang w:val="en-US" w:eastAsia="zh-CN"/>
        </w:rPr>
        <w:t>15.47</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3.81</w:t>
      </w:r>
      <w:r>
        <w:rPr>
          <w:rFonts w:ascii="仿宋" w:hAnsi="仿宋" w:eastAsia="仿宋"/>
          <w:b w:val="0"/>
          <w:bCs/>
          <w:sz w:val="32"/>
          <w:szCs w:val="32"/>
        </w:rPr>
        <w:t>%</w:t>
      </w:r>
      <w:r>
        <w:rPr>
          <w:rFonts w:hint="eastAsia" w:ascii="仿宋" w:hAnsi="仿宋" w:eastAsia="仿宋"/>
          <w:b w:val="0"/>
          <w:bCs/>
          <w:sz w:val="32"/>
          <w:szCs w:val="32"/>
        </w:rPr>
        <w:t>；住房保障支出</w:t>
      </w:r>
      <w:r>
        <w:rPr>
          <w:rFonts w:hint="eastAsia" w:ascii="仿宋" w:hAnsi="仿宋" w:eastAsia="仿宋"/>
          <w:b w:val="0"/>
          <w:bCs/>
          <w:sz w:val="32"/>
          <w:szCs w:val="32"/>
          <w:lang w:val="en-US" w:eastAsia="zh-CN"/>
        </w:rPr>
        <w:t>25.76</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6.3</w:t>
      </w:r>
      <w:r>
        <w:rPr>
          <w:rFonts w:hint="eastAsia" w:ascii="仿宋" w:hAnsi="仿宋" w:eastAsia="仿宋"/>
          <w:sz w:val="32"/>
          <w:szCs w:val="32"/>
          <w:lang w:val="en-US" w:eastAsia="zh-CN"/>
        </w:rPr>
        <w:t>4</w:t>
      </w:r>
      <w:r>
        <w:rPr>
          <w:rFonts w:ascii="仿宋" w:hAnsi="仿宋" w:eastAsia="仿宋"/>
          <w:sz w:val="32"/>
          <w:szCs w:val="32"/>
        </w:rPr>
        <w:t>%</w:t>
      </w:r>
      <w:r>
        <w:rPr>
          <w:rFonts w:hint="eastAsia" w:ascii="仿宋" w:hAnsi="仿宋" w:eastAsia="仿宋"/>
          <w:sz w:val="32"/>
          <w:szCs w:val="32"/>
        </w:rPr>
        <w:t>。</w:t>
      </w:r>
    </w:p>
    <w:p>
      <w:pPr>
        <w:pStyle w:val="2"/>
      </w:pPr>
      <w:r>
        <w:rPr>
          <w:rFonts w:ascii="仿宋" w:hAnsi="仿宋" w:eastAsia="仿宋"/>
          <w:b/>
          <w:sz w:val="32"/>
          <w:szCs w:val="32"/>
        </w:rPr>
        <w:drawing>
          <wp:anchor distT="0" distB="0" distL="114300" distR="114300" simplePos="0" relativeHeight="251664384" behindDoc="0" locked="0" layoutInCell="1" allowOverlap="1">
            <wp:simplePos x="0" y="0"/>
            <wp:positionH relativeFrom="margin">
              <wp:posOffset>26670</wp:posOffset>
            </wp:positionH>
            <wp:positionV relativeFrom="paragraph">
              <wp:posOffset>80645</wp:posOffset>
            </wp:positionV>
            <wp:extent cx="5170805" cy="2409190"/>
            <wp:effectExtent l="4445" t="4445" r="6350" b="571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spacing w:line="600" w:lineRule="exact"/>
        <w:ind w:firstLine="640" w:firstLineChars="200"/>
        <w:outlineLvl w:val="2"/>
        <w:rPr>
          <w:rFonts w:ascii="仿宋" w:hAnsi="仿宋" w:eastAsia="仿宋"/>
          <w:sz w:val="32"/>
          <w:szCs w:val="32"/>
        </w:rPr>
      </w:pPr>
      <w:bookmarkStart w:id="37" w:name="_Toc15378460"/>
      <w:bookmarkStart w:id="38" w:name="_Toc15377444"/>
      <w:bookmarkStart w:id="39" w:name="_Toc15377213"/>
      <w:r>
        <w:rPr>
          <w:rStyle w:val="19"/>
          <w:rFonts w:hint="eastAsia" w:ascii="仿宋" w:hAnsi="仿宋" w:eastAsia="仿宋"/>
          <w:b w:val="0"/>
          <w:sz w:val="32"/>
          <w:szCs w:val="32"/>
        </w:rPr>
        <w:t>202</w:t>
      </w:r>
      <w:r>
        <w:rPr>
          <w:rStyle w:val="19"/>
          <w:rFonts w:hint="eastAsia" w:ascii="仿宋" w:hAnsi="仿宋" w:eastAsia="仿宋"/>
          <w:b w:val="0"/>
          <w:sz w:val="32"/>
          <w:szCs w:val="32"/>
          <w:lang w:val="en-US" w:eastAsia="zh-CN"/>
        </w:rPr>
        <w:t>4</w:t>
      </w:r>
      <w:r>
        <w:rPr>
          <w:rStyle w:val="19"/>
          <w:rFonts w:hint="eastAsia" w:ascii="仿宋" w:hAnsi="仿宋" w:eastAsia="仿宋"/>
          <w:b w:val="0"/>
          <w:sz w:val="32"/>
          <w:szCs w:val="32"/>
        </w:rPr>
        <w:t>年度一般公共预算支出决算数为</w:t>
      </w:r>
      <w:r>
        <w:rPr>
          <w:rStyle w:val="19"/>
          <w:rFonts w:hint="eastAsia" w:ascii="仿宋" w:hAnsi="仿宋" w:eastAsia="仿宋"/>
          <w:b w:val="0"/>
          <w:sz w:val="32"/>
          <w:szCs w:val="32"/>
          <w:lang w:val="en-US" w:eastAsia="zh-CN"/>
        </w:rPr>
        <w:t>406.36万元</w:t>
      </w:r>
      <w:r>
        <w:rPr>
          <w:rStyle w:val="19"/>
          <w:rFonts w:hint="eastAsia" w:ascii="仿宋" w:hAnsi="仿宋" w:eastAsia="仿宋"/>
          <w:b w:val="0"/>
          <w:sz w:val="32"/>
          <w:szCs w:val="32"/>
        </w:rPr>
        <w:t>，完成预算100%。其中</w:t>
      </w:r>
      <w:r>
        <w:rPr>
          <w:rStyle w:val="19"/>
          <w:rFonts w:hint="eastAsia" w:ascii="仿宋" w:hAnsi="仿宋" w:eastAsia="仿宋"/>
          <w:bCs/>
          <w:sz w:val="32"/>
          <w:szCs w:val="32"/>
        </w:rPr>
        <w:t>：</w:t>
      </w:r>
      <w:bookmarkEnd w:id="37"/>
      <w:bookmarkEnd w:id="38"/>
      <w:bookmarkEnd w:id="39"/>
    </w:p>
    <w:p>
      <w:pPr>
        <w:numPr>
          <w:ilvl w:val="0"/>
          <w:numId w:val="0"/>
        </w:numPr>
        <w:spacing w:line="600" w:lineRule="exact"/>
        <w:ind w:firstLine="640" w:firstLineChars="200"/>
        <w:rPr>
          <w:rStyle w:val="19"/>
          <w:rFonts w:hint="eastAsia" w:ascii="仿宋" w:hAnsi="仿宋" w:eastAsia="仿宋"/>
          <w:b w:val="0"/>
          <w:bCs/>
          <w:sz w:val="32"/>
          <w:szCs w:val="32"/>
        </w:rPr>
      </w:pPr>
      <w:r>
        <w:rPr>
          <w:rStyle w:val="19"/>
          <w:rFonts w:hint="eastAsia" w:ascii="仿宋" w:hAnsi="仿宋" w:eastAsia="仿宋"/>
          <w:b w:val="0"/>
          <w:bCs w:val="0"/>
          <w:sz w:val="32"/>
          <w:szCs w:val="32"/>
          <w:lang w:val="en-US" w:eastAsia="zh-CN"/>
        </w:rPr>
        <w:t>1.</w:t>
      </w:r>
      <w:r>
        <w:rPr>
          <w:rStyle w:val="19"/>
          <w:rFonts w:hint="eastAsia" w:ascii="仿宋" w:hAnsi="仿宋" w:eastAsia="仿宋"/>
          <w:b w:val="0"/>
          <w:bCs w:val="0"/>
          <w:sz w:val="32"/>
          <w:szCs w:val="32"/>
        </w:rPr>
        <w:t>教育（205类）普通教育（02款）</w:t>
      </w:r>
      <w:r>
        <w:rPr>
          <w:rStyle w:val="19"/>
          <w:rFonts w:hint="eastAsia" w:ascii="仿宋" w:hAnsi="仿宋" w:eastAsia="仿宋"/>
          <w:b w:val="0"/>
          <w:bCs w:val="0"/>
          <w:sz w:val="32"/>
          <w:szCs w:val="32"/>
          <w:lang w:eastAsia="zh-CN"/>
        </w:rPr>
        <w:t>学前</w:t>
      </w:r>
      <w:r>
        <w:rPr>
          <w:rStyle w:val="19"/>
          <w:rFonts w:hint="eastAsia" w:ascii="仿宋" w:hAnsi="仿宋" w:eastAsia="仿宋"/>
          <w:b w:val="0"/>
          <w:bCs w:val="0"/>
          <w:sz w:val="32"/>
          <w:szCs w:val="32"/>
        </w:rPr>
        <w:t>教育（01项）</w:t>
      </w:r>
      <w:r>
        <w:rPr>
          <w:rStyle w:val="19"/>
          <w:rFonts w:ascii="仿宋" w:hAnsi="仿宋" w:eastAsia="仿宋"/>
          <w:b w:val="0"/>
          <w:bCs w:val="0"/>
          <w:sz w:val="32"/>
          <w:szCs w:val="32"/>
        </w:rPr>
        <w:t xml:space="preserve">: </w:t>
      </w:r>
      <w:r>
        <w:rPr>
          <w:rStyle w:val="19"/>
          <w:rFonts w:hint="eastAsia" w:ascii="仿宋" w:hAnsi="仿宋" w:eastAsia="仿宋"/>
          <w:b w:val="0"/>
          <w:bCs w:val="0"/>
          <w:sz w:val="32"/>
          <w:szCs w:val="32"/>
        </w:rPr>
        <w:t>支出决算为</w:t>
      </w:r>
      <w:r>
        <w:rPr>
          <w:rStyle w:val="19"/>
          <w:rFonts w:hint="eastAsia" w:ascii="仿宋" w:hAnsi="仿宋" w:eastAsia="仿宋"/>
          <w:b w:val="0"/>
          <w:bCs w:val="0"/>
          <w:sz w:val="32"/>
          <w:szCs w:val="32"/>
          <w:lang w:val="en-US" w:eastAsia="zh-CN"/>
        </w:rPr>
        <w:t>2.28</w:t>
      </w:r>
      <w:r>
        <w:rPr>
          <w:rStyle w:val="19"/>
          <w:rFonts w:hint="eastAsia" w:ascii="仿宋" w:hAnsi="仿宋" w:eastAsia="仿宋"/>
          <w:b w:val="0"/>
          <w:bCs w:val="0"/>
          <w:sz w:val="32"/>
          <w:szCs w:val="32"/>
        </w:rPr>
        <w:t>万元，完成预算100</w:t>
      </w:r>
      <w:r>
        <w:rPr>
          <w:rStyle w:val="19"/>
          <w:rFonts w:ascii="仿宋" w:hAnsi="仿宋" w:eastAsia="仿宋"/>
          <w:b w:val="0"/>
          <w:bCs w:val="0"/>
          <w:sz w:val="32"/>
          <w:szCs w:val="32"/>
        </w:rPr>
        <w:t>%</w:t>
      </w:r>
      <w:r>
        <w:rPr>
          <w:rStyle w:val="19"/>
          <w:rFonts w:hint="eastAsia" w:ascii="仿宋" w:hAnsi="仿宋" w:eastAsia="仿宋"/>
          <w:b w:val="0"/>
          <w:bCs w:val="0"/>
          <w:sz w:val="32"/>
          <w:szCs w:val="32"/>
        </w:rPr>
        <w:t>；教育（205类）普通教育（02款）</w:t>
      </w:r>
      <w:r>
        <w:rPr>
          <w:rStyle w:val="19"/>
          <w:rFonts w:hint="eastAsia" w:ascii="仿宋" w:hAnsi="仿宋" w:eastAsia="仿宋"/>
          <w:b w:val="0"/>
          <w:bCs w:val="0"/>
          <w:sz w:val="32"/>
          <w:szCs w:val="32"/>
          <w:lang w:eastAsia="zh-CN"/>
        </w:rPr>
        <w:t>小学</w:t>
      </w:r>
      <w:r>
        <w:rPr>
          <w:rStyle w:val="19"/>
          <w:rFonts w:hint="eastAsia" w:ascii="仿宋" w:hAnsi="仿宋" w:eastAsia="仿宋"/>
          <w:b w:val="0"/>
          <w:bCs w:val="0"/>
          <w:sz w:val="32"/>
          <w:szCs w:val="32"/>
        </w:rPr>
        <w:t>教育（02项）</w:t>
      </w:r>
      <w:r>
        <w:rPr>
          <w:rStyle w:val="19"/>
          <w:rFonts w:ascii="仿宋" w:hAnsi="仿宋" w:eastAsia="仿宋"/>
          <w:b w:val="0"/>
          <w:bCs w:val="0"/>
          <w:sz w:val="32"/>
          <w:szCs w:val="32"/>
        </w:rPr>
        <w:t xml:space="preserve">: </w:t>
      </w:r>
      <w:r>
        <w:rPr>
          <w:rStyle w:val="19"/>
          <w:rFonts w:hint="eastAsia" w:ascii="仿宋" w:hAnsi="仿宋" w:eastAsia="仿宋"/>
          <w:b w:val="0"/>
          <w:bCs w:val="0"/>
          <w:sz w:val="32"/>
          <w:szCs w:val="32"/>
        </w:rPr>
        <w:t>支出决算为</w:t>
      </w:r>
      <w:r>
        <w:rPr>
          <w:rFonts w:hint="eastAsia" w:ascii="仿宋" w:hAnsi="仿宋" w:eastAsia="仿宋"/>
          <w:b w:val="0"/>
          <w:bCs w:val="0"/>
          <w:sz w:val="32"/>
          <w:szCs w:val="32"/>
          <w:lang w:val="en-US" w:eastAsia="zh-CN"/>
        </w:rPr>
        <w:t>293.44</w:t>
      </w:r>
      <w:r>
        <w:rPr>
          <w:rStyle w:val="19"/>
          <w:rFonts w:hint="eastAsia" w:ascii="仿宋" w:hAnsi="仿宋" w:eastAsia="仿宋"/>
          <w:b w:val="0"/>
          <w:bCs w:val="0"/>
          <w:sz w:val="32"/>
          <w:szCs w:val="32"/>
        </w:rPr>
        <w:t>万元，完成预算100</w:t>
      </w:r>
      <w:r>
        <w:rPr>
          <w:rStyle w:val="19"/>
          <w:rFonts w:ascii="仿宋" w:hAnsi="仿宋" w:eastAsia="仿宋"/>
          <w:b w:val="0"/>
          <w:bCs w:val="0"/>
          <w:sz w:val="32"/>
          <w:szCs w:val="32"/>
        </w:rPr>
        <w:t>%</w:t>
      </w:r>
      <w:r>
        <w:rPr>
          <w:rStyle w:val="19"/>
          <w:rFonts w:hint="eastAsia" w:ascii="仿宋" w:hAnsi="仿宋" w:eastAsia="仿宋"/>
          <w:b w:val="0"/>
          <w:bCs w:val="0"/>
          <w:sz w:val="32"/>
          <w:szCs w:val="32"/>
        </w:rPr>
        <w:t>；教育（205类）教育费附加安排的支出（0</w:t>
      </w:r>
      <w:r>
        <w:rPr>
          <w:rStyle w:val="19"/>
          <w:rFonts w:hint="eastAsia" w:ascii="仿宋" w:hAnsi="仿宋" w:eastAsia="仿宋"/>
          <w:b w:val="0"/>
          <w:bCs w:val="0"/>
          <w:sz w:val="32"/>
          <w:szCs w:val="32"/>
          <w:lang w:val="en-US" w:eastAsia="zh-CN"/>
        </w:rPr>
        <w:t>9</w:t>
      </w:r>
      <w:r>
        <w:rPr>
          <w:rStyle w:val="19"/>
          <w:rFonts w:hint="eastAsia" w:ascii="仿宋" w:hAnsi="仿宋" w:eastAsia="仿宋"/>
          <w:b w:val="0"/>
          <w:bCs w:val="0"/>
          <w:sz w:val="32"/>
          <w:szCs w:val="32"/>
        </w:rPr>
        <w:t>款）其他教育费附加安排的支出（99项）</w:t>
      </w:r>
      <w:r>
        <w:rPr>
          <w:rStyle w:val="19"/>
          <w:rFonts w:ascii="仿宋" w:hAnsi="仿宋" w:eastAsia="仿宋"/>
          <w:b w:val="0"/>
          <w:bCs w:val="0"/>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14.13</w:t>
      </w:r>
      <w:r>
        <w:rPr>
          <w:rStyle w:val="19"/>
          <w:rFonts w:hint="eastAsia" w:ascii="仿宋" w:hAnsi="仿宋" w:eastAsia="仿宋"/>
          <w:b w:val="0"/>
          <w:bCs/>
          <w:sz w:val="32"/>
          <w:szCs w:val="32"/>
        </w:rPr>
        <w:t>万元</w:t>
      </w:r>
    </w:p>
    <w:p>
      <w:pPr>
        <w:numPr>
          <w:ilvl w:val="0"/>
          <w:numId w:val="0"/>
        </w:numPr>
        <w:spacing w:line="600" w:lineRule="exact"/>
        <w:ind w:firstLine="640" w:firstLineChars="200"/>
        <w:rPr>
          <w:rFonts w:ascii="仿宋" w:hAnsi="仿宋" w:eastAsia="仿宋"/>
          <w:sz w:val="32"/>
          <w:szCs w:val="32"/>
        </w:rPr>
      </w:pPr>
      <w:r>
        <w:rPr>
          <w:rStyle w:val="19"/>
          <w:rFonts w:hint="eastAsia" w:ascii="仿宋" w:hAnsi="仿宋" w:eastAsia="仿宋"/>
          <w:b w:val="0"/>
          <w:bCs/>
          <w:sz w:val="32"/>
          <w:szCs w:val="32"/>
        </w:rPr>
        <w:t>2</w:t>
      </w:r>
      <w:r>
        <w:rPr>
          <w:rStyle w:val="19"/>
          <w:rFonts w:ascii="仿宋" w:hAnsi="仿宋" w:eastAsia="仿宋"/>
          <w:b w:val="0"/>
          <w:bCs/>
          <w:sz w:val="32"/>
          <w:szCs w:val="32"/>
        </w:rPr>
        <w:t>.</w:t>
      </w:r>
      <w:r>
        <w:rPr>
          <w:rStyle w:val="19"/>
          <w:rFonts w:hint="eastAsia" w:ascii="仿宋" w:hAnsi="仿宋" w:eastAsia="仿宋"/>
          <w:b w:val="0"/>
          <w:sz w:val="32"/>
          <w:szCs w:val="32"/>
        </w:rPr>
        <w:t>社会保障和就业（208类）行政事业单位养老支出（05款）机关事业单位</w:t>
      </w:r>
      <w:r>
        <w:rPr>
          <w:rStyle w:val="19"/>
          <w:rFonts w:hint="eastAsia" w:ascii="仿宋" w:hAnsi="仿宋" w:eastAsia="仿宋"/>
          <w:b w:val="0"/>
          <w:sz w:val="32"/>
          <w:szCs w:val="32"/>
          <w:lang w:eastAsia="zh-CN"/>
        </w:rPr>
        <w:t>离退休</w:t>
      </w:r>
      <w:r>
        <w:rPr>
          <w:rStyle w:val="19"/>
          <w:rFonts w:hint="eastAsia" w:ascii="仿宋" w:hAnsi="仿宋" w:eastAsia="仿宋"/>
          <w:b w:val="0"/>
          <w:sz w:val="32"/>
          <w:szCs w:val="32"/>
        </w:rPr>
        <w:t>支出（0</w:t>
      </w:r>
      <w:r>
        <w:rPr>
          <w:rStyle w:val="19"/>
          <w:rFonts w:hint="eastAsia" w:ascii="仿宋" w:hAnsi="仿宋" w:eastAsia="仿宋"/>
          <w:b w:val="0"/>
          <w:sz w:val="32"/>
          <w:szCs w:val="32"/>
          <w:lang w:val="en-US" w:eastAsia="zh-CN"/>
        </w:rPr>
        <w:t>2</w:t>
      </w:r>
      <w:r>
        <w:rPr>
          <w:rStyle w:val="19"/>
          <w:rFonts w:hint="eastAsia" w:ascii="仿宋" w:hAnsi="仿宋" w:eastAsia="仿宋"/>
          <w:b w:val="0"/>
          <w:sz w:val="32"/>
          <w:szCs w:val="32"/>
        </w:rPr>
        <w:t>项）</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10.90</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Style w:val="19"/>
          <w:rFonts w:hint="eastAsia" w:ascii="仿宋" w:hAnsi="仿宋" w:eastAsia="仿宋"/>
          <w:b w:val="0"/>
          <w:sz w:val="32"/>
          <w:szCs w:val="32"/>
        </w:rPr>
        <w:t>社会保障和就业（208类）行政事业单位养老支出（05款）机关事业单位基本养老保险缴费支出（05项）</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34.89</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Style w:val="19"/>
          <w:rFonts w:hint="eastAsia" w:ascii="仿宋" w:hAnsi="仿宋" w:eastAsia="仿宋"/>
          <w:b w:val="0"/>
          <w:sz w:val="32"/>
          <w:szCs w:val="32"/>
        </w:rPr>
        <w:t>社会保障和就业（208类）行政事业单位养老支出（05款）其他行政事业单位养老支出（99项）</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5.91</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0" w:firstLineChars="200"/>
        <w:rPr>
          <w:rStyle w:val="19"/>
          <w:rFonts w:ascii="仿宋" w:hAnsi="仿宋" w:eastAsia="仿宋"/>
          <w:b w:val="0"/>
          <w:bCs/>
          <w:sz w:val="32"/>
          <w:szCs w:val="32"/>
        </w:rPr>
      </w:pPr>
      <w:r>
        <w:rPr>
          <w:rStyle w:val="19"/>
          <w:rFonts w:hint="eastAsia" w:ascii="仿宋" w:hAnsi="仿宋" w:eastAsia="仿宋"/>
          <w:b w:val="0"/>
          <w:bCs/>
          <w:sz w:val="32"/>
          <w:szCs w:val="32"/>
        </w:rPr>
        <w:t>3</w:t>
      </w:r>
      <w:r>
        <w:rPr>
          <w:rStyle w:val="19"/>
          <w:rFonts w:ascii="仿宋" w:hAnsi="仿宋" w:eastAsia="仿宋"/>
          <w:b w:val="0"/>
          <w:bCs/>
          <w:sz w:val="32"/>
          <w:szCs w:val="32"/>
        </w:rPr>
        <w:t>.</w:t>
      </w:r>
      <w:r>
        <w:rPr>
          <w:rFonts w:hint="eastAsia" w:ascii="仿宋" w:hAnsi="仿宋" w:eastAsia="仿宋"/>
          <w:b w:val="0"/>
          <w:bCs/>
          <w:sz w:val="32"/>
          <w:szCs w:val="32"/>
        </w:rPr>
        <w:t>卫生健康</w:t>
      </w:r>
      <w:r>
        <w:rPr>
          <w:rStyle w:val="19"/>
          <w:rFonts w:hint="eastAsia" w:ascii="仿宋" w:hAnsi="仿宋" w:eastAsia="仿宋"/>
          <w:b w:val="0"/>
          <w:bCs/>
          <w:sz w:val="32"/>
          <w:szCs w:val="32"/>
        </w:rPr>
        <w:t>（210类）行政事业单位医疗（11款）事业单位医疗（02项）</w:t>
      </w:r>
      <w:r>
        <w:rPr>
          <w:rStyle w:val="19"/>
          <w:rFonts w:ascii="仿宋" w:hAnsi="仿宋" w:eastAsia="仿宋"/>
          <w:b w:val="0"/>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15.47</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0" w:firstLineChars="200"/>
        <w:rPr>
          <w:rFonts w:ascii="仿宋" w:hAnsi="仿宋" w:eastAsia="仿宋"/>
          <w:b w:val="0"/>
          <w:bCs/>
          <w:sz w:val="32"/>
          <w:szCs w:val="32"/>
        </w:rPr>
      </w:pPr>
      <w:r>
        <w:rPr>
          <w:rStyle w:val="19"/>
          <w:rFonts w:hint="eastAsia" w:ascii="仿宋" w:hAnsi="仿宋" w:eastAsia="仿宋"/>
          <w:b w:val="0"/>
          <w:bCs/>
          <w:sz w:val="32"/>
          <w:szCs w:val="32"/>
        </w:rPr>
        <w:t>4.</w:t>
      </w:r>
      <w:r>
        <w:rPr>
          <w:rFonts w:hint="eastAsia" w:ascii="仿宋" w:hAnsi="仿宋" w:eastAsia="仿宋"/>
          <w:b w:val="0"/>
          <w:bCs/>
          <w:sz w:val="32"/>
          <w:szCs w:val="32"/>
        </w:rPr>
        <w:t>住房保障支出</w:t>
      </w:r>
      <w:r>
        <w:rPr>
          <w:rStyle w:val="19"/>
          <w:rFonts w:hint="eastAsia" w:ascii="仿宋" w:hAnsi="仿宋" w:eastAsia="仿宋"/>
          <w:b w:val="0"/>
          <w:bCs/>
          <w:sz w:val="32"/>
          <w:szCs w:val="32"/>
        </w:rPr>
        <w:t>（221类）住房改革支出（02款）住房公积金（01项）</w:t>
      </w:r>
      <w:r>
        <w:rPr>
          <w:rStyle w:val="19"/>
          <w:rFonts w:ascii="仿宋" w:hAnsi="仿宋" w:eastAsia="仿宋"/>
          <w:b w:val="0"/>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25.76</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tabs>
          <w:tab w:val="right" w:pos="8306"/>
        </w:tabs>
        <w:spacing w:line="600" w:lineRule="exact"/>
        <w:outlineLvl w:val="1"/>
        <w:rPr>
          <w:rStyle w:val="33"/>
        </w:rPr>
      </w:pPr>
      <w:bookmarkStart w:id="40" w:name="_Toc15377214"/>
      <w:bookmarkStart w:id="41" w:name="_Toc15396608"/>
      <w:bookmarkStart w:id="42" w:name="_Toc13341"/>
      <w:r>
        <w:rPr>
          <w:rFonts w:hint="eastAsia" w:ascii="黑体" w:hAnsi="黑体" w:eastAsia="黑体"/>
          <w:sz w:val="32"/>
          <w:szCs w:val="32"/>
        </w:rPr>
        <w:t>六、一般公共预算财政拨款基本支出决算情况说明</w:t>
      </w:r>
      <w:bookmarkEnd w:id="40"/>
      <w:bookmarkEnd w:id="41"/>
      <w:bookmarkEnd w:id="42"/>
      <w:r>
        <w:rPr>
          <w:rStyle w:val="33"/>
          <w:rFonts w:ascii="黑体" w:hAnsi="黑体" w:eastAsia="黑体"/>
          <w:b w:val="0"/>
        </w:rPr>
        <w:tab/>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b w:val="0"/>
          <w:bCs/>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年度一般公共预算财政拨款基本支出</w:t>
      </w:r>
      <w:r>
        <w:rPr>
          <w:rFonts w:hint="eastAsia" w:ascii="仿宋" w:hAnsi="仿宋" w:eastAsia="仿宋"/>
          <w:b w:val="0"/>
          <w:bCs/>
          <w:sz w:val="32"/>
          <w:szCs w:val="32"/>
          <w:lang w:val="en-US" w:eastAsia="zh-CN"/>
        </w:rPr>
        <w:t>375.87</w:t>
      </w:r>
      <w:r>
        <w:rPr>
          <w:rFonts w:hint="eastAsia" w:ascii="仿宋" w:hAnsi="仿宋" w:eastAsia="仿宋"/>
          <w:b w:val="0"/>
          <w:bCs/>
          <w:sz w:val="32"/>
          <w:szCs w:val="32"/>
        </w:rPr>
        <w:t>万元，其中：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 w:val="0"/>
          <w:bCs/>
          <w:sz w:val="32"/>
          <w:szCs w:val="32"/>
        </w:rPr>
        <w:t>人员经费</w:t>
      </w:r>
      <w:r>
        <w:rPr>
          <w:rFonts w:hint="eastAsia" w:ascii="仿宋" w:hAnsi="仿宋" w:eastAsia="仿宋"/>
          <w:b w:val="0"/>
          <w:bCs/>
          <w:sz w:val="32"/>
          <w:szCs w:val="32"/>
          <w:lang w:val="en-US" w:eastAsia="zh-CN"/>
        </w:rPr>
        <w:t>366.16</w:t>
      </w:r>
      <w:r>
        <w:rPr>
          <w:rFonts w:hint="eastAsia" w:ascii="仿宋" w:hAnsi="仿宋" w:eastAsia="仿宋"/>
          <w:b w:val="0"/>
          <w:bCs/>
          <w:sz w:val="32"/>
          <w:szCs w:val="32"/>
        </w:rPr>
        <w:t>万元，主要包括：基本</w:t>
      </w:r>
      <w:r>
        <w:rPr>
          <w:rFonts w:hint="eastAsia" w:ascii="仿宋" w:hAnsi="仿宋" w:eastAsia="仿宋"/>
          <w:sz w:val="32"/>
          <w:szCs w:val="32"/>
        </w:rPr>
        <w:t>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b w:val="0"/>
          <w:bCs/>
          <w:sz w:val="32"/>
          <w:szCs w:val="32"/>
          <w:lang w:val="en-US" w:eastAsia="zh-CN"/>
        </w:rPr>
        <w:t>9.71</w:t>
      </w:r>
      <w:r>
        <w:rPr>
          <w:rFonts w:hint="eastAsia" w:ascii="仿宋" w:hAnsi="仿宋" w:eastAsia="仿宋"/>
          <w:b w:val="0"/>
          <w:bCs/>
          <w:sz w:val="32"/>
          <w:szCs w:val="32"/>
        </w:rPr>
        <w:t>万</w:t>
      </w:r>
      <w:r>
        <w:rPr>
          <w:rFonts w:hint="eastAsia" w:ascii="仿宋" w:hAnsi="仿宋" w:eastAsia="仿宋"/>
          <w:sz w:val="32"/>
          <w:szCs w:val="32"/>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outlineLvl w:val="1"/>
        <w:rPr>
          <w:rFonts w:hint="eastAsia" w:ascii="黑体" w:hAnsi="黑体" w:eastAsia="黑体"/>
          <w:sz w:val="32"/>
          <w:szCs w:val="32"/>
        </w:rPr>
      </w:pPr>
      <w:bookmarkStart w:id="43" w:name="_Toc29526"/>
      <w:bookmarkStart w:id="44" w:name="_Toc15396609"/>
      <w:bookmarkStart w:id="45" w:name="_Toc15377215"/>
      <w:r>
        <w:rPr>
          <w:rFonts w:hint="eastAsia" w:ascii="黑体" w:hAnsi="黑体" w:eastAsia="黑体"/>
          <w:sz w:val="32"/>
          <w:szCs w:val="32"/>
        </w:rPr>
        <w:t>七、财政拨款“三公”经费支出决算情况说明</w:t>
      </w:r>
      <w:bookmarkEnd w:id="43"/>
      <w:bookmarkEnd w:id="44"/>
      <w:bookmarkEnd w:id="45"/>
    </w:p>
    <w:p>
      <w:pPr>
        <w:spacing w:line="600" w:lineRule="exact"/>
        <w:ind w:firstLine="640"/>
        <w:outlineLvl w:val="2"/>
        <w:rPr>
          <w:rFonts w:ascii="仿宋" w:hAnsi="仿宋" w:eastAsia="仿宋"/>
          <w:b w:val="0"/>
          <w:bCs/>
          <w:sz w:val="32"/>
          <w:szCs w:val="32"/>
        </w:rPr>
      </w:pPr>
      <w:bookmarkStart w:id="46" w:name="_Toc15377216"/>
      <w:r>
        <w:rPr>
          <w:rFonts w:hint="eastAsia" w:ascii="仿宋" w:hAnsi="仿宋" w:eastAsia="仿宋"/>
          <w:b w:val="0"/>
          <w:bCs/>
          <w:sz w:val="32"/>
          <w:szCs w:val="32"/>
        </w:rPr>
        <w:t>（一）“三公”经费财政拨款支出决算总体情况说明</w:t>
      </w:r>
      <w:bookmarkEnd w:id="46"/>
    </w:p>
    <w:p>
      <w:pPr>
        <w:spacing w:line="600" w:lineRule="exact"/>
        <w:ind w:firstLine="640"/>
        <w:outlineLvl w:val="2"/>
        <w:rPr>
          <w:rFonts w:ascii="仿宋" w:hAnsi="仿宋" w:eastAsia="仿宋"/>
          <w:sz w:val="32"/>
          <w:szCs w:val="32"/>
        </w:rPr>
      </w:pPr>
      <w:bookmarkStart w:id="47" w:name="_Toc15377217"/>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年度“三公”经费财政拨款支出决算为</w:t>
      </w:r>
      <w:r>
        <w:rPr>
          <w:sz w:val="32"/>
          <w:szCs w:val="32"/>
        </w:rPr>
        <w:t>0</w:t>
      </w:r>
      <w:r>
        <w:rPr>
          <w:rFonts w:hint="eastAsia" w:ascii="仿宋" w:hAnsi="仿宋" w:eastAsia="仿宋"/>
          <w:sz w:val="32"/>
          <w:szCs w:val="32"/>
        </w:rPr>
        <w:t>万元，完成预算1</w:t>
      </w:r>
      <w:r>
        <w:rPr>
          <w:rFonts w:ascii="仿宋" w:hAnsi="仿宋" w:eastAsia="仿宋"/>
          <w:sz w:val="32"/>
          <w:szCs w:val="32"/>
        </w:rPr>
        <w:t>0</w:t>
      </w:r>
      <w:r>
        <w:rPr>
          <w:sz w:val="32"/>
          <w:szCs w:val="32"/>
        </w:rPr>
        <w:t>0</w:t>
      </w:r>
      <w:r>
        <w:rPr>
          <w:rFonts w:hint="eastAsia" w:ascii="仿宋" w:hAnsi="仿宋" w:eastAsia="仿宋"/>
          <w:sz w:val="32"/>
          <w:szCs w:val="32"/>
        </w:rPr>
        <w:t>%，与上年度持平,决算数与预算数持平。</w:t>
      </w:r>
    </w:p>
    <w:p>
      <w:pPr>
        <w:spacing w:line="600" w:lineRule="exact"/>
        <w:ind w:firstLine="640"/>
        <w:outlineLvl w:val="2"/>
        <w:rPr>
          <w:rFonts w:ascii="仿宋" w:hAnsi="仿宋" w:eastAsia="仿宋"/>
          <w:b w:val="0"/>
          <w:bCs/>
          <w:sz w:val="32"/>
          <w:szCs w:val="32"/>
        </w:rPr>
      </w:pPr>
      <w:r>
        <w:rPr>
          <w:rFonts w:hint="eastAsia" w:ascii="仿宋" w:hAnsi="仿宋" w:eastAsia="仿宋"/>
          <w:b w:val="0"/>
          <w:bCs/>
          <w:sz w:val="32"/>
          <w:szCs w:val="32"/>
        </w:rPr>
        <w:t>（二）“三公”经费财政拨款支出决算具体情况说明</w:t>
      </w:r>
      <w:bookmarkEnd w:id="47"/>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_GB2312" w:eastAsia="仿宋_GB2312"/>
          <w:b/>
          <w:sz w:val="32"/>
          <w:szCs w:val="32"/>
        </w:rPr>
      </w:pPr>
      <w:r>
        <w:rPr>
          <w:rFonts w:hint="eastAsia" w:ascii="仿宋_GB2312" w:eastAsia="仿宋_GB2312"/>
          <w:b/>
          <w:sz w:val="32"/>
          <w:szCs w:val="32"/>
        </w:rPr>
        <w:t>1.</w:t>
      </w:r>
      <w:r>
        <w:rPr>
          <w:rFonts w:hint="eastAsia" w:ascii="仿宋_GB2312" w:eastAsia="仿宋_GB2312"/>
          <w:b w:val="0"/>
          <w:bCs/>
          <w:sz w:val="32"/>
          <w:szCs w:val="32"/>
        </w:rPr>
        <w:t>因公出国（境）经费支出</w:t>
      </w:r>
      <w:r>
        <w:rPr>
          <w:b w:val="0"/>
          <w:bCs/>
          <w:sz w:val="32"/>
          <w:szCs w:val="32"/>
        </w:rPr>
        <w:t>0</w:t>
      </w:r>
      <w:r>
        <w:rPr>
          <w:rFonts w:hint="eastAsia" w:ascii="仿宋_GB2312" w:eastAsia="仿宋_GB2312"/>
          <w:b w:val="0"/>
          <w:bCs/>
          <w:sz w:val="32"/>
          <w:szCs w:val="32"/>
        </w:rPr>
        <w:t>万元，</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10</w:t>
      </w:r>
      <w:r>
        <w:rPr>
          <w:b w:val="0"/>
          <w:bCs/>
          <w:sz w:val="32"/>
          <w:szCs w:val="32"/>
        </w:rPr>
        <w:t>0</w:t>
      </w:r>
      <w:r>
        <w:rPr>
          <w:rStyle w:val="19"/>
          <w:rFonts w:hint="eastAsia" w:ascii="仿宋" w:hAnsi="仿宋" w:eastAsia="仿宋"/>
          <w:b w:val="0"/>
          <w:bCs/>
          <w:sz w:val="32"/>
          <w:szCs w:val="32"/>
        </w:rPr>
        <w:t>%。</w:t>
      </w:r>
      <w:r>
        <w:rPr>
          <w:rFonts w:hint="eastAsia" w:ascii="仿宋_GB2312" w:eastAsia="仿宋_GB2312"/>
          <w:b w:val="0"/>
          <w:bCs/>
          <w:sz w:val="32"/>
          <w:szCs w:val="32"/>
        </w:rPr>
        <w:t>全</w:t>
      </w:r>
      <w:r>
        <w:rPr>
          <w:rFonts w:hint="eastAsia" w:ascii="仿宋_GB2312" w:eastAsia="仿宋_GB2312"/>
          <w:sz w:val="32"/>
          <w:szCs w:val="32"/>
        </w:rPr>
        <w:t>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w:t>
      </w:r>
      <w:r>
        <w:rPr>
          <w:rFonts w:hint="eastAsia" w:ascii="仿宋_GB2312" w:eastAsia="仿宋_GB2312"/>
          <w:sz w:val="32"/>
          <w:szCs w:val="32"/>
          <w:lang w:val="en-US" w:eastAsia="zh-CN"/>
        </w:rPr>
        <w:t>3</w:t>
      </w:r>
      <w:r>
        <w:rPr>
          <w:rFonts w:hint="eastAsia" w:ascii="仿宋_GB2312" w:eastAsia="仿宋_GB2312"/>
          <w:sz w:val="32"/>
          <w:szCs w:val="32"/>
        </w:rPr>
        <w:t>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hint="eastAsia" w:ascii="仿宋_GB2312" w:eastAsia="仿宋_GB2312"/>
          <w:b/>
          <w:sz w:val="32"/>
          <w:szCs w:val="32"/>
        </w:rPr>
        <w:t>2</w:t>
      </w:r>
      <w:r>
        <w:rPr>
          <w:rFonts w:hint="eastAsia" w:ascii="仿宋_GB2312" w:eastAsia="仿宋_GB2312"/>
          <w:b w:val="0"/>
          <w:bCs/>
          <w:sz w:val="32"/>
          <w:szCs w:val="32"/>
        </w:rPr>
        <w:t>.公务用车购置及运行维护费支出</w:t>
      </w:r>
      <w:r>
        <w:rPr>
          <w:b w:val="0"/>
          <w:bCs/>
          <w:sz w:val="32"/>
          <w:szCs w:val="32"/>
        </w:rPr>
        <w:t>0</w:t>
      </w:r>
      <w:r>
        <w:rPr>
          <w:rFonts w:hint="eastAsia" w:ascii="仿宋_GB2312" w:eastAsia="仿宋_GB2312"/>
          <w:b w:val="0"/>
          <w:bCs/>
          <w:sz w:val="32"/>
          <w:szCs w:val="32"/>
        </w:rPr>
        <w:t>万元,</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10</w:t>
      </w:r>
      <w:r>
        <w:rPr>
          <w:b w:val="0"/>
          <w:bCs/>
          <w:sz w:val="32"/>
          <w:szCs w:val="32"/>
        </w:rPr>
        <w:t>0</w:t>
      </w:r>
      <w:r>
        <w:rPr>
          <w:rStyle w:val="19"/>
          <w:rFonts w:hint="eastAsia" w:ascii="仿宋" w:hAnsi="仿宋" w:eastAsia="仿宋"/>
          <w:b w:val="0"/>
          <w:bCs/>
          <w:sz w:val="32"/>
          <w:szCs w:val="32"/>
        </w:rPr>
        <w:t>%</w:t>
      </w:r>
      <w:r>
        <w:rPr>
          <w:rStyle w:val="19"/>
          <w:rFonts w:hint="eastAsia" w:ascii="仿宋" w:hAnsi="仿宋" w:eastAsia="仿宋"/>
          <w:bCs/>
          <w:sz w:val="32"/>
          <w:szCs w:val="32"/>
        </w:rPr>
        <w:t>。</w:t>
      </w:r>
      <w:r>
        <w:rPr>
          <w:rFonts w:hint="eastAsia" w:ascii="仿宋_GB2312" w:eastAsia="仿宋_GB2312"/>
          <w:sz w:val="32"/>
          <w:szCs w:val="32"/>
        </w:rPr>
        <w:t>公务用车购置及运行维护费支出决算比202</w:t>
      </w:r>
      <w:r>
        <w:rPr>
          <w:rFonts w:hint="eastAsia" w:ascii="仿宋_GB2312" w:eastAsia="仿宋_GB2312"/>
          <w:sz w:val="32"/>
          <w:szCs w:val="32"/>
          <w:lang w:val="en-US" w:eastAsia="zh-CN"/>
        </w:rPr>
        <w:t>3</w:t>
      </w:r>
      <w:r>
        <w:rPr>
          <w:rFonts w:hint="eastAsia" w:ascii="仿宋_GB2312" w:eastAsia="仿宋_GB2312"/>
          <w:sz w:val="32"/>
          <w:szCs w:val="32"/>
        </w:rPr>
        <w:t>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val="0"/>
          <w:bCs/>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w:t>
      </w:r>
      <w:r>
        <w:rPr>
          <w:rFonts w:hint="eastAsia" w:ascii="仿宋_GB2312" w:eastAsia="仿宋_GB2312"/>
          <w:sz w:val="32"/>
          <w:szCs w:val="32"/>
          <w:lang w:val="en-US" w:eastAsia="zh-CN"/>
        </w:rPr>
        <w:t>4</w:t>
      </w:r>
      <w:r>
        <w:rPr>
          <w:rFonts w:hint="eastAsia" w:ascii="仿宋_GB2312" w:eastAsia="仿宋_GB2312"/>
          <w:sz w:val="32"/>
          <w:szCs w:val="32"/>
        </w:rPr>
        <w:t>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pPr>
        <w:spacing w:line="600" w:lineRule="exact"/>
        <w:ind w:firstLine="640"/>
        <w:rPr>
          <w:rFonts w:ascii="仿宋_GB2312" w:eastAsia="仿宋_GB2312"/>
          <w:b w:val="0"/>
          <w:bCs/>
          <w:sz w:val="32"/>
          <w:szCs w:val="32"/>
        </w:rPr>
      </w:pPr>
      <w:r>
        <w:rPr>
          <w:rFonts w:hint="eastAsia" w:ascii="仿宋_GB2312" w:eastAsia="仿宋_GB2312"/>
          <w:b w:val="0"/>
          <w:bCs/>
          <w:sz w:val="32"/>
          <w:szCs w:val="32"/>
        </w:rPr>
        <w:t>公务用车运行维护费支出</w:t>
      </w:r>
      <w:r>
        <w:rPr>
          <w:b w:val="0"/>
          <w:bCs/>
          <w:sz w:val="32"/>
          <w:szCs w:val="32"/>
        </w:rPr>
        <w:t>0</w:t>
      </w:r>
      <w:r>
        <w:rPr>
          <w:rFonts w:hint="eastAsia" w:ascii="仿宋_GB2312" w:eastAsia="仿宋_GB2312"/>
          <w:b w:val="0"/>
          <w:bCs/>
          <w:sz w:val="32"/>
          <w:szCs w:val="32"/>
        </w:rPr>
        <w:t>万元。</w:t>
      </w:r>
    </w:p>
    <w:p>
      <w:pPr>
        <w:numPr>
          <w:ilvl w:val="0"/>
          <w:numId w:val="2"/>
        </w:numPr>
        <w:spacing w:line="600" w:lineRule="exact"/>
        <w:ind w:firstLine="640"/>
        <w:rPr>
          <w:rFonts w:ascii="仿宋_GB2312" w:eastAsia="仿宋_GB2312"/>
          <w:b w:val="0"/>
          <w:bCs/>
          <w:sz w:val="32"/>
          <w:szCs w:val="32"/>
        </w:rPr>
      </w:pPr>
      <w:r>
        <w:rPr>
          <w:rFonts w:hint="eastAsia" w:ascii="仿宋_GB2312" w:eastAsia="仿宋_GB2312"/>
          <w:b w:val="0"/>
          <w:bCs/>
          <w:sz w:val="32"/>
          <w:szCs w:val="32"/>
        </w:rPr>
        <w:t>公务接待费支出</w:t>
      </w:r>
      <w:r>
        <w:rPr>
          <w:b w:val="0"/>
          <w:bCs/>
          <w:sz w:val="32"/>
          <w:szCs w:val="32"/>
        </w:rPr>
        <w:t>0</w:t>
      </w:r>
      <w:r>
        <w:rPr>
          <w:rFonts w:hint="eastAsia" w:ascii="仿宋_GB2312" w:eastAsia="仿宋_GB2312"/>
          <w:b w:val="0"/>
          <w:bCs/>
          <w:sz w:val="32"/>
          <w:szCs w:val="32"/>
        </w:rPr>
        <w:t>万元，完成预算100%。公务接待费支出决算与202</w:t>
      </w:r>
      <w:r>
        <w:rPr>
          <w:rFonts w:hint="eastAsia" w:ascii="仿宋_GB2312" w:eastAsia="仿宋_GB2312"/>
          <w:b w:val="0"/>
          <w:bCs/>
          <w:sz w:val="32"/>
          <w:szCs w:val="32"/>
          <w:lang w:val="en-US" w:eastAsia="zh-CN"/>
        </w:rPr>
        <w:t>3</w:t>
      </w:r>
      <w:r>
        <w:rPr>
          <w:rFonts w:hint="eastAsia" w:ascii="仿宋_GB2312" w:eastAsia="仿宋_GB2312"/>
          <w:b w:val="0"/>
          <w:bCs/>
          <w:sz w:val="32"/>
          <w:szCs w:val="32"/>
        </w:rPr>
        <w:t>年度持平。其中：</w:t>
      </w:r>
    </w:p>
    <w:p>
      <w:pPr>
        <w:spacing w:line="600" w:lineRule="exact"/>
        <w:ind w:firstLine="640" w:firstLineChars="200"/>
        <w:rPr>
          <w:rFonts w:ascii="仿宋_GB2312" w:eastAsia="仿宋_GB2312"/>
          <w:b w:val="0"/>
          <w:bCs/>
          <w:sz w:val="32"/>
          <w:szCs w:val="32"/>
        </w:rPr>
      </w:pPr>
      <w:r>
        <w:rPr>
          <w:rFonts w:hint="eastAsia" w:ascii="仿宋_GB2312" w:eastAsia="仿宋_GB2312"/>
          <w:b w:val="0"/>
          <w:bCs/>
          <w:sz w:val="32"/>
          <w:szCs w:val="32"/>
        </w:rPr>
        <w:t>国内公务接待支出0万元。国内公务接待0批次，0人次（不包括陪同人员），共计支出0万元。</w:t>
      </w:r>
      <w:r>
        <w:rPr>
          <w:rFonts w:hint="eastAsia" w:ascii="仿宋_GB2312" w:eastAsia="仿宋_GB2312"/>
          <w:b w:val="0"/>
          <w:bCs/>
          <w:sz w:val="32"/>
          <w:szCs w:val="32"/>
        </w:rPr>
        <w:br w:type="textWrapping"/>
      </w:r>
      <w:r>
        <w:rPr>
          <w:rFonts w:hint="eastAsia" w:ascii="仿宋_GB2312" w:eastAsia="仿宋_GB2312"/>
          <w:b w:val="0"/>
          <w:bCs/>
          <w:sz w:val="32"/>
          <w:szCs w:val="32"/>
        </w:rPr>
        <w:t xml:space="preserve">   外事接待支出0万元。外事接待0批次，0人次（不包括陪同人员），共计支出0万元。</w:t>
      </w:r>
    </w:p>
    <w:p>
      <w:pPr>
        <w:spacing w:line="600" w:lineRule="exact"/>
        <w:outlineLvl w:val="1"/>
        <w:rPr>
          <w:rFonts w:hint="eastAsia" w:ascii="黑体" w:hAnsi="黑体" w:eastAsia="黑体"/>
          <w:sz w:val="32"/>
          <w:szCs w:val="32"/>
        </w:rPr>
      </w:pPr>
      <w:bookmarkStart w:id="48" w:name="_Toc15377218"/>
      <w:bookmarkStart w:id="49" w:name="_Toc5161"/>
      <w:bookmarkStart w:id="50" w:name="_Toc15396610"/>
      <w:r>
        <w:rPr>
          <w:rFonts w:hint="eastAsia" w:ascii="黑体" w:hAnsi="黑体" w:eastAsia="黑体"/>
          <w:sz w:val="32"/>
          <w:szCs w:val="32"/>
        </w:rPr>
        <w:t>八、政府性基金预算支出决算情况说明</w:t>
      </w:r>
      <w:bookmarkEnd w:id="48"/>
      <w:bookmarkEnd w:id="49"/>
      <w:bookmarkEnd w:id="50"/>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年政府性基金预算财政拨款支出</w:t>
      </w:r>
      <w:r>
        <w:rPr>
          <w:rFonts w:ascii="仿宋_GB2312" w:eastAsia="仿宋_GB2312"/>
          <w:sz w:val="32"/>
          <w:szCs w:val="32"/>
        </w:rPr>
        <w:t>0</w:t>
      </w:r>
      <w:r>
        <w:rPr>
          <w:rFonts w:hint="eastAsia" w:ascii="仿宋_GB2312" w:eastAsia="仿宋_GB2312"/>
          <w:sz w:val="32"/>
          <w:szCs w:val="32"/>
        </w:rPr>
        <w:t>万元</w:t>
      </w:r>
    </w:p>
    <w:p>
      <w:pPr>
        <w:spacing w:line="600" w:lineRule="exact"/>
        <w:outlineLvl w:val="1"/>
        <w:rPr>
          <w:rFonts w:hint="eastAsia" w:ascii="黑体" w:hAnsi="黑体" w:eastAsia="黑体"/>
          <w:sz w:val="32"/>
          <w:szCs w:val="32"/>
        </w:rPr>
      </w:pPr>
      <w:bookmarkStart w:id="51" w:name="_Toc15377219"/>
      <w:bookmarkStart w:id="52" w:name="_Toc15396611"/>
      <w:bookmarkStart w:id="53" w:name="_Toc18344"/>
      <w:r>
        <w:rPr>
          <w:rFonts w:hint="eastAsia" w:ascii="黑体" w:hAnsi="黑体" w:eastAsia="黑体"/>
          <w:sz w:val="32"/>
          <w:szCs w:val="32"/>
          <w:lang w:eastAsia="zh-CN"/>
        </w:rPr>
        <w:t>九、</w:t>
      </w:r>
      <w:r>
        <w:rPr>
          <w:rFonts w:hint="eastAsia" w:ascii="黑体" w:hAnsi="黑体" w:eastAsia="黑体"/>
          <w:sz w:val="32"/>
          <w:szCs w:val="32"/>
        </w:rPr>
        <w:t>国有资本经营预算支出决算情况说明</w:t>
      </w:r>
      <w:bookmarkEnd w:id="51"/>
      <w:bookmarkEnd w:id="52"/>
      <w:bookmarkEnd w:id="53"/>
    </w:p>
    <w:p>
      <w:pPr>
        <w:pStyle w:val="31"/>
        <w:spacing w:line="600" w:lineRule="exact"/>
        <w:ind w:left="360" w:firstLine="320" w:firstLineChars="1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年国有资本经营预算财政拨款支出0万元。</w:t>
      </w:r>
    </w:p>
    <w:p>
      <w:pPr>
        <w:spacing w:line="600" w:lineRule="exact"/>
        <w:outlineLvl w:val="1"/>
        <w:rPr>
          <w:rFonts w:hint="eastAsia" w:ascii="黑体" w:hAnsi="黑体" w:eastAsia="黑体"/>
          <w:sz w:val="32"/>
          <w:szCs w:val="32"/>
        </w:rPr>
      </w:pPr>
      <w:bookmarkStart w:id="54" w:name="_Toc15377221"/>
      <w:bookmarkStart w:id="55" w:name="_Toc15396612"/>
      <w:bookmarkStart w:id="56" w:name="_Toc5878"/>
      <w:r>
        <w:rPr>
          <w:rFonts w:hint="eastAsia" w:ascii="黑体" w:hAnsi="黑体" w:eastAsia="黑体"/>
          <w:sz w:val="32"/>
          <w:szCs w:val="32"/>
        </w:rPr>
        <w:t>十、其他重要事项的情况说明</w:t>
      </w:r>
      <w:bookmarkEnd w:id="54"/>
      <w:bookmarkEnd w:id="55"/>
      <w:bookmarkEnd w:id="56"/>
    </w:p>
    <w:p>
      <w:pPr>
        <w:spacing w:line="600" w:lineRule="exact"/>
        <w:ind w:firstLine="643" w:firstLineChars="200"/>
        <w:outlineLvl w:val="2"/>
        <w:rPr>
          <w:rFonts w:ascii="仿宋" w:hAnsi="仿宋" w:eastAsia="仿宋"/>
          <w:sz w:val="32"/>
          <w:szCs w:val="32"/>
        </w:rPr>
      </w:pPr>
      <w:bookmarkStart w:id="57" w:name="_Toc15377222"/>
      <w:r>
        <w:rPr>
          <w:rFonts w:hint="eastAsia" w:ascii="仿宋" w:hAnsi="仿宋" w:eastAsia="仿宋"/>
          <w:b/>
          <w:sz w:val="32"/>
          <w:szCs w:val="32"/>
        </w:rPr>
        <w:t>（一）机关运行经费支出情况</w:t>
      </w:r>
      <w:bookmarkEnd w:id="5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年，学校机关运行经费支出0万元。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8" w:name="_Toc15377223"/>
      <w:r>
        <w:rPr>
          <w:rFonts w:hint="eastAsia" w:ascii="仿宋" w:hAnsi="仿宋" w:eastAsia="仿宋"/>
          <w:b/>
          <w:sz w:val="32"/>
          <w:szCs w:val="32"/>
        </w:rPr>
        <w:t>（二）政府采购支出情况</w:t>
      </w:r>
      <w:bookmarkEnd w:id="58"/>
    </w:p>
    <w:p>
      <w:pPr>
        <w:autoSpaceDE w:val="0"/>
        <w:autoSpaceDN w:val="0"/>
        <w:adjustRightInd w:val="0"/>
        <w:spacing w:line="600" w:lineRule="exact"/>
        <w:ind w:firstLine="640" w:firstLineChars="200"/>
        <w:jc w:val="left"/>
        <w:outlineLvl w:val="2"/>
        <w:rPr>
          <w:rFonts w:ascii="仿宋_GB2312" w:eastAsia="仿宋_GB2312"/>
          <w:sz w:val="32"/>
          <w:szCs w:val="32"/>
        </w:rPr>
      </w:pPr>
      <w:bookmarkStart w:id="59" w:name="_Toc15377224"/>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年度，遂宁市安居区会龙镇保山</w:t>
      </w:r>
      <w:r>
        <w:rPr>
          <w:rFonts w:ascii="仿宋_GB2312" w:eastAsia="仿宋_GB2312"/>
          <w:sz w:val="32"/>
          <w:szCs w:val="32"/>
        </w:rPr>
        <w:t>小学校</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bookmarkEnd w:id="59"/>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年12月31日，遂宁市安居区会龙镇保山</w:t>
      </w:r>
      <w:r>
        <w:rPr>
          <w:rFonts w:ascii="仿宋_GB2312" w:eastAsia="仿宋_GB2312"/>
          <w:sz w:val="32"/>
          <w:szCs w:val="32"/>
        </w:rPr>
        <w:t>小学校</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autoSpaceDE w:val="0"/>
        <w:autoSpaceDN w:val="0"/>
        <w:adjustRightInd w:val="0"/>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根据预算绩效管理要求，本单位在2024年度预算编制阶段，组织对义教贫困生生活补助、幼儿资助及幼儿发展资金、义务教育免作业本费等3个项目开展了预算事前绩效评估，对3个项目编制了绩效目标，预算执行过程中，选取3个项目开展绩效监控。</w:t>
      </w:r>
    </w:p>
    <w:p>
      <w:pPr>
        <w:autoSpaceDE w:val="0"/>
        <w:autoSpaceDN w:val="0"/>
        <w:adjustRightInd w:val="0"/>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组织对2024年度一般公共预算、政府性基金预算、国有资本经营预算、社会保险基金预算以及资本资产、债券资金等全面开展绩效自评，形成2024年保山小学部门整体（含部门预算项目）绩效自评报告、义教贫困生生活补助、幼儿资助及幼儿发展资金、义务教育免作业本费等专项预算项目绩效自评报告，其中，2024年保山小学部门整体（含部门预算项目）绩效自评得分为100分，绩效自评综述严格执行相关政策，保障工资及时发放、足额发放，预算编制科学合理，减少结余资金</w:t>
      </w:r>
      <w:r>
        <w:rPr>
          <w:rFonts w:hint="eastAsia" w:ascii="仿宋_GB2312" w:eastAsia="仿宋_GB2312"/>
          <w:sz w:val="32"/>
          <w:szCs w:val="32"/>
          <w:lang w:val="zh-CN"/>
        </w:rPr>
        <w:t>，</w:t>
      </w:r>
      <w:r>
        <w:rPr>
          <w:rFonts w:hint="eastAsia" w:ascii="仿宋_GB2312" w:eastAsia="仿宋_GB2312"/>
          <w:sz w:val="32"/>
          <w:szCs w:val="32"/>
        </w:rPr>
        <w:t>广泛听取意见，认真总结分析,搜集完善各类资料。进</w:t>
      </w:r>
      <w:r>
        <w:rPr>
          <w:rFonts w:hint="eastAsia" w:ascii="仿宋_GB2312" w:eastAsia="仿宋_GB2312"/>
          <w:sz w:val="32"/>
          <w:szCs w:val="32"/>
          <w:lang w:eastAsia="zh-CN"/>
        </w:rPr>
        <w:t>一</w:t>
      </w:r>
      <w:r>
        <w:rPr>
          <w:rFonts w:hint="eastAsia" w:ascii="仿宋_GB2312" w:eastAsia="仿宋_GB2312"/>
          <w:sz w:val="32"/>
          <w:szCs w:val="32"/>
        </w:rPr>
        <w:t>步深化课程改革，提高教育质量</w:t>
      </w:r>
      <w:r>
        <w:rPr>
          <w:rFonts w:hint="eastAsia" w:ascii="仿宋_GB2312" w:eastAsia="仿宋_GB2312"/>
          <w:sz w:val="32"/>
          <w:szCs w:val="32"/>
          <w:lang w:eastAsia="zh-CN"/>
        </w:rPr>
        <w:t>，</w:t>
      </w:r>
      <w:r>
        <w:rPr>
          <w:rFonts w:hint="eastAsia" w:ascii="仿宋_GB2312" w:eastAsia="仿宋_GB2312"/>
          <w:sz w:val="32"/>
          <w:szCs w:val="32"/>
        </w:rPr>
        <w:t>努力改善办学条件,促进教育均衡发展</w:t>
      </w:r>
      <w:r>
        <w:rPr>
          <w:rFonts w:hint="eastAsia" w:ascii="仿宋_GB2312" w:eastAsia="仿宋_GB2312"/>
          <w:sz w:val="32"/>
          <w:szCs w:val="32"/>
          <w:lang w:eastAsia="zh-CN"/>
        </w:rPr>
        <w:t>。</w:t>
      </w:r>
      <w:r>
        <w:rPr>
          <w:rFonts w:hint="eastAsia" w:ascii="仿宋_GB2312" w:eastAsia="仿宋_GB2312"/>
          <w:sz w:val="32"/>
          <w:szCs w:val="32"/>
          <w:lang w:val="en-US" w:eastAsia="zh-CN"/>
        </w:rPr>
        <w:t>义教贫困生生活补助预算项目绩效自评得分为100分，绩效自评综述加强民生资金专项管理，提高民生资金使用效益，确保专款专用，按程序及时兑现给学生（或监护人）。幼儿资助及幼儿发展资金预算项目绩效自评得分为100分，绩效自评综述加强民生资金专项管理，提高民生资金使用效益，确保专款专用，按程序及时兑现给学生（或监护人），及时申报经费，促进附设幼儿园健康发展。义务教育免作业本费专项预算项目绩效自评得分为100分，绩效自评综述加强民生资金专项管理，提高民生资金使用效益，确保专款专用，及时申报经费，保证学生作业本按时发放。</w:t>
      </w:r>
    </w:p>
    <w:p>
      <w:pPr>
        <w:autoSpaceDE w:val="0"/>
        <w:autoSpaceDN w:val="0"/>
        <w:adjustRightInd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绩效自评表详见</w:t>
      </w:r>
      <w:r>
        <w:rPr>
          <w:rFonts w:hint="eastAsia" w:ascii="仿宋_GB2312" w:eastAsia="仿宋_GB2312"/>
          <w:sz w:val="32"/>
          <w:szCs w:val="32"/>
          <w:lang w:eastAsia="zh-CN"/>
        </w:rPr>
        <w:t>第四部分</w:t>
      </w:r>
      <w:r>
        <w:rPr>
          <w:rFonts w:hint="eastAsia" w:ascii="仿宋_GB2312" w:eastAsia="仿宋_GB2312"/>
          <w:sz w:val="32"/>
          <w:szCs w:val="32"/>
        </w:rPr>
        <w:t>附件。</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br w:type="page"/>
      </w:r>
    </w:p>
    <w:p>
      <w:pPr>
        <w:pStyle w:val="5"/>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黑体" w:hAnsi="黑体" w:eastAsia="黑体"/>
          <w:b w:val="0"/>
          <w:sz w:val="44"/>
          <w:szCs w:val="44"/>
        </w:rPr>
      </w:pPr>
      <w:bookmarkStart w:id="60" w:name="_Toc15377225"/>
      <w:bookmarkStart w:id="61" w:name="_Toc15396613"/>
      <w:bookmarkStart w:id="62" w:name="_Toc10395"/>
      <w:r>
        <w:rPr>
          <w:rFonts w:hint="eastAsia" w:ascii="黑体" w:hAnsi="黑体" w:eastAsia="黑体"/>
          <w:b w:val="0"/>
          <w:sz w:val="44"/>
          <w:szCs w:val="44"/>
          <w:lang w:val="en-US" w:eastAsia="zh-CN"/>
        </w:rPr>
        <w:t>第三部分</w:t>
      </w:r>
      <w:r>
        <w:rPr>
          <w:rFonts w:hint="eastAsia" w:ascii="黑体" w:hAnsi="黑体" w:eastAsia="黑体"/>
          <w:b w:val="0"/>
          <w:sz w:val="44"/>
          <w:szCs w:val="44"/>
        </w:rPr>
        <w:t>名词解释</w:t>
      </w:r>
      <w:bookmarkEnd w:id="60"/>
      <w:bookmarkEnd w:id="61"/>
      <w:bookmarkEnd w:id="62"/>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bookmarkStart w:id="63" w:name="_Toc15377226"/>
      <w:r>
        <w:rPr>
          <w:rFonts w:hint="eastAsia" w:ascii="仿宋_GB2312" w:hAnsi="Calibri" w:eastAsia="仿宋_GB2312" w:cs="仿宋"/>
          <w:kern w:val="0"/>
          <w:sz w:val="32"/>
          <w:szCs w:val="32"/>
        </w:rPr>
        <w:t>1.财政拨款收入：指单位从同级财政部门取得的财政预算资金。</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2.事业收入：指事业单位开展专业业务活动及辅助活动取得的收入。如高中学费收入、学前教育保教费收入等。</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3.其他收入：指单位取得的除上述收入以外的各项收入。主要是利息收入、捐赠收入等。</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4.年初结转和结余：指以前年度尚未完成、结转到本年按有关规定继续使用的资金。</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5、年末结转和结余：指单位按有关规定结转到下年或以后年度继续使用的资金。</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6.教育（205类）普通教育（02款）学前教育（01项）: 反映各部门举办的学前教育支出。</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7.教育（205类）普通教育（02款）其他普通教育支出（99项）: 反映除上述项目以外其它用于普通教育方面的支出。</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8.教育（205类）教育费附加安排的支出（09款）农村中小学校舍建设（01项）: 反映教育附加安排用于农村中小学校舍新建、改建、修缮和维护的支出。</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9.教育（205类）教育费附加安排的支出（09款）其他教育费附加安排的支出（99项）: 反映除上述项目以外的教育费附加支出。</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10.教育（205类）其他教育支出（99款）其他教育支出（99项）: 反映除上述项目以外其它教育方面的支出。</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11.社会保障和就业（208类）行政事业单位离退休（05款）机关事业单位基本养老保险缴费支出（05项）: 反映机关事业单位实施养老保险制度由单位缴纳的基本养老保险费支出。</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12.社会保障和就业（208类）抚恤（08款）死亡抚恤（01项）: 反映按规定用于烈士和牺牲、病故人员家属的一次性和定期抚恤金以及丧葬补助费。</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13.社会保障和就业（208类）其他社会保障和就业支出（99款）其他社会保障和就业支出（01项）: 反映上述项目以外其他用于社会保障和就业方面的支出。</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14.医疗卫生与计划生育（210类）行政事业单位医疗（11款）事业单位医疗（02项）:反映财政部门集中安排的事业单位基本医疗保险缴费经费，未参加医疗保险的事业单位的公费医疗经费，按国家规定享受离休人员待遇的医疗经费。</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15.住房保障支出（221类）住房改革支出（02款）住房公积金（01项）:反映行政事业单位按人力资源和社会保障部、财政部规定的基本工资和津贴补贴以及规定比例为职工缴纳的住房公积金。</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16.基本支出：指为保障机构正常运转、完成日常工作任务而发生的人员支出和公用支出。</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17.项目支出：指在基本支出之外为完成特定行政任务和事业发展目标所发生的支出。</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18.工资福利：反映单位开支的在职职工和编制外长期聘用人员的各类劳动报酬，以及为上述人员缴纳的各项社会保险费等。</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19.商品和服务：反映单位购买商品和服务的支出，不包括用于购置固定资产、战略性和应急性物资储备等资本支出。</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20.对个人和家庭的补助：反映政府用于</w:t>
      </w:r>
      <w:r>
        <w:rPr>
          <w:rFonts w:hint="eastAsia" w:ascii="仿宋_GB2312" w:hAnsi="Calibri" w:eastAsia="仿宋_GB2312" w:cs="仿宋"/>
          <w:kern w:val="0"/>
          <w:sz w:val="32"/>
          <w:szCs w:val="32"/>
          <w:lang w:eastAsia="zh-CN"/>
        </w:rPr>
        <w:t>对个人和家庭</w:t>
      </w:r>
      <w:r>
        <w:rPr>
          <w:rFonts w:hint="eastAsia" w:ascii="仿宋_GB2312" w:hAnsi="Calibri" w:eastAsia="仿宋_GB2312" w:cs="仿宋"/>
          <w:kern w:val="0"/>
          <w:sz w:val="32"/>
          <w:szCs w:val="32"/>
        </w:rPr>
        <w:t>的补助支出。</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21.资本性支出：反映各单位安排的资本性支出。切块由发展改革部门安排的基本建设支出不在此科目反映。</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p>
    <w:p>
      <w:pPr>
        <w:ind w:firstLine="640" w:firstLineChars="200"/>
        <w:jc w:val="center"/>
        <w:rPr>
          <w:rFonts w:hint="eastAsia" w:ascii="黑体" w:hAnsi="黑体" w:eastAsia="黑体"/>
          <w:sz w:val="32"/>
          <w:szCs w:val="32"/>
        </w:rPr>
      </w:pPr>
      <w:bookmarkStart w:id="64" w:name="_Toc15396614"/>
      <w:bookmarkStart w:id="65" w:name="_Toc32300"/>
    </w:p>
    <w:p>
      <w:pPr>
        <w:ind w:firstLine="640" w:firstLineChars="200"/>
        <w:jc w:val="center"/>
        <w:rPr>
          <w:rFonts w:hint="eastAsia" w:ascii="黑体" w:hAnsi="黑体" w:eastAsia="黑体"/>
          <w:sz w:val="32"/>
          <w:szCs w:val="32"/>
        </w:rPr>
      </w:pPr>
    </w:p>
    <w:p>
      <w:pPr>
        <w:ind w:firstLine="640" w:firstLineChars="200"/>
        <w:jc w:val="center"/>
        <w:rPr>
          <w:rFonts w:hint="eastAsia" w:ascii="黑体" w:hAnsi="黑体" w:eastAsia="黑体"/>
          <w:sz w:val="32"/>
          <w:szCs w:val="32"/>
        </w:rPr>
      </w:pPr>
    </w:p>
    <w:p>
      <w:pPr>
        <w:ind w:firstLine="640" w:firstLineChars="200"/>
        <w:jc w:val="center"/>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ind w:firstLine="640" w:firstLineChars="200"/>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ind w:firstLine="640" w:firstLineChars="200"/>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ind w:firstLine="640" w:firstLineChars="200"/>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textAlignment w:val="auto"/>
        <w:rPr>
          <w:rFonts w:hint="eastAsia"/>
        </w:rPr>
      </w:pPr>
    </w:p>
    <w:p>
      <w:pPr>
        <w:pStyle w:val="2"/>
        <w:keepNext w:val="0"/>
        <w:keepLines w:val="0"/>
        <w:pageBreakBefore w:val="0"/>
        <w:widowControl w:val="0"/>
        <w:kinsoku/>
        <w:wordWrap/>
        <w:overflowPunct/>
        <w:topLinePunct w:val="0"/>
        <w:autoSpaceDE/>
        <w:autoSpaceDN/>
        <w:bidi w:val="0"/>
        <w:adjustRightInd/>
        <w:textAlignment w:val="auto"/>
        <w:rPr>
          <w:rFonts w:hint="eastAsia"/>
        </w:rPr>
      </w:pPr>
    </w:p>
    <w:p>
      <w:pPr>
        <w:pStyle w:val="3"/>
        <w:keepNext w:val="0"/>
        <w:keepLines w:val="0"/>
        <w:pageBreakBefore w:val="0"/>
        <w:widowControl w:val="0"/>
        <w:kinsoku/>
        <w:wordWrap/>
        <w:overflowPunct/>
        <w:topLinePunct w:val="0"/>
        <w:autoSpaceDE/>
        <w:autoSpaceDN/>
        <w:bidi w:val="0"/>
        <w:adjustRightInd/>
        <w:spacing w:after="0"/>
        <w:textAlignment w:val="auto"/>
        <w:rPr>
          <w:rFonts w:hint="eastAsia"/>
        </w:rPr>
      </w:pPr>
    </w:p>
    <w:p>
      <w:pPr>
        <w:pStyle w:val="3"/>
        <w:keepNext w:val="0"/>
        <w:keepLines w:val="0"/>
        <w:pageBreakBefore w:val="0"/>
        <w:widowControl w:val="0"/>
        <w:kinsoku/>
        <w:wordWrap/>
        <w:overflowPunct/>
        <w:topLinePunct w:val="0"/>
        <w:autoSpaceDE/>
        <w:autoSpaceDN/>
        <w:bidi w:val="0"/>
        <w:adjustRightInd/>
        <w:spacing w:after="0"/>
        <w:textAlignment w:val="auto"/>
        <w:rPr>
          <w:rFonts w:hint="eastAsia"/>
        </w:rPr>
      </w:pPr>
    </w:p>
    <w:p>
      <w:pPr>
        <w:pStyle w:val="3"/>
        <w:keepNext w:val="0"/>
        <w:keepLines w:val="0"/>
        <w:pageBreakBefore w:val="0"/>
        <w:widowControl w:val="0"/>
        <w:kinsoku/>
        <w:wordWrap/>
        <w:overflowPunct/>
        <w:topLinePunct w:val="0"/>
        <w:autoSpaceDE/>
        <w:autoSpaceDN/>
        <w:bidi w:val="0"/>
        <w:adjustRightInd/>
        <w:spacing w:after="0"/>
        <w:textAlignment w:val="auto"/>
        <w:rPr>
          <w:rFonts w:hint="eastAsia"/>
        </w:rPr>
      </w:pPr>
    </w:p>
    <w:p>
      <w:pPr>
        <w:pStyle w:val="3"/>
        <w:keepNext w:val="0"/>
        <w:keepLines w:val="0"/>
        <w:pageBreakBefore w:val="0"/>
        <w:widowControl w:val="0"/>
        <w:kinsoku/>
        <w:wordWrap/>
        <w:overflowPunct/>
        <w:topLinePunct w:val="0"/>
        <w:autoSpaceDE/>
        <w:autoSpaceDN/>
        <w:bidi w:val="0"/>
        <w:adjustRightInd/>
        <w:spacing w:after="0"/>
        <w:textAlignment w:val="auto"/>
        <w:rPr>
          <w:rFonts w:hint="eastAsia"/>
        </w:rPr>
      </w:pPr>
    </w:p>
    <w:p>
      <w:pPr>
        <w:keepNext w:val="0"/>
        <w:keepLines w:val="0"/>
        <w:pageBreakBefore w:val="0"/>
        <w:widowControl w:val="0"/>
        <w:kinsoku/>
        <w:wordWrap/>
        <w:overflowPunct/>
        <w:topLinePunct w:val="0"/>
        <w:autoSpaceDE/>
        <w:autoSpaceDN/>
        <w:bidi w:val="0"/>
        <w:adjustRightInd/>
        <w:textAlignment w:val="auto"/>
        <w:rPr>
          <w:rFonts w:hint="eastAsia"/>
        </w:rPr>
      </w:pPr>
    </w:p>
    <w:p>
      <w:pPr>
        <w:pStyle w:val="5"/>
        <w:spacing w:before="0" w:after="0" w:line="240" w:lineRule="auto"/>
        <w:jc w:val="center"/>
        <w:rPr>
          <w:rFonts w:hint="eastAsia" w:ascii="黑体" w:hAnsi="黑体" w:eastAsia="黑体"/>
          <w:b w:val="0"/>
          <w:sz w:val="44"/>
          <w:szCs w:val="44"/>
        </w:rPr>
      </w:pPr>
      <w:r>
        <w:rPr>
          <w:rFonts w:hint="eastAsia" w:ascii="黑体" w:hAnsi="黑体" w:eastAsia="黑体"/>
          <w:b w:val="0"/>
          <w:sz w:val="44"/>
          <w:szCs w:val="44"/>
        </w:rPr>
        <w:t>第四部分 附件</w:t>
      </w:r>
      <w:bookmarkEnd w:id="64"/>
      <w:bookmarkEnd w:id="65"/>
    </w:p>
    <w:p>
      <w:pPr>
        <w:widowControl/>
        <w:spacing w:line="360" w:lineRule="auto"/>
        <w:contextualSpacing/>
        <w:jc w:val="center"/>
        <w:rPr>
          <w:rFonts w:hint="eastAsia" w:ascii="仿宋" w:hAnsi="仿宋" w:eastAsia="仿宋" w:cs="仿宋"/>
          <w:b/>
          <w:bCs w:val="0"/>
          <w:color w:val="000000"/>
          <w:kern w:val="0"/>
          <w:sz w:val="32"/>
          <w:szCs w:val="32"/>
          <w:shd w:val="clear" w:color="auto" w:fill="FFFFFF"/>
        </w:rPr>
      </w:pPr>
      <w:r>
        <w:rPr>
          <w:rFonts w:hint="eastAsia" w:ascii="仿宋" w:hAnsi="仿宋" w:eastAsia="仿宋" w:cs="仿宋"/>
          <w:b/>
          <w:bCs w:val="0"/>
          <w:sz w:val="44"/>
          <w:szCs w:val="44"/>
          <w:shd w:val="clear" w:color="auto" w:fill="FFFFFF"/>
        </w:rPr>
        <w:t>部门预算绩效评价报告</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一、部门（单位）概况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（一）机构组成</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1．行政办公室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2．财务室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3．教导处</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4．教研室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5．德育处</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6．体艺部</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7．安全办</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遂宁市安居区会龙镇</w:t>
      </w:r>
      <w:r>
        <w:rPr>
          <w:rFonts w:ascii="仿宋" w:hAnsi="仿宋" w:eastAsia="仿宋"/>
          <w:sz w:val="32"/>
          <w:szCs w:val="32"/>
        </w:rPr>
        <w:t>保山小</w:t>
      </w:r>
      <w:r>
        <w:rPr>
          <w:rFonts w:hint="eastAsia" w:ascii="仿宋" w:hAnsi="仿宋" w:eastAsia="仿宋"/>
          <w:sz w:val="32"/>
          <w:szCs w:val="32"/>
        </w:rPr>
        <w:t>学校共设有7个内设部门。</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（二）机构职能</w:t>
      </w:r>
    </w:p>
    <w:p>
      <w:pPr>
        <w:ind w:firstLine="640" w:firstLineChars="200"/>
        <w:jc w:val="left"/>
        <w:rPr>
          <w:rFonts w:ascii="仿宋" w:hAnsi="仿宋" w:eastAsia="仿宋"/>
          <w:sz w:val="32"/>
          <w:szCs w:val="32"/>
        </w:rPr>
      </w:pPr>
      <w:r>
        <w:rPr>
          <w:rFonts w:ascii="仿宋" w:hAnsi="仿宋" w:eastAsia="仿宋"/>
          <w:sz w:val="32"/>
          <w:szCs w:val="32"/>
        </w:rPr>
        <w:t>行政办公室工作职责</w:t>
      </w:r>
    </w:p>
    <w:p>
      <w:pPr>
        <w:ind w:firstLine="640" w:firstLineChars="200"/>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pPr>
        <w:ind w:firstLine="640" w:firstLineChars="200"/>
        <w:rPr>
          <w:rFonts w:ascii="仿宋" w:hAnsi="仿宋" w:eastAsia="仿宋"/>
          <w:sz w:val="32"/>
          <w:szCs w:val="32"/>
        </w:rPr>
      </w:pPr>
      <w:r>
        <w:rPr>
          <w:rFonts w:hint="eastAsia" w:ascii="仿宋" w:hAnsi="仿宋" w:eastAsia="仿宋"/>
          <w:sz w:val="32"/>
          <w:szCs w:val="32"/>
        </w:rPr>
        <w:t>7.负责学校统计工作，确保重要数据准确、真实、有效。</w:t>
      </w:r>
    </w:p>
    <w:p>
      <w:pPr>
        <w:ind w:firstLine="640" w:firstLineChars="200"/>
        <w:rPr>
          <w:rFonts w:ascii="仿宋" w:hAnsi="仿宋" w:eastAsia="仿宋"/>
          <w:sz w:val="32"/>
          <w:szCs w:val="32"/>
        </w:rPr>
      </w:pPr>
      <w:r>
        <w:rPr>
          <w:rFonts w:hint="eastAsia" w:ascii="仿宋" w:hAnsi="仿宋" w:eastAsia="仿宋"/>
          <w:sz w:val="32"/>
          <w:szCs w:val="32"/>
        </w:rPr>
        <w:t>8.负责学生学籍管理，协助教务室做好教务考务管理工作。</w:t>
      </w:r>
    </w:p>
    <w:p>
      <w:pPr>
        <w:ind w:firstLine="640" w:firstLineChars="200"/>
        <w:rPr>
          <w:rFonts w:ascii="仿宋" w:hAnsi="仿宋" w:eastAsia="仿宋"/>
          <w:sz w:val="32"/>
          <w:szCs w:val="32"/>
        </w:rPr>
      </w:pPr>
      <w:r>
        <w:rPr>
          <w:rFonts w:hint="eastAsia" w:ascii="仿宋" w:hAnsi="仿宋" w:eastAsia="仿宋"/>
          <w:sz w:val="32"/>
          <w:szCs w:val="32"/>
        </w:rPr>
        <w:t>9.负责招生工作，妥善保管招生资料。具体工作如下：</w:t>
      </w:r>
    </w:p>
    <w:p>
      <w:pPr>
        <w:ind w:firstLine="640" w:firstLineChars="200"/>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pPr>
        <w:ind w:firstLine="640" w:firstLineChars="200"/>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pPr>
        <w:ind w:firstLine="640" w:firstLineChars="200"/>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pPr>
        <w:ind w:firstLine="640" w:firstLineChars="200"/>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pPr>
        <w:ind w:firstLine="480" w:firstLineChars="15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pPr>
        <w:ind w:firstLine="640" w:firstLineChars="200"/>
        <w:jc w:val="left"/>
        <w:rPr>
          <w:rFonts w:ascii="仿宋" w:hAnsi="仿宋" w:eastAsia="仿宋"/>
          <w:sz w:val="32"/>
          <w:szCs w:val="32"/>
        </w:rPr>
      </w:pPr>
      <w:r>
        <w:rPr>
          <w:rFonts w:ascii="仿宋" w:hAnsi="仿宋" w:eastAsia="仿宋"/>
          <w:sz w:val="32"/>
          <w:szCs w:val="32"/>
        </w:rPr>
        <w:t>财务室工作职责</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pPr>
        <w:ind w:firstLine="640" w:firstLineChars="200"/>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pPr>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pPr>
        <w:ind w:firstLine="640" w:firstLineChars="200"/>
        <w:rPr>
          <w:rFonts w:ascii="仿宋" w:hAnsi="仿宋" w:eastAsia="仿宋"/>
          <w:sz w:val="32"/>
          <w:szCs w:val="32"/>
        </w:rPr>
      </w:pPr>
      <w:r>
        <w:rPr>
          <w:rFonts w:hint="eastAsia" w:ascii="仿宋" w:hAnsi="仿宋" w:eastAsia="仿宋"/>
          <w:sz w:val="32"/>
          <w:szCs w:val="32"/>
        </w:rPr>
        <w:t>10.负责学校教职工工资发放等一切福利待遇保障工作。</w:t>
      </w:r>
    </w:p>
    <w:p>
      <w:pPr>
        <w:ind w:firstLine="640" w:firstLineChars="200"/>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pPr>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pPr>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pPr>
        <w:ind w:firstLine="640" w:firstLineChars="200"/>
        <w:jc w:val="left"/>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pPr>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完成校长会议布置的其它工作。</w:t>
      </w:r>
    </w:p>
    <w:p>
      <w:pPr>
        <w:ind w:firstLine="640" w:firstLineChars="200"/>
        <w:jc w:val="left"/>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pPr>
        <w:ind w:firstLine="640" w:firstLineChars="200"/>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负责校本课题的立项、审定、管理及评估，负责其它研究课题的申报、立项、督办及管理。</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pPr>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pPr>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pPr>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pPr>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pPr>
        <w:ind w:firstLine="640" w:firstLineChars="200"/>
        <w:jc w:val="left"/>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pPr>
        <w:ind w:firstLine="640" w:firstLineChars="200"/>
        <w:rPr>
          <w:rFonts w:ascii="仿宋" w:hAnsi="仿宋" w:eastAsia="仿宋"/>
          <w:sz w:val="32"/>
          <w:szCs w:val="32"/>
        </w:rPr>
      </w:pPr>
      <w:r>
        <w:rPr>
          <w:rFonts w:ascii="仿宋" w:hAnsi="仿宋" w:eastAsia="仿宋"/>
          <w:sz w:val="32"/>
          <w:szCs w:val="32"/>
        </w:rPr>
        <w:t>德育处是具体组织学校德育实施的职能部门，其常规工作及职责如下：</w:t>
      </w:r>
    </w:p>
    <w:p>
      <w:pPr>
        <w:ind w:firstLine="640" w:firstLineChars="200"/>
        <w:rPr>
          <w:rFonts w:ascii="仿宋" w:hAnsi="仿宋" w:eastAsia="仿宋"/>
          <w:sz w:val="32"/>
          <w:szCs w:val="32"/>
        </w:rPr>
      </w:pPr>
      <w:r>
        <w:rPr>
          <w:rFonts w:ascii="仿宋" w:hAnsi="仿宋" w:eastAsia="仿宋"/>
          <w:sz w:val="32"/>
          <w:szCs w:val="32"/>
        </w:rPr>
        <w:t>一、负责全校德育工作</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pPr>
        <w:ind w:firstLine="640" w:firstLineChars="200"/>
        <w:rPr>
          <w:rFonts w:ascii="仿宋" w:hAnsi="仿宋" w:eastAsia="仿宋"/>
          <w:sz w:val="32"/>
          <w:szCs w:val="32"/>
        </w:rPr>
      </w:pPr>
      <w:r>
        <w:rPr>
          <w:rFonts w:ascii="仿宋" w:hAnsi="仿宋" w:eastAsia="仿宋"/>
          <w:sz w:val="32"/>
          <w:szCs w:val="32"/>
        </w:rPr>
        <w:t>二、领导年级组长，安排年级组长、班主任工作</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pPr>
        <w:spacing w:line="580" w:lineRule="exact"/>
        <w:ind w:firstLine="640" w:firstLineChars="200"/>
        <w:rPr>
          <w:rFonts w:ascii="仿宋" w:hAnsi="仿宋" w:eastAsia="仿宋"/>
          <w:sz w:val="32"/>
          <w:szCs w:val="32"/>
        </w:rPr>
      </w:pPr>
      <w:r>
        <w:rPr>
          <w:rFonts w:ascii="仿宋" w:hAnsi="仿宋" w:eastAsia="仿宋"/>
          <w:sz w:val="32"/>
          <w:szCs w:val="32"/>
        </w:rPr>
        <w:t>三、其它工作</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1.对我校德育工作实施情况进行研究。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艺体</w:t>
      </w:r>
      <w:r>
        <w:rPr>
          <w:rFonts w:ascii="仿宋" w:hAnsi="仿宋" w:eastAsia="仿宋"/>
          <w:sz w:val="32"/>
          <w:szCs w:val="32"/>
        </w:rPr>
        <w:t>部工作职责</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艺体部</w:t>
      </w:r>
      <w:r>
        <w:rPr>
          <w:rFonts w:ascii="仿宋" w:hAnsi="仿宋" w:eastAsia="仿宋"/>
          <w:sz w:val="32"/>
          <w:szCs w:val="32"/>
        </w:rPr>
        <w:t>负责全校艺体和科创</w:t>
      </w:r>
      <w:r>
        <w:rPr>
          <w:rFonts w:hint="eastAsia" w:ascii="仿宋" w:hAnsi="仿宋" w:eastAsia="仿宋"/>
          <w:sz w:val="32"/>
          <w:szCs w:val="32"/>
        </w:rPr>
        <w:t>、</w:t>
      </w:r>
      <w:r>
        <w:rPr>
          <w:rFonts w:ascii="仿宋" w:hAnsi="仿宋" w:eastAsia="仿宋"/>
          <w:sz w:val="32"/>
          <w:szCs w:val="32"/>
        </w:rPr>
        <w:t>信息报道</w:t>
      </w:r>
      <w:r>
        <w:rPr>
          <w:rFonts w:hint="eastAsia" w:ascii="仿宋" w:hAnsi="仿宋" w:eastAsia="仿宋"/>
          <w:sz w:val="32"/>
          <w:szCs w:val="32"/>
        </w:rPr>
        <w:t>和</w:t>
      </w:r>
      <w:r>
        <w:rPr>
          <w:rFonts w:ascii="仿宋" w:hAnsi="仿宋" w:eastAsia="仿宋"/>
          <w:sz w:val="32"/>
          <w:szCs w:val="32"/>
        </w:rPr>
        <w:t>外宣</w:t>
      </w:r>
      <w:r>
        <w:rPr>
          <w:rFonts w:hint="eastAsia" w:ascii="仿宋" w:hAnsi="仿宋" w:eastAsia="仿宋"/>
          <w:sz w:val="32"/>
          <w:szCs w:val="32"/>
        </w:rPr>
        <w:t>、</w:t>
      </w:r>
      <w:r>
        <w:rPr>
          <w:rFonts w:ascii="仿宋" w:hAnsi="仿宋" w:eastAsia="仿宋"/>
          <w:sz w:val="32"/>
          <w:szCs w:val="32"/>
        </w:rPr>
        <w:t>现代信息技术教学与管理</w:t>
      </w:r>
      <w:r>
        <w:rPr>
          <w:rFonts w:hint="eastAsia" w:ascii="仿宋" w:hAnsi="仿宋" w:eastAsia="仿宋"/>
          <w:sz w:val="32"/>
          <w:szCs w:val="32"/>
        </w:rPr>
        <w:t>、</w:t>
      </w:r>
      <w:r>
        <w:rPr>
          <w:rFonts w:ascii="仿宋" w:hAnsi="仿宋" w:eastAsia="仿宋"/>
          <w:sz w:val="32"/>
          <w:szCs w:val="32"/>
        </w:rPr>
        <w:t>校园网站和微信平台管理建设</w:t>
      </w:r>
      <w:r>
        <w:rPr>
          <w:rFonts w:hint="eastAsia" w:ascii="仿宋" w:hAnsi="仿宋" w:eastAsia="仿宋"/>
          <w:sz w:val="32"/>
          <w:szCs w:val="32"/>
        </w:rPr>
        <w:t>、</w:t>
      </w:r>
      <w:r>
        <w:rPr>
          <w:rFonts w:ascii="仿宋" w:hAnsi="仿宋" w:eastAsia="仿宋"/>
          <w:sz w:val="32"/>
          <w:szCs w:val="32"/>
        </w:rPr>
        <w:t>智慧教育实践研究等：</w:t>
      </w:r>
    </w:p>
    <w:p>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建立健全艺体工作管理制度。</w:t>
      </w:r>
    </w:p>
    <w:p>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组织管理学校艺体教学和</w:t>
      </w:r>
      <w:r>
        <w:rPr>
          <w:rFonts w:hint="eastAsia" w:ascii="仿宋" w:hAnsi="仿宋" w:eastAsia="仿宋"/>
          <w:sz w:val="32"/>
          <w:szCs w:val="32"/>
        </w:rPr>
        <w:t>科创</w:t>
      </w:r>
      <w:r>
        <w:rPr>
          <w:rFonts w:ascii="仿宋" w:hAnsi="仿宋" w:eastAsia="仿宋"/>
          <w:sz w:val="32"/>
          <w:szCs w:val="32"/>
        </w:rPr>
        <w:t>教育。</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安排好学生的课外体育活动。</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抓好艺体及科创</w:t>
      </w:r>
      <w:r>
        <w:rPr>
          <w:rFonts w:hint="eastAsia" w:ascii="仿宋" w:hAnsi="仿宋" w:eastAsia="仿宋"/>
          <w:sz w:val="32"/>
          <w:szCs w:val="32"/>
        </w:rPr>
        <w:t>活动</w:t>
      </w:r>
      <w:r>
        <w:rPr>
          <w:rFonts w:ascii="仿宋" w:hAnsi="仿宋" w:eastAsia="仿宋"/>
          <w:sz w:val="32"/>
          <w:szCs w:val="32"/>
        </w:rPr>
        <w:t>参赛工作，负责艺体特长生的人才培养与专业训练。</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.负责</w:t>
      </w:r>
      <w:r>
        <w:rPr>
          <w:rFonts w:ascii="仿宋" w:hAnsi="仿宋" w:eastAsia="仿宋"/>
          <w:sz w:val="32"/>
          <w:szCs w:val="32"/>
        </w:rPr>
        <w:t>利用学校网站及微信公众平台实时开展宣传报道等外宣工作。</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6.加强对学校科创教学活动的指导和研究，开展智慧教育实践研究，做好过程管理及资料归档工作。</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抓好艺体教师的思想品德、文化修养和业务培训，提高专业素质。</w:t>
      </w:r>
    </w:p>
    <w:p>
      <w:pPr>
        <w:spacing w:line="580" w:lineRule="exact"/>
        <w:ind w:firstLine="640" w:firstLineChars="200"/>
        <w:jc w:val="left"/>
        <w:rPr>
          <w:rFonts w:ascii="仿宋" w:hAnsi="仿宋" w:eastAsia="仿宋"/>
          <w:sz w:val="32"/>
          <w:szCs w:val="32"/>
        </w:rPr>
      </w:pPr>
      <w:r>
        <w:rPr>
          <w:rFonts w:ascii="仿宋" w:hAnsi="仿宋" w:eastAsia="仿宋"/>
          <w:sz w:val="32"/>
          <w:szCs w:val="32"/>
        </w:rPr>
        <w:t>安全办工作职责</w:t>
      </w:r>
    </w:p>
    <w:p>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加强治安秩序管理，开展法</w:t>
      </w:r>
      <w:r>
        <w:rPr>
          <w:rFonts w:hint="eastAsia" w:ascii="仿宋" w:hAnsi="仿宋" w:eastAsia="仿宋"/>
          <w:sz w:val="32"/>
          <w:szCs w:val="32"/>
        </w:rPr>
        <w:t>治</w:t>
      </w:r>
      <w:r>
        <w:rPr>
          <w:rFonts w:ascii="仿宋" w:hAnsi="仿宋" w:eastAsia="仿宋"/>
          <w:sz w:val="32"/>
          <w:szCs w:val="32"/>
        </w:rPr>
        <w:t>宣传教育，增强师生员工法</w:t>
      </w:r>
      <w:r>
        <w:rPr>
          <w:rFonts w:hint="eastAsia" w:ascii="仿宋" w:hAnsi="仿宋" w:eastAsia="仿宋"/>
          <w:sz w:val="32"/>
          <w:szCs w:val="32"/>
        </w:rPr>
        <w:t>治</w:t>
      </w:r>
      <w:r>
        <w:rPr>
          <w:rFonts w:ascii="仿宋" w:hAnsi="仿宋" w:eastAsia="仿宋"/>
          <w:sz w:val="32"/>
          <w:szCs w:val="32"/>
        </w:rPr>
        <w:t>观念，预防和减少违法犯罪行为。</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负责制定治安保卫、安全检查防火等工作的规章制度，制度要害和重点部位的安全保卫措施，经常执行情况。</w:t>
      </w:r>
    </w:p>
    <w:p>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pPr>
        <w:spacing w:line="58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pPr>
        <w:spacing w:line="58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pPr>
        <w:spacing w:line="580" w:lineRule="exact"/>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（三）人员情况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遂宁市安居区会龙镇</w:t>
      </w:r>
      <w:r>
        <w:rPr>
          <w:rFonts w:ascii="仿宋" w:hAnsi="仿宋" w:eastAsia="仿宋"/>
          <w:sz w:val="32"/>
          <w:szCs w:val="32"/>
        </w:rPr>
        <w:t>保山小学校</w:t>
      </w:r>
      <w:r>
        <w:rPr>
          <w:rFonts w:hint="eastAsia" w:ascii="仿宋" w:hAnsi="仿宋" w:eastAsia="仿宋"/>
          <w:sz w:val="32"/>
          <w:szCs w:val="32"/>
        </w:rPr>
        <w:t>年初在职教师</w:t>
      </w:r>
      <w:r>
        <w:rPr>
          <w:rFonts w:hint="eastAsia" w:ascii="仿宋" w:hAnsi="仿宋" w:eastAsia="仿宋"/>
          <w:sz w:val="32"/>
          <w:szCs w:val="32"/>
          <w:lang w:val="en-US" w:eastAsia="zh-CN"/>
        </w:rPr>
        <w:t>20</w:t>
      </w:r>
      <w:r>
        <w:rPr>
          <w:rFonts w:ascii="仿宋" w:hAnsi="仿宋" w:eastAsia="仿宋"/>
          <w:sz w:val="32"/>
          <w:szCs w:val="32"/>
        </w:rPr>
        <w:t>人，</w:t>
      </w:r>
      <w:r>
        <w:rPr>
          <w:rFonts w:hint="eastAsia" w:ascii="仿宋" w:hAnsi="仿宋" w:eastAsia="仿宋"/>
          <w:sz w:val="32"/>
          <w:szCs w:val="32"/>
        </w:rPr>
        <w:t>年末在职教师</w:t>
      </w:r>
      <w:r>
        <w:rPr>
          <w:rFonts w:hint="eastAsia" w:ascii="仿宋" w:hAnsi="仿宋" w:eastAsia="仿宋"/>
          <w:sz w:val="32"/>
          <w:szCs w:val="32"/>
          <w:lang w:val="en-US" w:eastAsia="zh-CN"/>
        </w:rPr>
        <w:t>0</w:t>
      </w:r>
      <w:r>
        <w:rPr>
          <w:rFonts w:ascii="仿宋" w:hAnsi="仿宋" w:eastAsia="仿宋"/>
          <w:sz w:val="32"/>
          <w:szCs w:val="32"/>
        </w:rPr>
        <w:t>人</w:t>
      </w:r>
      <w:r>
        <w:rPr>
          <w:rFonts w:hint="eastAsia" w:ascii="仿宋" w:hAnsi="仿宋" w:eastAsia="仿宋"/>
          <w:sz w:val="32"/>
          <w:szCs w:val="32"/>
        </w:rPr>
        <w:t>，</w:t>
      </w:r>
      <w:r>
        <w:rPr>
          <w:rFonts w:hint="eastAsia" w:ascii="仿宋" w:hAnsi="仿宋" w:eastAsia="仿宋"/>
          <w:sz w:val="32"/>
          <w:szCs w:val="32"/>
          <w:lang w:eastAsia="zh-CN"/>
        </w:rPr>
        <w:t>学校撤并调动到其他学校；</w:t>
      </w:r>
      <w:r>
        <w:rPr>
          <w:rFonts w:hint="eastAsia" w:ascii="仿宋" w:hAnsi="仿宋" w:eastAsia="仿宋"/>
          <w:sz w:val="32"/>
          <w:szCs w:val="32"/>
        </w:rPr>
        <w:t>年初退休教师2</w:t>
      </w:r>
      <w:r>
        <w:rPr>
          <w:rFonts w:ascii="仿宋" w:hAnsi="仿宋" w:eastAsia="仿宋"/>
          <w:sz w:val="32"/>
          <w:szCs w:val="32"/>
        </w:rPr>
        <w:t>6</w:t>
      </w:r>
      <w:r>
        <w:rPr>
          <w:rFonts w:hint="eastAsia" w:ascii="仿宋" w:hAnsi="仿宋" w:eastAsia="仿宋"/>
          <w:sz w:val="32"/>
          <w:szCs w:val="32"/>
        </w:rPr>
        <w:t>人，年末退休教师</w:t>
      </w:r>
      <w:r>
        <w:rPr>
          <w:rFonts w:hint="eastAsia" w:ascii="仿宋" w:hAnsi="仿宋" w:eastAsia="仿宋"/>
          <w:sz w:val="32"/>
          <w:szCs w:val="32"/>
          <w:lang w:val="en-US" w:eastAsia="zh-CN"/>
        </w:rPr>
        <w:t>0</w:t>
      </w:r>
      <w:r>
        <w:rPr>
          <w:rFonts w:hint="eastAsia" w:ascii="仿宋" w:hAnsi="仿宋" w:eastAsia="仿宋"/>
          <w:sz w:val="32"/>
          <w:szCs w:val="32"/>
        </w:rPr>
        <w:t>人</w:t>
      </w:r>
      <w:r>
        <w:rPr>
          <w:rFonts w:hint="eastAsia" w:ascii="仿宋" w:hAnsi="仿宋" w:eastAsia="仿宋"/>
          <w:sz w:val="32"/>
          <w:szCs w:val="32"/>
          <w:lang w:eastAsia="zh-CN"/>
        </w:rPr>
        <w:t>，学校撤并全部并入会龙初中</w:t>
      </w:r>
      <w:r>
        <w:rPr>
          <w:rFonts w:ascii="仿宋" w:hAnsi="仿宋" w:eastAsia="仿宋"/>
          <w:sz w:val="32"/>
          <w:szCs w:val="32"/>
        </w:rPr>
        <w:t>。</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二、部门财政资金收支情况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（一）部门财政资金收入情况。</w:t>
      </w:r>
    </w:p>
    <w:p>
      <w:pPr>
        <w:spacing w:line="600" w:lineRule="exact"/>
        <w:ind w:firstLine="640" w:firstLineChars="200"/>
        <w:outlineLvl w:val="9"/>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408.01</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406.36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99.60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1.65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0.40</w:t>
      </w:r>
      <w:r>
        <w:rPr>
          <w:rFonts w:ascii="仿宋" w:hAnsi="仿宋" w:eastAsia="仿宋"/>
          <w:color w:val="000000"/>
          <w:sz w:val="32"/>
          <w:szCs w:val="32"/>
        </w:rPr>
        <w:t>%</w:t>
      </w:r>
      <w:r>
        <w:rPr>
          <w:rFonts w:hint="eastAsia" w:ascii="仿宋" w:hAnsi="仿宋" w:eastAsia="仿宋"/>
          <w:color w:val="000000"/>
          <w:sz w:val="32"/>
          <w:szCs w:val="32"/>
        </w:rPr>
        <w:t>。</w:t>
      </w:r>
    </w:p>
    <w:p>
      <w:pPr>
        <w:widowControl/>
        <w:numPr>
          <w:ilvl w:val="0"/>
          <w:numId w:val="3"/>
        </w:numPr>
        <w:adjustRightInd w:val="0"/>
        <w:snapToGrid w:val="0"/>
        <w:spacing w:line="560" w:lineRule="exact"/>
        <w:ind w:firstLine="640" w:firstLineChars="200"/>
        <w:contextualSpacing/>
        <w:jc w:val="left"/>
        <w:outlineLvl w:val="9"/>
        <w:rPr>
          <w:rFonts w:ascii="仿宋" w:hAnsi="仿宋" w:eastAsia="仿宋"/>
          <w:sz w:val="32"/>
          <w:szCs w:val="32"/>
        </w:rPr>
      </w:pPr>
      <w:r>
        <w:rPr>
          <w:rFonts w:hint="eastAsia" w:ascii="仿宋" w:hAnsi="仿宋" w:eastAsia="仿宋"/>
          <w:sz w:val="32"/>
          <w:szCs w:val="32"/>
        </w:rPr>
        <w:t>部门财政资金支出情况。</w:t>
      </w:r>
    </w:p>
    <w:p>
      <w:pPr>
        <w:spacing w:line="600" w:lineRule="exact"/>
        <w:ind w:firstLine="640" w:firstLineChars="200"/>
        <w:outlineLvl w:val="9"/>
        <w:rPr>
          <w:rFonts w:ascii="仿宋" w:hAnsi="仿宋" w:eastAsia="仿宋"/>
          <w:sz w:val="32"/>
          <w:szCs w:val="32"/>
        </w:rPr>
      </w:pPr>
      <w:r>
        <w:rPr>
          <w:rFonts w:ascii="仿宋" w:hAnsi="仿宋" w:eastAsia="仿宋"/>
          <w:color w:val="000000"/>
          <w:sz w:val="32"/>
          <w:szCs w:val="32"/>
        </w:rPr>
        <w:t>202</w:t>
      </w:r>
      <w:r>
        <w:rPr>
          <w:rFonts w:hint="eastAsia" w:ascii="仿宋" w:hAnsi="仿宋" w:eastAsia="仿宋"/>
          <w:color w:val="000000"/>
          <w:sz w:val="32"/>
          <w:szCs w:val="32"/>
        </w:rPr>
        <w:t>3年本年支出合计</w:t>
      </w:r>
      <w:r>
        <w:rPr>
          <w:rFonts w:hint="eastAsia" w:ascii="仿宋" w:hAnsi="仿宋" w:eastAsia="仿宋"/>
          <w:color w:val="000000"/>
          <w:sz w:val="32"/>
          <w:szCs w:val="32"/>
          <w:lang w:val="en-US" w:eastAsia="zh-CN"/>
        </w:rPr>
        <w:t>408.01</w:t>
      </w:r>
      <w:r>
        <w:rPr>
          <w:rFonts w:hint="eastAsia" w:ascii="仿宋" w:hAnsi="仿宋" w:eastAsia="仿宋"/>
          <w:color w:val="000000"/>
          <w:sz w:val="32"/>
          <w:szCs w:val="32"/>
        </w:rPr>
        <w:t>万元，其中：</w:t>
      </w:r>
      <w:r>
        <w:rPr>
          <w:rFonts w:hint="eastAsia" w:ascii="仿宋" w:hAnsi="仿宋" w:eastAsia="仿宋"/>
          <w:b/>
          <w:sz w:val="32"/>
          <w:szCs w:val="32"/>
        </w:rPr>
        <w:t>教育支出</w:t>
      </w:r>
      <w:r>
        <w:rPr>
          <w:rFonts w:hint="eastAsia" w:ascii="仿宋" w:hAnsi="仿宋" w:eastAsia="仿宋"/>
          <w:sz w:val="32"/>
          <w:szCs w:val="32"/>
          <w:lang w:val="en-US" w:eastAsia="zh-CN"/>
        </w:rPr>
        <w:t>311.50</w:t>
      </w:r>
      <w:r>
        <w:rPr>
          <w:rFonts w:hint="eastAsia" w:ascii="仿宋" w:hAnsi="仿宋" w:eastAsia="仿宋"/>
          <w:sz w:val="32"/>
          <w:szCs w:val="32"/>
        </w:rPr>
        <w:t>万元，占</w:t>
      </w:r>
      <w:r>
        <w:rPr>
          <w:rFonts w:hint="eastAsia" w:ascii="仿宋" w:hAnsi="仿宋" w:eastAsia="仿宋"/>
          <w:sz w:val="32"/>
          <w:szCs w:val="32"/>
          <w:lang w:val="en-US" w:eastAsia="zh-CN"/>
        </w:rPr>
        <w:t>76.35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55.28</w:t>
      </w:r>
      <w:r>
        <w:rPr>
          <w:rFonts w:hint="eastAsia" w:ascii="仿宋" w:hAnsi="仿宋" w:eastAsia="仿宋"/>
          <w:sz w:val="32"/>
          <w:szCs w:val="32"/>
        </w:rPr>
        <w:t>万元，占</w:t>
      </w:r>
      <w:r>
        <w:rPr>
          <w:rFonts w:hint="eastAsia" w:ascii="仿宋" w:hAnsi="仿宋" w:eastAsia="仿宋"/>
          <w:sz w:val="32"/>
          <w:szCs w:val="32"/>
          <w:lang w:val="en-US" w:eastAsia="zh-CN"/>
        </w:rPr>
        <w:t>13.55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15.47</w:t>
      </w:r>
      <w:r>
        <w:rPr>
          <w:rFonts w:hint="eastAsia" w:ascii="仿宋" w:hAnsi="仿宋" w:eastAsia="仿宋"/>
          <w:sz w:val="32"/>
          <w:szCs w:val="32"/>
        </w:rPr>
        <w:t>万元，占</w:t>
      </w:r>
      <w:r>
        <w:rPr>
          <w:rFonts w:hint="eastAsia" w:ascii="仿宋" w:hAnsi="仿宋" w:eastAsia="仿宋"/>
          <w:sz w:val="32"/>
          <w:szCs w:val="32"/>
          <w:lang w:val="en-US" w:eastAsia="zh-CN"/>
        </w:rPr>
        <w:t>3.79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25.76</w:t>
      </w:r>
      <w:r>
        <w:rPr>
          <w:rFonts w:hint="eastAsia" w:ascii="仿宋" w:hAnsi="仿宋" w:eastAsia="仿宋"/>
          <w:sz w:val="32"/>
          <w:szCs w:val="32"/>
        </w:rPr>
        <w:t>万元，占</w:t>
      </w:r>
      <w:r>
        <w:rPr>
          <w:rFonts w:hint="eastAsia" w:ascii="仿宋" w:hAnsi="仿宋" w:eastAsia="仿宋"/>
          <w:sz w:val="32"/>
          <w:szCs w:val="32"/>
          <w:lang w:val="en-US" w:eastAsia="zh-CN"/>
        </w:rPr>
        <w:t>6.31</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outlineLvl w:val="9"/>
        <w:rPr>
          <w:rFonts w:ascii="仿宋" w:hAnsi="仿宋" w:eastAsia="仿宋"/>
          <w:sz w:val="32"/>
          <w:szCs w:val="32"/>
        </w:rPr>
      </w:pPr>
      <w:r>
        <w:rPr>
          <w:rFonts w:hint="eastAsia" w:ascii="仿宋" w:hAnsi="仿宋" w:eastAsia="仿宋"/>
          <w:sz w:val="32"/>
          <w:szCs w:val="32"/>
        </w:rPr>
        <w:t>三、部门整体预算绩效管理情况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（一）部门预算管理。</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遂宁市安居区会龙镇</w:t>
      </w:r>
      <w:r>
        <w:rPr>
          <w:rFonts w:ascii="仿宋" w:hAnsi="仿宋" w:eastAsia="仿宋"/>
          <w:sz w:val="32"/>
          <w:szCs w:val="32"/>
        </w:rPr>
        <w:t>保山小学校</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预算编制，是根据安居区财政局的安排，在区财政局教科文卫股、预算股的指导下，组织财务方面的相关工作人员，进行预算编制，预算编制质量好，受到区财政局的好评。绩效目标按照区财政要求进行填报。</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（二）结果应用情况。</w:t>
      </w:r>
    </w:p>
    <w:p>
      <w:pPr>
        <w:widowControl/>
        <w:adjustRightInd w:val="0"/>
        <w:snapToGrid w:val="0"/>
        <w:spacing w:line="560" w:lineRule="exact"/>
        <w:ind w:firstLine="640" w:firstLineChars="200"/>
        <w:contextualSpacing/>
        <w:jc w:val="left"/>
        <w:outlineLvl w:val="9"/>
        <w:rPr>
          <w:rFonts w:ascii="仿宋" w:hAnsi="仿宋" w:eastAsia="仿宋"/>
          <w:sz w:val="32"/>
          <w:szCs w:val="32"/>
        </w:rPr>
      </w:pPr>
      <w:r>
        <w:rPr>
          <w:rFonts w:hint="eastAsia" w:ascii="仿宋" w:hAnsi="仿宋" w:eastAsia="仿宋"/>
          <w:sz w:val="32"/>
          <w:szCs w:val="32"/>
        </w:rPr>
        <w:t>遂宁市安居区会龙镇</w:t>
      </w:r>
      <w:r>
        <w:rPr>
          <w:rFonts w:ascii="仿宋" w:hAnsi="仿宋" w:eastAsia="仿宋"/>
          <w:sz w:val="32"/>
          <w:szCs w:val="32"/>
        </w:rPr>
        <w:t>保山小学校</w:t>
      </w:r>
      <w:r>
        <w:rPr>
          <w:rFonts w:hint="eastAsia" w:ascii="仿宋" w:hAnsi="仿宋" w:eastAsia="仿宋"/>
          <w:sz w:val="32"/>
          <w:szCs w:val="32"/>
        </w:rPr>
        <w:t>认真履职尽责，认真完成项目任务，所有项目均开展绩效评价，评价效果良好，对于财政预算资金多次接受省、市、区的检查，所有资金的支出，接受财政部门的监督管理，圆满完成202</w:t>
      </w:r>
      <w:r>
        <w:rPr>
          <w:rFonts w:hint="eastAsia" w:ascii="仿宋" w:hAnsi="仿宋" w:eastAsia="仿宋"/>
          <w:sz w:val="32"/>
          <w:szCs w:val="32"/>
          <w:lang w:val="en-US" w:eastAsia="zh-CN"/>
        </w:rPr>
        <w:t>4</w:t>
      </w:r>
      <w:r>
        <w:rPr>
          <w:rFonts w:hint="eastAsia" w:ascii="仿宋" w:hAnsi="仿宋" w:eastAsia="仿宋"/>
          <w:sz w:val="32"/>
          <w:szCs w:val="32"/>
        </w:rPr>
        <w:t>年的目标任务。</w:t>
      </w:r>
    </w:p>
    <w:p>
      <w:pPr>
        <w:widowControl/>
        <w:adjustRightInd w:val="0"/>
        <w:snapToGrid w:val="0"/>
        <w:spacing w:line="560" w:lineRule="exact"/>
        <w:ind w:firstLine="640" w:firstLineChars="200"/>
        <w:contextualSpacing/>
        <w:jc w:val="left"/>
        <w:outlineLvl w:val="9"/>
        <w:rPr>
          <w:rFonts w:ascii="仿宋" w:hAnsi="仿宋" w:eastAsia="仿宋"/>
          <w:sz w:val="32"/>
          <w:szCs w:val="32"/>
        </w:rPr>
      </w:pPr>
      <w:r>
        <w:rPr>
          <w:rFonts w:hint="eastAsia" w:ascii="仿宋" w:hAnsi="仿宋" w:eastAsia="仿宋"/>
          <w:sz w:val="32"/>
          <w:szCs w:val="32"/>
        </w:rPr>
        <w:t>四、评价结论及建议</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（一）评价结论。</w:t>
      </w:r>
    </w:p>
    <w:p>
      <w:pPr>
        <w:pStyle w:val="30"/>
        <w:spacing w:line="560" w:lineRule="exact"/>
        <w:ind w:firstLine="640" w:firstLineChars="200"/>
        <w:rPr>
          <w:rFonts w:ascii="黑体" w:hAnsi="黑体" w:eastAsia="黑体"/>
          <w:color w:val="FF0000"/>
          <w:sz w:val="44"/>
          <w:szCs w:val="44"/>
        </w:rPr>
      </w:pPr>
      <w:r>
        <w:rPr>
          <w:rFonts w:hint="eastAsia" w:hAnsi="仿宋"/>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w:t>
      </w:r>
      <w:r>
        <w:rPr>
          <w:rFonts w:ascii="仿宋_GB2312" w:eastAsia="仿宋_GB2312"/>
          <w:sz w:val="32"/>
          <w:szCs w:val="32"/>
        </w:rPr>
        <w:t>部门整体支出绩效自评得分</w:t>
      </w:r>
      <w:r>
        <w:rPr>
          <w:rFonts w:hint="eastAsia" w:ascii="仿宋_GB2312" w:eastAsia="仿宋_GB2312"/>
          <w:sz w:val="32"/>
          <w:szCs w:val="32"/>
        </w:rPr>
        <w:t>100分</w:t>
      </w:r>
      <w:r>
        <w:rPr>
          <w:rFonts w:ascii="仿宋_GB2312" w:eastAsia="仿宋_GB2312"/>
          <w:sz w:val="32"/>
          <w:szCs w:val="32"/>
        </w:rPr>
        <w:t xml:space="preserve"> 。</w:t>
      </w:r>
      <w:bookmarkStart w:id="66" w:name="_Toc15396618"/>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（二）存在问题。</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学校地处农村，生源少。</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（三）改进建议。</w:t>
      </w:r>
    </w:p>
    <w:p>
      <w:pPr>
        <w:pStyle w:val="9"/>
        <w:spacing w:before="93"/>
        <w:rPr>
          <w:rFonts w:hAnsi="Calibri" w:cs="仿宋"/>
          <w:sz w:val="32"/>
          <w:szCs w:val="32"/>
        </w:rPr>
      </w:pPr>
      <w:r>
        <w:rPr>
          <w:rFonts w:hint="eastAsia" w:ascii="仿宋" w:hAnsi="仿宋" w:eastAsia="仿宋"/>
          <w:sz w:val="32"/>
          <w:szCs w:val="32"/>
        </w:rPr>
        <w:t>向主管部门汇报情况，争取上级或本级资金，加快校园建设，完善教学基础设施，更新教学理念。提高学生的竞争力。</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313" w:beforeLines="100"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w:t>
      </w:r>
      <w:r>
        <w:rPr>
          <w:rFonts w:hint="eastAsia" w:ascii="Times New Roman" w:hAnsi="Times New Roman" w:eastAsia="仿宋_GB2312" w:cs="Times New Roman"/>
          <w:kern w:val="2"/>
          <w:sz w:val="32"/>
          <w:szCs w:val="32"/>
          <w:u w:val="none"/>
          <w:lang w:val="en-US" w:eastAsia="zh-CN" w:bidi="ar"/>
        </w:rPr>
        <w:t>件</w:t>
      </w:r>
      <w:r>
        <w:rPr>
          <w:rFonts w:hint="eastAsia" w:ascii="Times New Roman" w:hAnsi="Times New Roman" w:eastAsia="仿宋_GB2312" w:cs="Times New Roman"/>
          <w:kern w:val="2"/>
          <w:sz w:val="32"/>
          <w:szCs w:val="32"/>
          <w:u w:val="none"/>
          <w:lang w:val="zh-CN" w:eastAsia="zh-CN" w:bidi="ar"/>
        </w:rPr>
        <w:t>：</w:t>
      </w:r>
      <w:r>
        <w:rPr>
          <w:rFonts w:hint="eastAsia" w:ascii="Times New Roman" w:hAnsi="Times New Roman" w:eastAsia="仿宋_GB2312" w:cs="Times New Roman"/>
          <w:kern w:val="2"/>
          <w:sz w:val="32"/>
          <w:szCs w:val="32"/>
          <w:u w:val="none"/>
          <w:lang w:val="en-US" w:eastAsia="zh-CN" w:bidi="ar"/>
        </w:rPr>
        <w:t>1.</w:t>
      </w:r>
      <w:r>
        <w:rPr>
          <w:rFonts w:hint="default" w:ascii="Times New Roman" w:hAnsi="Times New Roman" w:eastAsia="仿宋_GB2312" w:cs="Times New Roman"/>
          <w:kern w:val="2"/>
          <w:sz w:val="32"/>
          <w:szCs w:val="32"/>
          <w:u w:val="none"/>
          <w:lang w:val="en-US" w:eastAsia="zh-CN" w:bidi="ar"/>
        </w:rPr>
        <w:t>部门整体支出绩效自评表</w:t>
      </w:r>
    </w:p>
    <w:p>
      <w:pPr>
        <w:pStyle w:val="3"/>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
        </w:rPr>
        <w:t>2.部门预算项目支出绩效自评表（2024年度）</w:t>
      </w:r>
    </w:p>
    <w:tbl>
      <w:tblPr>
        <w:tblStyle w:val="17"/>
        <w:tblW w:w="5000" w:type="pct"/>
        <w:jc w:val="center"/>
        <w:tblLayout w:type="autofit"/>
        <w:tblCellMar>
          <w:top w:w="0" w:type="dxa"/>
          <w:left w:w="108" w:type="dxa"/>
          <w:bottom w:w="0" w:type="dxa"/>
          <w:right w:w="108" w:type="dxa"/>
        </w:tblCellMar>
      </w:tblPr>
      <w:tblGrid>
        <w:gridCol w:w="699"/>
        <w:gridCol w:w="699"/>
        <w:gridCol w:w="1105"/>
        <w:gridCol w:w="456"/>
        <w:gridCol w:w="1318"/>
        <w:gridCol w:w="3046"/>
        <w:gridCol w:w="666"/>
        <w:gridCol w:w="533"/>
      </w:tblGrid>
      <w:tr>
        <w:tblPrEx>
          <w:tblCellMar>
            <w:top w:w="0" w:type="dxa"/>
            <w:left w:w="108" w:type="dxa"/>
            <w:bottom w:w="0" w:type="dxa"/>
            <w:right w:w="108" w:type="dxa"/>
          </w:tblCellMar>
        </w:tblPrEx>
        <w:trPr>
          <w:trHeight w:val="519"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tblPrEx>
          <w:tblCellMar>
            <w:top w:w="0" w:type="dxa"/>
            <w:left w:w="108" w:type="dxa"/>
            <w:bottom w:w="0" w:type="dxa"/>
            <w:right w:w="108" w:type="dxa"/>
          </w:tblCellMar>
        </w:tblPrEx>
        <w:trPr>
          <w:trHeight w:val="519" w:hRule="atLeast"/>
          <w:jc w:val="center"/>
        </w:trPr>
        <w:tc>
          <w:tcPr>
            <w:tcW w:w="1737" w:type="pct"/>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绩效指标</w:t>
            </w:r>
          </w:p>
        </w:tc>
        <w:tc>
          <w:tcPr>
            <w:tcW w:w="773"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指标解释</w:t>
            </w:r>
          </w:p>
        </w:tc>
        <w:tc>
          <w:tcPr>
            <w:tcW w:w="178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评分说明</w:t>
            </w:r>
          </w:p>
        </w:tc>
        <w:tc>
          <w:tcPr>
            <w:tcW w:w="390" w:type="pct"/>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自评得分</w:t>
            </w:r>
          </w:p>
        </w:tc>
        <w:tc>
          <w:tcPr>
            <w:tcW w:w="310" w:type="pct"/>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备注</w:t>
            </w:r>
          </w:p>
        </w:tc>
      </w:tr>
      <w:tr>
        <w:tblPrEx>
          <w:tblCellMar>
            <w:top w:w="0" w:type="dxa"/>
            <w:left w:w="108" w:type="dxa"/>
            <w:bottom w:w="0" w:type="dxa"/>
            <w:right w:w="108" w:type="dxa"/>
          </w:tblCellMar>
        </w:tblPrEx>
        <w:trPr>
          <w:trHeight w:val="1248" w:hRule="atLeast"/>
          <w:jc w:val="center"/>
        </w:trPr>
        <w:tc>
          <w:tcPr>
            <w:tcW w:w="410" w:type="pct"/>
            <w:tcBorders>
              <w:top w:val="nil"/>
              <w:left w:val="single" w:color="auto" w:sz="4" w:space="0"/>
              <w:bottom w:val="single" w:color="auto" w:sz="4" w:space="0"/>
              <w:right w:val="nil"/>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一级指标</w:t>
            </w:r>
          </w:p>
        </w:tc>
        <w:tc>
          <w:tcPr>
            <w:tcW w:w="410"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二级指标</w:t>
            </w:r>
          </w:p>
        </w:tc>
        <w:tc>
          <w:tcPr>
            <w:tcW w:w="649" w:type="pct"/>
            <w:tcBorders>
              <w:top w:val="nil"/>
              <w:left w:val="nil"/>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三级指标</w:t>
            </w:r>
          </w:p>
        </w:tc>
        <w:tc>
          <w:tcPr>
            <w:tcW w:w="268" w:type="pct"/>
            <w:tcBorders>
              <w:top w:val="nil"/>
              <w:left w:val="nil"/>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指标分值</w:t>
            </w:r>
          </w:p>
        </w:tc>
        <w:tc>
          <w:tcPr>
            <w:tcW w:w="77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 w:val="24"/>
              </w:rPr>
            </w:pPr>
          </w:p>
        </w:tc>
        <w:tc>
          <w:tcPr>
            <w:tcW w:w="178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 w:val="24"/>
              </w:rPr>
            </w:pPr>
          </w:p>
        </w:tc>
        <w:tc>
          <w:tcPr>
            <w:tcW w:w="390" w:type="pct"/>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kern w:val="0"/>
                <w:sz w:val="24"/>
              </w:rPr>
            </w:pPr>
          </w:p>
        </w:tc>
        <w:tc>
          <w:tcPr>
            <w:tcW w:w="310" w:type="pct"/>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kern w:val="0"/>
                <w:sz w:val="24"/>
              </w:rPr>
            </w:pPr>
          </w:p>
        </w:tc>
      </w:tr>
      <w:tr>
        <w:tblPrEx>
          <w:tblCellMar>
            <w:top w:w="0" w:type="dxa"/>
            <w:left w:w="108" w:type="dxa"/>
            <w:bottom w:w="0" w:type="dxa"/>
            <w:right w:w="108" w:type="dxa"/>
          </w:tblCellMar>
        </w:tblPrEx>
        <w:trPr>
          <w:trHeight w:val="468" w:hRule="atLeast"/>
          <w:jc w:val="center"/>
        </w:trPr>
        <w:tc>
          <w:tcPr>
            <w:tcW w:w="41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10" w:type="pct"/>
            <w:vMerge w:val="restart"/>
            <w:tcBorders>
              <w:top w:val="nil"/>
              <w:left w:val="single" w:color="auto" w:sz="4" w:space="0"/>
              <w:bottom w:val="nil"/>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（19分）</w:t>
            </w:r>
          </w:p>
        </w:tc>
        <w:tc>
          <w:tcPr>
            <w:tcW w:w="64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人才培养</w:t>
            </w:r>
          </w:p>
        </w:tc>
        <w:tc>
          <w:tcPr>
            <w:tcW w:w="268" w:type="pct"/>
            <w:vMerge w:val="restart"/>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773" w:type="pct"/>
            <w:vMerge w:val="restart"/>
            <w:tcBorders>
              <w:top w:val="nil"/>
              <w:left w:val="single" w:color="auto" w:sz="4" w:space="0"/>
              <w:bottom w:val="nil"/>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评价学校在人才培养、科学研究、社会服务、文化传承等核心职能方面的效果。</w:t>
            </w:r>
          </w:p>
        </w:tc>
        <w:tc>
          <w:tcPr>
            <w:tcW w:w="1787" w:type="pct"/>
            <w:vMerge w:val="restart"/>
            <w:tcBorders>
              <w:top w:val="nil"/>
              <w:left w:val="single" w:color="auto" w:sz="4" w:space="0"/>
              <w:bottom w:val="nil"/>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人才方面：完成学前教育及小学阶段招送生；教学质量方面：课程建设成果，教研成果，师生满意度等；科学研究方面：教研经费的保障，教学论文的发表等。</w:t>
            </w:r>
          </w:p>
        </w:tc>
        <w:tc>
          <w:tcPr>
            <w:tcW w:w="390" w:type="pct"/>
            <w:vMerge w:val="restart"/>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310" w:type="pct"/>
            <w:vMerge w:val="restart"/>
            <w:tcBorders>
              <w:top w:val="nil"/>
              <w:left w:val="single" w:color="auto" w:sz="4" w:space="0"/>
              <w:bottom w:val="nil"/>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8"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0"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4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教学质量</w:t>
            </w:r>
          </w:p>
        </w:tc>
        <w:tc>
          <w:tcPr>
            <w:tcW w:w="268"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773"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178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390" w:type="pct"/>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p>
        </w:tc>
        <w:tc>
          <w:tcPr>
            <w:tcW w:w="310"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0"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4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科学研究</w:t>
            </w:r>
          </w:p>
        </w:tc>
        <w:tc>
          <w:tcPr>
            <w:tcW w:w="268"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773"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178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390" w:type="pct"/>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p>
        </w:tc>
        <w:tc>
          <w:tcPr>
            <w:tcW w:w="310"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0"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4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社会服务</w:t>
            </w:r>
          </w:p>
        </w:tc>
        <w:tc>
          <w:tcPr>
            <w:tcW w:w="268"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773"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178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390" w:type="pct"/>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p>
        </w:tc>
        <w:tc>
          <w:tcPr>
            <w:tcW w:w="310"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0"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4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268"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773"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178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390" w:type="pct"/>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p>
        </w:tc>
        <w:tc>
          <w:tcPr>
            <w:tcW w:w="310"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36"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（21分）</w:t>
            </w:r>
          </w:p>
        </w:tc>
        <w:tc>
          <w:tcPr>
            <w:tcW w:w="64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预算编制质量</w:t>
            </w:r>
          </w:p>
        </w:tc>
        <w:tc>
          <w:tcPr>
            <w:tcW w:w="268"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773"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证明预算编制科学、精准。</w:t>
            </w:r>
          </w:p>
        </w:tc>
        <w:tc>
          <w:tcPr>
            <w:tcW w:w="1787"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预算编制充分征求各部门意见，经过两上两下程序，预算项目均经过事前绩效评估，与学校年度工作计划紧密相连。</w:t>
            </w:r>
          </w:p>
        </w:tc>
        <w:tc>
          <w:tcPr>
            <w:tcW w:w="390"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31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68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4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支出执行进度</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773"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预算执行的及时性</w:t>
            </w:r>
          </w:p>
        </w:tc>
        <w:tc>
          <w:tcPr>
            <w:tcW w:w="178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全年的预算执行率数据1-6月执行率50%，1-9月执行率75%，全年执行率</w:t>
            </w:r>
            <w:r>
              <w:rPr>
                <w:rFonts w:hint="eastAsia" w:ascii="宋体" w:hAnsi="宋体" w:cs="宋体"/>
                <w:color w:val="000000"/>
                <w:kern w:val="0"/>
                <w:sz w:val="18"/>
                <w:szCs w:val="18"/>
                <w:lang w:val="en-US" w:eastAsia="zh-CN"/>
              </w:rPr>
              <w:t>100</w:t>
            </w:r>
            <w:r>
              <w:rPr>
                <w:rFonts w:hint="eastAsia" w:ascii="宋体" w:hAnsi="宋体" w:cs="宋体"/>
                <w:color w:val="000000"/>
                <w:kern w:val="0"/>
                <w:sz w:val="18"/>
                <w:szCs w:val="18"/>
              </w:rPr>
              <w:t>%）。</w:t>
            </w:r>
          </w:p>
        </w:tc>
        <w:tc>
          <w:tcPr>
            <w:tcW w:w="390"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8.85</w:t>
            </w:r>
          </w:p>
        </w:tc>
        <w:tc>
          <w:tcPr>
            <w:tcW w:w="3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19"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4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预算年终结余</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773"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1787"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390" w:type="pc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8</w:t>
            </w:r>
          </w:p>
        </w:tc>
        <w:tc>
          <w:tcPr>
            <w:tcW w:w="3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266"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49"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严控一般性支出</w:t>
            </w:r>
          </w:p>
        </w:tc>
        <w:tc>
          <w:tcPr>
            <w:tcW w:w="268"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73"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对三公经费的严控度</w:t>
            </w:r>
          </w:p>
        </w:tc>
        <w:tc>
          <w:tcPr>
            <w:tcW w:w="1787"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“严格执行‘过紧日子’要求，202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年‘三公’经费零支出。</w:t>
            </w:r>
            <w:r>
              <w:rPr>
                <w:rFonts w:hint="eastAsia" w:ascii="宋体" w:hAnsi="宋体" w:cs="宋体"/>
                <w:color w:val="000000"/>
                <w:kern w:val="0"/>
                <w:sz w:val="18"/>
                <w:szCs w:val="18"/>
                <w:lang w:val="en-US" w:eastAsia="zh-CN"/>
              </w:rPr>
              <w:t>与2023年持平。</w:t>
            </w:r>
            <w:r>
              <w:rPr>
                <w:rFonts w:hint="eastAsia" w:ascii="宋体" w:hAnsi="宋体" w:cs="宋体"/>
                <w:color w:val="000000"/>
                <w:kern w:val="0"/>
                <w:sz w:val="18"/>
                <w:szCs w:val="18"/>
              </w:rPr>
              <w:t>”</w:t>
            </w:r>
          </w:p>
        </w:tc>
        <w:tc>
          <w:tcPr>
            <w:tcW w:w="390"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304"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0" w:type="pct"/>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49" w:type="pct"/>
            <w:tcBorders>
              <w:top w:val="single" w:color="auto"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人均资产变化率</w:t>
            </w:r>
          </w:p>
        </w:tc>
        <w:tc>
          <w:tcPr>
            <w:tcW w:w="268" w:type="pct"/>
            <w:tcBorders>
              <w:top w:val="single" w:color="auto"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73" w:type="pct"/>
            <w:tcBorders>
              <w:top w:val="single" w:color="auto"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反映资产配置效率。</w:t>
            </w:r>
          </w:p>
        </w:tc>
        <w:tc>
          <w:tcPr>
            <w:tcW w:w="1787" w:type="pct"/>
            <w:tcBorders>
              <w:top w:val="single" w:color="auto"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计算总资产 / 教职工人数，与上年对比，合理增</w:t>
            </w:r>
            <w:r>
              <w:rPr>
                <w:rFonts w:hint="eastAsia" w:ascii="宋体" w:hAnsi="宋体" w:cs="宋体"/>
                <w:color w:val="000000"/>
                <w:kern w:val="0"/>
                <w:sz w:val="18"/>
                <w:szCs w:val="18"/>
                <w:lang w:val="en-US" w:eastAsia="zh-CN"/>
              </w:rPr>
              <w:t>长。</w:t>
            </w:r>
          </w:p>
        </w:tc>
        <w:tc>
          <w:tcPr>
            <w:tcW w:w="390"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936"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649" w:type="pc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资产利用率</w:t>
            </w:r>
          </w:p>
        </w:tc>
        <w:tc>
          <w:tcPr>
            <w:tcW w:w="268" w:type="pct"/>
            <w:tcBorders>
              <w:top w:val="nil"/>
              <w:left w:val="nil"/>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73" w:type="pct"/>
            <w:tcBorders>
              <w:top w:val="nil"/>
              <w:left w:val="nil"/>
              <w:bottom w:val="single" w:color="000000" w:sz="4" w:space="0"/>
              <w:right w:val="single" w:color="000000"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反映资产的使用情况</w:t>
            </w:r>
          </w:p>
        </w:tc>
        <w:tc>
          <w:tcPr>
            <w:tcW w:w="1787" w:type="pct"/>
            <w:tcBorders>
              <w:top w:val="nil"/>
              <w:left w:val="nil"/>
              <w:bottom w:val="single" w:color="000000" w:sz="4" w:space="0"/>
              <w:right w:val="single" w:color="000000"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学校对教学设备的使用情况及周期合理</w:t>
            </w:r>
          </w:p>
        </w:tc>
        <w:tc>
          <w:tcPr>
            <w:tcW w:w="390" w:type="pc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281" w:hRule="atLeast"/>
          <w:jc w:val="center"/>
        </w:trPr>
        <w:tc>
          <w:tcPr>
            <w:tcW w:w="41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10"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49"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资产盘活率</w:t>
            </w:r>
          </w:p>
        </w:tc>
        <w:tc>
          <w:tcPr>
            <w:tcW w:w="268"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73"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1787"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39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0"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rPr>
          <w:trHeight w:val="801"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64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73"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采购中专门对中小企业的扶持</w:t>
            </w:r>
          </w:p>
        </w:tc>
        <w:tc>
          <w:tcPr>
            <w:tcW w:w="1787"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2024年在832平台支持中小企业购物达标</w:t>
            </w:r>
          </w:p>
        </w:tc>
        <w:tc>
          <w:tcPr>
            <w:tcW w:w="39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2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4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采购执行率</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73"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无采购</w:t>
            </w:r>
          </w:p>
        </w:tc>
        <w:tc>
          <w:tcPr>
            <w:tcW w:w="1787"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无政府采购</w:t>
            </w:r>
          </w:p>
        </w:tc>
        <w:tc>
          <w:tcPr>
            <w:tcW w:w="39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20" w:hRule="atLeast"/>
          <w:jc w:val="center"/>
        </w:trPr>
        <w:tc>
          <w:tcPr>
            <w:tcW w:w="41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（35分）</w:t>
            </w:r>
          </w:p>
        </w:tc>
        <w:tc>
          <w:tcPr>
            <w:tcW w:w="410" w:type="pct"/>
            <w:vMerge w:val="restart"/>
            <w:tcBorders>
              <w:top w:val="single" w:color="auto" w:sz="4" w:space="0"/>
              <w:left w:val="single" w:color="auto" w:sz="4" w:space="0"/>
              <w:bottom w:val="nil"/>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649"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决策程序</w:t>
            </w:r>
          </w:p>
        </w:tc>
        <w:tc>
          <w:tcPr>
            <w:tcW w:w="268"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7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78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所有项目均经过</w:t>
            </w:r>
            <w:r>
              <w:rPr>
                <w:rFonts w:hint="eastAsia" w:ascii="宋体" w:hAnsi="宋体" w:cs="宋体"/>
                <w:color w:val="000000"/>
                <w:kern w:val="0"/>
                <w:sz w:val="18"/>
                <w:szCs w:val="18"/>
                <w:lang w:val="en-US" w:eastAsia="zh-CN"/>
              </w:rPr>
              <w:t>支部</w:t>
            </w:r>
            <w:r>
              <w:rPr>
                <w:rFonts w:hint="eastAsia" w:ascii="宋体" w:hAnsi="宋体" w:cs="宋体"/>
                <w:color w:val="000000"/>
                <w:kern w:val="0"/>
                <w:sz w:val="18"/>
                <w:szCs w:val="18"/>
              </w:rPr>
              <w:t>会审议</w:t>
            </w:r>
          </w:p>
        </w:tc>
        <w:tc>
          <w:tcPr>
            <w:tcW w:w="39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10"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20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0"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4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目标设置</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7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78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项目申报书均设置了清晰、量化、可衡量的绩效目标</w:t>
            </w:r>
          </w:p>
        </w:tc>
        <w:tc>
          <w:tcPr>
            <w:tcW w:w="39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10"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41"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0"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4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项目入库</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7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78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项目均已纳入学校项目库管理，实行常态化申报和滚动管理</w:t>
            </w:r>
          </w:p>
        </w:tc>
        <w:tc>
          <w:tcPr>
            <w:tcW w:w="39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10"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0" w:type="pct"/>
            <w:vMerge w:val="restart"/>
            <w:tcBorders>
              <w:top w:val="single" w:color="auto" w:sz="4" w:space="0"/>
              <w:left w:val="single" w:color="auto" w:sz="4" w:space="0"/>
              <w:bottom w:val="nil"/>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（12分）</w:t>
            </w:r>
          </w:p>
        </w:tc>
        <w:tc>
          <w:tcPr>
            <w:tcW w:w="64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执行同向</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7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178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39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10"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2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4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项目调整</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7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如需调整，是否履行了规范的内部审批和报备程序</w:t>
            </w:r>
          </w:p>
        </w:tc>
        <w:tc>
          <w:tcPr>
            <w:tcW w:w="178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w:t>
            </w:r>
            <w:r>
              <w:rPr>
                <w:rFonts w:hint="eastAsia" w:ascii="宋体" w:hAnsi="宋体" w:cs="宋体"/>
                <w:color w:val="000000"/>
                <w:kern w:val="0"/>
                <w:sz w:val="18"/>
                <w:szCs w:val="18"/>
                <w:lang w:val="en-US" w:eastAsia="zh-CN"/>
              </w:rPr>
              <w:t>均</w:t>
            </w:r>
            <w:r>
              <w:rPr>
                <w:rFonts w:hint="eastAsia" w:ascii="宋体" w:hAnsi="宋体" w:cs="宋体"/>
                <w:color w:val="000000"/>
                <w:kern w:val="0"/>
                <w:sz w:val="18"/>
                <w:szCs w:val="18"/>
              </w:rPr>
              <w:t>履行了规范的内部审批和报备程序</w:t>
            </w:r>
          </w:p>
        </w:tc>
        <w:tc>
          <w:tcPr>
            <w:tcW w:w="39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10"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79"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49"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执行结果</w:t>
            </w:r>
          </w:p>
        </w:tc>
        <w:tc>
          <w:tcPr>
            <w:tcW w:w="268"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73"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项目执行率</w:t>
            </w:r>
          </w:p>
        </w:tc>
        <w:tc>
          <w:tcPr>
            <w:tcW w:w="1787"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项目执行率达</w:t>
            </w:r>
            <w:r>
              <w:rPr>
                <w:rFonts w:hint="eastAsia" w:ascii="宋体" w:hAnsi="宋体" w:cs="宋体"/>
                <w:color w:val="000000"/>
                <w:kern w:val="0"/>
                <w:sz w:val="18"/>
                <w:szCs w:val="18"/>
                <w:lang w:val="en-US" w:eastAsia="zh-CN"/>
              </w:rPr>
              <w:t>到</w:t>
            </w:r>
            <w:r>
              <w:rPr>
                <w:rFonts w:hint="eastAsia" w:ascii="宋体" w:hAnsi="宋体" w:cs="宋体"/>
                <w:color w:val="000000"/>
                <w:kern w:val="0"/>
                <w:sz w:val="18"/>
                <w:szCs w:val="18"/>
              </w:rPr>
              <w:t>100%</w:t>
            </w:r>
          </w:p>
        </w:tc>
        <w:tc>
          <w:tcPr>
            <w:tcW w:w="390"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3.5</w:t>
            </w:r>
            <w:r>
              <w:rPr>
                <w:rFonts w:hint="eastAsia" w:ascii="宋体" w:hAnsi="宋体" w:cs="宋体"/>
                <w:color w:val="000000"/>
                <w:kern w:val="0"/>
                <w:sz w:val="18"/>
                <w:szCs w:val="18"/>
                <w:lang w:val="en-US" w:eastAsia="zh-CN"/>
              </w:rPr>
              <w:t>6</w:t>
            </w:r>
          </w:p>
        </w:tc>
        <w:tc>
          <w:tcPr>
            <w:tcW w:w="310"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4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0" w:type="pct"/>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（11分）</w:t>
            </w:r>
          </w:p>
        </w:tc>
        <w:tc>
          <w:tcPr>
            <w:tcW w:w="649"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w:t>
            </w:r>
          </w:p>
        </w:tc>
        <w:tc>
          <w:tcPr>
            <w:tcW w:w="268"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73"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目标完成率</w:t>
            </w:r>
          </w:p>
        </w:tc>
        <w:tc>
          <w:tcPr>
            <w:tcW w:w="1787"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基建项目：按时完工、验收合格。设备采购项目：按时采购安装到位、设备运行良好。科研项目：</w:t>
            </w:r>
            <w:r>
              <w:rPr>
                <w:rFonts w:hint="eastAsia" w:ascii="宋体" w:hAnsi="宋体" w:cs="宋体"/>
                <w:color w:val="000000"/>
                <w:kern w:val="0"/>
                <w:sz w:val="18"/>
                <w:szCs w:val="18"/>
                <w:lang w:val="en-US" w:eastAsia="zh-CN"/>
              </w:rPr>
              <w:t>教师</w:t>
            </w:r>
            <w:r>
              <w:rPr>
                <w:rFonts w:hint="eastAsia" w:ascii="宋体" w:hAnsi="宋体" w:cs="宋体"/>
                <w:color w:val="000000"/>
                <w:kern w:val="0"/>
                <w:sz w:val="18"/>
                <w:szCs w:val="18"/>
              </w:rPr>
              <w:t>发表了论文。培训项目：完成了计划培训人次、学员满意度</w:t>
            </w:r>
            <w:r>
              <w:rPr>
                <w:rFonts w:hint="eastAsia" w:ascii="宋体" w:hAnsi="宋体" w:cs="宋体"/>
                <w:color w:val="000000"/>
                <w:kern w:val="0"/>
                <w:sz w:val="18"/>
                <w:szCs w:val="18"/>
                <w:lang w:eastAsia="zh-CN"/>
              </w:rPr>
              <w:t>高</w:t>
            </w:r>
            <w:r>
              <w:rPr>
                <w:rFonts w:hint="eastAsia" w:ascii="宋体" w:hAnsi="宋体" w:cs="宋体"/>
                <w:color w:val="000000"/>
                <w:kern w:val="0"/>
                <w:sz w:val="18"/>
                <w:szCs w:val="18"/>
              </w:rPr>
              <w:t>。</w:t>
            </w:r>
          </w:p>
        </w:tc>
        <w:tc>
          <w:tcPr>
            <w:tcW w:w="390"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5.5</w:t>
            </w:r>
            <w:r>
              <w:rPr>
                <w:rFonts w:hint="eastAsia" w:ascii="宋体" w:hAnsi="宋体" w:cs="宋体"/>
                <w:color w:val="000000"/>
                <w:kern w:val="0"/>
                <w:sz w:val="18"/>
                <w:szCs w:val="18"/>
                <w:lang w:val="en-US" w:eastAsia="zh-CN"/>
              </w:rPr>
              <w:t>2</w:t>
            </w:r>
          </w:p>
        </w:tc>
        <w:tc>
          <w:tcPr>
            <w:tcW w:w="310"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179"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0" w:type="pct"/>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64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目标偏离</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7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项目结果与预期目标有无重大偏差</w:t>
            </w:r>
          </w:p>
        </w:tc>
        <w:tc>
          <w:tcPr>
            <w:tcW w:w="1787" w:type="pc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项目结果与预期目标无重大偏差</w:t>
            </w:r>
            <w:r>
              <w:rPr>
                <w:rFonts w:hint="eastAsia" w:ascii="宋体" w:hAnsi="宋体" w:cs="宋体"/>
                <w:color w:val="000000"/>
                <w:kern w:val="0"/>
                <w:sz w:val="18"/>
                <w:szCs w:val="18"/>
                <w:lang w:eastAsia="zh-CN"/>
              </w:rPr>
              <w:t>。</w:t>
            </w:r>
          </w:p>
        </w:tc>
        <w:tc>
          <w:tcPr>
            <w:tcW w:w="39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10"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0" w:type="pct"/>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64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实现效果</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7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带来的长远效益</w:t>
            </w:r>
          </w:p>
        </w:tc>
        <w:tc>
          <w:tcPr>
            <w:tcW w:w="178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项目带来的长远效益。</w:t>
            </w:r>
          </w:p>
        </w:tc>
        <w:tc>
          <w:tcPr>
            <w:tcW w:w="39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10"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41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扣分项</w:t>
            </w:r>
          </w:p>
        </w:tc>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财务管理</w:t>
            </w:r>
          </w:p>
        </w:tc>
        <w:tc>
          <w:tcPr>
            <w:tcW w:w="64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财务管理制度</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7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有健全的财务制度</w:t>
            </w:r>
          </w:p>
        </w:tc>
        <w:tc>
          <w:tcPr>
            <w:tcW w:w="178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学校有健全的财务制度</w:t>
            </w:r>
          </w:p>
        </w:tc>
        <w:tc>
          <w:tcPr>
            <w:tcW w:w="39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10"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4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财务岗位设置</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7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合理</w:t>
            </w:r>
          </w:p>
        </w:tc>
        <w:tc>
          <w:tcPr>
            <w:tcW w:w="178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岗位设置合理</w:t>
            </w:r>
          </w:p>
        </w:tc>
        <w:tc>
          <w:tcPr>
            <w:tcW w:w="39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10"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4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7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规范</w:t>
            </w:r>
          </w:p>
        </w:tc>
        <w:tc>
          <w:tcPr>
            <w:tcW w:w="178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390"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10"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161"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1059" w:type="pct"/>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73" w:type="pc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1787" w:type="pc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390"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10"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4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1059" w:type="pct"/>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268"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73"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是否配合财政部门评价</w:t>
            </w:r>
          </w:p>
        </w:tc>
        <w:tc>
          <w:tcPr>
            <w:tcW w:w="178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在财政重点绩效评价中，学校提供材料及时、配合调研。</w:t>
            </w:r>
          </w:p>
        </w:tc>
        <w:tc>
          <w:tcPr>
            <w:tcW w:w="39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10"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39" w:hRule="atLeast"/>
          <w:jc w:val="center"/>
        </w:trPr>
        <w:tc>
          <w:tcPr>
            <w:tcW w:w="1469" w:type="pct"/>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分值</w:t>
            </w:r>
          </w:p>
        </w:tc>
        <w:tc>
          <w:tcPr>
            <w:tcW w:w="268" w:type="pct"/>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73" w:type="pct"/>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787" w:type="pct"/>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90" w:type="pct"/>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98.84</w:t>
            </w:r>
          </w:p>
        </w:tc>
        <w:tc>
          <w:tcPr>
            <w:tcW w:w="310" w:type="pct"/>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tbl>
      <w:tblPr>
        <w:tblStyle w:val="17"/>
        <w:tblpPr w:leftFromText="180" w:rightFromText="180" w:vertAnchor="text" w:horzAnchor="page" w:tblpX="1807" w:tblpY="1147"/>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57"/>
        <w:gridCol w:w="890"/>
        <w:gridCol w:w="1185"/>
        <w:gridCol w:w="396"/>
        <w:gridCol w:w="830"/>
        <w:gridCol w:w="396"/>
        <w:gridCol w:w="846"/>
        <w:gridCol w:w="486"/>
        <w:gridCol w:w="486"/>
        <w:gridCol w:w="1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51090422T000006815845-义务教育家庭经济困难学生生活补助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遂宁市安居区会龙镇保山小学校部门</w:t>
            </w:r>
          </w:p>
        </w:tc>
        <w:tc>
          <w:tcPr>
            <w:tcW w:w="38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遂宁市安居区会龙镇保山小学校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保障了学校家庭经济困难学生正常入学，减轻其家庭经济负担。</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保障了学校家庭经济困难学生正常入学，减轻其家庭经济负担。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加强民生资金专项管理，提高民生资金使用效益，确保专款专用，按程序及时兑现给学生（或监护人），及时报送资助政策落实情况及相关资料。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0.41</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0.41</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审核贫困学生情况</w:t>
            </w:r>
          </w:p>
        </w:tc>
        <w:tc>
          <w:tcPr>
            <w:tcW w:w="183"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4"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6"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及时支付资金</w:t>
            </w:r>
          </w:p>
        </w:tc>
        <w:tc>
          <w:tcPr>
            <w:tcW w:w="1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8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社会及学生满意率</w:t>
            </w:r>
          </w:p>
        </w:tc>
        <w:tc>
          <w:tcPr>
            <w:tcW w:w="1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绩效目标实现指标自评得分100.00分，自评等次为：优，严格执行相关政策，按要求支付，切实提高扶贫成效。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项目负责人：余秀梅</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财务负责人：蒋金辉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51090422T000006818424-幼儿资助及幼儿发展资金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遂宁市安居区会龙镇保山小学校部门</w:t>
            </w:r>
          </w:p>
        </w:tc>
        <w:tc>
          <w:tcPr>
            <w:tcW w:w="38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遂宁市安居区会龙镇保山小学校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促进附设幼儿园健康发展，提高预算编制质量，严格执行预算，减少结余资金。</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严格执行预算，及时申请支付资金，促进附设幼儿园健康发展。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及时申报经费，促进附设幼儿园健康发展。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14.23</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14.23</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14.23</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14.23</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审核贫困学生情况</w:t>
            </w:r>
          </w:p>
        </w:tc>
        <w:tc>
          <w:tcPr>
            <w:tcW w:w="183"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4"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6"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0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及时支付资金</w:t>
            </w:r>
          </w:p>
        </w:tc>
        <w:tc>
          <w:tcPr>
            <w:tcW w:w="1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08"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8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社会及学生满意率</w:t>
            </w:r>
          </w:p>
        </w:tc>
        <w:tc>
          <w:tcPr>
            <w:tcW w:w="1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8" w:type="pct"/>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绩效目标实现指标自评得分100.00分，自评等次为：优，严格执行相关政策，按要求支付，切实提高扶贫成效。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项目负责人：余秀梅</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财务负责人：蒋金辉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51090423T000009404312-城乡义务教育-免作业本费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遂宁市安居区会龙镇保山小学校部门</w:t>
            </w:r>
          </w:p>
        </w:tc>
        <w:tc>
          <w:tcPr>
            <w:tcW w:w="38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遂宁市安居区会龙镇保山小学校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保障学校正常运转，提高预算编制质量，严格执行预算，减少结余资金。</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严格执行预算，及时申请支付资金，保证学生作业本按时发放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及时申报经费，保证学生作业本按时发放。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0.05</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0.05</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0.05</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0.05</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足额定制作业本</w:t>
            </w:r>
          </w:p>
        </w:tc>
        <w:tc>
          <w:tcPr>
            <w:tcW w:w="183"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4"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6"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及时支付资金</w:t>
            </w:r>
          </w:p>
        </w:tc>
        <w:tc>
          <w:tcPr>
            <w:tcW w:w="1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8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学生满意率</w:t>
            </w:r>
          </w:p>
        </w:tc>
        <w:tc>
          <w:tcPr>
            <w:tcW w:w="1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绩效目标实现指标自评得分100.00分，自评等次为：优，严格执行相关政策，按要求支付，保障学校正常运转。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项目负责人：余秀梅</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财务负责人：蒋金辉</w:t>
            </w:r>
          </w:p>
        </w:tc>
      </w:tr>
    </w:tbl>
    <w:p>
      <w:pPr>
        <w:spacing w:line="600" w:lineRule="exact"/>
        <w:jc w:val="both"/>
        <w:outlineLvl w:val="0"/>
        <w:rPr>
          <w:rFonts w:hint="eastAsia" w:ascii="黑体" w:hAnsi="黑体" w:eastAsia="黑体"/>
          <w:sz w:val="44"/>
          <w:szCs w:val="44"/>
        </w:rPr>
      </w:pPr>
    </w:p>
    <w:p>
      <w:pPr>
        <w:spacing w:line="600" w:lineRule="exact"/>
        <w:jc w:val="center"/>
        <w:outlineLvl w:val="0"/>
        <w:rPr>
          <w:rFonts w:hint="eastAsia" w:ascii="黑体" w:hAnsi="黑体" w:eastAsia="黑体"/>
          <w:sz w:val="32"/>
          <w:szCs w:val="32"/>
        </w:rPr>
      </w:pPr>
      <w:bookmarkStart w:id="67" w:name="_Toc622"/>
    </w:p>
    <w:p>
      <w:pPr>
        <w:spacing w:line="600" w:lineRule="exact"/>
        <w:jc w:val="center"/>
        <w:outlineLvl w:val="0"/>
        <w:rPr>
          <w:rFonts w:hint="eastAsia" w:ascii="黑体" w:hAnsi="黑体" w:eastAsia="黑体"/>
          <w:sz w:val="32"/>
          <w:szCs w:val="32"/>
        </w:rPr>
      </w:pPr>
    </w:p>
    <w:p>
      <w:pPr>
        <w:spacing w:line="600" w:lineRule="exact"/>
        <w:jc w:val="center"/>
        <w:outlineLvl w:val="0"/>
        <w:rPr>
          <w:rFonts w:hint="eastAsia" w:ascii="黑体" w:hAnsi="黑体" w:eastAsia="黑体"/>
          <w:sz w:val="32"/>
          <w:szCs w:val="32"/>
        </w:rPr>
      </w:pPr>
    </w:p>
    <w:p>
      <w:pPr>
        <w:spacing w:line="600" w:lineRule="exact"/>
        <w:jc w:val="center"/>
        <w:outlineLvl w:val="0"/>
        <w:rPr>
          <w:rFonts w:hint="eastAsia" w:ascii="黑体" w:hAnsi="黑体" w:eastAsia="黑体"/>
          <w:sz w:val="32"/>
          <w:szCs w:val="32"/>
        </w:rPr>
      </w:pPr>
    </w:p>
    <w:p>
      <w:pPr>
        <w:spacing w:line="600" w:lineRule="exact"/>
        <w:jc w:val="center"/>
        <w:outlineLvl w:val="0"/>
        <w:rPr>
          <w:rFonts w:hint="eastAsia" w:ascii="黑体" w:hAnsi="黑体" w:eastAsia="黑体"/>
          <w:sz w:val="32"/>
          <w:szCs w:val="32"/>
        </w:rPr>
      </w:pPr>
    </w:p>
    <w:p>
      <w:pPr>
        <w:pStyle w:val="5"/>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黑体" w:hAnsi="黑体" w:eastAsia="黑体"/>
          <w:b w:val="0"/>
          <w:sz w:val="44"/>
          <w:szCs w:val="44"/>
        </w:rPr>
      </w:pPr>
      <w:r>
        <w:rPr>
          <w:rFonts w:hint="eastAsia" w:ascii="黑体" w:hAnsi="黑体" w:eastAsia="黑体"/>
          <w:b w:val="0"/>
          <w:sz w:val="44"/>
          <w:szCs w:val="44"/>
        </w:rPr>
        <w:t>第五部分 附表</w:t>
      </w:r>
      <w:bookmarkEnd w:id="63"/>
      <w:bookmarkEnd w:id="66"/>
      <w:bookmarkEnd w:id="67"/>
      <w:bookmarkStart w:id="68" w:name="_Toc15396619"/>
    </w:p>
    <w:p>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rPr>
      </w:pPr>
      <w:bookmarkStart w:id="69" w:name="_Toc14713"/>
      <w:r>
        <w:rPr>
          <w:rFonts w:hint="eastAsia" w:ascii="仿宋" w:hAnsi="仿宋" w:eastAsia="仿宋"/>
          <w:b w:val="0"/>
        </w:rPr>
        <w:t>一、收</w:t>
      </w:r>
      <w:r>
        <w:rPr>
          <w:rStyle w:val="33"/>
          <w:rFonts w:hint="eastAsia" w:ascii="仿宋" w:hAnsi="仿宋" w:eastAsia="仿宋"/>
          <w:b w:val="0"/>
          <w:bCs w:val="0"/>
        </w:rPr>
        <w:t>入支出决算总表</w:t>
      </w:r>
      <w:bookmarkEnd w:id="68"/>
      <w:bookmarkEnd w:id="69"/>
    </w:p>
    <w:p>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rPr>
      </w:pPr>
      <w:bookmarkStart w:id="70" w:name="_Toc4307"/>
      <w:bookmarkStart w:id="71" w:name="_Toc15396620"/>
      <w:r>
        <w:rPr>
          <w:rFonts w:hint="eastAsia" w:ascii="仿宋" w:hAnsi="仿宋" w:eastAsia="仿宋"/>
          <w:b w:val="0"/>
        </w:rPr>
        <w:t>二、收</w:t>
      </w:r>
      <w:r>
        <w:rPr>
          <w:rStyle w:val="33"/>
          <w:rFonts w:hint="eastAsia" w:ascii="仿宋" w:hAnsi="仿宋" w:eastAsia="仿宋"/>
          <w:b w:val="0"/>
          <w:bCs w:val="0"/>
        </w:rPr>
        <w:t>入决算表</w:t>
      </w:r>
      <w:bookmarkEnd w:id="70"/>
      <w:bookmarkEnd w:id="71"/>
    </w:p>
    <w:p>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rPr>
      </w:pPr>
      <w:bookmarkStart w:id="72" w:name="_Toc15396621"/>
      <w:bookmarkStart w:id="73" w:name="_Toc32129"/>
      <w:r>
        <w:rPr>
          <w:rStyle w:val="33"/>
          <w:rFonts w:hint="eastAsia" w:ascii="仿宋" w:hAnsi="仿宋" w:eastAsia="仿宋"/>
          <w:b w:val="0"/>
          <w:bCs w:val="0"/>
        </w:rPr>
        <w:t>三、</w:t>
      </w:r>
      <w:r>
        <w:rPr>
          <w:rFonts w:hint="eastAsia" w:ascii="仿宋" w:hAnsi="仿宋" w:eastAsia="仿宋"/>
          <w:b w:val="0"/>
        </w:rPr>
        <w:t>支</w:t>
      </w:r>
      <w:r>
        <w:rPr>
          <w:rStyle w:val="33"/>
          <w:rFonts w:hint="eastAsia" w:ascii="仿宋" w:hAnsi="仿宋" w:eastAsia="仿宋"/>
          <w:b w:val="0"/>
          <w:bCs w:val="0"/>
        </w:rPr>
        <w:t>出决算表</w:t>
      </w:r>
      <w:bookmarkEnd w:id="72"/>
      <w:bookmarkEnd w:id="73"/>
    </w:p>
    <w:p>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b w:val="0"/>
        </w:rPr>
      </w:pPr>
      <w:bookmarkStart w:id="74" w:name="_Toc26295"/>
      <w:bookmarkStart w:id="75" w:name="_Toc15396622"/>
      <w:r>
        <w:rPr>
          <w:rStyle w:val="33"/>
          <w:rFonts w:hint="eastAsia" w:ascii="仿宋" w:hAnsi="仿宋" w:eastAsia="仿宋"/>
          <w:b w:val="0"/>
          <w:bCs w:val="0"/>
        </w:rPr>
        <w:t>四、</w:t>
      </w:r>
      <w:r>
        <w:rPr>
          <w:rFonts w:hint="eastAsia" w:ascii="仿宋" w:hAnsi="仿宋" w:eastAsia="仿宋"/>
          <w:b w:val="0"/>
        </w:rPr>
        <w:t>财</w:t>
      </w:r>
      <w:r>
        <w:rPr>
          <w:rStyle w:val="33"/>
          <w:rFonts w:hint="eastAsia" w:ascii="仿宋" w:hAnsi="仿宋" w:eastAsia="仿宋"/>
          <w:b w:val="0"/>
          <w:bCs w:val="0"/>
        </w:rPr>
        <w:t>政拨款收入支出决算总表</w:t>
      </w:r>
      <w:bookmarkEnd w:id="74"/>
      <w:bookmarkEnd w:id="75"/>
    </w:p>
    <w:p>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Style w:val="33"/>
          <w:rFonts w:ascii="仿宋" w:hAnsi="仿宋" w:eastAsia="仿宋"/>
          <w:b w:val="0"/>
          <w:bCs w:val="0"/>
        </w:rPr>
      </w:pPr>
      <w:bookmarkStart w:id="76" w:name="_Toc18185"/>
      <w:bookmarkStart w:id="77" w:name="_Toc15396623"/>
      <w:r>
        <w:rPr>
          <w:rStyle w:val="33"/>
          <w:rFonts w:hint="eastAsia" w:ascii="仿宋" w:hAnsi="仿宋" w:eastAsia="仿宋"/>
          <w:b w:val="0"/>
          <w:bCs w:val="0"/>
        </w:rPr>
        <w:t>五、</w:t>
      </w:r>
      <w:r>
        <w:rPr>
          <w:rFonts w:hint="eastAsia" w:ascii="仿宋" w:hAnsi="仿宋" w:eastAsia="仿宋"/>
          <w:b w:val="0"/>
        </w:rPr>
        <w:t>财</w:t>
      </w:r>
      <w:r>
        <w:rPr>
          <w:rStyle w:val="33"/>
          <w:rFonts w:hint="eastAsia" w:ascii="仿宋" w:hAnsi="仿宋" w:eastAsia="仿宋"/>
          <w:b w:val="0"/>
          <w:bCs w:val="0"/>
        </w:rPr>
        <w:t>政拨款支出决算明细表</w:t>
      </w:r>
      <w:bookmarkEnd w:id="76"/>
      <w:bookmarkEnd w:id="77"/>
      <w:bookmarkStart w:id="78" w:name="_Toc15396624"/>
    </w:p>
    <w:p>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rPr>
      </w:pPr>
      <w:bookmarkStart w:id="79" w:name="_Toc5415"/>
      <w:r>
        <w:rPr>
          <w:rStyle w:val="33"/>
          <w:rFonts w:hint="eastAsia" w:ascii="仿宋" w:hAnsi="仿宋" w:eastAsia="仿宋"/>
          <w:b w:val="0"/>
          <w:bCs w:val="0"/>
        </w:rPr>
        <w:t>六、</w:t>
      </w:r>
      <w:r>
        <w:rPr>
          <w:rFonts w:hint="eastAsia" w:ascii="仿宋" w:hAnsi="仿宋" w:eastAsia="仿宋"/>
          <w:b w:val="0"/>
        </w:rPr>
        <w:t>一</w:t>
      </w:r>
      <w:r>
        <w:rPr>
          <w:rStyle w:val="33"/>
          <w:rFonts w:hint="eastAsia" w:ascii="仿宋" w:hAnsi="仿宋" w:eastAsia="仿宋"/>
          <w:b w:val="0"/>
          <w:bCs w:val="0"/>
        </w:rPr>
        <w:t>般公共预算财政拨款支出决算表</w:t>
      </w:r>
      <w:bookmarkEnd w:id="78"/>
      <w:bookmarkEnd w:id="79"/>
    </w:p>
    <w:p>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rPr>
      </w:pPr>
      <w:bookmarkStart w:id="80" w:name="_Toc15396625"/>
      <w:bookmarkStart w:id="81" w:name="_Toc21695"/>
      <w:r>
        <w:rPr>
          <w:rStyle w:val="33"/>
          <w:rFonts w:hint="eastAsia" w:ascii="仿宋" w:hAnsi="仿宋" w:eastAsia="仿宋"/>
          <w:b w:val="0"/>
          <w:bCs w:val="0"/>
        </w:rPr>
        <w:t>七、</w:t>
      </w:r>
      <w:r>
        <w:rPr>
          <w:rFonts w:hint="eastAsia" w:ascii="仿宋" w:hAnsi="仿宋" w:eastAsia="仿宋"/>
          <w:b w:val="0"/>
        </w:rPr>
        <w:t>一</w:t>
      </w:r>
      <w:r>
        <w:rPr>
          <w:rStyle w:val="33"/>
          <w:rFonts w:hint="eastAsia" w:ascii="仿宋" w:hAnsi="仿宋" w:eastAsia="仿宋"/>
          <w:b w:val="0"/>
          <w:bCs w:val="0"/>
        </w:rPr>
        <w:t>般公共预算财政拨款支出决算明细表</w:t>
      </w:r>
      <w:bookmarkEnd w:id="80"/>
      <w:bookmarkEnd w:id="81"/>
    </w:p>
    <w:p>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rPr>
      </w:pPr>
      <w:bookmarkStart w:id="82" w:name="_Toc29325"/>
      <w:bookmarkStart w:id="83" w:name="_Toc15396626"/>
      <w:r>
        <w:rPr>
          <w:rStyle w:val="33"/>
          <w:rFonts w:hint="eastAsia" w:ascii="仿宋" w:hAnsi="仿宋" w:eastAsia="仿宋"/>
          <w:b w:val="0"/>
          <w:bCs w:val="0"/>
        </w:rPr>
        <w:t>八、</w:t>
      </w:r>
      <w:r>
        <w:rPr>
          <w:rFonts w:hint="eastAsia" w:ascii="仿宋" w:hAnsi="仿宋" w:eastAsia="仿宋"/>
          <w:b w:val="0"/>
        </w:rPr>
        <w:t>一</w:t>
      </w:r>
      <w:r>
        <w:rPr>
          <w:rStyle w:val="33"/>
          <w:rFonts w:hint="eastAsia" w:ascii="仿宋" w:hAnsi="仿宋" w:eastAsia="仿宋"/>
          <w:b w:val="0"/>
          <w:bCs w:val="0"/>
        </w:rPr>
        <w:t>般公共预算财政拨款基本支出决算表</w:t>
      </w:r>
      <w:bookmarkEnd w:id="82"/>
      <w:bookmarkEnd w:id="83"/>
    </w:p>
    <w:p>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rPr>
      </w:pPr>
      <w:bookmarkStart w:id="84" w:name="_Toc15396627"/>
      <w:bookmarkStart w:id="85" w:name="_Toc13333"/>
      <w:r>
        <w:rPr>
          <w:rStyle w:val="33"/>
          <w:rFonts w:hint="eastAsia" w:ascii="仿宋" w:hAnsi="仿宋" w:eastAsia="仿宋"/>
          <w:b w:val="0"/>
          <w:bCs w:val="0"/>
        </w:rPr>
        <w:t>九、</w:t>
      </w:r>
      <w:r>
        <w:rPr>
          <w:rFonts w:hint="eastAsia" w:ascii="仿宋" w:hAnsi="仿宋" w:eastAsia="仿宋"/>
          <w:b w:val="0"/>
        </w:rPr>
        <w:t>一</w:t>
      </w:r>
      <w:r>
        <w:rPr>
          <w:rStyle w:val="33"/>
          <w:rFonts w:hint="eastAsia" w:ascii="仿宋" w:hAnsi="仿宋" w:eastAsia="仿宋"/>
          <w:b w:val="0"/>
          <w:bCs w:val="0"/>
        </w:rPr>
        <w:t>般公共预算财政拨款项目支出决算表</w:t>
      </w:r>
      <w:bookmarkEnd w:id="84"/>
      <w:bookmarkEnd w:id="85"/>
    </w:p>
    <w:p>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rPr>
      </w:pPr>
      <w:bookmarkStart w:id="86" w:name="_Toc15396628"/>
      <w:bookmarkStart w:id="87" w:name="_Toc19605"/>
      <w:r>
        <w:rPr>
          <w:rStyle w:val="33"/>
          <w:rFonts w:hint="eastAsia" w:ascii="仿宋" w:hAnsi="仿宋" w:eastAsia="仿宋"/>
          <w:b w:val="0"/>
          <w:bCs w:val="0"/>
        </w:rPr>
        <w:t>十、</w:t>
      </w:r>
      <w:bookmarkEnd w:id="86"/>
      <w:r>
        <w:rPr>
          <w:rFonts w:hint="eastAsia" w:ascii="仿宋" w:hAnsi="仿宋" w:eastAsia="仿宋"/>
          <w:b w:val="0"/>
        </w:rPr>
        <w:t>政</w:t>
      </w:r>
      <w:r>
        <w:rPr>
          <w:rStyle w:val="33"/>
          <w:rFonts w:hint="eastAsia" w:ascii="仿宋" w:hAnsi="仿宋" w:eastAsia="仿宋"/>
          <w:b w:val="0"/>
          <w:bCs w:val="0"/>
        </w:rPr>
        <w:t>府性基金预算财政拨款收入支出决算表</w:t>
      </w:r>
      <w:bookmarkEnd w:id="87"/>
    </w:p>
    <w:p>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rPr>
      </w:pPr>
      <w:bookmarkStart w:id="88" w:name="_Toc15396629"/>
      <w:bookmarkStart w:id="89" w:name="_Toc8701"/>
      <w:r>
        <w:rPr>
          <w:rStyle w:val="33"/>
          <w:rFonts w:hint="eastAsia" w:ascii="仿宋" w:hAnsi="仿宋" w:eastAsia="仿宋"/>
          <w:b w:val="0"/>
          <w:bCs w:val="0"/>
        </w:rPr>
        <w:t>十一、</w:t>
      </w:r>
      <w:bookmarkEnd w:id="88"/>
      <w:r>
        <w:rPr>
          <w:rFonts w:hint="eastAsia" w:ascii="仿宋" w:hAnsi="仿宋" w:eastAsia="仿宋"/>
          <w:b w:val="0"/>
        </w:rPr>
        <w:t>国</w:t>
      </w:r>
      <w:r>
        <w:rPr>
          <w:rStyle w:val="33"/>
          <w:rFonts w:hint="eastAsia" w:ascii="仿宋" w:hAnsi="仿宋" w:eastAsia="仿宋"/>
          <w:b w:val="0"/>
          <w:bCs w:val="0"/>
        </w:rPr>
        <w:t>有资本经营预算财政拨款收入支出决算表</w:t>
      </w:r>
      <w:bookmarkEnd w:id="89"/>
    </w:p>
    <w:p>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rPr>
      </w:pPr>
      <w:bookmarkStart w:id="90" w:name="_Toc15396630"/>
      <w:bookmarkStart w:id="91" w:name="_Toc25210"/>
      <w:r>
        <w:rPr>
          <w:rStyle w:val="33"/>
          <w:rFonts w:hint="eastAsia" w:ascii="仿宋" w:hAnsi="仿宋" w:eastAsia="仿宋"/>
          <w:b w:val="0"/>
          <w:bCs w:val="0"/>
        </w:rPr>
        <w:t>十二、</w:t>
      </w:r>
      <w:bookmarkEnd w:id="90"/>
      <w:r>
        <w:rPr>
          <w:rStyle w:val="33"/>
          <w:rFonts w:hint="eastAsia" w:ascii="仿宋" w:hAnsi="仿宋" w:eastAsia="仿宋"/>
          <w:b w:val="0"/>
          <w:bCs w:val="0"/>
        </w:rPr>
        <w:t>国有资本经营预算财政拨款支出决算表</w:t>
      </w:r>
      <w:bookmarkEnd w:id="91"/>
    </w:p>
    <w:p>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Fonts w:eastAsia="仿宋"/>
        </w:rPr>
      </w:pPr>
      <w:bookmarkStart w:id="92" w:name="_Toc15396631"/>
      <w:bookmarkStart w:id="93" w:name="_Toc18066"/>
      <w:r>
        <w:rPr>
          <w:rStyle w:val="33"/>
          <w:rFonts w:hint="eastAsia" w:ascii="仿宋" w:hAnsi="仿宋" w:eastAsia="仿宋"/>
          <w:b w:val="0"/>
          <w:bCs w:val="0"/>
        </w:rPr>
        <w:t>十三、</w:t>
      </w:r>
      <w:bookmarkEnd w:id="92"/>
      <w:r>
        <w:rPr>
          <w:rStyle w:val="33"/>
          <w:rFonts w:hint="eastAsia" w:ascii="仿宋" w:hAnsi="仿宋" w:eastAsia="仿宋"/>
          <w:b w:val="0"/>
          <w:bCs w:val="0"/>
        </w:rPr>
        <w:t>财政拨款“三公”经费支出决算表</w:t>
      </w:r>
      <w:bookmarkEnd w:id="93"/>
    </w:p>
    <w:sectPr>
      <w:footerReference r:id="rId9" w:type="first"/>
      <w:footerReference r:id="rId8" w:type="default"/>
      <w:pgSz w:w="11906" w:h="16838"/>
      <w:pgMar w:top="1440" w:right="1800" w:bottom="1440" w:left="1800" w:header="851" w:footer="992" w:gutter="0"/>
      <w:pgNumType w:start="4"/>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121E1"/>
    <w:multiLevelType w:val="singleLevel"/>
    <w:tmpl w:val="829121E1"/>
    <w:lvl w:ilvl="0" w:tentative="0">
      <w:start w:val="2"/>
      <w:numFmt w:val="chineseCounting"/>
      <w:suff w:val="nothing"/>
      <w:lvlText w:val="（%1）"/>
      <w:lvlJc w:val="left"/>
      <w:rPr>
        <w:rFonts w:hint="eastAsia"/>
      </w:rPr>
    </w:lvl>
  </w:abstractNum>
  <w:abstractNum w:abstractNumId="1">
    <w:nsid w:val="2D72EDE9"/>
    <w:multiLevelType w:val="singleLevel"/>
    <w:tmpl w:val="2D72EDE9"/>
    <w:lvl w:ilvl="0" w:tentative="0">
      <w:start w:val="3"/>
      <w:numFmt w:val="decimal"/>
      <w:lvlText w:val="%1."/>
      <w:lvlJc w:val="left"/>
      <w:pPr>
        <w:tabs>
          <w:tab w:val="left" w:pos="312"/>
        </w:tabs>
      </w:pPr>
    </w:lvl>
  </w:abstractNum>
  <w:abstractNum w:abstractNumId="2">
    <w:nsid w:val="3818A09A"/>
    <w:multiLevelType w:val="singleLevel"/>
    <w:tmpl w:val="3818A09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151A9"/>
    <w:rsid w:val="000222C6"/>
    <w:rsid w:val="0002549F"/>
    <w:rsid w:val="00030467"/>
    <w:rsid w:val="00034D00"/>
    <w:rsid w:val="0004037A"/>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5E5B"/>
    <w:rsid w:val="000E6613"/>
    <w:rsid w:val="000E7119"/>
    <w:rsid w:val="00114E9B"/>
    <w:rsid w:val="00142216"/>
    <w:rsid w:val="0014496A"/>
    <w:rsid w:val="00144D6A"/>
    <w:rsid w:val="0014729F"/>
    <w:rsid w:val="001511D0"/>
    <w:rsid w:val="0015578B"/>
    <w:rsid w:val="00157BAB"/>
    <w:rsid w:val="001654D1"/>
    <w:rsid w:val="00174518"/>
    <w:rsid w:val="0018106D"/>
    <w:rsid w:val="00186EC5"/>
    <w:rsid w:val="001877A7"/>
    <w:rsid w:val="00191536"/>
    <w:rsid w:val="00196687"/>
    <w:rsid w:val="001A1DAD"/>
    <w:rsid w:val="001B7273"/>
    <w:rsid w:val="001C0962"/>
    <w:rsid w:val="001D7531"/>
    <w:rsid w:val="001E318E"/>
    <w:rsid w:val="001E7205"/>
    <w:rsid w:val="001E737D"/>
    <w:rsid w:val="001F0592"/>
    <w:rsid w:val="001F7506"/>
    <w:rsid w:val="002006CD"/>
    <w:rsid w:val="00202B36"/>
    <w:rsid w:val="00204B7A"/>
    <w:rsid w:val="00204CDE"/>
    <w:rsid w:val="00206907"/>
    <w:rsid w:val="0021101A"/>
    <w:rsid w:val="00212B4A"/>
    <w:rsid w:val="00214528"/>
    <w:rsid w:val="00220536"/>
    <w:rsid w:val="00221C80"/>
    <w:rsid w:val="00235629"/>
    <w:rsid w:val="00260C38"/>
    <w:rsid w:val="002616C0"/>
    <w:rsid w:val="00265372"/>
    <w:rsid w:val="002662AA"/>
    <w:rsid w:val="00280496"/>
    <w:rsid w:val="00294DC9"/>
    <w:rsid w:val="00295495"/>
    <w:rsid w:val="002A31DE"/>
    <w:rsid w:val="002A3FCF"/>
    <w:rsid w:val="002A5FD7"/>
    <w:rsid w:val="002B2613"/>
    <w:rsid w:val="002B4BB8"/>
    <w:rsid w:val="002C5004"/>
    <w:rsid w:val="002D6D05"/>
    <w:rsid w:val="002F0FDC"/>
    <w:rsid w:val="002F1818"/>
    <w:rsid w:val="002F567B"/>
    <w:rsid w:val="003216A9"/>
    <w:rsid w:val="00322EF6"/>
    <w:rsid w:val="00331F20"/>
    <w:rsid w:val="00335A74"/>
    <w:rsid w:val="003369B2"/>
    <w:rsid w:val="00337326"/>
    <w:rsid w:val="0036561B"/>
    <w:rsid w:val="0037013F"/>
    <w:rsid w:val="00380C92"/>
    <w:rsid w:val="003969D0"/>
    <w:rsid w:val="003A484F"/>
    <w:rsid w:val="003A4883"/>
    <w:rsid w:val="003A667B"/>
    <w:rsid w:val="003B0BE0"/>
    <w:rsid w:val="003B0C1B"/>
    <w:rsid w:val="003B688C"/>
    <w:rsid w:val="003C0291"/>
    <w:rsid w:val="003C39AE"/>
    <w:rsid w:val="003C7B60"/>
    <w:rsid w:val="003D0C0F"/>
    <w:rsid w:val="003D1FB2"/>
    <w:rsid w:val="003D66DA"/>
    <w:rsid w:val="003E1310"/>
    <w:rsid w:val="003E6F55"/>
    <w:rsid w:val="003E75C9"/>
    <w:rsid w:val="00406254"/>
    <w:rsid w:val="00406A4C"/>
    <w:rsid w:val="004223DE"/>
    <w:rsid w:val="00425C50"/>
    <w:rsid w:val="0043177C"/>
    <w:rsid w:val="0043228C"/>
    <w:rsid w:val="00434489"/>
    <w:rsid w:val="00437085"/>
    <w:rsid w:val="00441E3B"/>
    <w:rsid w:val="00443880"/>
    <w:rsid w:val="004464F4"/>
    <w:rsid w:val="0046049C"/>
    <w:rsid w:val="00471401"/>
    <w:rsid w:val="00471B4A"/>
    <w:rsid w:val="00473F31"/>
    <w:rsid w:val="0048263A"/>
    <w:rsid w:val="00487E5D"/>
    <w:rsid w:val="004A711F"/>
    <w:rsid w:val="004A722C"/>
    <w:rsid w:val="004B199D"/>
    <w:rsid w:val="004B4690"/>
    <w:rsid w:val="004C27DD"/>
    <w:rsid w:val="004E0A2D"/>
    <w:rsid w:val="004E206B"/>
    <w:rsid w:val="004E5378"/>
    <w:rsid w:val="004E6DF7"/>
    <w:rsid w:val="004F0FBD"/>
    <w:rsid w:val="00505A47"/>
    <w:rsid w:val="00512FDA"/>
    <w:rsid w:val="00520DA0"/>
    <w:rsid w:val="005441A9"/>
    <w:rsid w:val="005533CF"/>
    <w:rsid w:val="005648A1"/>
    <w:rsid w:val="005664BB"/>
    <w:rsid w:val="00566FFA"/>
    <w:rsid w:val="00572CB7"/>
    <w:rsid w:val="0057481D"/>
    <w:rsid w:val="0058486E"/>
    <w:rsid w:val="00585B33"/>
    <w:rsid w:val="0059014D"/>
    <w:rsid w:val="005A2D8C"/>
    <w:rsid w:val="005A7C3F"/>
    <w:rsid w:val="005B3234"/>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1FB2"/>
    <w:rsid w:val="006748A4"/>
    <w:rsid w:val="00681A31"/>
    <w:rsid w:val="00683E73"/>
    <w:rsid w:val="00695C19"/>
    <w:rsid w:val="006A3141"/>
    <w:rsid w:val="006A5E34"/>
    <w:rsid w:val="006B2422"/>
    <w:rsid w:val="006B2B9A"/>
    <w:rsid w:val="006C1937"/>
    <w:rsid w:val="006E3CA2"/>
    <w:rsid w:val="006F020C"/>
    <w:rsid w:val="006F6AC4"/>
    <w:rsid w:val="006F7699"/>
    <w:rsid w:val="0071021A"/>
    <w:rsid w:val="007127B7"/>
    <w:rsid w:val="0071798E"/>
    <w:rsid w:val="00726E25"/>
    <w:rsid w:val="00727F9D"/>
    <w:rsid w:val="007416B6"/>
    <w:rsid w:val="00746F48"/>
    <w:rsid w:val="00750EAB"/>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554BE"/>
    <w:rsid w:val="00855C42"/>
    <w:rsid w:val="00856475"/>
    <w:rsid w:val="00856F23"/>
    <w:rsid w:val="0086029C"/>
    <w:rsid w:val="00860645"/>
    <w:rsid w:val="00871F71"/>
    <w:rsid w:val="00872FD8"/>
    <w:rsid w:val="0087632F"/>
    <w:rsid w:val="008765AE"/>
    <w:rsid w:val="00885AF4"/>
    <w:rsid w:val="008919D5"/>
    <w:rsid w:val="008939CD"/>
    <w:rsid w:val="0089773D"/>
    <w:rsid w:val="008B768C"/>
    <w:rsid w:val="008C4DB1"/>
    <w:rsid w:val="008C4EAF"/>
    <w:rsid w:val="008C5176"/>
    <w:rsid w:val="008C7FD0"/>
    <w:rsid w:val="008C7FD8"/>
    <w:rsid w:val="008E1DE7"/>
    <w:rsid w:val="008E707C"/>
    <w:rsid w:val="008F4408"/>
    <w:rsid w:val="00900B08"/>
    <w:rsid w:val="00902155"/>
    <w:rsid w:val="00902FA3"/>
    <w:rsid w:val="00913EA1"/>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C786F"/>
    <w:rsid w:val="009D18F3"/>
    <w:rsid w:val="009D3447"/>
    <w:rsid w:val="009D4711"/>
    <w:rsid w:val="009F1185"/>
    <w:rsid w:val="009F18CD"/>
    <w:rsid w:val="009F2A13"/>
    <w:rsid w:val="009F7527"/>
    <w:rsid w:val="00A04EB0"/>
    <w:rsid w:val="00A07937"/>
    <w:rsid w:val="00A13CC1"/>
    <w:rsid w:val="00A16847"/>
    <w:rsid w:val="00A237D8"/>
    <w:rsid w:val="00A256D7"/>
    <w:rsid w:val="00A268C4"/>
    <w:rsid w:val="00A26C9D"/>
    <w:rsid w:val="00A307CD"/>
    <w:rsid w:val="00A331C8"/>
    <w:rsid w:val="00A40A00"/>
    <w:rsid w:val="00A4142F"/>
    <w:rsid w:val="00A422EB"/>
    <w:rsid w:val="00A45BB7"/>
    <w:rsid w:val="00A56DF2"/>
    <w:rsid w:val="00A56E6E"/>
    <w:rsid w:val="00A67AB5"/>
    <w:rsid w:val="00A733B2"/>
    <w:rsid w:val="00A741C2"/>
    <w:rsid w:val="00A75598"/>
    <w:rsid w:val="00A91760"/>
    <w:rsid w:val="00A93B00"/>
    <w:rsid w:val="00A93C21"/>
    <w:rsid w:val="00AB64C9"/>
    <w:rsid w:val="00AC0992"/>
    <w:rsid w:val="00AC3C6A"/>
    <w:rsid w:val="00AD5620"/>
    <w:rsid w:val="00AD656B"/>
    <w:rsid w:val="00AD7C1B"/>
    <w:rsid w:val="00AE05A0"/>
    <w:rsid w:val="00AE16BA"/>
    <w:rsid w:val="00AE1EBE"/>
    <w:rsid w:val="00B01223"/>
    <w:rsid w:val="00B03C9D"/>
    <w:rsid w:val="00B060AE"/>
    <w:rsid w:val="00B10517"/>
    <w:rsid w:val="00B14E76"/>
    <w:rsid w:val="00B161B8"/>
    <w:rsid w:val="00B2048C"/>
    <w:rsid w:val="00B24DB9"/>
    <w:rsid w:val="00B25CB6"/>
    <w:rsid w:val="00B310B9"/>
    <w:rsid w:val="00B35F3F"/>
    <w:rsid w:val="00B36CBB"/>
    <w:rsid w:val="00B425E0"/>
    <w:rsid w:val="00B440AA"/>
    <w:rsid w:val="00B44B70"/>
    <w:rsid w:val="00B53C56"/>
    <w:rsid w:val="00B57DAF"/>
    <w:rsid w:val="00B77EA6"/>
    <w:rsid w:val="00B81598"/>
    <w:rsid w:val="00B841F1"/>
    <w:rsid w:val="00B94088"/>
    <w:rsid w:val="00B944D6"/>
    <w:rsid w:val="00BB4DF0"/>
    <w:rsid w:val="00BC289F"/>
    <w:rsid w:val="00BC2D50"/>
    <w:rsid w:val="00BC5361"/>
    <w:rsid w:val="00BC5460"/>
    <w:rsid w:val="00BC6B50"/>
    <w:rsid w:val="00BD0E25"/>
    <w:rsid w:val="00BD5026"/>
    <w:rsid w:val="00BF5BD6"/>
    <w:rsid w:val="00C03E31"/>
    <w:rsid w:val="00C052D1"/>
    <w:rsid w:val="00C33E72"/>
    <w:rsid w:val="00C354B2"/>
    <w:rsid w:val="00C35554"/>
    <w:rsid w:val="00C42709"/>
    <w:rsid w:val="00C533CC"/>
    <w:rsid w:val="00C5751C"/>
    <w:rsid w:val="00C6001F"/>
    <w:rsid w:val="00C61BFC"/>
    <w:rsid w:val="00C62B85"/>
    <w:rsid w:val="00C65438"/>
    <w:rsid w:val="00C87FD8"/>
    <w:rsid w:val="00C91381"/>
    <w:rsid w:val="00C91CBB"/>
    <w:rsid w:val="00CB4E70"/>
    <w:rsid w:val="00CC09B6"/>
    <w:rsid w:val="00CC666F"/>
    <w:rsid w:val="00CD1E3F"/>
    <w:rsid w:val="00CE44F6"/>
    <w:rsid w:val="00CE49DA"/>
    <w:rsid w:val="00CE7B61"/>
    <w:rsid w:val="00CF5BFD"/>
    <w:rsid w:val="00D00095"/>
    <w:rsid w:val="00D05CED"/>
    <w:rsid w:val="00D114F0"/>
    <w:rsid w:val="00D20620"/>
    <w:rsid w:val="00D254F7"/>
    <w:rsid w:val="00D26091"/>
    <w:rsid w:val="00D2685C"/>
    <w:rsid w:val="00D31E6F"/>
    <w:rsid w:val="00D34E7C"/>
    <w:rsid w:val="00D35489"/>
    <w:rsid w:val="00D36AFE"/>
    <w:rsid w:val="00D46E8B"/>
    <w:rsid w:val="00D51276"/>
    <w:rsid w:val="00D7035F"/>
    <w:rsid w:val="00D9128E"/>
    <w:rsid w:val="00DA634F"/>
    <w:rsid w:val="00DA65AC"/>
    <w:rsid w:val="00DB1913"/>
    <w:rsid w:val="00DC410D"/>
    <w:rsid w:val="00DC5A81"/>
    <w:rsid w:val="00DC68CA"/>
    <w:rsid w:val="00DC7CBA"/>
    <w:rsid w:val="00DD73B7"/>
    <w:rsid w:val="00DE3961"/>
    <w:rsid w:val="00DF28BC"/>
    <w:rsid w:val="00DF34B9"/>
    <w:rsid w:val="00DF4EE3"/>
    <w:rsid w:val="00E00AF1"/>
    <w:rsid w:val="00E01053"/>
    <w:rsid w:val="00E07ACF"/>
    <w:rsid w:val="00E226B5"/>
    <w:rsid w:val="00E26B09"/>
    <w:rsid w:val="00E331A1"/>
    <w:rsid w:val="00E33202"/>
    <w:rsid w:val="00E336A9"/>
    <w:rsid w:val="00E472B1"/>
    <w:rsid w:val="00E50624"/>
    <w:rsid w:val="00E568DF"/>
    <w:rsid w:val="00E64269"/>
    <w:rsid w:val="00E82267"/>
    <w:rsid w:val="00E82292"/>
    <w:rsid w:val="00E853CE"/>
    <w:rsid w:val="00E867B6"/>
    <w:rsid w:val="00E91E9E"/>
    <w:rsid w:val="00E92E51"/>
    <w:rsid w:val="00E97AA2"/>
    <w:rsid w:val="00EA010F"/>
    <w:rsid w:val="00EA67C7"/>
    <w:rsid w:val="00EA7E78"/>
    <w:rsid w:val="00EB7470"/>
    <w:rsid w:val="00ED1B63"/>
    <w:rsid w:val="00ED3C1F"/>
    <w:rsid w:val="00ED4085"/>
    <w:rsid w:val="00ED420E"/>
    <w:rsid w:val="00ED6AEB"/>
    <w:rsid w:val="00ED6B37"/>
    <w:rsid w:val="00ED6FBE"/>
    <w:rsid w:val="00EE2F57"/>
    <w:rsid w:val="00EF4C34"/>
    <w:rsid w:val="00EF77C6"/>
    <w:rsid w:val="00F05438"/>
    <w:rsid w:val="00F1361C"/>
    <w:rsid w:val="00F156F0"/>
    <w:rsid w:val="00F160C7"/>
    <w:rsid w:val="00F174DB"/>
    <w:rsid w:val="00F2408F"/>
    <w:rsid w:val="00F240E9"/>
    <w:rsid w:val="00F24EFC"/>
    <w:rsid w:val="00F36D8F"/>
    <w:rsid w:val="00F417B1"/>
    <w:rsid w:val="00F42B02"/>
    <w:rsid w:val="00F45853"/>
    <w:rsid w:val="00F50596"/>
    <w:rsid w:val="00F602DF"/>
    <w:rsid w:val="00F64275"/>
    <w:rsid w:val="00F754A1"/>
    <w:rsid w:val="00F81FD9"/>
    <w:rsid w:val="00F841AA"/>
    <w:rsid w:val="00F84A94"/>
    <w:rsid w:val="00F87E96"/>
    <w:rsid w:val="00FA23E8"/>
    <w:rsid w:val="00FC19D1"/>
    <w:rsid w:val="00FD3CC1"/>
    <w:rsid w:val="00FF1E02"/>
    <w:rsid w:val="00FF30B4"/>
    <w:rsid w:val="03DC2831"/>
    <w:rsid w:val="04DC21BC"/>
    <w:rsid w:val="081B5E94"/>
    <w:rsid w:val="082B7054"/>
    <w:rsid w:val="0A2032A3"/>
    <w:rsid w:val="0A380D4C"/>
    <w:rsid w:val="0B736C65"/>
    <w:rsid w:val="0B8A37D8"/>
    <w:rsid w:val="0EC142AA"/>
    <w:rsid w:val="0F5FFB2F"/>
    <w:rsid w:val="0FFFCF60"/>
    <w:rsid w:val="10C055FF"/>
    <w:rsid w:val="10EA565A"/>
    <w:rsid w:val="118107EC"/>
    <w:rsid w:val="11DD6519"/>
    <w:rsid w:val="16014CC5"/>
    <w:rsid w:val="16BB723D"/>
    <w:rsid w:val="17233A58"/>
    <w:rsid w:val="18015F3F"/>
    <w:rsid w:val="1BDB0DA5"/>
    <w:rsid w:val="1BE8440E"/>
    <w:rsid w:val="1D155CEE"/>
    <w:rsid w:val="1FDBBF84"/>
    <w:rsid w:val="20F57F95"/>
    <w:rsid w:val="21556F04"/>
    <w:rsid w:val="23C50AE6"/>
    <w:rsid w:val="240371BF"/>
    <w:rsid w:val="24BF3347"/>
    <w:rsid w:val="25711CC6"/>
    <w:rsid w:val="25C741E6"/>
    <w:rsid w:val="27567EE9"/>
    <w:rsid w:val="276F80C0"/>
    <w:rsid w:val="27842671"/>
    <w:rsid w:val="29FD04D3"/>
    <w:rsid w:val="2A630418"/>
    <w:rsid w:val="2ABE7A3E"/>
    <w:rsid w:val="2AFF09B6"/>
    <w:rsid w:val="2CA234A8"/>
    <w:rsid w:val="2EFA178C"/>
    <w:rsid w:val="2EFDF86C"/>
    <w:rsid w:val="2F9D17E1"/>
    <w:rsid w:val="30B46D73"/>
    <w:rsid w:val="316D6506"/>
    <w:rsid w:val="319F7F4E"/>
    <w:rsid w:val="31CE0B18"/>
    <w:rsid w:val="32832219"/>
    <w:rsid w:val="338813BB"/>
    <w:rsid w:val="348D26AA"/>
    <w:rsid w:val="34C007CF"/>
    <w:rsid w:val="356A28F1"/>
    <w:rsid w:val="357C035A"/>
    <w:rsid w:val="35F24F2D"/>
    <w:rsid w:val="365B2DB7"/>
    <w:rsid w:val="368E000D"/>
    <w:rsid w:val="381E22EE"/>
    <w:rsid w:val="383D272C"/>
    <w:rsid w:val="39AE70AB"/>
    <w:rsid w:val="3A397D2A"/>
    <w:rsid w:val="3A4DCE41"/>
    <w:rsid w:val="3AFA0718"/>
    <w:rsid w:val="3B84142B"/>
    <w:rsid w:val="3BCB56FA"/>
    <w:rsid w:val="3C0C0783"/>
    <w:rsid w:val="3EE7C2F4"/>
    <w:rsid w:val="3F371B56"/>
    <w:rsid w:val="3F52408C"/>
    <w:rsid w:val="3F5E1D7C"/>
    <w:rsid w:val="3F792ED8"/>
    <w:rsid w:val="3F9F3A96"/>
    <w:rsid w:val="3FECA4B2"/>
    <w:rsid w:val="3FF50647"/>
    <w:rsid w:val="3FF58C48"/>
    <w:rsid w:val="402916ED"/>
    <w:rsid w:val="40600C68"/>
    <w:rsid w:val="40866409"/>
    <w:rsid w:val="41682EF1"/>
    <w:rsid w:val="42FF6694"/>
    <w:rsid w:val="43705609"/>
    <w:rsid w:val="43A02171"/>
    <w:rsid w:val="44D11536"/>
    <w:rsid w:val="46844632"/>
    <w:rsid w:val="48904B42"/>
    <w:rsid w:val="48BF60AB"/>
    <w:rsid w:val="493C27E9"/>
    <w:rsid w:val="496F39ED"/>
    <w:rsid w:val="49FF41D3"/>
    <w:rsid w:val="4BE068DB"/>
    <w:rsid w:val="4BF6002B"/>
    <w:rsid w:val="4BFFC6BE"/>
    <w:rsid w:val="4E487C6D"/>
    <w:rsid w:val="4ECE2238"/>
    <w:rsid w:val="4EDF65C5"/>
    <w:rsid w:val="513515EE"/>
    <w:rsid w:val="518A41FA"/>
    <w:rsid w:val="51DB4B86"/>
    <w:rsid w:val="51F64DB0"/>
    <w:rsid w:val="524276A2"/>
    <w:rsid w:val="53D61E00"/>
    <w:rsid w:val="55333C3E"/>
    <w:rsid w:val="55443F0B"/>
    <w:rsid w:val="554E4208"/>
    <w:rsid w:val="57B86FB7"/>
    <w:rsid w:val="591632C9"/>
    <w:rsid w:val="59651FEB"/>
    <w:rsid w:val="5A536ED1"/>
    <w:rsid w:val="5E4A0E97"/>
    <w:rsid w:val="5F67802D"/>
    <w:rsid w:val="5F7DC4F2"/>
    <w:rsid w:val="5FB36814"/>
    <w:rsid w:val="5FBB8E56"/>
    <w:rsid w:val="5FFB5535"/>
    <w:rsid w:val="61C711C1"/>
    <w:rsid w:val="6273796A"/>
    <w:rsid w:val="640B10C9"/>
    <w:rsid w:val="64CA39A1"/>
    <w:rsid w:val="67696AE0"/>
    <w:rsid w:val="69630ADE"/>
    <w:rsid w:val="69BD5F13"/>
    <w:rsid w:val="69FB0B4B"/>
    <w:rsid w:val="6A0E36C1"/>
    <w:rsid w:val="6A614535"/>
    <w:rsid w:val="6BFFE1FB"/>
    <w:rsid w:val="6C316827"/>
    <w:rsid w:val="6C4A05C8"/>
    <w:rsid w:val="6C9A3598"/>
    <w:rsid w:val="6D3B1A89"/>
    <w:rsid w:val="6DB7D8A3"/>
    <w:rsid w:val="6E757AA5"/>
    <w:rsid w:val="6EC78701"/>
    <w:rsid w:val="6F04446E"/>
    <w:rsid w:val="6F7A5481"/>
    <w:rsid w:val="6FFE07A9"/>
    <w:rsid w:val="71BF4EC2"/>
    <w:rsid w:val="72734D90"/>
    <w:rsid w:val="73CB16CD"/>
    <w:rsid w:val="73E75B71"/>
    <w:rsid w:val="7412278C"/>
    <w:rsid w:val="75DDCDA9"/>
    <w:rsid w:val="75FF44B1"/>
    <w:rsid w:val="75FF628B"/>
    <w:rsid w:val="77670518"/>
    <w:rsid w:val="777FA627"/>
    <w:rsid w:val="77DF1B5F"/>
    <w:rsid w:val="77EF2D9D"/>
    <w:rsid w:val="78B01599"/>
    <w:rsid w:val="79E7B28D"/>
    <w:rsid w:val="7AAD2A82"/>
    <w:rsid w:val="7ACFF0C2"/>
    <w:rsid w:val="7AFB9108"/>
    <w:rsid w:val="7BD5340C"/>
    <w:rsid w:val="7BFB19D2"/>
    <w:rsid w:val="7BFD1750"/>
    <w:rsid w:val="7BFDAA1B"/>
    <w:rsid w:val="7CDF9A82"/>
    <w:rsid w:val="7CFFA1BD"/>
    <w:rsid w:val="7D2E3F7A"/>
    <w:rsid w:val="7D7F0706"/>
    <w:rsid w:val="7D8D09BB"/>
    <w:rsid w:val="7DED9490"/>
    <w:rsid w:val="7DFF4872"/>
    <w:rsid w:val="7E7487E6"/>
    <w:rsid w:val="7E7C2A54"/>
    <w:rsid w:val="7EEEFD72"/>
    <w:rsid w:val="7F1D517C"/>
    <w:rsid w:val="7F5DA057"/>
    <w:rsid w:val="7F672E77"/>
    <w:rsid w:val="7F6C2237"/>
    <w:rsid w:val="7F7F319B"/>
    <w:rsid w:val="7F9F20EE"/>
    <w:rsid w:val="7FBBE890"/>
    <w:rsid w:val="7FBC2ABD"/>
    <w:rsid w:val="7FBF5D48"/>
    <w:rsid w:val="7FCCFC01"/>
    <w:rsid w:val="7FDD1748"/>
    <w:rsid w:val="7FE769C6"/>
    <w:rsid w:val="7FE84E45"/>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nhideWhenUsed="0"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2"/>
    <w:qFormat/>
    <w:uiPriority w:val="9"/>
    <w:pPr>
      <w:keepNext/>
      <w:keepLines/>
      <w:spacing w:before="340" w:after="330" w:line="578" w:lineRule="auto"/>
      <w:outlineLvl w:val="0"/>
    </w:pPr>
    <w:rPr>
      <w:rFonts w:ascii="Times New Roman" w:hAnsi="Times New Roman" w:eastAsia="宋体"/>
      <w:b/>
      <w:bCs/>
      <w:kern w:val="44"/>
      <w:sz w:val="32"/>
      <w:szCs w:val="44"/>
    </w:rPr>
  </w:style>
  <w:style w:type="paragraph" w:styleId="6">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rPr>
      <w:rFonts w:ascii="Times New Roman" w:hAnsi="Times New Roman" w:eastAsia="宋体"/>
      <w:sz w:val="32"/>
    </w:rPr>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annotation text"/>
    <w:basedOn w:val="1"/>
    <w:link w:val="54"/>
    <w:qFormat/>
    <w:uiPriority w:val="99"/>
    <w:pPr>
      <w:suppressAutoHyphens/>
      <w:jc w:val="left"/>
    </w:pPr>
    <w:rPr>
      <w:rFonts w:ascii="Calibri" w:hAnsi="Calibri"/>
    </w:rPr>
  </w:style>
  <w:style w:type="paragraph" w:styleId="9">
    <w:name w:val="Body Text"/>
    <w:basedOn w:val="1"/>
    <w:link w:val="29"/>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5"/>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5"/>
    <w:next w:val="1"/>
    <w:unhideWhenUsed/>
    <w:qFormat/>
    <w:uiPriority w:val="39"/>
    <w:pPr>
      <w:tabs>
        <w:tab w:val="right" w:leader="dot" w:pos="8296"/>
        <w:tab w:val="right" w:leader="dot" w:pos="8306"/>
      </w:tabs>
    </w:pPr>
    <w:rPr>
      <w:rFonts w:ascii="黑体" w:hAnsi="黑体" w:eastAsia="黑体"/>
    </w:rPr>
  </w:style>
  <w:style w:type="paragraph" w:styleId="15">
    <w:name w:val="toc 2"/>
    <w:basedOn w:val="1"/>
    <w:next w:val="1"/>
    <w:unhideWhenUsed/>
    <w:qFormat/>
    <w:uiPriority w:val="39"/>
    <w:pPr>
      <w:tabs>
        <w:tab w:val="right" w:leader="dot" w:pos="8296"/>
      </w:tabs>
      <w:ind w:left="420" w:leftChars="200"/>
    </w:pPr>
  </w:style>
  <w:style w:type="paragraph" w:styleId="16">
    <w:name w:val="annotation subject"/>
    <w:basedOn w:val="8"/>
    <w:next w:val="8"/>
    <w:link w:val="55"/>
    <w:semiHidden/>
    <w:unhideWhenUsed/>
    <w:qFormat/>
    <w:uiPriority w:val="99"/>
    <w:pPr>
      <w:suppressAutoHyphens w:val="0"/>
    </w:pPr>
    <w:rPr>
      <w:rFonts w:ascii="Times New Roman" w:hAnsi="Times New Roman"/>
      <w:b/>
      <w:bCs/>
    </w:rPr>
  </w:style>
  <w:style w:type="character" w:styleId="19">
    <w:name w:val="Strong"/>
    <w:basedOn w:val="18"/>
    <w:qFormat/>
    <w:uiPriority w:val="99"/>
    <w:rPr>
      <w:b/>
    </w:rPr>
  </w:style>
  <w:style w:type="character" w:styleId="20">
    <w:name w:val="FollowedHyperlink"/>
    <w:basedOn w:val="18"/>
    <w:semiHidden/>
    <w:unhideWhenUsed/>
    <w:qFormat/>
    <w:uiPriority w:val="99"/>
    <w:rPr>
      <w:color w:val="954F72"/>
      <w:u w:val="single"/>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character" w:styleId="22">
    <w:name w:val="annotation reference"/>
    <w:basedOn w:val="18"/>
    <w:semiHidden/>
    <w:unhideWhenUsed/>
    <w:qFormat/>
    <w:uiPriority w:val="99"/>
    <w:rPr>
      <w:sz w:val="21"/>
      <w:szCs w:val="21"/>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字符"/>
    <w:link w:val="13"/>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字符"/>
    <w:link w:val="12"/>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字符"/>
    <w:link w:val="9"/>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字符"/>
    <w:basedOn w:val="18"/>
    <w:link w:val="5"/>
    <w:qFormat/>
    <w:uiPriority w:val="9"/>
    <w:rPr>
      <w:rFonts w:ascii="Times New Roman" w:hAnsi="Times New Roman" w:eastAsia="宋体"/>
      <w:b/>
      <w:bCs/>
      <w:kern w:val="44"/>
      <w:sz w:val="32"/>
      <w:szCs w:val="44"/>
    </w:rPr>
  </w:style>
  <w:style w:type="character" w:customStyle="1" w:styleId="33">
    <w:name w:val="标题 2 字符"/>
    <w:basedOn w:val="18"/>
    <w:link w:val="6"/>
    <w:qFormat/>
    <w:uiPriority w:val="9"/>
    <w:rPr>
      <w:rFonts w:asciiTheme="majorHAnsi" w:hAnsiTheme="majorHAnsi" w:eastAsiaTheme="majorEastAsia" w:cstheme="majorBidi"/>
      <w:b/>
      <w:bCs/>
      <w:kern w:val="2"/>
      <w:sz w:val="32"/>
      <w:szCs w:val="32"/>
    </w:rPr>
  </w:style>
  <w:style w:type="paragraph" w:customStyle="1" w:styleId="34">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18"/>
    <w:link w:val="11"/>
    <w:semiHidden/>
    <w:qFormat/>
    <w:uiPriority w:val="99"/>
    <w:rPr>
      <w:rFonts w:ascii="Times New Roman" w:hAnsi="Times New Roman"/>
      <w:kern w:val="2"/>
      <w:sz w:val="18"/>
      <w:szCs w:val="18"/>
    </w:rPr>
  </w:style>
  <w:style w:type="character" w:customStyle="1" w:styleId="36">
    <w:name w:val="标题 3 字符"/>
    <w:basedOn w:val="18"/>
    <w:link w:val="7"/>
    <w:qFormat/>
    <w:uiPriority w:val="9"/>
    <w:rPr>
      <w:rFonts w:ascii="Times New Roman" w:hAnsi="Times New Roman"/>
      <w:b/>
      <w:bCs/>
      <w:kern w:val="2"/>
      <w:sz w:val="32"/>
      <w:szCs w:val="32"/>
    </w:rPr>
  </w:style>
  <w:style w:type="paragraph" w:customStyle="1" w:styleId="37">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40">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1">
    <w:name w:val="xl66"/>
    <w:basedOn w:val="1"/>
    <w:qFormat/>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42">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3">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4">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5">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6">
    <w:name w:val="xl7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7">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6"/>
      <w:szCs w:val="16"/>
    </w:rPr>
  </w:style>
  <w:style w:type="paragraph" w:customStyle="1" w:styleId="48">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2"/>
      <w:szCs w:val="12"/>
    </w:rPr>
  </w:style>
  <w:style w:type="paragraph" w:customStyle="1" w:styleId="49">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50">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51">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52">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53">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character" w:customStyle="1" w:styleId="54">
    <w:name w:val="批注文字 字符"/>
    <w:basedOn w:val="18"/>
    <w:link w:val="8"/>
    <w:qFormat/>
    <w:uiPriority w:val="0"/>
    <w:rPr>
      <w:rFonts w:ascii="Calibri" w:hAnsi="Calibri" w:eastAsia="宋体" w:cs="Times New Roman"/>
      <w:kern w:val="2"/>
      <w:sz w:val="21"/>
      <w:szCs w:val="24"/>
    </w:rPr>
  </w:style>
  <w:style w:type="character" w:customStyle="1" w:styleId="55">
    <w:name w:val="批注主题 字符"/>
    <w:basedOn w:val="54"/>
    <w:link w:val="16"/>
    <w:semiHidden/>
    <w:qFormat/>
    <w:uiPriority w:val="99"/>
    <w:rPr>
      <w:rFonts w:ascii="Times New Roman" w:hAnsi="Times New Roman" w:eastAsia="宋体" w:cs="Times New Roman"/>
      <w:b/>
      <w:bCs/>
      <w:kern w:val="2"/>
      <w:sz w:val="21"/>
      <w:szCs w:val="24"/>
    </w:rPr>
  </w:style>
  <w:style w:type="paragraph" w:customStyle="1" w:styleId="56">
    <w:name w:val="样式1"/>
    <w:basedOn w:val="1"/>
    <w:qFormat/>
    <w:uiPriority w:val="0"/>
    <w:pPr>
      <w:spacing w:beforeLines="0" w:afterLines="0"/>
      <w:jc w:val="center"/>
    </w:pPr>
    <w:rPr>
      <w:rFonts w:ascii="宋体" w:hAnsi="宋体" w:eastAsia="宋体"/>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年收入支出总计变动情况图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Sheet1!$B$2:$B$5</c:f>
              <c:numCache>
                <c:formatCode>General</c:formatCode>
                <c:ptCount val="4"/>
                <c:pt idx="0">
                  <c:v>473.11</c:v>
                </c:pt>
                <c:pt idx="1">
                  <c:v>473.11</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Sheet1!$C$2:$C$5</c:f>
              <c:numCache>
                <c:formatCode>General</c:formatCode>
                <c:ptCount val="4"/>
                <c:pt idx="0">
                  <c:v>408.01</c:v>
                </c:pt>
                <c:pt idx="1">
                  <c:v>408.01</c:v>
                </c:pt>
              </c:numCache>
            </c:numRef>
          </c:val>
        </c:ser>
        <c:dLbls>
          <c:showLegendKey val="0"/>
          <c:showVal val="0"/>
          <c:showCatName val="0"/>
          <c:showSerName val="0"/>
          <c:showPercent val="0"/>
          <c:showBubbleSize val="0"/>
        </c:dLbls>
        <c:gapWidth val="219"/>
        <c:overlap val="-27"/>
        <c:axId val="585217072"/>
        <c:axId val="585217400"/>
      </c:barChart>
      <c:catAx>
        <c:axId val="585217072"/>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749854483335261"/>
              <c:y val="0.7363256218359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5217400"/>
        <c:crosses val="autoZero"/>
        <c:auto val="1"/>
        <c:lblAlgn val="ctr"/>
        <c:lblOffset val="100"/>
        <c:noMultiLvlLbl val="0"/>
      </c:catAx>
      <c:valAx>
        <c:axId val="585217400"/>
        <c:scaling>
          <c:orientation val="minMax"/>
          <c:min val="3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5217072"/>
        <c:crosses val="autoZero"/>
        <c:crossBetween val="between"/>
        <c:majorUnit val="5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年度收入决算结构图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2024年收入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0361184685769323"/>
                  <c:y val="0"/>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406.36</c:v>
                </c:pt>
                <c:pt idx="1">
                  <c:v>1.65</c:v>
                </c:pt>
              </c:numCache>
            </c:numRef>
          </c:val>
        </c:ser>
        <c:dLbls>
          <c:showLegendKey val="0"/>
          <c:showVal val="1"/>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年度支出决算结构图</a:t>
            </a:r>
            <a:endParaRPr lang="zh-CN" altLang="en-US"/>
          </a:p>
        </c:rich>
      </c:tx>
      <c:layout>
        <c:manualLayout>
          <c:xMode val="edge"/>
          <c:yMode val="edge"/>
          <c:x val="0.262220081868529"/>
          <c:y val="0.0299277605779154"/>
        </c:manualLayout>
      </c:layout>
      <c:overlay val="0"/>
      <c:spPr>
        <a:noFill/>
        <a:ln>
          <a:noFill/>
        </a:ln>
        <a:effectLst/>
      </c:spPr>
    </c:title>
    <c:autoTitleDeleted val="0"/>
    <c:plotArea>
      <c:layout/>
      <c:pieChart>
        <c:varyColors val="1"/>
        <c:ser>
          <c:idx val="0"/>
          <c:order val="0"/>
          <c:tx>
            <c:strRef>
              <c:f>Sheet1!$B$1</c:f>
              <c:strCache>
                <c:ptCount val="1"/>
                <c:pt idx="0">
                  <c:v>2024年度支出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1"/>
              <c:layout>
                <c:manualLayout>
                  <c:x val="-0.0361853081585027"/>
                  <c:y val="0.01470783813702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375.87</c:v>
                </c:pt>
                <c:pt idx="1">
                  <c:v>32.14</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年财政拨款收入支出总计变动图</a:t>
            </a:r>
            <a:endParaRPr lang="zh-CN" altLang="en-US"/>
          </a:p>
        </c:rich>
      </c:tx>
      <c:layout>
        <c:manualLayout>
          <c:xMode val="edge"/>
          <c:yMode val="edge"/>
          <c:x val="0.131934463926416"/>
          <c:y val="0.0258739333883843"/>
        </c:manualLayout>
      </c:layout>
      <c:overlay val="0"/>
      <c:spPr>
        <a:noFill/>
        <a:ln>
          <a:noFill/>
        </a:ln>
        <a:effectLst/>
      </c:spPr>
    </c:title>
    <c:autoTitleDeleted val="0"/>
    <c:plotArea>
      <c:layout>
        <c:manualLayout>
          <c:layoutTarget val="inner"/>
          <c:xMode val="edge"/>
          <c:yMode val="edge"/>
          <c:x val="0.0774743572665512"/>
          <c:y val="0.250699978462201"/>
          <c:w val="0.898947648861063"/>
          <c:h val="0.543915571828559"/>
        </c:manualLayout>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473.11</c:v>
                </c:pt>
                <c:pt idx="1">
                  <c:v>473.11</c:v>
                </c:pt>
              </c:numCache>
            </c:numRef>
          </c:val>
        </c:ser>
        <c:ser>
          <c:idx val="1"/>
          <c:order val="1"/>
          <c:tx>
            <c:strRef>
              <c:f>Sheet1!$C$1</c:f>
              <c:strCache>
                <c:ptCount val="1"/>
                <c:pt idx="0">
                  <c:v>2024</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406.36</c:v>
                </c:pt>
                <c:pt idx="1">
                  <c:v>406.36</c:v>
                </c:pt>
              </c:numCache>
            </c:numRef>
          </c:val>
        </c:ser>
        <c:dLbls>
          <c:showLegendKey val="0"/>
          <c:showVal val="0"/>
          <c:showCatName val="0"/>
          <c:showSerName val="0"/>
          <c:showPercent val="0"/>
          <c:showBubbleSize val="0"/>
        </c:dLbls>
        <c:gapWidth val="219"/>
        <c:overlap val="-27"/>
        <c:axId val="614403576"/>
        <c:axId val="614404232"/>
      </c:barChart>
      <c:catAx>
        <c:axId val="614403576"/>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50986195350671"/>
              <c:y val="0.9138282018153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4404232"/>
        <c:crosses val="autoZero"/>
        <c:auto val="1"/>
        <c:lblAlgn val="ctr"/>
        <c:lblOffset val="100"/>
        <c:noMultiLvlLbl val="0"/>
      </c:catAx>
      <c:valAx>
        <c:axId val="614404232"/>
        <c:scaling>
          <c:orientation val="minMax"/>
          <c:min val="3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4403576"/>
        <c:crosses val="autoZero"/>
        <c:crossBetween val="between"/>
        <c:majorUnit val="5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1200"/>
              <a:t>2023</a:t>
            </a:r>
            <a:r>
              <a:rPr lang="zh-CN" altLang="en-US" sz="1200"/>
              <a:t>、</a:t>
            </a:r>
            <a:r>
              <a:rPr lang="en-US" altLang="zh-CN" sz="1200"/>
              <a:t>2024</a:t>
            </a:r>
            <a:r>
              <a:rPr lang="zh-CN" altLang="en-US" sz="1200"/>
              <a:t>年度一般公共预算财政拨款支出决算变动图</a:t>
            </a:r>
            <a:endParaRPr lang="zh-CN" altLang="en-US" sz="12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General</c:formatCode>
                <c:ptCount val="2"/>
                <c:pt idx="0">
                  <c:v>473.11</c:v>
                </c:pt>
                <c:pt idx="1">
                  <c:v>406.36</c:v>
                </c:pt>
              </c:numCache>
            </c:numRef>
          </c:val>
        </c:ser>
        <c:dLbls>
          <c:showLegendKey val="0"/>
          <c:showVal val="0"/>
          <c:showCatName val="0"/>
          <c:showSerName val="0"/>
          <c:showPercent val="0"/>
          <c:showBubbleSize val="0"/>
        </c:dLbls>
        <c:gapWidth val="219"/>
        <c:overlap val="-27"/>
        <c:axId val="349952600"/>
        <c:axId val="349951288"/>
      </c:barChart>
      <c:catAx>
        <c:axId val="349952600"/>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36538807919899"/>
              <c:y val="0.88906039995774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9951288"/>
        <c:crosses val="autoZero"/>
        <c:auto val="1"/>
        <c:lblAlgn val="ctr"/>
        <c:lblOffset val="100"/>
        <c:noMultiLvlLbl val="0"/>
      </c:catAx>
      <c:valAx>
        <c:axId val="349951288"/>
        <c:scaling>
          <c:orientation val="minMax"/>
          <c:min val="3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9952600"/>
        <c:crosses val="autoZero"/>
        <c:crossBetween val="between"/>
        <c:majorUnit val="5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年一般公共预算财政拨款支出结构图</a:t>
            </a:r>
            <a:endParaRPr lang="zh-CN" altLang="en-US"/>
          </a:p>
        </c:rich>
      </c:tx>
      <c:layout>
        <c:manualLayout>
          <c:xMode val="edge"/>
          <c:yMode val="edge"/>
          <c:x val="0.229857934023597"/>
          <c:y val="0"/>
        </c:manualLayout>
      </c:layout>
      <c:overlay val="0"/>
      <c:spPr>
        <a:noFill/>
        <a:ln>
          <a:noFill/>
        </a:ln>
        <a:effectLst/>
      </c:sp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311.5</c:v>
                </c:pt>
                <c:pt idx="1">
                  <c:v>55.28</c:v>
                </c:pt>
                <c:pt idx="2">
                  <c:v>15.47</c:v>
                </c:pt>
                <c:pt idx="3">
                  <c:v>25.76</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8CDC8-6017-4A6F-B2F4-FEA1E85E5FD2}">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34</Pages>
  <Words>12743</Words>
  <Characters>13793</Characters>
  <Lines>20</Lines>
  <Paragraphs>29</Paragraphs>
  <TotalTime>3</TotalTime>
  <ScaleCrop>false</ScaleCrop>
  <LinksUpToDate>false</LinksUpToDate>
  <CharactersWithSpaces>13959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2024-08-19T00:01:00Z</dcterms:created>
  <dc:creator>AutoBVT</dc:creator>
  <cp:lastModifiedBy>Lenovo</cp:lastModifiedBy>
  <cp:lastPrinted>2024-08-23T07:28:00Z</cp:lastPrinted>
  <dcterms:modified xsi:type="dcterms:W3CDTF">2025-08-27T01:40:24Z</dcterms:modified>
  <dc:title>四川省***</dc:title>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eyJoZGlkIjoiMDAxNDAxODlmZDk0ZWVhNjVhMDYyNGMyYTA0MTY1ZWIiLCJ1c2VySWQiOiI0NDE0OTc5MTEifQ==</vt:lpwstr>
  </property>
  <property fmtid="{D5CDD505-2E9C-101B-9397-08002B2CF9AE}" pid="4" name="ICV">
    <vt:lpwstr>211427E3ACE145B7BA6B57CA5B436B02_12</vt:lpwstr>
  </property>
</Properties>
</file>