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78441"/>
      <w:bookmarkStart w:id="1" w:name="_Toc15396475"/>
      <w:bookmarkStart w:id="2" w:name="_Toc15377425"/>
      <w:bookmarkStart w:id="3" w:name="_Toc15377193"/>
      <w:bookmarkStart w:id="4" w:name="_Toc15396597"/>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96476"/>
      <w:bookmarkStart w:id="6" w:name="_Toc15377426"/>
      <w:bookmarkStart w:id="7" w:name="_Toc15378442"/>
      <w:bookmarkStart w:id="8" w:name="_Toc15306268"/>
      <w:bookmarkStart w:id="9" w:name="_Toc15377194"/>
      <w:bookmarkStart w:id="10" w:name="_Toc15396598"/>
      <w:r>
        <w:rPr>
          <w:rFonts w:hint="eastAsia" w:ascii="方正小标宋简体" w:hAnsi="方正小标宋简体" w:eastAsia="方正小标宋简体" w:cs="方正小标宋简体"/>
          <w:sz w:val="52"/>
          <w:szCs w:val="52"/>
        </w:rPr>
        <w:t>四川省遂宁市安居区三家镇中心幼儿园部门决算</w:t>
      </w:r>
      <w:bookmarkEnd w:id="5"/>
      <w:bookmarkEnd w:id="6"/>
      <w:bookmarkEnd w:id="7"/>
      <w:bookmarkEnd w:id="8"/>
      <w:bookmarkEnd w:id="9"/>
      <w:bookmarkEnd w:id="10"/>
    </w:p>
    <w:p>
      <w:pPr>
        <w:widowControl/>
        <w:jc w:val="center"/>
        <w:rPr>
          <w:rFonts w:ascii="方正小标宋简体" w:hAnsi="宋体" w:eastAsia="方正小标宋简体"/>
          <w:sz w:val="52"/>
        </w:rPr>
      </w:pPr>
    </w:p>
    <w:p>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r>
        <w:commentReference w:id="0"/>
      </w:r>
    </w:p>
    <w:p>
      <w:pPr>
        <w:widowControl/>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"1-2" \h \z \u </w:instrText>
      </w:r>
      <w:r>
        <w:rPr>
          <w:rFonts w:ascii="仿宋" w:hAnsi="仿宋" w:eastAsia="仿宋"/>
          <w:sz w:val="32"/>
          <w:szCs w:val="32"/>
        </w:rPr>
        <w:fldChar w:fldCharType="separate"/>
      </w:r>
    </w:p>
    <w:p>
      <w:pPr>
        <w:pStyle w:val="14"/>
        <w:rPr>
          <w:sz w:val="32"/>
          <w:szCs w:val="32"/>
        </w:rPr>
      </w:pPr>
      <w:r>
        <w:rPr>
          <w:rFonts w:hint="eastAsia"/>
          <w:sz w:val="32"/>
          <w:szCs w:val="32"/>
        </w:rPr>
        <w:t>公开时间：2025年08月27日</w:t>
      </w:r>
    </w:p>
    <w:p>
      <w:pPr>
        <w:rPr>
          <w:rFonts w:ascii="仿宋" w:hAnsi="仿宋" w:eastAsia="仿宋"/>
          <w:sz w:val="32"/>
          <w:szCs w:val="32"/>
        </w:rPr>
      </w:pPr>
    </w:p>
    <w:p>
      <w:pPr>
        <w:pStyle w:val="14"/>
        <w:rPr>
          <w:sz w:val="32"/>
          <w:szCs w:val="32"/>
        </w:rPr>
      </w:pPr>
      <w:r>
        <w:fldChar w:fldCharType="begin"/>
      </w:r>
      <w:r>
        <w:instrText xml:space="preserve"> HYPERLINK \l "_Toc15396599" </w:instrText>
      </w:r>
      <w:r>
        <w:fldChar w:fldCharType="separate"/>
      </w:r>
      <w:r>
        <w:rPr>
          <w:rStyle w:val="21"/>
          <w:rFonts w:hint="eastAsia"/>
          <w:color w:val="auto"/>
          <w:sz w:val="32"/>
          <w:szCs w:val="32"/>
        </w:rPr>
        <w:t>第一部分</w:t>
      </w:r>
      <w:r>
        <w:rPr>
          <w:rStyle w:val="21"/>
          <w:color w:val="auto"/>
          <w:sz w:val="32"/>
          <w:szCs w:val="32"/>
        </w:rPr>
        <w:t xml:space="preserve"> </w:t>
      </w:r>
      <w:r>
        <w:rPr>
          <w:rStyle w:val="21"/>
          <w:rFonts w:hint="eastAsia"/>
          <w:color w:val="auto"/>
          <w:sz w:val="32"/>
          <w:szCs w:val="32"/>
        </w:rPr>
        <w:t>部门概况</w:t>
      </w:r>
      <w:r>
        <w:rPr>
          <w:sz w:val="32"/>
          <w:szCs w:val="32"/>
        </w:rPr>
        <w:tab/>
      </w:r>
      <w:r>
        <w:rPr>
          <w:rFonts w:hint="eastAsia"/>
          <w:sz w:val="32"/>
          <w:szCs w:val="32"/>
        </w:rPr>
        <w:t>4</w:t>
      </w:r>
      <w:r>
        <w:rPr>
          <w:rFonts w:hint="eastAsia"/>
          <w:sz w:val="32"/>
          <w:szCs w:val="32"/>
        </w:rPr>
        <w:fldChar w:fldCharType="end"/>
      </w:r>
    </w:p>
    <w:p>
      <w:pPr>
        <w:pStyle w:val="15"/>
        <w:rPr>
          <w:rFonts w:ascii="仿宋" w:hAnsi="仿宋" w:eastAsia="仿宋"/>
          <w:sz w:val="32"/>
          <w:szCs w:val="32"/>
        </w:rPr>
      </w:pPr>
      <w:r>
        <w:fldChar w:fldCharType="begin"/>
      </w:r>
      <w:r>
        <w:instrText xml:space="preserve"> HYPERLINK \l "_Toc15396600" </w:instrText>
      </w:r>
      <w:r>
        <w:fldChar w:fldCharType="separate"/>
      </w:r>
      <w:r>
        <w:rPr>
          <w:rStyle w:val="21"/>
          <w:rFonts w:hint="eastAsia" w:ascii="仿宋" w:hAnsi="仿宋" w:eastAsia="仿宋"/>
          <w:color w:val="auto"/>
          <w:sz w:val="32"/>
          <w:szCs w:val="32"/>
        </w:rPr>
        <w:t>一、部门职责</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4</w:t>
      </w:r>
    </w:p>
    <w:p>
      <w:pPr>
        <w:rPr>
          <w:rStyle w:val="21"/>
          <w:rFonts w:ascii="仿宋" w:hAnsi="仿宋" w:eastAsia="仿宋"/>
          <w:color w:val="auto"/>
          <w:sz w:val="32"/>
          <w:szCs w:val="32"/>
          <w:u w:val="none"/>
        </w:rPr>
      </w:pPr>
      <w:r>
        <w:rPr>
          <w:rFonts w:hint="eastAsia" w:ascii="仿宋" w:hAnsi="仿宋" w:eastAsia="仿宋"/>
          <w:sz w:val="32"/>
          <w:szCs w:val="32"/>
        </w:rPr>
        <w:t xml:space="preserve">   </w:t>
      </w:r>
      <w:r>
        <w:rPr>
          <w:rStyle w:val="21"/>
          <w:rFonts w:hint="eastAsia" w:ascii="仿宋" w:hAnsi="仿宋" w:eastAsia="仿宋"/>
          <w:color w:val="auto"/>
          <w:sz w:val="32"/>
          <w:szCs w:val="32"/>
          <w:u w:val="none"/>
        </w:rPr>
        <w:t>二、机构设置</w:t>
      </w:r>
      <w:r>
        <w:rPr>
          <w:rStyle w:val="21"/>
          <w:rFonts w:ascii="仿宋" w:hAnsi="仿宋" w:eastAsia="仿宋"/>
          <w:color w:val="auto"/>
          <w:sz w:val="32"/>
          <w:szCs w:val="32"/>
          <w:u w:val="none"/>
        </w:rPr>
        <w:t>...</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 ... ... . ... .. ... ...</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 ...</w:t>
      </w:r>
      <w:r>
        <w:rPr>
          <w:rStyle w:val="21"/>
          <w:rFonts w:hint="eastAsia" w:ascii="仿宋" w:hAnsi="仿宋" w:eastAsia="仿宋"/>
          <w:color w:val="auto"/>
          <w:sz w:val="32"/>
          <w:szCs w:val="32"/>
          <w:u w:val="none"/>
        </w:rPr>
        <w:t>4</w:t>
      </w:r>
    </w:p>
    <w:p>
      <w:pPr>
        <w:pStyle w:val="14"/>
        <w:rPr>
          <w:sz w:val="32"/>
          <w:szCs w:val="32"/>
        </w:rPr>
      </w:pPr>
      <w:r>
        <w:fldChar w:fldCharType="begin"/>
      </w:r>
      <w:r>
        <w:instrText xml:space="preserve"> HYPERLINK \l "_Toc15396602" </w:instrText>
      </w:r>
      <w:r>
        <w:fldChar w:fldCharType="separate"/>
      </w:r>
      <w:r>
        <w:rPr>
          <w:rStyle w:val="21"/>
          <w:rFonts w:hint="eastAsia"/>
          <w:color w:val="auto"/>
          <w:sz w:val="32"/>
          <w:szCs w:val="32"/>
        </w:rPr>
        <w:t>第二部分</w:t>
      </w:r>
      <w:r>
        <w:rPr>
          <w:rStyle w:val="21"/>
          <w:color w:val="auto"/>
          <w:sz w:val="32"/>
          <w:szCs w:val="32"/>
        </w:rPr>
        <w:t xml:space="preserve"> </w:t>
      </w:r>
      <w:r>
        <w:rPr>
          <w:rStyle w:val="21"/>
          <w:rFonts w:hint="eastAsia"/>
          <w:color w:val="auto"/>
          <w:sz w:val="32"/>
          <w:szCs w:val="32"/>
        </w:rPr>
        <w:t>2024年度部门决算情况说明</w:t>
      </w:r>
      <w:r>
        <w:rPr>
          <w:sz w:val="32"/>
          <w:szCs w:val="32"/>
        </w:rPr>
        <w:tab/>
      </w:r>
      <w:r>
        <w:rPr>
          <w:sz w:val="32"/>
          <w:szCs w:val="32"/>
        </w:rPr>
        <w:fldChar w:fldCharType="end"/>
      </w:r>
      <w:r>
        <w:rPr>
          <w:rFonts w:hint="eastAsia"/>
          <w:sz w:val="32"/>
          <w:szCs w:val="32"/>
        </w:rPr>
        <w:t>5</w:t>
      </w:r>
    </w:p>
    <w:p>
      <w:pPr>
        <w:pStyle w:val="15"/>
        <w:rPr>
          <w:rFonts w:ascii="仿宋" w:hAnsi="仿宋" w:eastAsia="仿宋"/>
          <w:sz w:val="32"/>
          <w:szCs w:val="32"/>
        </w:rPr>
      </w:pPr>
      <w:r>
        <w:fldChar w:fldCharType="begin"/>
      </w:r>
      <w:r>
        <w:instrText xml:space="preserve"> HYPERLINK \l "_Toc15396603" </w:instrText>
      </w:r>
      <w:r>
        <w:fldChar w:fldCharType="separate"/>
      </w:r>
      <w:r>
        <w:rPr>
          <w:rStyle w:val="21"/>
          <w:rFonts w:hint="eastAsia" w:ascii="仿宋" w:hAnsi="仿宋" w:eastAsia="仿宋"/>
          <w:color w:val="auto"/>
          <w:sz w:val="32"/>
          <w:szCs w:val="32"/>
        </w:rPr>
        <w:t>一、收入支出决算总体情况说明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5</w:t>
      </w:r>
    </w:p>
    <w:p>
      <w:pPr>
        <w:pStyle w:val="15"/>
        <w:rPr>
          <w:rFonts w:ascii="仿宋" w:hAnsi="仿宋" w:eastAsia="仿宋"/>
          <w:sz w:val="32"/>
          <w:szCs w:val="32"/>
        </w:rPr>
      </w:pPr>
      <w:r>
        <w:fldChar w:fldCharType="begin"/>
      </w:r>
      <w:r>
        <w:instrText xml:space="preserve"> HYPERLINK \l "_Toc15396604" </w:instrText>
      </w:r>
      <w:r>
        <w:fldChar w:fldCharType="separate"/>
      </w:r>
      <w:r>
        <w:rPr>
          <w:rStyle w:val="21"/>
          <w:rFonts w:hint="eastAsia" w:ascii="仿宋" w:hAnsi="仿宋" w:eastAsia="仿宋"/>
          <w:color w:val="auto"/>
          <w:sz w:val="32"/>
          <w:szCs w:val="32"/>
        </w:rPr>
        <w:t>二、收入决算情况说明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5</w:t>
      </w:r>
    </w:p>
    <w:p>
      <w:pPr>
        <w:pStyle w:val="15"/>
        <w:rPr>
          <w:rFonts w:ascii="仿宋" w:hAnsi="仿宋" w:eastAsia="仿宋"/>
          <w:sz w:val="32"/>
          <w:szCs w:val="32"/>
        </w:rPr>
      </w:pPr>
      <w:r>
        <w:fldChar w:fldCharType="begin"/>
      </w:r>
      <w:r>
        <w:instrText xml:space="preserve"> HYPERLINK \l "_Toc15396605" </w:instrText>
      </w:r>
      <w:r>
        <w:fldChar w:fldCharType="separate"/>
      </w:r>
      <w:r>
        <w:rPr>
          <w:rStyle w:val="21"/>
          <w:rFonts w:hint="eastAsia" w:ascii="仿宋" w:hAnsi="仿宋" w:eastAsia="仿宋"/>
          <w:color w:val="auto"/>
          <w:sz w:val="32"/>
          <w:szCs w:val="32"/>
        </w:rPr>
        <w:t>三、支出决算情况说明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6</w:t>
      </w:r>
    </w:p>
    <w:p>
      <w:pPr>
        <w:pStyle w:val="15"/>
        <w:rPr>
          <w:rFonts w:ascii="仿宋" w:hAnsi="仿宋" w:eastAsia="仿宋"/>
          <w:sz w:val="32"/>
          <w:szCs w:val="32"/>
        </w:rPr>
      </w:pPr>
      <w:r>
        <w:fldChar w:fldCharType="begin"/>
      </w:r>
      <w:r>
        <w:instrText xml:space="preserve"> HYPERLINK \l "_Toc15396606" </w:instrText>
      </w:r>
      <w:r>
        <w:fldChar w:fldCharType="separate"/>
      </w:r>
      <w:r>
        <w:rPr>
          <w:rStyle w:val="21"/>
          <w:rFonts w:hint="eastAsia" w:ascii="仿宋" w:hAnsi="仿宋" w:eastAsia="仿宋"/>
          <w:color w:val="auto"/>
          <w:sz w:val="32"/>
          <w:szCs w:val="32"/>
        </w:rPr>
        <w:t>四、财政拨款收入支出决算总体情况说明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7</w:t>
      </w:r>
    </w:p>
    <w:p>
      <w:pPr>
        <w:pStyle w:val="15"/>
        <w:rPr>
          <w:rFonts w:ascii="仿宋" w:hAnsi="仿宋" w:eastAsia="仿宋"/>
          <w:sz w:val="32"/>
          <w:szCs w:val="32"/>
        </w:rPr>
      </w:pPr>
      <w:r>
        <w:fldChar w:fldCharType="begin"/>
      </w:r>
      <w:r>
        <w:instrText xml:space="preserve"> HYPERLINK \l "_Toc15396607" </w:instrText>
      </w:r>
      <w:r>
        <w:fldChar w:fldCharType="separate"/>
      </w:r>
      <w:r>
        <w:rPr>
          <w:rStyle w:val="21"/>
          <w:rFonts w:hint="eastAsia" w:ascii="仿宋" w:hAnsi="仿宋" w:eastAsia="仿宋"/>
          <w:color w:val="auto"/>
          <w:sz w:val="32"/>
          <w:szCs w:val="32"/>
        </w:rPr>
        <w:t>五、一般公共预算财政拨款支出决算情况说明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7</w:t>
      </w:r>
    </w:p>
    <w:p>
      <w:pPr>
        <w:pStyle w:val="15"/>
        <w:adjustRightInd w:val="0"/>
        <w:snapToGrid w:val="0"/>
        <w:spacing w:line="560" w:lineRule="exact"/>
        <w:jc w:val="distribute"/>
        <w:rPr>
          <w:rFonts w:ascii="仿宋" w:hAnsi="仿宋" w:eastAsia="仿宋"/>
          <w:sz w:val="32"/>
          <w:szCs w:val="32"/>
        </w:rPr>
      </w:pPr>
      <w:r>
        <w:rPr>
          <w:rFonts w:hint="eastAsia" w:ascii="仿宋" w:hAnsi="仿宋" w:eastAsia="仿宋" w:cs="仿宋_GB2312"/>
          <w:sz w:val="32"/>
          <w:szCs w:val="32"/>
        </w:rPr>
        <w:t>六、一般公共预算财政拨款基本支出决算情况说明…10</w:t>
      </w:r>
    </w:p>
    <w:p>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八、政府性基金预算支出决算情况说明…………………12九、国有资本经营预算支出决算情况说明………………12十、其他重要事项的情况说明……………………………12</w:t>
      </w:r>
    </w:p>
    <w:p>
      <w:pPr>
        <w:pStyle w:val="14"/>
        <w:rPr>
          <w:sz w:val="32"/>
          <w:szCs w:val="32"/>
        </w:rPr>
      </w:pPr>
      <w:r>
        <w:fldChar w:fldCharType="begin"/>
      </w:r>
      <w:r>
        <w:instrText xml:space="preserve"> HYPERLINK \l "_Toc15396613" </w:instrText>
      </w:r>
      <w:r>
        <w:fldChar w:fldCharType="separate"/>
      </w:r>
      <w:r>
        <w:rPr>
          <w:rStyle w:val="21"/>
          <w:rFonts w:hint="eastAsia"/>
          <w:color w:val="auto"/>
          <w:kern w:val="44"/>
          <w:sz w:val="32"/>
          <w:szCs w:val="32"/>
        </w:rPr>
        <w:t>第三部分</w:t>
      </w:r>
      <w:r>
        <w:rPr>
          <w:rStyle w:val="21"/>
          <w:rFonts w:hint="eastAsia"/>
          <w:color w:val="auto"/>
          <w:sz w:val="32"/>
          <w:szCs w:val="32"/>
        </w:rPr>
        <w:t xml:space="preserve"> 名</w:t>
      </w:r>
      <w:r>
        <w:rPr>
          <w:rStyle w:val="21"/>
          <w:rFonts w:hint="eastAsia"/>
          <w:color w:val="auto"/>
          <w:kern w:val="44"/>
          <w:sz w:val="32"/>
          <w:szCs w:val="32"/>
        </w:rPr>
        <w:t>词解释</w:t>
      </w:r>
      <w:r>
        <w:rPr>
          <w:sz w:val="32"/>
          <w:szCs w:val="32"/>
        </w:rPr>
        <w:tab/>
      </w:r>
      <w:r>
        <w:rPr>
          <w:sz w:val="32"/>
          <w:szCs w:val="32"/>
        </w:rPr>
        <w:fldChar w:fldCharType="end"/>
      </w:r>
      <w:r>
        <w:rPr>
          <w:rFonts w:hint="eastAsia"/>
          <w:sz w:val="32"/>
          <w:szCs w:val="32"/>
        </w:rPr>
        <w:t>14</w:t>
      </w:r>
    </w:p>
    <w:p>
      <w:pPr>
        <w:pStyle w:val="14"/>
        <w:rPr>
          <w:sz w:val="32"/>
          <w:szCs w:val="32"/>
        </w:rPr>
      </w:pPr>
      <w:r>
        <w:fldChar w:fldCharType="begin"/>
      </w:r>
      <w:r>
        <w:instrText xml:space="preserve"> HYPERLINK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Fonts w:hint="eastAsia"/>
          <w:kern w:val="44"/>
          <w:sz w:val="32"/>
          <w:szCs w:val="32"/>
        </w:rPr>
        <w:t>17</w:t>
      </w:r>
    </w:p>
    <w:p>
      <w:pPr>
        <w:pStyle w:val="14"/>
        <w:rPr>
          <w:sz w:val="32"/>
          <w:szCs w:val="32"/>
        </w:rPr>
      </w:pPr>
      <w:r>
        <w:fldChar w:fldCharType="begin"/>
      </w:r>
      <w:r>
        <w:instrText xml:space="preserve"> HYPERLINK \l "_Toc15396618" </w:instrText>
      </w:r>
      <w:r>
        <w:fldChar w:fldCharType="separate"/>
      </w:r>
      <w:r>
        <w:rPr>
          <w:rStyle w:val="21"/>
          <w:rFonts w:hint="eastAsia"/>
          <w:color w:val="auto"/>
          <w:sz w:val="32"/>
          <w:szCs w:val="32"/>
        </w:rPr>
        <w:t>第</w:t>
      </w:r>
      <w:r>
        <w:rPr>
          <w:rStyle w:val="21"/>
          <w:rFonts w:hint="eastAsia"/>
          <w:color w:val="auto"/>
          <w:kern w:val="44"/>
          <w:sz w:val="32"/>
          <w:szCs w:val="32"/>
        </w:rPr>
        <w:t>五部分</w:t>
      </w:r>
      <w:r>
        <w:rPr>
          <w:rStyle w:val="21"/>
          <w:color w:val="auto"/>
          <w:kern w:val="44"/>
          <w:sz w:val="32"/>
          <w:szCs w:val="32"/>
        </w:rPr>
        <w:t xml:space="preserve"> </w:t>
      </w:r>
      <w:r>
        <w:rPr>
          <w:rStyle w:val="21"/>
          <w:rFonts w:hint="eastAsia"/>
          <w:color w:val="auto"/>
          <w:kern w:val="44"/>
          <w:sz w:val="32"/>
          <w:szCs w:val="32"/>
        </w:rPr>
        <w:t>附表</w:t>
      </w:r>
      <w:r>
        <w:rPr>
          <w:sz w:val="32"/>
          <w:szCs w:val="32"/>
        </w:rPr>
        <w:tab/>
      </w:r>
      <w:r>
        <w:rPr>
          <w:sz w:val="32"/>
          <w:szCs w:val="32"/>
        </w:rPr>
        <w:fldChar w:fldCharType="end"/>
      </w:r>
      <w:r>
        <w:rPr>
          <w:rFonts w:hint="eastAsia"/>
          <w:sz w:val="32"/>
          <w:szCs w:val="32"/>
        </w:rPr>
        <w:t>34</w:t>
      </w:r>
    </w:p>
    <w:p>
      <w:pPr>
        <w:pStyle w:val="15"/>
        <w:rPr>
          <w:rFonts w:ascii="仿宋" w:hAnsi="仿宋" w:eastAsia="仿宋"/>
          <w:sz w:val="32"/>
          <w:szCs w:val="32"/>
        </w:rPr>
      </w:pPr>
      <w:r>
        <w:rPr>
          <w:rFonts w:hint="eastAsia" w:ascii="仿宋" w:hAnsi="仿宋" w:eastAsia="仿宋"/>
          <w:sz w:val="32"/>
          <w:szCs w:val="32"/>
        </w:rPr>
        <w:t>一、</w:t>
      </w:r>
      <w:r>
        <w:fldChar w:fldCharType="begin"/>
      </w:r>
      <w:r>
        <w:instrText xml:space="preserve"> HYPERLINK \l "_Toc15396619" </w:instrText>
      </w:r>
      <w:r>
        <w:fldChar w:fldCharType="separate"/>
      </w:r>
      <w:r>
        <w:rPr>
          <w:rStyle w:val="21"/>
          <w:rFonts w:hint="eastAsia" w:ascii="仿宋" w:hAnsi="仿宋" w:eastAsia="仿宋"/>
          <w:color w:val="auto"/>
          <w:sz w:val="32"/>
          <w:szCs w:val="32"/>
        </w:rPr>
        <w:t>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二、</w:t>
      </w:r>
      <w:r>
        <w:fldChar w:fldCharType="begin"/>
      </w:r>
      <w:r>
        <w:instrText xml:space="preserve"> HYPERLINK \l "_Toc15396620" </w:instrText>
      </w:r>
      <w:r>
        <w:fldChar w:fldCharType="separate"/>
      </w:r>
      <w:r>
        <w:rPr>
          <w:rStyle w:val="21"/>
          <w:rFonts w:hint="eastAsia" w:ascii="仿宋" w:hAnsi="仿宋" w:eastAsia="仿宋"/>
          <w:color w:val="auto"/>
          <w:sz w:val="32"/>
          <w:szCs w:val="32"/>
        </w:rPr>
        <w:t>收入决算表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三、</w:t>
      </w:r>
      <w:r>
        <w:fldChar w:fldCharType="begin"/>
      </w:r>
      <w:r>
        <w:instrText xml:space="preserve"> HYPERLINK \l "_Toc15396621" </w:instrText>
      </w:r>
      <w:r>
        <w:fldChar w:fldCharType="separate"/>
      </w:r>
      <w:r>
        <w:rPr>
          <w:rStyle w:val="21"/>
          <w:rFonts w:hint="eastAsia" w:ascii="仿宋" w:hAnsi="仿宋" w:eastAsia="仿宋"/>
          <w:color w:val="auto"/>
          <w:sz w:val="32"/>
          <w:szCs w:val="32"/>
        </w:rPr>
        <w:t>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四、</w:t>
      </w:r>
      <w:r>
        <w:fldChar w:fldCharType="begin"/>
      </w:r>
      <w:r>
        <w:instrText xml:space="preserve"> HYPERLINK \l "_Toc15396622" </w:instrText>
      </w:r>
      <w:r>
        <w:fldChar w:fldCharType="separate"/>
      </w:r>
      <w:r>
        <w:rPr>
          <w:rStyle w:val="21"/>
          <w:rFonts w:hint="eastAsia" w:ascii="仿宋" w:hAnsi="仿宋" w:eastAsia="仿宋"/>
          <w:color w:val="auto"/>
          <w:sz w:val="32"/>
          <w:szCs w:val="32"/>
        </w:rPr>
        <w:t>财政拨款收入支出决算总表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32"/>
          <w:szCs w:val="32"/>
        </w:rPr>
        <w:t>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六、</w:t>
      </w:r>
      <w:r>
        <w:fldChar w:fldCharType="begin"/>
      </w:r>
      <w:r>
        <w:instrText xml:space="preserve"> HYPERLINK \l "_Toc15396624" </w:instrText>
      </w:r>
      <w:r>
        <w:fldChar w:fldCharType="separate"/>
      </w:r>
      <w:r>
        <w:rPr>
          <w:rStyle w:val="21"/>
          <w:rFonts w:hint="eastAsia" w:ascii="仿宋" w:hAnsi="仿宋" w:eastAsia="仿宋"/>
          <w:color w:val="auto"/>
          <w:sz w:val="32"/>
          <w:szCs w:val="32"/>
        </w:rPr>
        <w:t>一般公共预算财政拨款支出决算表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七、</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一般公共预算财政拨款支出决算明细表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八、</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一般公共预算财政拨款基本支出决算表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九、</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一般公共预算财政拨款项目支出决算表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十、</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十一、</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r>
        <w:rPr>
          <w:rFonts w:hint="eastAsia" w:ascii="仿宋" w:hAnsi="仿宋" w:eastAsia="仿宋"/>
          <w:sz w:val="32"/>
          <w:szCs w:val="32"/>
        </w:rPr>
        <w:t>十二、国有资本经营</w:t>
      </w:r>
      <w:r>
        <w:rPr>
          <w:rFonts w:ascii="仿宋" w:hAnsi="仿宋" w:eastAsia="仿宋"/>
          <w:sz w:val="32"/>
          <w:szCs w:val="32"/>
        </w:rPr>
        <w:fldChar w:fldCharType="end"/>
      </w:r>
      <w:r>
        <w:rPr>
          <w:rFonts w:ascii="仿宋" w:hAnsi="仿宋" w:eastAsia="仿宋"/>
          <w:sz w:val="32"/>
          <w:szCs w:val="32"/>
        </w:rPr>
        <w:t>预算财政拨款收入支出决算表</w:t>
      </w:r>
      <w:r>
        <w:rPr>
          <w:rFonts w:ascii="仿宋" w:hAnsi="仿宋" w:eastAsia="仿宋"/>
          <w:sz w:val="32"/>
          <w:szCs w:val="32"/>
        </w:rPr>
        <w:tab/>
      </w:r>
      <w:r>
        <w:rPr>
          <w:rFonts w:hint="eastAsia" w:ascii="仿宋" w:hAnsi="仿宋" w:eastAsia="仿宋"/>
          <w:sz w:val="32"/>
          <w:szCs w:val="32"/>
        </w:rPr>
        <w:t>34</w:t>
      </w:r>
    </w:p>
    <w:p>
      <w:pPr>
        <w:pStyle w:val="15"/>
        <w:rPr>
          <w:rFonts w:ascii="仿宋" w:hAnsi="仿宋" w:eastAsia="仿宋"/>
          <w:sz w:val="32"/>
          <w:szCs w:val="32"/>
        </w:rPr>
      </w:pPr>
      <w:bookmarkStart w:id="11" w:name="_Toc15377196"/>
      <w:bookmarkStart w:id="12" w:name="_Toc15396599"/>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rPr>
        <w:t>34</w:t>
      </w:r>
    </w:p>
    <w:p/>
    <w:p>
      <w:pPr>
        <w:pStyle w:val="6"/>
      </w:pPr>
    </w:p>
    <w:p/>
    <w:p>
      <w:pPr>
        <w:pStyle w:val="6"/>
      </w:pPr>
    </w:p>
    <w:p/>
    <w:p>
      <w:pPr>
        <w:pStyle w:val="6"/>
      </w:pPr>
    </w:p>
    <w:p/>
    <w:p>
      <w:pPr>
        <w:pStyle w:val="5"/>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pPr>
        <w:pStyle w:val="6"/>
        <w:pageBreakBefore w:val="0"/>
        <w:kinsoku/>
        <w:wordWrap/>
        <w:overflowPunct/>
        <w:topLinePunct w:val="0"/>
        <w:autoSpaceDE/>
        <w:autoSpaceDN/>
        <w:bidi w:val="0"/>
        <w:ind w:firstLine="640" w:firstLineChars="200"/>
        <w:textAlignment w:val="auto"/>
        <w:rPr>
          <w:rStyle w:val="33"/>
          <w:rFonts w:ascii="黑体" w:hAnsi="黑体" w:eastAsia="黑体"/>
          <w:b w:val="0"/>
          <w:bCs w:val="0"/>
        </w:rPr>
      </w:pPr>
      <w:bookmarkStart w:id="13" w:name="_Toc15377197"/>
      <w:bookmarkStart w:id="14" w:name="_Toc15396600"/>
      <w:r>
        <w:rPr>
          <w:rFonts w:hint="eastAsia" w:ascii="黑体" w:hAnsi="黑体" w:eastAsia="黑体"/>
          <w:b w:val="0"/>
        </w:rPr>
        <w:t>一、</w:t>
      </w:r>
      <w:bookmarkEnd w:id="13"/>
      <w:bookmarkEnd w:id="14"/>
      <w:bookmarkStart w:id="15" w:name="_Toc15377199"/>
      <w:bookmarkStart w:id="16" w:name="_Toc15378446"/>
      <w:r>
        <w:rPr>
          <w:rFonts w:hint="eastAsia" w:ascii="仿宋" w:hAnsi="仿宋" w:eastAsia="仿宋" w:cs="仿宋"/>
        </w:rPr>
        <w:t>部门职责</w:t>
      </w:r>
    </w:p>
    <w:bookmarkEnd w:id="15"/>
    <w:bookmarkEnd w:id="16"/>
    <w:p>
      <w:pPr>
        <w:pStyle w:val="55"/>
        <w:pageBreakBefore w:val="0"/>
        <w:kinsoku/>
        <w:wordWrap/>
        <w:overflowPunct/>
        <w:topLinePunct w:val="0"/>
        <w:autoSpaceDE/>
        <w:autoSpaceDN/>
        <w:bidi w:val="0"/>
        <w:ind w:firstLine="640" w:firstLineChars="200"/>
        <w:textAlignment w:val="auto"/>
        <w:rPr>
          <w:rFonts w:ascii="仿宋" w:hAnsi="仿宋" w:eastAsia="仿宋" w:cs="仿宋"/>
          <w:sz w:val="32"/>
          <w:szCs w:val="32"/>
        </w:rPr>
      </w:pPr>
      <w:bookmarkStart w:id="17" w:name="_Toc15396601"/>
      <w:bookmarkStart w:id="18" w:name="_Toc15377200"/>
      <w:r>
        <w:rPr>
          <w:rFonts w:hint="eastAsia" w:ascii="仿宋" w:hAnsi="仿宋" w:eastAsia="仿宋" w:cs="仿宋"/>
          <w:sz w:val="32"/>
          <w:szCs w:val="32"/>
        </w:rPr>
        <w:t>贯彻执行国家、省、市、区有关教育工作方面的方针、政策和法律法规，实施学前教育，促进基础教育发展，负责学前教育和相关社会服务。承办主管局交办的其他事项。</w:t>
      </w:r>
    </w:p>
    <w:p>
      <w:pPr>
        <w:pStyle w:val="6"/>
        <w:pageBreakBefore w:val="0"/>
        <w:kinsoku/>
        <w:wordWrap/>
        <w:overflowPunct/>
        <w:topLinePunct w:val="0"/>
        <w:autoSpaceDE/>
        <w:autoSpaceDN/>
        <w:bidi w:val="0"/>
        <w:ind w:firstLine="640" w:firstLineChars="200"/>
        <w:textAlignment w:val="auto"/>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pPr>
        <w:pageBreakBefore w:val="0"/>
        <w:kinsoku/>
        <w:wordWrap/>
        <w:overflowPunct/>
        <w:topLinePunct w:val="0"/>
        <w:autoSpaceDE/>
        <w:autoSpaceDN/>
        <w:bidi w:val="0"/>
        <w:ind w:firstLine="640" w:firstLineChars="200"/>
        <w:textAlignment w:val="auto"/>
        <w:rPr>
          <w:rFonts w:ascii="仿宋" w:hAnsi="仿宋" w:eastAsia="仿宋"/>
          <w:sz w:val="32"/>
        </w:rPr>
      </w:pPr>
      <w:r>
        <w:rPr>
          <w:rFonts w:hint="eastAsia" w:ascii="仿宋" w:hAnsi="仿宋" w:eastAsia="仿宋"/>
          <w:sz w:val="32"/>
        </w:rPr>
        <w:t>本单位为</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r>
        <w:rPr>
          <w:rFonts w:hint="eastAsia" w:ascii="仿宋" w:hAnsi="仿宋" w:eastAsia="仿宋"/>
          <w:sz w:val="32"/>
        </w:rPr>
        <w:t>隶属于遂宁市安居区教育局。</w:t>
      </w:r>
    </w:p>
    <w:p>
      <w:pPr>
        <w:pStyle w:val="9"/>
        <w:pageBreakBefore w:val="0"/>
        <w:kinsoku/>
        <w:wordWrap/>
        <w:overflowPunct/>
        <w:topLinePunct w:val="0"/>
        <w:autoSpaceDE/>
        <w:autoSpaceDN/>
        <w:bidi w:val="0"/>
        <w:adjustRightInd w:val="0"/>
        <w:snapToGrid w:val="0"/>
        <w:spacing w:beforeLines="0" w:line="600" w:lineRule="exact"/>
        <w:ind w:firstLine="640" w:firstLineChars="200"/>
        <w:textAlignment w:val="auto"/>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pPr>
        <w:pStyle w:val="5"/>
        <w:ind w:right="440"/>
        <w:jc w:val="center"/>
        <w:rPr>
          <w:rStyle w:val="32"/>
          <w:rFonts w:ascii="黑体" w:hAnsi="黑体" w:eastAsia="黑体"/>
          <w:b w:val="0"/>
          <w:bCs/>
        </w:rPr>
      </w:pPr>
      <w:bookmarkStart w:id="19" w:name="_Toc15396602"/>
      <w:bookmarkStart w:id="20" w:name="_Toc15377204"/>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p>
      <w:pPr>
        <w:pStyle w:val="31"/>
        <w:numPr>
          <w:ilvl w:val="0"/>
          <w:numId w:val="1"/>
        </w:numPr>
        <w:spacing w:line="600" w:lineRule="exact"/>
        <w:ind w:firstLineChars="0"/>
        <w:outlineLvl w:val="1"/>
        <w:rPr>
          <w:rStyle w:val="33"/>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年度收入总计 411.16 万元。与 2023 年（349.98 万元）相比，收入总计增加 61.18 万元，增长 17.48%。</w:t>
      </w:r>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年度支出总计 411.16 万元。与 2023 年（349.98 万元）相比，支出总计增加 61.18 万元，增长 17.48%，主要变动原因是：1. 人员经费支出增加（如绩效工资调整、新增教师培训经费）；2. 项目支出增加（如保教质量提升项目、校园环境优化项目）。</w:t>
      </w:r>
    </w:p>
    <w:p>
      <w:pPr>
        <w:pStyle w:val="9"/>
        <w:spacing w:before="93"/>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1"/>
        <w:numPr>
          <w:ilvl w:val="0"/>
          <w:numId w:val="1"/>
        </w:numPr>
        <w:spacing w:line="600" w:lineRule="exact"/>
        <w:ind w:firstLineChars="0"/>
        <w:outlineLvl w:val="1"/>
        <w:rPr>
          <w:rStyle w:val="33"/>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pPr>
        <w:spacing w:line="60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2024 年本年收入合计 411.16 万元，其中：一般公共预</w:t>
      </w: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-51435</wp:posOffset>
            </wp:positionH>
            <wp:positionV relativeFrom="paragraph">
              <wp:posOffset>906145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rPr>
        <w:t>算财政拨款收入 394.03 万元，占 95.83%；其他收入 17.13 万元，占 4.17%。</w:t>
      </w:r>
    </w:p>
    <w:p>
      <w:pPr>
        <w:spacing w:line="600" w:lineRule="exact"/>
        <w:ind w:firstLine="320" w:firstLineChars="100"/>
        <w:jc w:val="center"/>
        <w:rPr>
          <w:rFonts w:ascii="仿宋" w:hAnsi="仿宋" w:eastAsia="仿宋"/>
          <w:sz w:val="32"/>
          <w:szCs w:val="32"/>
        </w:rPr>
      </w:pPr>
      <w:r>
        <w:rPr>
          <w:rFonts w:hint="eastAsia" w:ascii="仿宋" w:hAnsi="仿宋" w:eastAsia="仿宋"/>
          <w:sz w:val="32"/>
          <w:szCs w:val="32"/>
        </w:rPr>
        <w:t>（图2：收入决算结构图）</w:t>
      </w:r>
    </w:p>
    <w:p>
      <w:pPr>
        <w:pStyle w:val="31"/>
        <w:numPr>
          <w:ilvl w:val="0"/>
          <w:numId w:val="1"/>
        </w:numPr>
        <w:spacing w:line="600" w:lineRule="exact"/>
        <w:ind w:firstLineChars="0"/>
        <w:outlineLvl w:val="1"/>
        <w:rPr>
          <w:rStyle w:val="33"/>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pPr>
        <w:pStyle w:val="9"/>
        <w:spacing w:before="93"/>
        <w:ind w:firstLine="640" w:firstLineChars="200"/>
      </w:pPr>
      <w:r>
        <w:rPr>
          <w:rFonts w:hint="eastAsia" w:ascii="仿宋" w:hAnsi="仿宋" w:eastAsia="仿宋" w:cs="仿宋"/>
          <w:sz w:val="32"/>
          <w:szCs w:val="32"/>
        </w:rPr>
        <w:t>2024 年本年支出合计 411.16 万元，其中：基本支出 286.80 万元，占 69.75%；项目支出 124.36 万元，占 30.25%；</w:t>
      </w: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3"/>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年财政拨款收入总计 394.03 万元。与 2023 年相比，财政拨款收入总计增加 44.05 万元，增长 12.59%。</w:t>
      </w:r>
    </w:p>
    <w:p>
      <w:pPr>
        <w:pStyle w:val="55"/>
        <w:ind w:firstLine="640" w:firstLineChars="200"/>
        <w:rPr>
          <w:rFonts w:ascii="仿宋" w:hAnsi="仿宋" w:eastAsia="仿宋"/>
          <w:color w:val="000000"/>
          <w:sz w:val="32"/>
          <w:szCs w:val="32"/>
        </w:rPr>
      </w:pPr>
      <w:r>
        <w:rPr>
          <w:rFonts w:hint="eastAsia" w:ascii="仿宋" w:hAnsi="仿宋" w:eastAsia="仿宋" w:cs="仿宋"/>
          <w:sz w:val="32"/>
          <w:szCs w:val="32"/>
        </w:rPr>
        <w:t>2024 年度财政拨款支出总计 394.03 万元。与 2023 年相比，财政拨款支出总计增加 44.05 万元，增长 12.59%，主要变动原因是人员经费支出增加及教育费附加安排的项目支出增加。</w:t>
      </w:r>
    </w:p>
    <w:p>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3"/>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年一般公共预算财政拨款支出 394.03 万元，占本年支出合计的 95.83%。与 2023 年相比，一般公共预算财政拨款支出增加 44.05 万元，增长 12.59%。主要变动原因是人员经费（如绩效工资、社会保障缴费）支出增加及教育费附加安排的项目支出增加。</w:t>
      </w:r>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69850</wp:posOffset>
            </wp:positionH>
            <wp:positionV relativeFrom="paragraph">
              <wp:posOffset>42545</wp:posOffset>
            </wp:positionV>
            <wp:extent cx="5274310" cy="2581275"/>
            <wp:effectExtent l="4445" t="4445" r="17145"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pStyle w:val="55"/>
        <w:ind w:firstLine="640" w:firstLineChars="200"/>
        <w:rPr>
          <w:rFonts w:ascii="仿宋" w:hAnsi="仿宋" w:eastAsia="仿宋" w:cs="仿宋"/>
          <w:sz w:val="32"/>
          <w:szCs w:val="32"/>
        </w:rPr>
      </w:pPr>
      <w:r>
        <w:rPr>
          <w:rFonts w:hint="eastAsia" w:ascii="仿宋" w:hAnsi="仿宋" w:eastAsia="仿宋" w:cs="仿宋"/>
          <w:sz w:val="32"/>
          <w:szCs w:val="32"/>
        </w:rPr>
        <w:t>2024 年一般公共预算财政拨款支出 394.03 万元，主要用于以下方面：教育支出 325.67 万元，占 82.65%；社会保障和就业支出 32.82 万元，占 8.33%；卫生健康支出 13.12 万元，占 3.33%；住房保障支出 22.42 万元，占 5.69%。</w:t>
      </w:r>
    </w:p>
    <w:p>
      <w:pPr>
        <w:pStyle w:val="55"/>
        <w:ind w:firstLine="640" w:firstLineChars="200"/>
        <w:rPr>
          <w:rFonts w:ascii="仿宋" w:hAnsi="仿宋" w:eastAsia="仿宋" w:cs="仿宋"/>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0" w:firstLineChars="200"/>
        <w:rPr>
          <w:rStyle w:val="19"/>
          <w:rFonts w:ascii="仿宋" w:hAnsi="仿宋" w:eastAsia="仿宋"/>
          <w:b w:val="0"/>
          <w:bCs/>
          <w:sz w:val="32"/>
          <w:szCs w:val="32"/>
        </w:rPr>
      </w:pPr>
      <w:bookmarkStart w:id="34" w:name="_Toc15377214"/>
      <w:bookmarkStart w:id="35" w:name="_Toc15396608"/>
      <w:r>
        <w:rPr>
          <w:rStyle w:val="19"/>
          <w:rFonts w:hint="eastAsia" w:ascii="仿宋" w:hAnsi="仿宋" w:eastAsia="仿宋"/>
          <w:b w:val="0"/>
          <w:bCs/>
          <w:sz w:val="32"/>
          <w:szCs w:val="32"/>
        </w:rPr>
        <w:t>2024年度一般公共预算支出决算数为</w:t>
      </w:r>
      <w:r>
        <w:rPr>
          <w:rFonts w:hint="eastAsia" w:ascii="仿宋" w:hAnsi="仿宋" w:eastAsia="仿宋" w:cs="仿宋"/>
          <w:b w:val="0"/>
          <w:bCs/>
          <w:sz w:val="32"/>
          <w:szCs w:val="32"/>
        </w:rPr>
        <w:t xml:space="preserve">394.03 </w:t>
      </w:r>
      <w:r>
        <w:rPr>
          <w:rStyle w:val="19"/>
          <w:rFonts w:hint="eastAsia" w:ascii="仿宋" w:hAnsi="仿宋" w:eastAsia="仿宋"/>
          <w:b w:val="0"/>
          <w:bCs/>
          <w:sz w:val="32"/>
          <w:szCs w:val="32"/>
        </w:rPr>
        <w:t xml:space="preserve"> 万元，完成预算100%%。</w:t>
      </w:r>
      <w:r>
        <w:rPr>
          <w:rStyle w:val="19"/>
          <w:rFonts w:hint="eastAsia" w:ascii="仿宋" w:hAnsi="仿宋" w:eastAsia="仿宋"/>
          <w:b w:val="0"/>
          <w:bCs/>
          <w:sz w:val="32"/>
          <w:szCs w:val="32"/>
          <w:lang w:val="zh-CN"/>
        </w:rPr>
        <w:t>其中：</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1. 教育（类）普通教育（款）学前教育（项）: 支出决算为 294.48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2. 教育（类）普通教育（款）其他普通教育支出（项）: 支出决算为 0.59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3. 教育（类）教育费附加安排的支出（款）其他教育费附加安排的支出（项）: 支出决算为 30.60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4. 社会保障和就业（类）行政事业单位养老（款）机关事业单位基本养老保险缴费（项）: 支出决算为 30.35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5. 社会保障和就业（类）其他社会保障和就业支出（款）其他社会保障和就业支出（项）: 支出决算为 2.48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6. 卫生健康（类）行政事业单位医疗（款）事业单位医疗（项）: 支出决算为 13.12 万元，完成预算 100%，决算数与预算数持平。</w:t>
      </w:r>
    </w:p>
    <w:p>
      <w:pPr>
        <w:pStyle w:val="55"/>
        <w:ind w:firstLine="640" w:firstLineChars="200"/>
        <w:rPr>
          <w:rFonts w:ascii="仿宋" w:hAnsi="仿宋" w:eastAsia="仿宋" w:cs="仿宋"/>
          <w:b w:val="0"/>
          <w:bCs/>
          <w:sz w:val="32"/>
          <w:szCs w:val="32"/>
        </w:rPr>
      </w:pPr>
      <w:r>
        <w:rPr>
          <w:rFonts w:hint="eastAsia" w:ascii="仿宋" w:hAnsi="仿宋" w:eastAsia="仿宋" w:cs="仿宋"/>
          <w:b w:val="0"/>
          <w:bCs/>
          <w:sz w:val="32"/>
          <w:szCs w:val="32"/>
        </w:rPr>
        <w:t>7. 住房保障（类）住房改革（款）住房公积金（项）: 支出决算为 22.42 万元，完成预算 100%，决算数与预算数持平。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pPr>
        <w:spacing w:line="600" w:lineRule="exact"/>
        <w:ind w:firstLine="645"/>
        <w:rPr>
          <w:rFonts w:ascii="仿宋" w:hAnsi="仿宋" w:eastAsia="仿宋"/>
          <w:sz w:val="32"/>
          <w:szCs w:val="32"/>
        </w:rPr>
      </w:pPr>
      <w:bookmarkStart w:id="36" w:name="_Toc15377215"/>
      <w:bookmarkStart w:id="37" w:name="_Toc15396609"/>
      <w:r>
        <w:rPr>
          <w:rFonts w:hint="eastAsia" w:ascii="仿宋" w:hAnsi="仿宋" w:eastAsia="仿宋"/>
          <w:sz w:val="32"/>
          <w:szCs w:val="32"/>
        </w:rPr>
        <w:t>2024年度一般公共预算财政拨款基本支出</w:t>
      </w:r>
      <w:r>
        <w:rPr>
          <w:rFonts w:hint="eastAsia" w:ascii="仿宋" w:hAnsi="仿宋" w:eastAsia="仿宋" w:cs="仿宋"/>
          <w:sz w:val="32"/>
          <w:szCs w:val="32"/>
        </w:rPr>
        <w:t xml:space="preserve"> 286.80 </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cs="仿宋"/>
          <w:sz w:val="32"/>
          <w:szCs w:val="32"/>
        </w:rPr>
        <w:t xml:space="preserve"> 267.13 </w:t>
      </w:r>
      <w:r>
        <w:rPr>
          <w:rFonts w:hint="eastAsia" w:ascii="仿宋" w:hAnsi="仿宋" w:eastAsia="仿宋"/>
          <w:sz w:val="32"/>
          <w:szCs w:val="32"/>
        </w:rPr>
        <w:t xml:space="preserve">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cs="仿宋"/>
          <w:sz w:val="32"/>
          <w:szCs w:val="32"/>
        </w:rPr>
        <w:t xml:space="preserve">19.67 </w:t>
      </w:r>
      <w:r>
        <w:rPr>
          <w:rFonts w:hint="eastAsia" w:ascii="仿宋" w:hAnsi="仿宋" w:eastAsia="仿宋"/>
          <w:sz w:val="32"/>
          <w:szCs w:val="32"/>
        </w:rPr>
        <w:t xml:space="preserve">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rPr>
      </w:pPr>
      <w:bookmarkStart w:id="40" w:name="_Toc15396610"/>
      <w:bookmarkStart w:id="41" w:name="_Toc15377218"/>
      <w:r>
        <w:rPr>
          <w:rFonts w:hint="eastAsia" w:ascii="黑体" w:eastAsia="黑体"/>
          <w:sz w:val="32"/>
          <w:szCs w:val="32"/>
        </w:rPr>
        <w:t>八、</w:t>
      </w:r>
      <w:r>
        <w:rPr>
          <w:rStyle w:val="54"/>
          <w:rFonts w:hint="eastAsia" w:ascii="黑体" w:hAnsi="黑体" w:eastAsia="黑体"/>
          <w:b w:val="0"/>
        </w:rPr>
        <w:t>政府性基金预算支出决算情况说明</w:t>
      </w:r>
      <w:bookmarkEnd w:id="40"/>
      <w:bookmarkEnd w:id="41"/>
    </w:p>
    <w:p>
      <w:pPr>
        <w:pStyle w:val="55"/>
        <w:ind w:firstLine="640" w:firstLineChars="200"/>
      </w:pPr>
      <w:bookmarkStart w:id="42" w:name="_Toc15396611"/>
      <w:bookmarkStart w:id="43" w:name="_Toc15377219"/>
      <w:r>
        <w:rPr>
          <w:rFonts w:hint="eastAsia" w:ascii="仿宋" w:hAnsi="仿宋" w:eastAsia="仿宋" w:cs="仿宋"/>
          <w:sz w:val="32"/>
          <w:szCs w:val="32"/>
        </w:rPr>
        <w:t>2024 年度政府性基金预算财政拨款支出0 万元。</w:t>
      </w:r>
    </w:p>
    <w:p>
      <w:pPr>
        <w:numPr>
          <w:ilvl w:val="0"/>
          <w:numId w:val="3"/>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2"/>
      <w:bookmarkEnd w:id="43"/>
    </w:p>
    <w:p>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pPr>
        <w:pStyle w:val="31"/>
        <w:spacing w:line="600" w:lineRule="exact"/>
        <w:ind w:left="360" w:firstLine="321" w:firstLineChars="100"/>
        <w:outlineLvl w:val="1"/>
        <w:rPr>
          <w:rStyle w:val="54"/>
          <w:rFonts w:ascii="黑体" w:hAnsi="黑体" w:eastAsia="黑体"/>
          <w:b w:val="0"/>
        </w:rPr>
      </w:pPr>
      <w:bookmarkStart w:id="44" w:name="_Toc15396612"/>
      <w:bookmarkStart w:id="45" w:name="_Toc15377221"/>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2024年度，遂宁市安居区三家镇中心幼儿园机关运行经费支出0万元。与2023年度决算数持平。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2024年度，遂宁市安居区三家镇中心幼儿园政府采购支出总额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截至2024年12月31日，遂宁市安居区三家镇中心幼儿园共有车辆0辆，其中：主要领导干部用车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根据预算绩效管理要求，本部门在 2024 年度预算编制阶段，组织对幼儿保教费、幼儿资助及幼儿发展资金、2020 年市级教育发展专项资金（学前教育奖补）2023、2022 年市级支持学前教育发展专项资金等 4 个项目开展了预算事前绩效评估，对 4 个项目编制了绩效目标，预算执行过程中，选取 4 个项目开展绩效监控。</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组织对 2024 年度一般公共预算、政府性基金预算、国有资本经营预算、社会保险基金预算以及资本资产、债券资金等全面开展绩效自评，形成遂宁市安居区三家镇中心幼儿园部门整体（含部门预算项目）绩效自评报告，其中部门整体（含部门预算项目）绩效自评得分为 98.9 分。2024 年度部门预算项目支出绩效自评项目共计 4 个，分别如下：</w:t>
      </w:r>
    </w:p>
    <w:p>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幼儿保教费，年初预算数 0 万元，调整后预算数 28.01 万元，预算执行数 28.01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幼儿资助及幼儿发展资金，年初预算数 48.00 万元，调整后预算数 48.02 万元，预算执行数 48.02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2020 年市级教育发展专项资金（学前教育奖补）2023，年初预算数 0 万元，调整后预算数 24.60 万元，预算执行数 24.60 万元，预算执行率 100%，绩效目标实现指标自评得分为 100 分。</w:t>
      </w:r>
    </w:p>
    <w:p>
      <w:pPr>
        <w:pStyle w:val="55"/>
        <w:keepNext w:val="0"/>
        <w:keepLines w:val="0"/>
        <w:pageBreakBefore w:val="0"/>
        <w:widowControl/>
        <w:numPr>
          <w:ilvl w:val="0"/>
          <w:numId w:val="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2022 年市级支持学前教育发展专项资金，年初预算数 0 万元，调整后预算数 6.00 万元，预算执行数 6.00 万元，预算执行率 100%，绩效目标实现指标自评得分为 100 分。</w:t>
      </w:r>
    </w:p>
    <w:p>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过对幼儿园总体绩效和项目绩效的自评，我们既看到了在学前教育教学、管理服务、项目实施等方面取得的成绩，也清醒地认识到存在的不足。未来，幼儿园将以绩效自评为契机，强化问题导向，优化资源配置，持续提升总体办学水平和项目实施效益，为实现高质量发展奠定坚实基础。同时，建立绩效自评长效机制，定期开展跟踪评估，确保各项改进措施落地见效，推动幼儿园学前教育事业不断迈上新台阶。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32"/>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2"/>
          <w:rFonts w:hint="eastAsia" w:ascii="黑体" w:hAnsi="黑体" w:eastAsia="黑体"/>
          <w:b w:val="0"/>
        </w:rPr>
        <w:t>词解释</w:t>
      </w:r>
      <w:bookmarkEnd w:id="49"/>
      <w:bookmarkEnd w:id="50"/>
    </w:p>
    <w:p>
      <w:pPr>
        <w:spacing w:line="600" w:lineRule="exact"/>
        <w:jc w:val="left"/>
        <w:rPr>
          <w:rFonts w:ascii="宋体"/>
          <w:b/>
          <w:sz w:val="44"/>
          <w:szCs w:val="44"/>
        </w:rPr>
      </w:pPr>
    </w:p>
    <w:p>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反映各部门举办的学前教育支出。政府各部门对社会中介组织等举办的学前教育的资助，如各类捐赠、补贴等，也在本科目中反映。</w:t>
      </w:r>
    </w:p>
    <w:p>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pStyle w:val="30"/>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32"/>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2"/>
          <w:rFonts w:hint="eastAsia" w:ascii="黑体" w:hAnsi="黑体" w:eastAsia="黑体"/>
          <w:b w:val="0"/>
        </w:rPr>
        <w:t>四部分 附件</w:t>
      </w:r>
      <w:bookmarkEnd w:id="51"/>
    </w:p>
    <w:p>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遂宁市安居区三家镇中心幼儿园共设有7个内设部门。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ind w:firstLine="200"/>
        <w:jc w:val="left"/>
        <w:rPr>
          <w:rFonts w:ascii="仿宋" w:hAnsi="仿宋" w:eastAsia="仿宋"/>
          <w:sz w:val="32"/>
          <w:szCs w:val="32"/>
        </w:rPr>
      </w:pPr>
      <w:r>
        <w:rPr>
          <w:rFonts w:ascii="仿宋" w:hAnsi="仿宋" w:eastAsia="仿宋"/>
          <w:sz w:val="32"/>
          <w:szCs w:val="32"/>
        </w:rPr>
        <w:t>行政办公室工作职责</w:t>
      </w:r>
    </w:p>
    <w:p>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ind w:firstLine="200"/>
        <w:jc w:val="left"/>
        <w:rPr>
          <w:rFonts w:ascii="仿宋" w:hAnsi="仿宋" w:eastAsia="仿宋"/>
          <w:sz w:val="32"/>
          <w:szCs w:val="32"/>
        </w:rPr>
      </w:pPr>
      <w:r>
        <w:rPr>
          <w:rFonts w:ascii="仿宋" w:hAnsi="仿宋" w:eastAsia="仿宋"/>
          <w:sz w:val="32"/>
          <w:szCs w:val="32"/>
        </w:rPr>
        <w:t>财务室工作职责</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jc w:val="left"/>
        <w:rPr>
          <w:rFonts w:ascii="仿宋" w:hAnsi="仿宋" w:eastAsia="仿宋"/>
          <w:sz w:val="32"/>
          <w:szCs w:val="32"/>
        </w:rPr>
      </w:pPr>
      <w:r>
        <w:rPr>
          <w:rFonts w:ascii="仿宋" w:hAnsi="仿宋" w:eastAsia="仿宋"/>
          <w:sz w:val="32"/>
          <w:szCs w:val="32"/>
        </w:rPr>
        <w:t>一、负责全校德育工作</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bookmarkStart w:id="67" w:name="_GoBack"/>
      <w:bookmarkEnd w:id="67"/>
      <w:r>
        <w:rPr>
          <w:rFonts w:ascii="仿宋" w:hAnsi="仿宋" w:eastAsia="仿宋"/>
          <w:sz w:val="32"/>
          <w:szCs w:val="32"/>
        </w:rPr>
        <w:t>观念，预防和减少违法犯罪行为。</w:t>
      </w:r>
    </w:p>
    <w:p>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遂宁市安居区三家镇中心幼儿园年初在职教师18人，年末在职教师17人，退休0人，调出1人,年初退休教师5人，年末退休教师5人。</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w:t>
      </w:r>
      <w:r>
        <w:rPr>
          <w:rFonts w:hint="eastAsia" w:ascii="仿宋" w:hAnsi="仿宋" w:eastAsia="仿宋" w:cs="仿宋"/>
          <w:sz w:val="32"/>
          <w:szCs w:val="32"/>
        </w:rPr>
        <w:t>411.16</w:t>
      </w:r>
      <w:r>
        <w:rPr>
          <w:rFonts w:hint="eastAsia" w:ascii="仿宋_GB2312" w:eastAsia="仿宋_GB2312"/>
          <w:sz w:val="32"/>
          <w:szCs w:val="32"/>
        </w:rPr>
        <w:t>万元、决算报表收入</w:t>
      </w:r>
      <w:r>
        <w:rPr>
          <w:rFonts w:hint="eastAsia" w:ascii="仿宋" w:hAnsi="仿宋" w:eastAsia="仿宋" w:cs="仿宋"/>
          <w:sz w:val="32"/>
          <w:szCs w:val="32"/>
        </w:rPr>
        <w:t>411.16</w:t>
      </w:r>
      <w:r>
        <w:rPr>
          <w:rFonts w:hint="eastAsia" w:ascii="仿宋_GB2312" w:eastAsia="仿宋_GB2312"/>
          <w:sz w:val="32"/>
          <w:szCs w:val="32"/>
        </w:rPr>
        <w:t>万元。</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w:t>
      </w:r>
      <w:r>
        <w:rPr>
          <w:rFonts w:hint="eastAsia" w:ascii="仿宋" w:hAnsi="仿宋" w:eastAsia="仿宋" w:cs="仿宋"/>
          <w:sz w:val="32"/>
          <w:szCs w:val="32"/>
        </w:rPr>
        <w:t>411.16</w:t>
      </w:r>
      <w:r>
        <w:rPr>
          <w:rFonts w:hint="eastAsia" w:ascii="仿宋_GB2312" w:eastAsia="仿宋_GB2312"/>
          <w:sz w:val="32"/>
          <w:szCs w:val="32"/>
        </w:rPr>
        <w:t>万元、决算报表支出</w:t>
      </w:r>
      <w:r>
        <w:rPr>
          <w:rFonts w:hint="eastAsia" w:ascii="仿宋" w:hAnsi="仿宋" w:eastAsia="仿宋" w:cs="仿宋"/>
          <w:sz w:val="32"/>
          <w:szCs w:val="32"/>
        </w:rPr>
        <w:t>411.16</w:t>
      </w:r>
      <w:r>
        <w:rPr>
          <w:rFonts w:hint="eastAsia" w:ascii="仿宋_GB2312" w:eastAsia="仿宋_GB2312"/>
          <w:sz w:val="32"/>
          <w:szCs w:val="32"/>
        </w:rPr>
        <w:t>万元。</w:t>
      </w:r>
    </w:p>
    <w:p>
      <w:pPr>
        <w:widowControl/>
        <w:adjustRightInd w:val="0"/>
        <w:snapToGrid w:val="0"/>
        <w:spacing w:line="560" w:lineRule="exact"/>
        <w:ind w:left="420" w:leftChars="200" w:firstLine="321" w:firstLineChars="100"/>
        <w:contextualSpacing/>
        <w:jc w:val="left"/>
        <w:outlineLvl w:val="0"/>
        <w:rPr>
          <w:rFonts w:ascii="仿宋" w:hAnsi="仿宋" w:eastAsia="仿宋"/>
          <w:sz w:val="32"/>
          <w:szCs w:val="32"/>
        </w:rPr>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r>
        <w:rPr>
          <w:rFonts w:hint="eastAsia" w:ascii="仿宋" w:hAnsi="仿宋" w:eastAsia="仿宋"/>
          <w:sz w:val="32"/>
          <w:szCs w:val="32"/>
        </w:rPr>
        <w:t xml:space="preserve">         </w:t>
      </w:r>
    </w:p>
    <w:p>
      <w:pPr>
        <w:widowControl/>
        <w:adjustRightInd w:val="0"/>
        <w:snapToGrid w:val="0"/>
        <w:spacing w:line="560" w:lineRule="exact"/>
        <w:ind w:left="420" w:leftChars="200"/>
        <w:contextualSpacing/>
        <w:jc w:val="left"/>
        <w:outlineLvl w:val="0"/>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部门整体预算绩效管理情况</w:t>
      </w:r>
    </w:p>
    <w:p>
      <w:pPr>
        <w:widowControl/>
        <w:adjustRightInd w:val="0"/>
        <w:snapToGrid w:val="0"/>
        <w:spacing w:line="560" w:lineRule="exact"/>
        <w:ind w:firstLine="643" w:firstLineChars="200"/>
        <w:contextualSpacing/>
        <w:jc w:val="left"/>
        <w:rPr>
          <w:rFonts w:ascii="仿宋" w:hAnsi="仿宋" w:eastAsia="仿宋"/>
          <w:b/>
          <w:bCs/>
          <w:sz w:val="32"/>
          <w:szCs w:val="32"/>
        </w:rPr>
      </w:pPr>
      <w:r>
        <w:rPr>
          <w:rFonts w:hint="eastAsia" w:ascii="仿宋" w:hAnsi="仿宋" w:eastAsia="仿宋"/>
          <w:b/>
          <w:bCs/>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三家镇中心幼儿园2024年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三家镇中心幼儿园认真履职尽责，认真完成项目任务，所有项目均开展绩效评价，评价效果良好，对于财政预算资金多次接受省、市、区的检查，所有资金的支出，接受财政部门的监督管理，圆满完成2024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w:t>
            </w: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9"/>
        <w:spacing w:before="93"/>
        <w:rPr>
          <w:rFonts w:ascii="仿宋" w:hAnsi="仿宋" w:eastAsia="仿宋"/>
          <w:sz w:val="32"/>
          <w:szCs w:val="32"/>
        </w:rPr>
      </w:pPr>
    </w:p>
    <w:p>
      <w:pPr>
        <w:pStyle w:val="9"/>
        <w:spacing w:before="93"/>
        <w:rPr>
          <w:rFonts w:ascii="仿宋" w:hAnsi="仿宋" w:eastAsia="仿宋"/>
          <w:sz w:val="32"/>
          <w:szCs w:val="32"/>
        </w:rPr>
      </w:pPr>
    </w:p>
    <w:tbl>
      <w:tblPr>
        <w:tblStyle w:val="17"/>
        <w:tblW w:w="8560" w:type="dxa"/>
        <w:tblInd w:w="-88" w:type="dxa"/>
        <w:tblLayout w:type="autofit"/>
        <w:tblCellMar>
          <w:top w:w="0" w:type="dxa"/>
          <w:left w:w="0" w:type="dxa"/>
          <w:bottom w:w="0" w:type="dxa"/>
          <w:right w:w="0" w:type="dxa"/>
        </w:tblCellMar>
      </w:tblPr>
      <w:tblGrid>
        <w:gridCol w:w="1168"/>
        <w:gridCol w:w="885"/>
        <w:gridCol w:w="765"/>
        <w:gridCol w:w="765"/>
        <w:gridCol w:w="765"/>
        <w:gridCol w:w="765"/>
        <w:gridCol w:w="765"/>
        <w:gridCol w:w="765"/>
        <w:gridCol w:w="765"/>
        <w:gridCol w:w="765"/>
        <w:gridCol w:w="387"/>
      </w:tblGrid>
      <w:tr>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51090422T000006631660-幼儿保教费</w:t>
            </w:r>
          </w:p>
        </w:tc>
      </w:tr>
      <w:tr>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r>
      <w:tr>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51090422T000006818424-幼儿资助及幼儿发展资金</w:t>
            </w:r>
          </w:p>
        </w:tc>
      </w:tr>
      <w:tr>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48.02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51090423T000008962464-2020年市级教育发展专项资金（学前教育奖补）2023</w:t>
            </w:r>
          </w:p>
        </w:tc>
      </w:tr>
      <w:tr>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24.60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r>
        <w:tblPrEx>
          <w:tblCellMar>
            <w:top w:w="0" w:type="dxa"/>
            <w:left w:w="0" w:type="dxa"/>
            <w:bottom w:w="0" w:type="dxa"/>
            <w:right w:w="0" w:type="dxa"/>
          </w:tblCellMar>
        </w:tblPrEx>
        <w:trPr>
          <w:trHeight w:val="904" w:hRule="atLeast"/>
        </w:trPr>
        <w:tc>
          <w:tcPr>
            <w:tcW w:w="85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tblPrEx>
          <w:tblCellMar>
            <w:top w:w="0" w:type="dxa"/>
            <w:left w:w="0" w:type="dxa"/>
            <w:bottom w:w="0" w:type="dxa"/>
            <w:right w:w="0" w:type="dxa"/>
          </w:tblCellMar>
        </w:tblPrEx>
        <w:trPr>
          <w:trHeight w:val="286"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51090424T000011508548-2022年市级支持学前教育发展专项资金</w:t>
            </w:r>
          </w:p>
        </w:tc>
      </w:tr>
      <w:tr>
        <w:tblPrEx>
          <w:tblCellMar>
            <w:top w:w="0" w:type="dxa"/>
            <w:left w:w="0" w:type="dxa"/>
            <w:bottom w:w="0" w:type="dxa"/>
            <w:right w:w="0" w:type="dxa"/>
          </w:tblCellMar>
        </w:tblPrEx>
        <w:trPr>
          <w:trHeight w:val="512" w:hRule="atLeast"/>
        </w:trPr>
        <w:tc>
          <w:tcPr>
            <w:tcW w:w="2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遂宁市安居区三家镇中心幼儿园部门</w:t>
            </w:r>
          </w:p>
        </w:tc>
        <w:tc>
          <w:tcPr>
            <w:tcW w:w="765"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遂宁市安居区三家镇中心幼儿园</w:t>
            </w:r>
          </w:p>
        </w:tc>
      </w:tr>
      <w:tr>
        <w:tblPrEx>
          <w:tblCellMar>
            <w:top w:w="0" w:type="dxa"/>
            <w:left w:w="0" w:type="dxa"/>
            <w:bottom w:w="0" w:type="dxa"/>
            <w:right w:w="0" w:type="dxa"/>
          </w:tblCellMar>
        </w:tblPrEx>
        <w:trPr>
          <w:trHeight w:val="286"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6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361"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0" w:type="dxa"/>
            <w:bottom w:w="0" w:type="dxa"/>
            <w:right w:w="0" w:type="dxa"/>
          </w:tblCellMar>
        </w:tblPrEx>
        <w:trPr>
          <w:trHeight w:val="346"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9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7"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61"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66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tblPrEx>
          <w:tblCellMar>
            <w:top w:w="0" w:type="dxa"/>
            <w:left w:w="0" w:type="dxa"/>
            <w:bottom w:w="0" w:type="dxa"/>
            <w:right w:w="0" w:type="dxa"/>
          </w:tblCellMar>
        </w:tblPrEx>
        <w:trPr>
          <w:trHeight w:val="572"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tblPrEx>
          <w:tblCellMar>
            <w:top w:w="0" w:type="dxa"/>
            <w:left w:w="0" w:type="dxa"/>
            <w:bottom w:w="0" w:type="dxa"/>
            <w:right w:w="0" w:type="dxa"/>
          </w:tblCellMar>
        </w:tblPrEx>
        <w:trPr>
          <w:trHeight w:val="633"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650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项目负责人：王辉</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财务负责人：王辉</w:t>
            </w:r>
          </w:p>
        </w:tc>
      </w:tr>
    </w:tbl>
    <w:p>
      <w:pPr>
        <w:spacing w:line="600" w:lineRule="exact"/>
        <w:jc w:val="left"/>
        <w:outlineLvl w:val="0"/>
        <w:rPr>
          <w:rFonts w:ascii="仿宋" w:hAnsi="仿宋" w:eastAsia="仿宋"/>
          <w:sz w:val="32"/>
          <w:szCs w:val="32"/>
        </w:rPr>
      </w:pPr>
    </w:p>
    <w:p>
      <w:pPr>
        <w:pStyle w:val="2"/>
        <w:rPr>
          <w:rFonts w:ascii="仿宋" w:hAnsi="仿宋" w:eastAsia="仿宋"/>
          <w:sz w:val="32"/>
          <w:szCs w:val="32"/>
        </w:rPr>
      </w:pPr>
    </w:p>
    <w:p>
      <w:pPr>
        <w:pStyle w:val="3"/>
        <w:ind w:left="420"/>
      </w:pPr>
    </w:p>
    <w:p>
      <w:pPr>
        <w:spacing w:line="600" w:lineRule="exact"/>
        <w:jc w:val="center"/>
        <w:outlineLvl w:val="0"/>
        <w:rPr>
          <w:rFonts w:ascii="仿宋" w:hAnsi="仿宋" w:eastAsia="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2"/>
      <w:bookmarkEnd w:id="53"/>
      <w:bookmarkStart w:id="54" w:name="_Toc15396619"/>
    </w:p>
    <w:p>
      <w:pPr>
        <w:pStyle w:val="6"/>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4"/>
    </w:p>
    <w:p>
      <w:pPr>
        <w:pStyle w:val="6"/>
        <w:rPr>
          <w:rFonts w:ascii="仿宋" w:hAnsi="仿宋" w:eastAsia="仿宋"/>
        </w:rPr>
      </w:pPr>
      <w:bookmarkStart w:id="55" w:name="_Toc15396620"/>
      <w:r>
        <w:rPr>
          <w:rFonts w:hint="eastAsia" w:ascii="仿宋" w:hAnsi="仿宋" w:eastAsia="仿宋"/>
          <w:b w:val="0"/>
        </w:rPr>
        <w:t>二、收</w:t>
      </w:r>
      <w:r>
        <w:rPr>
          <w:rStyle w:val="33"/>
          <w:rFonts w:hint="eastAsia" w:ascii="仿宋" w:hAnsi="仿宋" w:eastAsia="仿宋"/>
          <w:b w:val="0"/>
          <w:bCs w:val="0"/>
        </w:rPr>
        <w:t>入决算表</w:t>
      </w:r>
      <w:bookmarkEnd w:id="55"/>
    </w:p>
    <w:p>
      <w:pPr>
        <w:pStyle w:val="6"/>
        <w:rPr>
          <w:rFonts w:ascii="仿宋" w:hAnsi="仿宋" w:eastAsia="仿宋"/>
        </w:rPr>
      </w:pPr>
      <w:bookmarkStart w:id="56"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6"/>
    </w:p>
    <w:p>
      <w:pPr>
        <w:pStyle w:val="6"/>
        <w:rPr>
          <w:rFonts w:ascii="仿宋" w:hAnsi="仿宋" w:eastAsia="仿宋"/>
          <w:b w:val="0"/>
        </w:rPr>
      </w:pPr>
      <w:bookmarkStart w:id="57"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7"/>
    </w:p>
    <w:p>
      <w:pPr>
        <w:pStyle w:val="6"/>
        <w:rPr>
          <w:rStyle w:val="33"/>
          <w:rFonts w:ascii="仿宋" w:hAnsi="仿宋" w:eastAsia="仿宋"/>
          <w:b w:val="0"/>
          <w:bCs w:val="0"/>
        </w:rPr>
      </w:pPr>
      <w:bookmarkStart w:id="58"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8"/>
      <w:bookmarkStart w:id="59" w:name="_Toc15396624"/>
    </w:p>
    <w:p>
      <w:pPr>
        <w:pStyle w:val="6"/>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9"/>
    </w:p>
    <w:p>
      <w:pPr>
        <w:pStyle w:val="6"/>
        <w:rPr>
          <w:rFonts w:ascii="仿宋" w:hAnsi="仿宋" w:eastAsia="仿宋"/>
        </w:rPr>
      </w:pPr>
      <w:bookmarkStart w:id="60"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0"/>
    </w:p>
    <w:p>
      <w:pPr>
        <w:pStyle w:val="6"/>
        <w:rPr>
          <w:rFonts w:ascii="仿宋" w:hAnsi="仿宋" w:eastAsia="仿宋"/>
        </w:rPr>
      </w:pPr>
      <w:bookmarkStart w:id="61"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1"/>
    </w:p>
    <w:p>
      <w:pPr>
        <w:pStyle w:val="6"/>
        <w:rPr>
          <w:rFonts w:ascii="仿宋" w:hAnsi="仿宋" w:eastAsia="仿宋"/>
        </w:rPr>
      </w:pPr>
      <w:bookmarkStart w:id="6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2"/>
    </w:p>
    <w:p>
      <w:pPr>
        <w:pStyle w:val="6"/>
        <w:rPr>
          <w:rFonts w:ascii="仿宋" w:hAnsi="仿宋" w:eastAsia="仿宋"/>
        </w:rPr>
      </w:pPr>
      <w:bookmarkStart w:id="63" w:name="_Toc15396628"/>
      <w:r>
        <w:rPr>
          <w:rStyle w:val="33"/>
          <w:rFonts w:hint="eastAsia" w:ascii="仿宋" w:hAnsi="仿宋" w:eastAsia="仿宋"/>
          <w:b w:val="0"/>
          <w:bCs w:val="0"/>
        </w:rPr>
        <w:t>十、</w:t>
      </w:r>
      <w:bookmarkEnd w:id="63"/>
      <w:r>
        <w:rPr>
          <w:rFonts w:hint="eastAsia" w:ascii="仿宋" w:hAnsi="仿宋" w:eastAsia="仿宋"/>
          <w:b w:val="0"/>
        </w:rPr>
        <w:t>政</w:t>
      </w:r>
      <w:r>
        <w:rPr>
          <w:rStyle w:val="33"/>
          <w:rFonts w:hint="eastAsia" w:ascii="仿宋" w:hAnsi="仿宋" w:eastAsia="仿宋"/>
          <w:b w:val="0"/>
          <w:bCs w:val="0"/>
        </w:rPr>
        <w:t>府性基金预算财政拨款收入支出决算表</w:t>
      </w:r>
    </w:p>
    <w:p>
      <w:pPr>
        <w:pStyle w:val="6"/>
        <w:rPr>
          <w:rFonts w:ascii="仿宋" w:hAnsi="仿宋" w:eastAsia="仿宋"/>
        </w:rPr>
      </w:pPr>
      <w:bookmarkStart w:id="64" w:name="_Toc15396629"/>
      <w:r>
        <w:rPr>
          <w:rStyle w:val="33"/>
          <w:rFonts w:hint="eastAsia" w:ascii="仿宋" w:hAnsi="仿宋" w:eastAsia="仿宋"/>
          <w:b w:val="0"/>
          <w:bCs w:val="0"/>
        </w:rPr>
        <w:t>十一、</w:t>
      </w:r>
      <w:bookmarkEnd w:id="64"/>
      <w:r>
        <w:rPr>
          <w:rFonts w:hint="eastAsia" w:ascii="仿宋" w:hAnsi="仿宋" w:eastAsia="仿宋"/>
          <w:b w:val="0"/>
        </w:rPr>
        <w:t>国</w:t>
      </w:r>
      <w:r>
        <w:rPr>
          <w:rStyle w:val="33"/>
          <w:rFonts w:hint="eastAsia" w:ascii="仿宋" w:hAnsi="仿宋" w:eastAsia="仿宋"/>
          <w:b w:val="0"/>
          <w:bCs w:val="0"/>
        </w:rPr>
        <w:t>有资本经营预算财政拨款收入支出决算表</w:t>
      </w:r>
    </w:p>
    <w:p>
      <w:pPr>
        <w:pStyle w:val="6"/>
        <w:rPr>
          <w:rFonts w:ascii="仿宋" w:hAnsi="仿宋" w:eastAsia="仿宋"/>
        </w:rPr>
      </w:pPr>
      <w:bookmarkStart w:id="65" w:name="_Toc15396630"/>
      <w:r>
        <w:rPr>
          <w:rStyle w:val="33"/>
          <w:rFonts w:hint="eastAsia" w:ascii="仿宋" w:hAnsi="仿宋" w:eastAsia="仿宋"/>
          <w:b w:val="0"/>
          <w:bCs w:val="0"/>
        </w:rPr>
        <w:t>十二、</w:t>
      </w:r>
      <w:bookmarkEnd w:id="65"/>
      <w:r>
        <w:rPr>
          <w:rStyle w:val="33"/>
          <w:rFonts w:hint="eastAsia" w:ascii="仿宋" w:hAnsi="仿宋" w:eastAsia="仿宋"/>
          <w:b w:val="0"/>
          <w:bCs w:val="0"/>
        </w:rPr>
        <w:t>国有资本经营预算财政拨款支出决算表</w:t>
      </w:r>
    </w:p>
    <w:p>
      <w:pPr>
        <w:pStyle w:val="6"/>
        <w:rPr>
          <w:rFonts w:eastAsia="仿宋"/>
        </w:rPr>
      </w:pPr>
      <w:bookmarkStart w:id="66" w:name="_Toc15396631"/>
      <w:r>
        <w:rPr>
          <w:rStyle w:val="33"/>
          <w:rFonts w:hint="eastAsia" w:ascii="仿宋" w:hAnsi="仿宋" w:eastAsia="仿宋"/>
          <w:b w:val="0"/>
          <w:bCs w:val="0"/>
        </w:rPr>
        <w:t>十三、</w:t>
      </w:r>
      <w:bookmarkEnd w:id="66"/>
      <w:r>
        <w:rPr>
          <w:rStyle w:val="33"/>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20:31:00Z" w:initials="A">
    <w:p w14:paraId="48230029">
      <w:pPr>
        <w:pStyle w:val="8"/>
      </w:pPr>
      <w:r>
        <w:rPr>
          <w:rFonts w:hint="eastAsia"/>
        </w:rPr>
        <w:t>公开时间以公开当天为准，注意目录内容字体格式，页码对齐，页码与正文匹配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27</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118A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A0FDB"/>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2BAD"/>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B7A47"/>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B4BB2"/>
    <w:rsid w:val="00FD3CC1"/>
    <w:rsid w:val="00FF1E02"/>
    <w:rsid w:val="00FF30B4"/>
    <w:rsid w:val="03C149E2"/>
    <w:rsid w:val="053A62B5"/>
    <w:rsid w:val="07B26B72"/>
    <w:rsid w:val="0A2032A3"/>
    <w:rsid w:val="0B8A37D8"/>
    <w:rsid w:val="0B950ED9"/>
    <w:rsid w:val="0E5E5473"/>
    <w:rsid w:val="10C055FF"/>
    <w:rsid w:val="118107EC"/>
    <w:rsid w:val="11DD6519"/>
    <w:rsid w:val="142D7E3D"/>
    <w:rsid w:val="15480B2C"/>
    <w:rsid w:val="16BB723D"/>
    <w:rsid w:val="18015F3F"/>
    <w:rsid w:val="1BE74A3B"/>
    <w:rsid w:val="1BE8440E"/>
    <w:rsid w:val="1CB2415C"/>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57C328B"/>
    <w:rsid w:val="383D272C"/>
    <w:rsid w:val="38AC2879"/>
    <w:rsid w:val="390B7917"/>
    <w:rsid w:val="39AE70AB"/>
    <w:rsid w:val="3C0C0783"/>
    <w:rsid w:val="3F441905"/>
    <w:rsid w:val="3F9F3A96"/>
    <w:rsid w:val="40146835"/>
    <w:rsid w:val="41B93214"/>
    <w:rsid w:val="467B6217"/>
    <w:rsid w:val="48BF60AB"/>
    <w:rsid w:val="493C27E9"/>
    <w:rsid w:val="496F39ED"/>
    <w:rsid w:val="49FF41D3"/>
    <w:rsid w:val="4BE068DB"/>
    <w:rsid w:val="4BF6002B"/>
    <w:rsid w:val="4ECE2238"/>
    <w:rsid w:val="51DB4B86"/>
    <w:rsid w:val="521C6566"/>
    <w:rsid w:val="5306566E"/>
    <w:rsid w:val="55097EFD"/>
    <w:rsid w:val="55333C3E"/>
    <w:rsid w:val="5A411A6B"/>
    <w:rsid w:val="644C37EF"/>
    <w:rsid w:val="64CA39A1"/>
    <w:rsid w:val="6790761D"/>
    <w:rsid w:val="68CE7EB0"/>
    <w:rsid w:val="69630ADE"/>
    <w:rsid w:val="6BEB5EF9"/>
    <w:rsid w:val="6C4A05C8"/>
    <w:rsid w:val="6D3B1A89"/>
    <w:rsid w:val="71BF4EC2"/>
    <w:rsid w:val="72734D90"/>
    <w:rsid w:val="7412278C"/>
    <w:rsid w:val="75732CF2"/>
    <w:rsid w:val="78697A5D"/>
    <w:rsid w:val="79E7B28D"/>
    <w:rsid w:val="7C3037B0"/>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5"/>
    <w:qFormat/>
    <w:uiPriority w:val="0"/>
    <w:rPr>
      <w:rFonts w:ascii="Times New Roman" w:hAnsi="Times New Roman"/>
      <w:b/>
      <w:kern w:val="44"/>
      <w:sz w:val="44"/>
    </w:rPr>
  </w:style>
  <w:style w:type="character" w:customStyle="1" w:styleId="54">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349.98</c:v>
                </c:pt>
                <c:pt idx="1">
                  <c:v>349.98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411.16</c:v>
                </c:pt>
                <c:pt idx="1">
                  <c:v>411.16</c:v>
                </c:pt>
              </c:numCache>
            </c:numRef>
          </c:val>
        </c:ser>
        <c:dLbls>
          <c:showLegendKey val="0"/>
          <c:showVal val="0"/>
          <c:showCatName val="0"/>
          <c:showSerName val="0"/>
          <c:showPercent val="0"/>
          <c:showBubbleSize val="0"/>
        </c:dLbls>
        <c:gapWidth val="219"/>
        <c:overlap val="-27"/>
        <c:axId val="232125952"/>
        <c:axId val="232127872"/>
      </c:barChart>
      <c:catAx>
        <c:axId val="23212595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27872"/>
        <c:crosses val="autoZero"/>
        <c:auto val="1"/>
        <c:lblAlgn val="ctr"/>
        <c:lblOffset val="100"/>
        <c:noMultiLvlLbl val="0"/>
      </c:catAx>
      <c:valAx>
        <c:axId val="2321278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125952"/>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394.03</c:v>
                </c:pt>
                <c:pt idx="1">
                  <c:v>17.13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286.8</c:v>
                </c:pt>
                <c:pt idx="1">
                  <c:v>124.36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349.98</c:v>
                </c:pt>
                <c:pt idx="1">
                  <c:v>349.98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394.03</c:v>
                </c:pt>
                <c:pt idx="1">
                  <c:v>394.03</c:v>
                </c:pt>
              </c:numCache>
            </c:numRef>
          </c:val>
        </c:ser>
        <c:dLbls>
          <c:showLegendKey val="0"/>
          <c:showVal val="0"/>
          <c:showCatName val="0"/>
          <c:showSerName val="0"/>
          <c:showPercent val="0"/>
          <c:showBubbleSize val="0"/>
        </c:dLbls>
        <c:gapWidth val="219"/>
        <c:overlap val="-27"/>
        <c:axId val="234382464"/>
        <c:axId val="234384384"/>
      </c:barChart>
      <c:catAx>
        <c:axId val="2343824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84384"/>
        <c:crosses val="autoZero"/>
        <c:auto val="1"/>
        <c:lblAlgn val="ctr"/>
        <c:lblOffset val="100"/>
        <c:noMultiLvlLbl val="0"/>
      </c:catAx>
      <c:valAx>
        <c:axId val="2343843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82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868989498152365"/>
          <c:y val="0.265462730471384"/>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438.08</c:v>
                </c:pt>
                <c:pt idx="1">
                  <c:v>394.03</c:v>
                </c:pt>
              </c:numCache>
            </c:numRef>
          </c:val>
        </c:ser>
        <c:dLbls>
          <c:showLegendKey val="0"/>
          <c:showVal val="0"/>
          <c:showCatName val="0"/>
          <c:showSerName val="0"/>
          <c:showPercent val="0"/>
          <c:showBubbleSize val="0"/>
        </c:dLbls>
        <c:gapWidth val="219"/>
        <c:overlap val="-27"/>
        <c:axId val="221505408"/>
        <c:axId val="221507584"/>
      </c:barChart>
      <c:catAx>
        <c:axId val="22150540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507584"/>
        <c:crosses val="autoZero"/>
        <c:auto val="1"/>
        <c:lblAlgn val="ctr"/>
        <c:lblOffset val="100"/>
        <c:noMultiLvlLbl val="0"/>
      </c:catAx>
      <c:valAx>
        <c:axId val="2215075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50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325.67</c:v>
                </c:pt>
                <c:pt idx="1">
                  <c:v>32.82</c:v>
                </c:pt>
                <c:pt idx="2">
                  <c:v>13.12</c:v>
                </c:pt>
                <c:pt idx="3">
                  <c:v>22.42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B60DE-19AE-4C6B-B4E2-2CA870375FC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12007</Words>
  <Characters>13100</Characters>
  <Lines>26</Lines>
  <Paragraphs>29</Paragraphs>
  <TotalTime>2</TotalTime>
  <ScaleCrop>false</ScaleCrop>
  <LinksUpToDate>false</LinksUpToDate>
  <CharactersWithSpaces>13325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Lenovo</cp:lastModifiedBy>
  <cp:lastPrinted>2023-07-31T02:35:00Z</cp:lastPrinted>
  <dcterms:modified xsi:type="dcterms:W3CDTF">2025-08-27T11:41:39Z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48CF4AE90F8548AF9879E71663B1A448_12</vt:lpwstr>
  </property>
  <property fmtid="{D5CDD505-2E9C-101B-9397-08002B2CF9AE}" pid="4" name="KSOTemplateDocerSaveRecord">
    <vt:lpwstr>eyJoZGlkIjoiM2NlZDc2NGI1ZWY2ZGExZGJmNDFlNWZmMzE2NTY2N2UiLCJ1c2VySWQiOiI1MTYwNDY2NjQifQ==</vt:lpwstr>
  </property>
</Properties>
</file>