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600" w:lineRule="exact"/>
        <w:jc w:val="left"/>
        <w:outlineLvl w:val="0"/>
        <w:rPr>
          <w:rFonts w:ascii="方正小标宋简体" w:hAnsi="宋体" w:eastAsia="方正小标宋简体"/>
          <w:szCs w:val="21"/>
        </w:rPr>
      </w:pPr>
      <w:bookmarkStart w:id="0" w:name="_Toc15306267"/>
    </w:p>
    <w:p>
      <w:pPr>
        <w:pStyle w:val="9"/>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Theme="majorEastAsia" w:hAnsiTheme="majorEastAsia" w:eastAsiaTheme="majorEastAsia" w:cstheme="majorEastAsia"/>
          <w:sz w:val="44"/>
          <w:szCs w:val="44"/>
          <w:lang w:eastAsia="zh-CN"/>
        </w:rPr>
      </w:pPr>
      <w:bookmarkStart w:id="1" w:name="_Toc15396475"/>
      <w:bookmarkStart w:id="2" w:name="_Toc15377193"/>
      <w:bookmarkStart w:id="3" w:name="_Toc15378441"/>
      <w:bookmarkStart w:id="4" w:name="_Toc15396597"/>
      <w:bookmarkStart w:id="5" w:name="_Toc15377425"/>
      <w:r>
        <w:rPr>
          <w:rFonts w:hint="eastAsia" w:asciiTheme="majorEastAsia" w:hAnsiTheme="majorEastAsia" w:eastAsiaTheme="majorEastAsia" w:cstheme="majorEastAsia"/>
          <w:sz w:val="44"/>
          <w:szCs w:val="44"/>
          <w:lang w:eastAsia="zh-CN"/>
        </w:rPr>
        <w:t>202</w:t>
      </w:r>
      <w:r>
        <w:rPr>
          <w:rFonts w:hint="eastAsia" w:asciiTheme="majorEastAsia" w:hAnsiTheme="majorEastAsia" w:eastAsiaTheme="majorEastAsia" w:cstheme="majorEastAsia"/>
          <w:sz w:val="44"/>
          <w:szCs w:val="44"/>
          <w:lang w:val="en-US" w:eastAsia="zh-CN"/>
        </w:rPr>
        <w:t>4</w:t>
      </w:r>
      <w:r>
        <w:rPr>
          <w:rFonts w:hint="eastAsia" w:asciiTheme="majorEastAsia" w:hAnsiTheme="majorEastAsia" w:eastAsiaTheme="majorEastAsia" w:cstheme="majorEastAsia"/>
          <w:sz w:val="44"/>
          <w:szCs w:val="44"/>
          <w:lang w:eastAsia="zh-CN"/>
        </w:rPr>
        <w:t>年度</w:t>
      </w:r>
      <w:bookmarkEnd w:id="1"/>
      <w:bookmarkEnd w:id="2"/>
      <w:bookmarkEnd w:id="3"/>
      <w:bookmarkEnd w:id="4"/>
      <w:bookmarkEnd w:id="5"/>
    </w:p>
    <w:bookmarkEnd w:id="0"/>
    <w:p>
      <w:pPr>
        <w:adjustRightInd w:val="0"/>
        <w:snapToGrid w:val="0"/>
        <w:spacing w:line="360" w:lineRule="auto"/>
        <w:jc w:val="center"/>
        <w:outlineLvl w:val="0"/>
        <w:rPr>
          <w:rFonts w:hint="eastAsia" w:asciiTheme="majorEastAsia" w:hAnsiTheme="majorEastAsia" w:eastAsiaTheme="majorEastAsia" w:cstheme="majorEastAsia"/>
          <w:sz w:val="44"/>
          <w:szCs w:val="44"/>
          <w:lang w:val="en-US" w:eastAsia="zh-CN"/>
        </w:rPr>
      </w:pPr>
      <w:bookmarkStart w:id="6" w:name="_Toc15306268"/>
      <w:bookmarkStart w:id="7" w:name="_Toc15396476"/>
      <w:bookmarkStart w:id="8" w:name="_Toc15377194"/>
      <w:bookmarkStart w:id="9" w:name="_Toc15377426"/>
      <w:bookmarkStart w:id="10" w:name="_Toc15378442"/>
      <w:bookmarkStart w:id="11" w:name="_Toc15396598"/>
      <w:r>
        <w:rPr>
          <w:rFonts w:hint="eastAsia" w:asciiTheme="majorEastAsia" w:hAnsiTheme="majorEastAsia" w:eastAsiaTheme="majorEastAsia" w:cstheme="majorEastAsia"/>
          <w:sz w:val="44"/>
          <w:szCs w:val="44"/>
          <w:lang w:val="en-US" w:eastAsia="zh-CN"/>
        </w:rPr>
        <w:t>四川省</w:t>
      </w:r>
      <w:r>
        <w:rPr>
          <w:rFonts w:hint="eastAsia" w:asciiTheme="majorEastAsia" w:hAnsiTheme="majorEastAsia" w:eastAsiaTheme="majorEastAsia" w:cstheme="majorEastAsia"/>
          <w:sz w:val="44"/>
          <w:szCs w:val="44"/>
          <w:lang w:eastAsia="zh-CN"/>
        </w:rPr>
        <w:t>遂宁市安居区中兴镇</w:t>
      </w:r>
      <w:r>
        <w:rPr>
          <w:rFonts w:hint="eastAsia" w:asciiTheme="majorEastAsia" w:hAnsiTheme="majorEastAsia" w:eastAsiaTheme="majorEastAsia" w:cstheme="majorEastAsia"/>
          <w:sz w:val="44"/>
          <w:szCs w:val="44"/>
          <w:lang w:val="en-US" w:eastAsia="zh-CN"/>
        </w:rPr>
        <w:t>初级中学校</w:t>
      </w:r>
    </w:p>
    <w:p>
      <w:pPr>
        <w:adjustRightInd w:val="0"/>
        <w:snapToGrid w:val="0"/>
        <w:spacing w:line="360" w:lineRule="auto"/>
        <w:jc w:val="center"/>
        <w:outlineLvl w:val="0"/>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val="en-US" w:eastAsia="zh-CN"/>
        </w:rPr>
        <w:t>部门</w:t>
      </w:r>
      <w:r>
        <w:rPr>
          <w:rFonts w:hint="eastAsia" w:asciiTheme="majorEastAsia" w:hAnsiTheme="majorEastAsia" w:eastAsiaTheme="majorEastAsia" w:cstheme="majorEastAsia"/>
          <w:sz w:val="44"/>
          <w:szCs w:val="44"/>
          <w:lang w:eastAsia="zh-CN"/>
        </w:rPr>
        <w:t>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9"/>
        <w:adjustRightInd w:val="0"/>
        <w:snapToGrid w:val="0"/>
        <w:spacing w:before="93" w:line="600" w:lineRule="exact"/>
        <w:ind w:firstLine="672" w:firstLineChars="210"/>
        <w:jc w:val="center"/>
        <w:outlineLvl w:val="2"/>
        <w:rPr>
          <w:rFonts w:hint="eastAsia" w:ascii="仿宋" w:hAnsi="仿宋" w:eastAsia="仿宋"/>
          <w:bCs/>
          <w:color w:val="000000"/>
          <w:sz w:val="32"/>
          <w:szCs w:val="32"/>
        </w:rPr>
      </w:pPr>
      <w:r>
        <w:rPr>
          <w:rFonts w:hint="eastAsia" w:ascii="仿宋" w:hAnsi="仿宋" w:eastAsia="仿宋"/>
          <w:bCs/>
          <w:color w:val="000000"/>
          <w:sz w:val="32"/>
          <w:szCs w:val="32"/>
        </w:rPr>
        <w:t>公开时间：202</w:t>
      </w:r>
      <w:r>
        <w:rPr>
          <w:rFonts w:hint="eastAsia" w:ascii="仿宋" w:hAnsi="仿宋" w:eastAsia="仿宋"/>
          <w:bCs/>
          <w:color w:val="000000"/>
          <w:sz w:val="32"/>
          <w:szCs w:val="32"/>
          <w:lang w:val="en-US" w:eastAsia="zh-CN"/>
        </w:rPr>
        <w:t>5</w:t>
      </w:r>
      <w:r>
        <w:rPr>
          <w:rFonts w:hint="eastAsia" w:ascii="仿宋" w:hAnsi="仿宋" w:eastAsia="仿宋"/>
          <w:bCs/>
          <w:color w:val="000000"/>
          <w:sz w:val="32"/>
          <w:szCs w:val="32"/>
        </w:rPr>
        <w:t>年</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月</w:t>
      </w:r>
      <w:r>
        <w:rPr>
          <w:rFonts w:hint="eastAsia" w:ascii="仿宋" w:hAnsi="仿宋" w:eastAsia="仿宋"/>
          <w:bCs/>
          <w:color w:val="000000"/>
          <w:sz w:val="32"/>
          <w:szCs w:val="32"/>
          <w:lang w:val="en-US" w:eastAsia="zh-CN"/>
        </w:rPr>
        <w:t>27</w:t>
      </w:r>
      <w:bookmarkStart w:id="71" w:name="_GoBack"/>
      <w:bookmarkEnd w:id="71"/>
      <w:r>
        <w:rPr>
          <w:rFonts w:hint="eastAsia" w:ascii="仿宋" w:hAnsi="仿宋" w:eastAsia="仿宋"/>
          <w:bCs/>
          <w:color w:val="000000"/>
          <w:sz w:val="32"/>
          <w:szCs w:val="32"/>
        </w:rPr>
        <w:t>日</w:t>
      </w:r>
    </w:p>
    <w:p>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eastAsia="zh-CN"/>
        </w:rPr>
      </w:pPr>
      <w:bookmarkStart w:id="12" w:name="_Toc15377196"/>
      <w:bookmarkStart w:id="13" w:name="_Toc15396599"/>
      <w:r>
        <w:rPr>
          <w:rFonts w:hint="eastAsia" w:ascii="仿宋_GB2312" w:hAnsi="仿宋_GB2312" w:eastAsia="仿宋_GB2312" w:cs="仿宋_GB2312"/>
          <w:color w:val="auto"/>
          <w:sz w:val="32"/>
          <w:szCs w:val="32"/>
          <w:highlight w:val="none"/>
        </w:rPr>
        <w:t xml:space="preserve">第一部分 </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概况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主要职责……………………………………………</w:t>
      </w:r>
      <w:r>
        <w:rPr>
          <w:rFonts w:hint="eastAsia" w:ascii="仿宋_GB2312" w:hAnsi="仿宋_GB2312" w:eastAsia="仿宋_GB2312" w:cs="仿宋_GB2312"/>
          <w:color w:val="auto"/>
          <w:sz w:val="32"/>
          <w:szCs w:val="32"/>
          <w:highlight w:val="none"/>
          <w:lang w:val="en-US" w:eastAsia="zh-CN"/>
        </w:rPr>
        <w:t>4</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机构设置……………………………………………</w:t>
      </w:r>
      <w:r>
        <w:rPr>
          <w:rFonts w:hint="eastAsia" w:ascii="仿宋_GB2312" w:hAnsi="仿宋_GB2312" w:eastAsia="仿宋_GB2312" w:cs="仿宋_GB2312"/>
          <w:color w:val="auto"/>
          <w:sz w:val="32"/>
          <w:szCs w:val="32"/>
          <w:highlight w:val="none"/>
          <w:lang w:val="en-US" w:eastAsia="zh-CN"/>
        </w:rPr>
        <w:t>4</w:t>
      </w:r>
    </w:p>
    <w:p>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第二部分</w:t>
      </w:r>
      <w:r>
        <w:rPr>
          <w:rFonts w:hint="eastAsia" w:ascii="仿宋_GB2312" w:hAnsi="仿宋_GB2312" w:eastAsia="仿宋_GB2312" w:cs="仿宋_GB2312"/>
          <w:color w:val="auto"/>
          <w:sz w:val="32"/>
          <w:szCs w:val="32"/>
          <w:highlight w:val="none"/>
          <w:lang w:val="en-US" w:eastAsia="zh-CN"/>
        </w:rPr>
        <w:t xml:space="preserve"> 2024年度</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二、收入决算情况说明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四、财政拨款收入支出决算总体情况说明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第三部分 名词解释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w:t>
      </w:r>
    </w:p>
    <w:p>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第四部分 附件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17</w:t>
      </w:r>
    </w:p>
    <w:p>
      <w:pPr>
        <w:pStyle w:val="14"/>
        <w:keepNext w:val="0"/>
        <w:keepLines w:val="0"/>
        <w:pageBreakBefore w:val="0"/>
        <w:kinsoku/>
        <w:wordWrap/>
        <w:overflowPunct/>
        <w:topLinePunct w:val="0"/>
        <w:autoSpaceDE/>
        <w:autoSpaceDN/>
        <w:bidi w:val="0"/>
        <w:adjustRightInd w:val="0"/>
        <w:snapToGrid w:val="0"/>
        <w:spacing w:before="0"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第五部分 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八、一般公共预算财政拨款基本支出决算</w:t>
      </w:r>
      <w:r>
        <w:rPr>
          <w:rFonts w:hint="eastAsia" w:ascii="仿宋_GB2312" w:hAnsi="仿宋_GB2312" w:eastAsia="仿宋_GB2312" w:cs="仿宋_GB2312"/>
          <w:color w:val="auto"/>
          <w:sz w:val="32"/>
          <w:szCs w:val="32"/>
          <w:highlight w:val="none"/>
          <w:lang w:eastAsia="zh-CN"/>
        </w:rPr>
        <w:t>明细</w:t>
      </w:r>
      <w:r>
        <w:rPr>
          <w:rFonts w:hint="eastAsia"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pStyle w:val="15"/>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十二、</w:t>
      </w:r>
      <w:r>
        <w:rPr>
          <w:rFonts w:hint="eastAsia" w:ascii="仿宋_GB2312" w:hAnsi="仿宋_GB2312"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37</w:t>
      </w:r>
    </w:p>
    <w:p>
      <w:pPr>
        <w:bidi w:val="0"/>
        <w:ind w:firstLine="320" w:firstLineChars="100"/>
        <w:jc w:val="both"/>
        <w:rPr>
          <w:rFonts w:ascii="仿宋" w:hAnsi="仿宋" w:eastAsia="仿宋"/>
          <w:bCs/>
          <w:kern w:val="44"/>
          <w:sz w:val="24"/>
        </w:rPr>
      </w:pPr>
      <w:r>
        <w:rPr>
          <w:rFonts w:hint="eastAsia" w:ascii="仿宋_GB2312" w:hAnsi="仿宋_GB2312" w:eastAsia="仿宋_GB2312" w:cs="仿宋_GB2312"/>
          <w:color w:val="auto"/>
          <w:kern w:val="2"/>
          <w:sz w:val="32"/>
          <w:szCs w:val="32"/>
          <w:highlight w:val="none"/>
          <w:lang w:val="en-US" w:eastAsia="zh-CN" w:bidi="ar-SA"/>
        </w:rPr>
        <w:t>十三、财政拨款“三公”经费支出决算表………………37</w:t>
      </w:r>
      <w:r>
        <w:rPr>
          <w:rFonts w:ascii="仿宋" w:hAnsi="仿宋" w:eastAsia="仿宋"/>
          <w:b/>
          <w:sz w:val="24"/>
        </w:rPr>
        <w:br w:type="page"/>
      </w:r>
    </w:p>
    <w:p>
      <w:pPr>
        <w:pStyle w:val="5"/>
        <w:jc w:val="center"/>
        <w:rPr>
          <w:rFonts w:ascii="黑体" w:eastAsia="黑体"/>
          <w:sz w:val="32"/>
          <w:szCs w:val="32"/>
        </w:rPr>
      </w:pPr>
      <w:r>
        <w:rPr>
          <w:rFonts w:hint="eastAsia" w:ascii="黑体" w:hAnsi="黑体" w:eastAsia="黑体"/>
          <w:b w:val="0"/>
        </w:rPr>
        <w:t xml:space="preserve">第一部分 </w:t>
      </w:r>
      <w:r>
        <w:rPr>
          <w:rFonts w:hint="eastAsia" w:ascii="黑体" w:hAnsi="黑体" w:eastAsia="黑体"/>
          <w:b w:val="0"/>
          <w:lang w:val="en-US" w:eastAsia="zh-CN"/>
        </w:rPr>
        <w:t>部门</w:t>
      </w:r>
      <w:r>
        <w:rPr>
          <w:rStyle w:val="29"/>
          <w:rFonts w:hint="eastAsia" w:ascii="黑体" w:hAnsi="黑体" w:eastAsia="黑体"/>
          <w:b w:val="0"/>
          <w:bCs w:val="0"/>
        </w:rPr>
        <w:t>概况</w:t>
      </w:r>
      <w:bookmarkEnd w:id="12"/>
      <w:bookmarkEnd w:id="13"/>
    </w:p>
    <w:p>
      <w:pPr>
        <w:pStyle w:val="6"/>
        <w:numPr>
          <w:ilvl w:val="0"/>
          <w:numId w:val="1"/>
        </w:numPr>
        <w:rPr>
          <w:rStyle w:val="30"/>
          <w:rFonts w:ascii="黑体" w:hAnsi="黑体" w:eastAsia="黑体"/>
          <w:b w:val="0"/>
          <w:bCs w:val="0"/>
        </w:rPr>
      </w:pPr>
      <w:bookmarkStart w:id="14" w:name="_Toc15396600"/>
      <w:bookmarkStart w:id="15" w:name="_Toc15377197"/>
      <w:r>
        <w:rPr>
          <w:rStyle w:val="30"/>
          <w:rFonts w:hint="eastAsia" w:ascii="黑体" w:hAnsi="黑体" w:eastAsia="黑体"/>
          <w:b w:val="0"/>
          <w:bCs w:val="0"/>
        </w:rPr>
        <w:t>主要职责</w:t>
      </w:r>
    </w:p>
    <w:p>
      <w:pPr>
        <w:pStyle w:val="9"/>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pStyle w:val="9"/>
        <w:adjustRightInd w:val="0"/>
        <w:snapToGrid w:val="0"/>
        <w:spacing w:before="93" w:line="600" w:lineRule="exact"/>
        <w:ind w:firstLine="672" w:firstLineChars="210"/>
        <w:outlineLvl w:val="2"/>
        <w:rPr>
          <w:rFonts w:hint="eastAsia" w:ascii="仿宋_GB2312" w:hAnsi="仿宋_GB2312" w:eastAsia="仿宋_GB2312" w:cs="仿宋_GB2312"/>
          <w:sz w:val="32"/>
          <w:szCs w:val="32"/>
        </w:rPr>
      </w:pPr>
      <w:r>
        <w:rPr>
          <w:rFonts w:hint="eastAsia" w:ascii="仿宋" w:hAnsi="仿宋" w:eastAsia="仿宋"/>
          <w:bCs/>
          <w:color w:val="000000"/>
          <w:sz w:val="32"/>
          <w:szCs w:val="32"/>
        </w:rPr>
        <w:t>单位宗旨和业务范围主要是实施</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义务教育，促进基础教育发展，负责</w:t>
      </w:r>
      <w:r>
        <w:rPr>
          <w:rFonts w:hint="eastAsia" w:ascii="仿宋" w:hAnsi="仿宋" w:eastAsia="仿宋"/>
          <w:bCs/>
          <w:color w:val="000000"/>
          <w:sz w:val="32"/>
          <w:szCs w:val="32"/>
          <w:lang w:val="en-US" w:eastAsia="zh-CN"/>
        </w:rPr>
        <w:t>初中学</w:t>
      </w:r>
      <w:r>
        <w:rPr>
          <w:rFonts w:hint="eastAsia" w:ascii="仿宋" w:hAnsi="仿宋" w:eastAsia="仿宋"/>
          <w:bCs/>
          <w:color w:val="000000"/>
          <w:sz w:val="32"/>
          <w:szCs w:val="32"/>
        </w:rPr>
        <w:t>历教育及相关社会服务</w:t>
      </w:r>
      <w:bookmarkStart w:id="18" w:name="_Toc15378446"/>
      <w:bookmarkStart w:id="19" w:name="_Toc15377199"/>
      <w:r>
        <w:rPr>
          <w:rFonts w:hint="eastAsia" w:ascii="仿宋" w:hAnsi="仿宋" w:eastAsia="仿宋"/>
          <w:bCs/>
          <w:color w:val="000000"/>
          <w:sz w:val="32"/>
          <w:szCs w:val="32"/>
        </w:rPr>
        <w:t>。</w:t>
      </w:r>
      <w:r>
        <w:rPr>
          <w:rFonts w:hint="eastAsia" w:ascii="仿宋_GB2312" w:hAnsi="仿宋_GB2312" w:eastAsia="仿宋_GB2312" w:cs="仿宋_GB2312"/>
          <w:sz w:val="32"/>
          <w:szCs w:val="32"/>
        </w:rPr>
        <w:t>维护学校的教学秩序，为学生创造良好的学习环境；积极稳妥地推进教育改革，按教育规律办事，不断提高教育质量；坚持教书育人，服务育人，环境育人方针，加强对学生的思想品德教育，使学生的德智体美劳全面发展。</w:t>
      </w:r>
    </w:p>
    <w:p>
      <w:pPr>
        <w:pStyle w:val="9"/>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年重点工作完成情况。</w:t>
      </w:r>
      <w:bookmarkEnd w:id="18"/>
      <w:bookmarkEnd w:id="19"/>
    </w:p>
    <w:p>
      <w:pPr>
        <w:pStyle w:val="9"/>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w:t>
      </w:r>
      <w:r>
        <w:rPr>
          <w:rFonts w:ascii="仿宋" w:hAnsi="仿宋" w:eastAsia="仿宋"/>
          <w:bCs/>
          <w:color w:val="000000"/>
          <w:sz w:val="32"/>
          <w:szCs w:val="32"/>
        </w:rPr>
        <w:t>02</w:t>
      </w:r>
      <w:r>
        <w:rPr>
          <w:rFonts w:hint="eastAsia" w:ascii="仿宋" w:hAnsi="仿宋" w:eastAsia="仿宋"/>
          <w:bCs/>
          <w:color w:val="000000"/>
          <w:sz w:val="32"/>
          <w:szCs w:val="32"/>
          <w:lang w:val="en-US" w:eastAsia="zh-CN"/>
        </w:rPr>
        <w:t>4</w:t>
      </w:r>
      <w:r>
        <w:rPr>
          <w:rFonts w:hint="eastAsia" w:ascii="仿宋" w:hAnsi="仿宋" w:eastAsia="仿宋"/>
          <w:bCs/>
          <w:color w:val="000000"/>
          <w:sz w:val="32"/>
          <w:szCs w:val="32"/>
        </w:rPr>
        <w:t>年主要负责完成</w:t>
      </w:r>
      <w:r>
        <w:rPr>
          <w:rFonts w:hint="eastAsia" w:ascii="仿宋" w:hAnsi="仿宋" w:eastAsia="仿宋"/>
          <w:bCs/>
          <w:color w:val="000000"/>
          <w:sz w:val="32"/>
          <w:szCs w:val="32"/>
          <w:lang w:val="en-US" w:eastAsia="zh-CN"/>
        </w:rPr>
        <w:t>初中</w:t>
      </w:r>
      <w:r>
        <w:rPr>
          <w:rFonts w:hint="eastAsia" w:ascii="仿宋" w:hAnsi="仿宋" w:eastAsia="仿宋"/>
          <w:bCs/>
          <w:color w:val="000000"/>
          <w:sz w:val="32"/>
          <w:szCs w:val="32"/>
        </w:rPr>
        <w:t>学历教育，</w:t>
      </w:r>
      <w:r>
        <w:rPr>
          <w:rFonts w:hint="eastAsia" w:ascii="仿宋" w:hAnsi="仿宋" w:eastAsia="仿宋"/>
          <w:bCs/>
          <w:color w:val="000000"/>
          <w:sz w:val="32"/>
          <w:szCs w:val="32"/>
          <w:lang w:val="en-US" w:eastAsia="zh-CN"/>
        </w:rPr>
        <w:t>九</w:t>
      </w:r>
      <w:r>
        <w:rPr>
          <w:rFonts w:hint="eastAsia" w:ascii="仿宋" w:hAnsi="仿宋" w:eastAsia="仿宋"/>
          <w:bCs/>
          <w:color w:val="000000"/>
          <w:sz w:val="32"/>
          <w:szCs w:val="32"/>
        </w:rPr>
        <w:t>年级送生工作、</w:t>
      </w:r>
      <w:r>
        <w:rPr>
          <w:rFonts w:hint="eastAsia" w:ascii="仿宋" w:hAnsi="仿宋" w:eastAsia="仿宋"/>
          <w:bCs/>
          <w:color w:val="000000"/>
          <w:sz w:val="32"/>
          <w:szCs w:val="32"/>
          <w:lang w:val="en-US" w:eastAsia="zh-CN"/>
        </w:rPr>
        <w:t>七</w:t>
      </w:r>
      <w:r>
        <w:rPr>
          <w:rFonts w:hint="eastAsia" w:ascii="仿宋" w:hAnsi="仿宋" w:eastAsia="仿宋"/>
          <w:bCs/>
          <w:color w:val="000000"/>
          <w:sz w:val="32"/>
          <w:szCs w:val="32"/>
        </w:rPr>
        <w:t>年级招生工作。本单位顺利完成年度工作任务。</w:t>
      </w:r>
    </w:p>
    <w:p>
      <w:pPr>
        <w:pStyle w:val="9"/>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其他相关社会服务工作。顺利完成相关服务工作任务及上级安排的相关工作。</w:t>
      </w:r>
    </w:p>
    <w:p>
      <w:pPr>
        <w:pStyle w:val="6"/>
        <w:rPr>
          <w:rFonts w:ascii="黑体" w:hAnsi="黑体" w:eastAsia="黑体"/>
          <w:b w:val="0"/>
        </w:rPr>
      </w:pPr>
      <w:r>
        <w:rPr>
          <w:rFonts w:hint="eastAsia" w:ascii="黑体" w:hAnsi="黑体" w:eastAsia="黑体"/>
          <w:b w:val="0"/>
        </w:rPr>
        <w:t>二、机构设置</w:t>
      </w:r>
    </w:p>
    <w:bookmarkEnd w:id="14"/>
    <w:bookmarkEnd w:id="15"/>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我校为独立编制机构1个，独立核算机构1个。</w:t>
      </w:r>
    </w:p>
    <w:p>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我校现有在编教师</w:t>
      </w:r>
      <w:r>
        <w:rPr>
          <w:rFonts w:hint="eastAsia" w:ascii="仿宋_GB2312" w:hAnsi="仿宋" w:eastAsia="仿宋_GB2312"/>
          <w:sz w:val="32"/>
          <w:szCs w:val="32"/>
          <w:lang w:val="en-US" w:eastAsia="zh-CN"/>
        </w:rPr>
        <w:t>23</w:t>
      </w:r>
      <w:r>
        <w:rPr>
          <w:rFonts w:hint="eastAsia" w:ascii="仿宋_GB2312" w:hAnsi="仿宋" w:eastAsia="仿宋_GB2312"/>
          <w:sz w:val="32"/>
          <w:szCs w:val="32"/>
        </w:rPr>
        <w:t>人,遗属</w:t>
      </w:r>
      <w:r>
        <w:rPr>
          <w:rFonts w:hint="eastAsia" w:ascii="仿宋_GB2312" w:hAnsi="仿宋" w:eastAsia="仿宋_GB2312"/>
          <w:sz w:val="32"/>
          <w:szCs w:val="32"/>
          <w:lang w:val="en-US" w:eastAsia="zh-CN"/>
        </w:rPr>
        <w:t>3</w:t>
      </w:r>
      <w:r>
        <w:rPr>
          <w:rFonts w:hint="eastAsia" w:ascii="仿宋_GB2312" w:hAnsi="仿宋" w:eastAsia="仿宋_GB2312"/>
          <w:sz w:val="32"/>
          <w:szCs w:val="32"/>
        </w:rPr>
        <w:t>人，退休职工</w:t>
      </w:r>
      <w:r>
        <w:rPr>
          <w:rFonts w:hint="eastAsia" w:ascii="仿宋_GB2312" w:hAnsi="仿宋" w:eastAsia="仿宋_GB2312"/>
          <w:sz w:val="32"/>
          <w:szCs w:val="32"/>
          <w:lang w:val="en-US" w:eastAsia="zh-CN"/>
        </w:rPr>
        <w:t>9</w:t>
      </w:r>
      <w:r>
        <w:rPr>
          <w:rFonts w:hint="eastAsia" w:ascii="仿宋_GB2312" w:hAnsi="仿宋" w:eastAsia="仿宋_GB2312"/>
          <w:sz w:val="32"/>
          <w:szCs w:val="32"/>
        </w:rPr>
        <w:t>人，在校学生</w:t>
      </w:r>
      <w:r>
        <w:rPr>
          <w:rFonts w:hint="eastAsia" w:ascii="仿宋_GB2312" w:hAnsi="仿宋" w:eastAsia="仿宋_GB2312"/>
          <w:sz w:val="32"/>
          <w:szCs w:val="32"/>
          <w:lang w:val="en-US" w:eastAsia="zh-CN"/>
        </w:rPr>
        <w:t>612</w:t>
      </w:r>
      <w:r>
        <w:rPr>
          <w:rFonts w:hint="eastAsia" w:ascii="仿宋_GB2312" w:hAnsi="仿宋" w:eastAsia="仿宋_GB2312"/>
          <w:sz w:val="32"/>
          <w:szCs w:val="32"/>
        </w:rPr>
        <w:t>人。学校现设有</w:t>
      </w:r>
      <w:r>
        <w:rPr>
          <w:rFonts w:hint="eastAsia" w:ascii="仿宋" w:hAnsi="仿宋" w:eastAsia="仿宋"/>
          <w:sz w:val="32"/>
          <w:szCs w:val="32"/>
        </w:rPr>
        <w:t>行政办公室</w:t>
      </w:r>
      <w:r>
        <w:rPr>
          <w:rFonts w:hint="eastAsia" w:ascii="仿宋" w:hAnsi="仿宋" w:eastAsia="仿宋"/>
          <w:sz w:val="32"/>
          <w:szCs w:val="32"/>
          <w:lang w:eastAsia="zh-CN"/>
        </w:rPr>
        <w:t>、</w:t>
      </w:r>
      <w:r>
        <w:rPr>
          <w:rFonts w:hint="eastAsia" w:ascii="仿宋" w:hAnsi="仿宋" w:eastAsia="仿宋"/>
          <w:sz w:val="32"/>
          <w:szCs w:val="32"/>
        </w:rPr>
        <w:t>财务室</w:t>
      </w:r>
      <w:r>
        <w:rPr>
          <w:rFonts w:hint="eastAsia" w:ascii="仿宋" w:hAnsi="仿宋" w:eastAsia="仿宋"/>
          <w:sz w:val="32"/>
          <w:szCs w:val="32"/>
          <w:lang w:eastAsia="zh-CN"/>
        </w:rPr>
        <w:t>、</w:t>
      </w:r>
      <w:r>
        <w:rPr>
          <w:rFonts w:hint="eastAsia" w:ascii="仿宋" w:hAnsi="仿宋" w:eastAsia="仿宋"/>
          <w:sz w:val="32"/>
          <w:szCs w:val="32"/>
        </w:rPr>
        <w:t>教导处</w:t>
      </w:r>
      <w:r>
        <w:rPr>
          <w:rFonts w:hint="eastAsia" w:ascii="仿宋" w:hAnsi="仿宋" w:eastAsia="仿宋"/>
          <w:sz w:val="32"/>
          <w:szCs w:val="32"/>
          <w:lang w:eastAsia="zh-CN"/>
        </w:rPr>
        <w:t>、</w:t>
      </w:r>
      <w:r>
        <w:rPr>
          <w:rFonts w:hint="eastAsia" w:ascii="仿宋" w:hAnsi="仿宋" w:eastAsia="仿宋"/>
          <w:sz w:val="32"/>
          <w:szCs w:val="32"/>
        </w:rPr>
        <w:t>教研室</w:t>
      </w:r>
      <w:r>
        <w:rPr>
          <w:rFonts w:hint="eastAsia" w:ascii="仿宋" w:hAnsi="仿宋" w:eastAsia="仿宋"/>
          <w:sz w:val="32"/>
          <w:szCs w:val="32"/>
          <w:lang w:eastAsia="zh-CN"/>
        </w:rPr>
        <w:t>、</w:t>
      </w:r>
      <w:r>
        <w:rPr>
          <w:rFonts w:hint="eastAsia" w:ascii="仿宋" w:hAnsi="仿宋" w:eastAsia="仿宋"/>
          <w:sz w:val="32"/>
          <w:szCs w:val="32"/>
        </w:rPr>
        <w:t>德育处</w:t>
      </w:r>
      <w:r>
        <w:rPr>
          <w:rFonts w:hint="eastAsia" w:ascii="仿宋" w:hAnsi="仿宋" w:eastAsia="仿宋"/>
          <w:sz w:val="32"/>
          <w:szCs w:val="32"/>
          <w:lang w:eastAsia="zh-CN"/>
        </w:rPr>
        <w:t>、</w:t>
      </w:r>
      <w:r>
        <w:rPr>
          <w:rFonts w:hint="eastAsia" w:ascii="仿宋" w:hAnsi="仿宋" w:eastAsia="仿宋"/>
          <w:sz w:val="32"/>
          <w:szCs w:val="32"/>
        </w:rPr>
        <w:t>安全办</w:t>
      </w:r>
      <w:r>
        <w:rPr>
          <w:rFonts w:hint="eastAsia" w:ascii="仿宋_GB2312" w:hAnsi="仿宋" w:eastAsia="仿宋_GB2312"/>
          <w:sz w:val="32"/>
          <w:szCs w:val="32"/>
        </w:rPr>
        <w:t>等部门。</w:t>
      </w:r>
    </w:p>
    <w:p>
      <w:pPr>
        <w:snapToGrid w:val="0"/>
        <w:spacing w:line="520" w:lineRule="exact"/>
        <w:ind w:firstLine="640" w:firstLineChars="200"/>
        <w:rPr>
          <w:rFonts w:ascii="仿宋_GB2312" w:hAnsi="仿宋" w:eastAsia="仿宋_GB2312"/>
          <w:sz w:val="32"/>
          <w:szCs w:val="32"/>
        </w:rPr>
      </w:pP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5"/>
        <w:numPr>
          <w:ilvl w:val="0"/>
          <w:numId w:val="2"/>
        </w:numPr>
        <w:ind w:right="440"/>
        <w:jc w:val="center"/>
        <w:rPr>
          <w:rStyle w:val="29"/>
          <w:rFonts w:hint="eastAsia" w:ascii="黑体" w:hAnsi="黑体" w:eastAsia="黑体"/>
          <w:b w:val="0"/>
          <w:bCs/>
        </w:rPr>
      </w:pPr>
      <w:bookmarkStart w:id="20" w:name="_Toc15377204"/>
      <w:bookmarkStart w:id="21" w:name="_Toc15396602"/>
      <w:r>
        <w:rPr>
          <w:rFonts w:hint="eastAsia" w:ascii="黑体" w:hAnsi="黑体" w:eastAsia="黑体"/>
          <w:b w:val="0"/>
        </w:rPr>
        <w:t>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lang w:val="en-US" w:eastAsia="zh-CN"/>
        </w:rPr>
        <w:t>部门</w:t>
      </w:r>
      <w:r>
        <w:rPr>
          <w:rStyle w:val="29"/>
          <w:rFonts w:hint="eastAsia" w:ascii="黑体" w:hAnsi="黑体" w:eastAsia="黑体"/>
          <w:b w:val="0"/>
          <w:bCs/>
        </w:rPr>
        <w:t>决算情况说明</w:t>
      </w:r>
      <w:bookmarkEnd w:id="20"/>
      <w:bookmarkEnd w:id="21"/>
      <w:bookmarkStart w:id="22" w:name="_Toc15377205"/>
      <w:bookmarkStart w:id="23" w:name="_Toc15396603"/>
    </w:p>
    <w:p>
      <w:pPr>
        <w:pStyle w:val="5"/>
        <w:numPr>
          <w:ilvl w:val="0"/>
          <w:numId w:val="2"/>
        </w:numPr>
        <w:ind w:right="440"/>
        <w:jc w:val="center"/>
        <w:rPr>
          <w:rStyle w:val="30"/>
          <w:rFonts w:ascii="黑体" w:hAnsi="黑体" w:eastAsia="黑体"/>
          <w:b w:val="0"/>
          <w:bCs/>
        </w:rPr>
      </w:pPr>
      <w:r>
        <w:rPr>
          <w:rFonts w:hint="eastAsia" w:ascii="黑体" w:hAnsi="黑体" w:eastAsia="黑体"/>
          <w:sz w:val="32"/>
          <w:szCs w:val="32"/>
        </w:rPr>
        <w:t>收</w:t>
      </w:r>
      <w:r>
        <w:rPr>
          <w:rStyle w:val="30"/>
          <w:rFonts w:hint="eastAsia" w:ascii="黑体" w:hAnsi="黑体" w:eastAsia="黑体"/>
          <w:b w:val="0"/>
          <w:bCs/>
        </w:rPr>
        <w:t>入支出决算总体情况说明</w:t>
      </w:r>
      <w:bookmarkEnd w:id="22"/>
      <w:bookmarkEnd w:id="23"/>
    </w:p>
    <w:p>
      <w:pPr>
        <w:spacing w:line="600" w:lineRule="exact"/>
        <w:ind w:firstLine="640" w:firstLineChars="200"/>
        <w:rPr>
          <w:rFonts w:hint="eastAsia" w:ascii="仿宋" w:hAnsi="仿宋" w:eastAsia="仿宋"/>
          <w:sz w:val="32"/>
          <w:szCs w:val="32"/>
        </w:rPr>
      </w:pPr>
      <w:bookmarkStart w:id="24" w:name="_Hlk83972119"/>
      <w:r>
        <w:rPr>
          <w:rFonts w:ascii="仿宋" w:hAnsi="仿宋" w:eastAsia="仿宋"/>
          <w:color w:val="000000"/>
          <w:sz w:val="32"/>
          <w:szCs w:val="32"/>
        </w:rPr>
        <w:drawing>
          <wp:anchor distT="0" distB="0" distL="0" distR="0" simplePos="0" relativeHeight="251659264" behindDoc="0" locked="0" layoutInCell="1" allowOverlap="1">
            <wp:simplePos x="0" y="0"/>
            <wp:positionH relativeFrom="column">
              <wp:posOffset>-67310</wp:posOffset>
            </wp:positionH>
            <wp:positionV relativeFrom="paragraph">
              <wp:posOffset>1496060</wp:posOffset>
            </wp:positionV>
            <wp:extent cx="4972050" cy="2002790"/>
            <wp:effectExtent l="4445" t="4445" r="14605" b="1206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End w:id="24"/>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592.53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val="en-US" w:eastAsia="zh-CN"/>
        </w:rPr>
        <w:t>增加43.99</w:t>
      </w:r>
      <w:r>
        <w:rPr>
          <w:rFonts w:hint="eastAsia" w:ascii="仿宋" w:hAnsi="仿宋" w:eastAsia="仿宋"/>
          <w:sz w:val="32"/>
          <w:szCs w:val="32"/>
        </w:rPr>
        <w:t>万元，</w:t>
      </w:r>
      <w:r>
        <w:rPr>
          <w:rFonts w:hint="eastAsia" w:ascii="仿宋" w:hAnsi="仿宋" w:eastAsia="仿宋"/>
          <w:sz w:val="32"/>
          <w:szCs w:val="32"/>
          <w:lang w:val="en-US" w:eastAsia="zh-CN"/>
        </w:rPr>
        <w:t>增长8.02</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w:t>
      </w:r>
      <w:r>
        <w:rPr>
          <w:rFonts w:hint="eastAsia" w:ascii="仿宋" w:hAnsi="仿宋" w:eastAsia="仿宋"/>
          <w:sz w:val="32"/>
          <w:szCs w:val="32"/>
        </w:rPr>
        <w:t>因是</w:t>
      </w:r>
      <w:r>
        <w:rPr>
          <w:rFonts w:hint="eastAsia" w:ascii="仿宋" w:hAnsi="仿宋" w:eastAsia="仿宋"/>
          <w:sz w:val="32"/>
          <w:szCs w:val="32"/>
          <w:lang w:val="en-US" w:eastAsia="zh-CN"/>
        </w:rPr>
        <w:t>校舍维修，城乡义务教育-综合奖补资金项目</w:t>
      </w:r>
      <w:r>
        <w:rPr>
          <w:rFonts w:hint="eastAsia" w:ascii="仿宋" w:hAnsi="仿宋" w:eastAsia="仿宋"/>
          <w:sz w:val="32"/>
          <w:szCs w:val="32"/>
        </w:rPr>
        <w:t>支出</w:t>
      </w:r>
      <w:r>
        <w:rPr>
          <w:rFonts w:hint="eastAsia" w:ascii="仿宋" w:hAnsi="仿宋" w:eastAsia="仿宋"/>
          <w:sz w:val="32"/>
          <w:szCs w:val="32"/>
          <w:lang w:val="en-US" w:eastAsia="zh-CN"/>
        </w:rPr>
        <w:t>增多</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jc w:val="both"/>
        <w:rPr>
          <w:rFonts w:hint="eastAsia" w:ascii="仿宋" w:hAnsi="仿宋" w:eastAsia="仿宋"/>
          <w:sz w:val="32"/>
          <w:szCs w:val="32"/>
        </w:rPr>
      </w:pPr>
    </w:p>
    <w:p>
      <w:pPr>
        <w:spacing w:line="600" w:lineRule="exact"/>
        <w:jc w:val="both"/>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8"/>
        <w:numPr>
          <w:ilvl w:val="0"/>
          <w:numId w:val="3"/>
        </w:numPr>
        <w:spacing w:line="600" w:lineRule="exact"/>
        <w:ind w:firstLineChars="0"/>
        <w:outlineLvl w:val="1"/>
        <w:rPr>
          <w:rStyle w:val="30"/>
          <w:rFonts w:ascii="黑体" w:hAnsi="黑体" w:eastAsia="黑体"/>
          <w:b w:val="0"/>
        </w:rPr>
      </w:pPr>
      <w:bookmarkStart w:id="25" w:name="_Toc15377206"/>
      <w:bookmarkStart w:id="26" w:name="_Toc15396604"/>
      <w:r>
        <w:rPr>
          <w:rFonts w:hint="eastAsia" w:ascii="黑体" w:hAnsi="黑体" w:eastAsia="黑体"/>
          <w:sz w:val="32"/>
          <w:szCs w:val="32"/>
        </w:rPr>
        <w:t>收</w:t>
      </w:r>
      <w:r>
        <w:rPr>
          <w:rStyle w:val="30"/>
          <w:rFonts w:hint="eastAsia" w:ascii="黑体" w:hAnsi="黑体" w:eastAsia="黑体"/>
          <w:b w:val="0"/>
        </w:rPr>
        <w:t>入决算情况说明</w:t>
      </w:r>
      <w:bookmarkEnd w:id="25"/>
      <w:bookmarkEnd w:id="26"/>
    </w:p>
    <w:p>
      <w:pPr>
        <w:spacing w:line="600" w:lineRule="exact"/>
        <w:ind w:firstLine="640" w:firstLineChars="200"/>
        <w:outlineLvl w:val="1"/>
        <w:rPr>
          <w:rFonts w:ascii="仿宋" w:hAnsi="仿宋" w:eastAsia="仿宋"/>
          <w:b w:val="0"/>
          <w:bCs w:val="0"/>
          <w:sz w:val="32"/>
          <w:szCs w:val="32"/>
        </w:rPr>
      </w:pPr>
      <w:r>
        <w:rPr>
          <w:rFonts w:ascii="仿宋" w:hAnsi="仿宋" w:eastAsia="仿宋"/>
          <w:color w:val="000000"/>
          <w:sz w:val="32"/>
          <w:szCs w:val="32"/>
          <w:shd w:val="pct10" w:color="auto" w:fill="FFFFFF"/>
        </w:rPr>
        <w:drawing>
          <wp:anchor distT="0" distB="0" distL="0" distR="0" simplePos="0" relativeHeight="251667456" behindDoc="0" locked="0" layoutInCell="1" allowOverlap="1">
            <wp:simplePos x="0" y="0"/>
            <wp:positionH relativeFrom="column">
              <wp:posOffset>123825</wp:posOffset>
            </wp:positionH>
            <wp:positionV relativeFrom="paragraph">
              <wp:posOffset>1142365</wp:posOffset>
            </wp:positionV>
            <wp:extent cx="4761230" cy="1472565"/>
            <wp:effectExtent l="4445" t="5080" r="15875" b="825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年度本年收入合</w:t>
      </w:r>
      <w:r>
        <w:rPr>
          <w:rFonts w:hint="eastAsia" w:ascii="仿宋" w:hAnsi="仿宋" w:eastAsia="仿宋"/>
          <w:b w:val="0"/>
          <w:bCs w:val="0"/>
          <w:sz w:val="32"/>
          <w:szCs w:val="32"/>
        </w:rPr>
        <w:t>计</w:t>
      </w:r>
      <w:r>
        <w:rPr>
          <w:rFonts w:hint="eastAsia" w:ascii="仿宋" w:hAnsi="仿宋" w:eastAsia="仿宋"/>
          <w:b w:val="0"/>
          <w:bCs w:val="0"/>
          <w:sz w:val="32"/>
          <w:szCs w:val="32"/>
          <w:lang w:val="en-US" w:eastAsia="zh-CN"/>
        </w:rPr>
        <w:t>592.53</w:t>
      </w:r>
      <w:r>
        <w:rPr>
          <w:rFonts w:hint="eastAsia" w:ascii="仿宋" w:hAnsi="仿宋" w:eastAsia="仿宋"/>
          <w:b w:val="0"/>
          <w:bCs w:val="0"/>
          <w:sz w:val="32"/>
          <w:szCs w:val="32"/>
        </w:rPr>
        <w:t>万元，其中：一般公共预算财政拨款收入</w:t>
      </w:r>
      <w:r>
        <w:rPr>
          <w:rFonts w:hint="eastAsia" w:ascii="仿宋" w:hAnsi="仿宋" w:eastAsia="仿宋"/>
          <w:b w:val="0"/>
          <w:bCs w:val="0"/>
          <w:sz w:val="32"/>
          <w:szCs w:val="32"/>
          <w:lang w:val="en-US" w:eastAsia="zh-CN"/>
        </w:rPr>
        <w:t>524.93</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88.59</w:t>
      </w:r>
      <w:r>
        <w:rPr>
          <w:rFonts w:ascii="仿宋" w:hAnsi="仿宋" w:eastAsia="仿宋"/>
          <w:b w:val="0"/>
          <w:bCs w:val="0"/>
          <w:sz w:val="32"/>
          <w:szCs w:val="32"/>
        </w:rPr>
        <w:t>%</w:t>
      </w:r>
      <w:r>
        <w:rPr>
          <w:rFonts w:hint="eastAsia" w:ascii="仿宋" w:hAnsi="仿宋" w:eastAsia="仿宋"/>
          <w:b w:val="0"/>
          <w:bCs w:val="0"/>
          <w:sz w:val="32"/>
          <w:szCs w:val="32"/>
        </w:rPr>
        <w:t>；</w:t>
      </w:r>
      <w:r>
        <w:rPr>
          <w:rFonts w:hint="eastAsia" w:ascii="Times New Roman" w:hAnsi="Times New Roman" w:eastAsia="仿宋_GB2312" w:cs="仿宋_GB2312"/>
          <w:b w:val="0"/>
          <w:bCs w:val="0"/>
          <w:sz w:val="32"/>
          <w:szCs w:val="32"/>
        </w:rPr>
        <w:t>其他收入</w:t>
      </w:r>
      <w:r>
        <w:rPr>
          <w:rFonts w:hint="eastAsia" w:ascii="Times New Roman" w:hAnsi="Times New Roman" w:eastAsia="仿宋_GB2312" w:cs="仿宋_GB2312"/>
          <w:b w:val="0"/>
          <w:bCs w:val="0"/>
          <w:sz w:val="32"/>
          <w:szCs w:val="32"/>
          <w:lang w:val="en-US" w:eastAsia="zh-CN"/>
        </w:rPr>
        <w:t>6</w:t>
      </w:r>
      <w:r>
        <w:rPr>
          <w:rFonts w:hint="eastAsia" w:eastAsia="仿宋_GB2312" w:cs="仿宋_GB2312"/>
          <w:b w:val="0"/>
          <w:bCs w:val="0"/>
          <w:sz w:val="32"/>
          <w:szCs w:val="32"/>
          <w:lang w:val="en-US" w:eastAsia="zh-CN"/>
        </w:rPr>
        <w:t>7.6</w:t>
      </w:r>
      <w:r>
        <w:rPr>
          <w:rFonts w:hint="eastAsia" w:ascii="Times New Roman" w:hAnsi="Times New Roman" w:eastAsia="仿宋_GB2312" w:cs="仿宋_GB2312"/>
          <w:b w:val="0"/>
          <w:bCs w:val="0"/>
          <w:sz w:val="32"/>
          <w:szCs w:val="32"/>
        </w:rPr>
        <w:t>万元，占</w:t>
      </w:r>
      <w:r>
        <w:rPr>
          <w:rFonts w:hint="eastAsia" w:ascii="Times New Roman" w:hAnsi="Times New Roman" w:eastAsia="仿宋_GB2312" w:cs="仿宋_GB2312"/>
          <w:b w:val="0"/>
          <w:bCs w:val="0"/>
          <w:sz w:val="32"/>
          <w:szCs w:val="32"/>
          <w:lang w:val="en-US" w:eastAsia="zh-CN"/>
        </w:rPr>
        <w:t>11.41</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 xml:space="preserve"> 。</w:t>
      </w: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spacing w:line="600" w:lineRule="exact"/>
        <w:ind w:firstLine="640" w:firstLineChars="200"/>
        <w:jc w:val="center"/>
        <w:rPr>
          <w:rFonts w:hint="eastAsia" w:ascii="仿宋" w:hAnsi="仿宋" w:eastAsia="仿宋"/>
          <w:sz w:val="32"/>
          <w:szCs w:val="32"/>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pPr>
        <w:pStyle w:val="28"/>
        <w:numPr>
          <w:ilvl w:val="0"/>
          <w:numId w:val="3"/>
        </w:numPr>
        <w:spacing w:line="600" w:lineRule="exact"/>
        <w:ind w:firstLineChars="0"/>
        <w:outlineLvl w:val="1"/>
        <w:rPr>
          <w:rStyle w:val="30"/>
          <w:rFonts w:ascii="黑体" w:hAnsi="黑体" w:eastAsia="黑体"/>
          <w:b w:val="0"/>
        </w:rPr>
      </w:pPr>
      <w:bookmarkStart w:id="27" w:name="_Toc15396605"/>
      <w:bookmarkStart w:id="28" w:name="_Toc15377207"/>
      <w:r>
        <w:rPr>
          <w:rFonts w:hint="eastAsia" w:ascii="黑体" w:hAnsi="黑体" w:eastAsia="黑体"/>
          <w:sz w:val="32"/>
          <w:szCs w:val="32"/>
        </w:rPr>
        <w:t>支</w:t>
      </w:r>
      <w:r>
        <w:rPr>
          <w:rStyle w:val="30"/>
          <w:rFonts w:hint="eastAsia" w:ascii="黑体" w:hAnsi="黑体" w:eastAsia="黑体"/>
          <w:b w:val="0"/>
        </w:rPr>
        <w:t>出决算情况说明</w:t>
      </w:r>
      <w:bookmarkEnd w:id="27"/>
      <w:bookmarkEnd w:id="28"/>
    </w:p>
    <w:p>
      <w:pPr>
        <w:spacing w:line="600" w:lineRule="exact"/>
        <w:ind w:firstLine="640" w:firstLineChars="200"/>
        <w:outlineLvl w:val="1"/>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年度本年支出合</w:t>
      </w:r>
      <w:r>
        <w:rPr>
          <w:rFonts w:hint="eastAsia" w:ascii="仿宋" w:hAnsi="仿宋" w:eastAsia="仿宋"/>
          <w:b w:val="0"/>
          <w:bCs w:val="0"/>
          <w:sz w:val="32"/>
          <w:szCs w:val="32"/>
        </w:rPr>
        <w:t>计</w:t>
      </w:r>
      <w:r>
        <w:rPr>
          <w:rFonts w:hint="eastAsia" w:ascii="仿宋" w:hAnsi="仿宋" w:eastAsia="仿宋"/>
          <w:b w:val="0"/>
          <w:bCs w:val="0"/>
          <w:sz w:val="32"/>
          <w:szCs w:val="32"/>
          <w:lang w:val="en-US" w:eastAsia="zh-CN"/>
        </w:rPr>
        <w:t>592.53</w:t>
      </w:r>
      <w:r>
        <w:rPr>
          <w:rFonts w:hint="eastAsia" w:ascii="仿宋" w:hAnsi="仿宋" w:eastAsia="仿宋"/>
          <w:b w:val="0"/>
          <w:bCs w:val="0"/>
          <w:sz w:val="32"/>
          <w:szCs w:val="32"/>
        </w:rPr>
        <w:t>万元，其中：基本支出</w:t>
      </w:r>
      <w:r>
        <w:rPr>
          <w:rFonts w:hint="eastAsia" w:ascii="仿宋" w:hAnsi="仿宋" w:eastAsia="仿宋"/>
          <w:b w:val="0"/>
          <w:bCs w:val="0"/>
          <w:sz w:val="32"/>
          <w:szCs w:val="32"/>
          <w:lang w:val="en-US" w:eastAsia="zh-CN"/>
        </w:rPr>
        <w:t>446.43</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75.34</w:t>
      </w:r>
      <w:r>
        <w:rPr>
          <w:rFonts w:ascii="仿宋" w:hAnsi="仿宋" w:eastAsia="仿宋"/>
          <w:b w:val="0"/>
          <w:bCs w:val="0"/>
          <w:sz w:val="32"/>
          <w:szCs w:val="32"/>
        </w:rPr>
        <w:t>%</w:t>
      </w:r>
      <w:r>
        <w:rPr>
          <w:rFonts w:hint="eastAsia" w:ascii="仿宋" w:hAnsi="仿宋" w:eastAsia="仿宋"/>
          <w:b w:val="0"/>
          <w:bCs w:val="0"/>
          <w:sz w:val="32"/>
          <w:szCs w:val="32"/>
        </w:rPr>
        <w:t>；项目支出</w:t>
      </w:r>
      <w:r>
        <w:rPr>
          <w:rFonts w:hint="eastAsia" w:ascii="仿宋" w:hAnsi="仿宋" w:eastAsia="仿宋"/>
          <w:b w:val="0"/>
          <w:bCs w:val="0"/>
          <w:sz w:val="32"/>
          <w:szCs w:val="32"/>
          <w:lang w:val="en-US" w:eastAsia="zh-CN"/>
        </w:rPr>
        <w:t>146.1</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24.66</w:t>
      </w:r>
      <w:r>
        <w:rPr>
          <w:rFonts w:ascii="仿宋" w:hAnsi="仿宋" w:eastAsia="仿宋"/>
          <w:b w:val="0"/>
          <w:bCs w:val="0"/>
          <w:sz w:val="32"/>
          <w:szCs w:val="32"/>
        </w:rPr>
        <w:t>%</w:t>
      </w:r>
      <w:r>
        <w:rPr>
          <w:rFonts w:hint="eastAsia" w:ascii="仿宋" w:hAnsi="仿宋" w:eastAsia="仿宋"/>
          <w:b w:val="0"/>
          <w:bCs w:val="0"/>
          <w:sz w:val="32"/>
          <w:szCs w:val="32"/>
          <w:lang w:eastAsia="zh-CN"/>
        </w:rPr>
        <w:t>。</w:t>
      </w:r>
    </w:p>
    <w:p>
      <w:pPr>
        <w:spacing w:line="600" w:lineRule="exact"/>
        <w:ind w:firstLine="640"/>
        <w:rPr>
          <w:rFonts w:ascii="仿宋" w:hAnsi="仿宋" w:eastAsia="仿宋"/>
          <w:sz w:val="32"/>
          <w:szCs w:val="32"/>
          <w:shd w:val="pct10" w:color="auto" w:fill="FFFFFF"/>
        </w:rPr>
      </w:pPr>
      <w:r>
        <w:rPr>
          <w:rFonts w:ascii="仿宋" w:hAnsi="仿宋" w:eastAsia="仿宋"/>
          <w:color w:val="000000"/>
          <w:sz w:val="32"/>
          <w:szCs w:val="32"/>
          <w:shd w:val="pct10" w:color="auto" w:fill="FFFFFF"/>
        </w:rPr>
        <w:drawing>
          <wp:anchor distT="0" distB="0" distL="0" distR="0" simplePos="0" relativeHeight="251660288" behindDoc="0" locked="0" layoutInCell="1" allowOverlap="1">
            <wp:simplePos x="0" y="0"/>
            <wp:positionH relativeFrom="column">
              <wp:posOffset>47625</wp:posOffset>
            </wp:positionH>
            <wp:positionV relativeFrom="paragraph">
              <wp:posOffset>66040</wp:posOffset>
            </wp:positionV>
            <wp:extent cx="5143500" cy="2014855"/>
            <wp:effectExtent l="4445" t="4445" r="14605" b="1905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ind w:firstLine="640"/>
        <w:rPr>
          <w:rFonts w:ascii="仿宋" w:hAnsi="仿宋" w:eastAsia="仿宋"/>
          <w:sz w:val="32"/>
          <w:szCs w:val="32"/>
          <w:shd w:val="pct10" w:color="auto" w:fill="FFFFFF"/>
        </w:rPr>
      </w:pPr>
    </w:p>
    <w:p>
      <w:pPr>
        <w:spacing w:line="600" w:lineRule="exact"/>
        <w:rPr>
          <w:rFonts w:ascii="仿宋" w:hAnsi="仿宋" w:eastAsia="仿宋"/>
          <w:sz w:val="32"/>
          <w:szCs w:val="32"/>
          <w:shd w:val="pct10" w:color="auto" w:fill="FFFFFF"/>
        </w:rPr>
      </w:pP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pPr>
        <w:spacing w:line="600" w:lineRule="exact"/>
        <w:outlineLvl w:val="1"/>
        <w:rPr>
          <w:rStyle w:val="30"/>
          <w:rFonts w:ascii="黑体" w:hAnsi="黑体" w:eastAsia="黑体"/>
          <w:b w:val="0"/>
        </w:rPr>
      </w:pPr>
      <w:bookmarkStart w:id="29" w:name="_Toc15396606"/>
      <w:bookmarkStart w:id="30"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9"/>
      <w:bookmarkEnd w:id="30"/>
    </w:p>
    <w:p>
      <w:pPr>
        <w:spacing w:line="600" w:lineRule="exact"/>
        <w:ind w:firstLine="640"/>
        <w:rPr>
          <w:rFonts w:ascii="仿宋" w:hAnsi="仿宋" w:eastAsia="仿宋"/>
          <w:b w:val="0"/>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b w:val="0"/>
          <w:bCs/>
          <w:sz w:val="32"/>
          <w:szCs w:val="32"/>
          <w:lang w:val="en-US" w:eastAsia="zh-CN"/>
        </w:rPr>
        <w:t>524.93</w:t>
      </w:r>
      <w:r>
        <w:rPr>
          <w:rFonts w:hint="eastAsia" w:ascii="仿宋" w:hAnsi="仿宋" w:eastAsia="仿宋"/>
          <w:b w:val="0"/>
          <w:bCs/>
          <w:sz w:val="32"/>
          <w:szCs w:val="32"/>
        </w:rPr>
        <w:t>万元。与202</w:t>
      </w:r>
      <w:r>
        <w:rPr>
          <w:rFonts w:hint="eastAsia" w:ascii="仿宋" w:hAnsi="仿宋" w:eastAsia="仿宋"/>
          <w:b w:val="0"/>
          <w:bCs/>
          <w:sz w:val="32"/>
          <w:szCs w:val="32"/>
          <w:lang w:val="en-US" w:eastAsia="zh-CN"/>
        </w:rPr>
        <w:t>3</w:t>
      </w:r>
      <w:r>
        <w:rPr>
          <w:rFonts w:hint="eastAsia" w:ascii="仿宋" w:hAnsi="仿宋" w:eastAsia="仿宋"/>
          <w:b w:val="0"/>
          <w:bCs/>
          <w:sz w:val="32"/>
          <w:szCs w:val="32"/>
        </w:rPr>
        <w:t>年度相比，财政拨款收、支总计各减少</w:t>
      </w:r>
      <w:r>
        <w:rPr>
          <w:rFonts w:hint="eastAsia" w:ascii="仿宋" w:hAnsi="仿宋" w:eastAsia="仿宋"/>
          <w:b w:val="0"/>
          <w:bCs/>
          <w:sz w:val="32"/>
          <w:szCs w:val="32"/>
          <w:lang w:val="en-US" w:eastAsia="zh-CN"/>
        </w:rPr>
        <w:t>23.61</w:t>
      </w:r>
      <w:r>
        <w:rPr>
          <w:rFonts w:hint="eastAsia" w:ascii="仿宋" w:hAnsi="仿宋" w:eastAsia="仿宋"/>
          <w:b w:val="0"/>
          <w:bCs/>
          <w:sz w:val="32"/>
          <w:szCs w:val="32"/>
        </w:rPr>
        <w:t>万元，下降</w:t>
      </w:r>
      <w:r>
        <w:rPr>
          <w:rFonts w:hint="eastAsia" w:ascii="仿宋" w:hAnsi="仿宋" w:eastAsia="仿宋"/>
          <w:b w:val="0"/>
          <w:bCs/>
          <w:sz w:val="32"/>
          <w:szCs w:val="32"/>
          <w:lang w:val="en-US" w:eastAsia="zh-CN"/>
        </w:rPr>
        <w:t>4.3</w:t>
      </w:r>
      <w:r>
        <w:rPr>
          <w:rFonts w:ascii="仿宋" w:hAnsi="仿宋" w:eastAsia="仿宋"/>
          <w:b w:val="0"/>
          <w:bCs/>
          <w:sz w:val="32"/>
          <w:szCs w:val="32"/>
        </w:rPr>
        <w:t>%</w:t>
      </w:r>
      <w:r>
        <w:rPr>
          <w:rFonts w:hint="eastAsia" w:ascii="仿宋" w:hAnsi="仿宋" w:eastAsia="仿宋"/>
          <w:b w:val="0"/>
          <w:bCs/>
          <w:sz w:val="32"/>
          <w:szCs w:val="32"/>
        </w:rPr>
        <w:t>。主要变动原因是</w:t>
      </w:r>
      <w:r>
        <w:rPr>
          <w:rFonts w:hint="eastAsia" w:ascii="仿宋" w:hAnsi="仿宋" w:eastAsia="仿宋"/>
          <w:b w:val="0"/>
          <w:bCs/>
          <w:sz w:val="32"/>
          <w:szCs w:val="32"/>
          <w:lang w:val="en-US" w:eastAsia="zh-CN"/>
        </w:rPr>
        <w:t>学校教师调动导致人员经费减少</w:t>
      </w:r>
      <w:r>
        <w:rPr>
          <w:rFonts w:hint="eastAsia" w:ascii="仿宋" w:hAnsi="仿宋" w:eastAsia="仿宋"/>
          <w:b w:val="0"/>
          <w:bCs/>
          <w:sz w:val="32"/>
          <w:szCs w:val="32"/>
        </w:rPr>
        <w:t>。</w:t>
      </w:r>
    </w:p>
    <w:p>
      <w:pPr>
        <w:spacing w:line="600" w:lineRule="exact"/>
        <w:rPr>
          <w:rFonts w:ascii="仿宋" w:hAnsi="仿宋" w:eastAsia="仿宋"/>
          <w:sz w:val="32"/>
          <w:szCs w:val="32"/>
        </w:rPr>
      </w:pPr>
      <w:r>
        <w:rPr>
          <w:rFonts w:ascii="仿宋" w:hAnsi="仿宋" w:eastAsia="仿宋"/>
          <w:color w:val="000000"/>
          <w:sz w:val="32"/>
          <w:szCs w:val="32"/>
        </w:rPr>
        <w:drawing>
          <wp:anchor distT="0" distB="0" distL="0" distR="0" simplePos="0" relativeHeight="251661312" behindDoc="1" locked="0" layoutInCell="1" allowOverlap="1">
            <wp:simplePos x="0" y="0"/>
            <wp:positionH relativeFrom="column">
              <wp:posOffset>-277495</wp:posOffset>
            </wp:positionH>
            <wp:positionV relativeFrom="paragraph">
              <wp:posOffset>27305</wp:posOffset>
            </wp:positionV>
            <wp:extent cx="5449570" cy="2706370"/>
            <wp:effectExtent l="4445" t="4445" r="13335" b="1333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jc w:val="center"/>
        <w:rPr>
          <w:rFonts w:hint="eastAsia" w:ascii="仿宋" w:hAnsi="仿宋" w:eastAsia="仿宋"/>
          <w:sz w:val="32"/>
          <w:szCs w:val="32"/>
        </w:rPr>
      </w:pPr>
    </w:p>
    <w:p>
      <w:pPr>
        <w:spacing w:line="600" w:lineRule="exact"/>
        <w:jc w:val="center"/>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Fonts w:hint="eastAsia" w:ascii="黑体" w:hAnsi="黑体" w:eastAsia="黑体"/>
          <w:sz w:val="32"/>
          <w:szCs w:val="32"/>
        </w:rPr>
      </w:pPr>
      <w:bookmarkStart w:id="31" w:name="_Toc15377209"/>
      <w:bookmarkStart w:id="32" w:name="_Toc15396607"/>
    </w:p>
    <w:p>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sz w:val="32"/>
          <w:szCs w:val="32"/>
        </w:rPr>
      </w:pPr>
      <w:bookmarkStart w:id="33" w:name="_Toc15377210"/>
      <w:r>
        <w:rPr>
          <w:rFonts w:hint="eastAsia" w:ascii="仿宋" w:hAnsi="仿宋" w:eastAsia="仿宋"/>
          <w:b/>
          <w:sz w:val="32"/>
          <w:szCs w:val="32"/>
        </w:rPr>
        <w:t>（一）一般公共预算财政拨款支出决算总体情况</w:t>
      </w:r>
      <w:bookmarkEnd w:id="33"/>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lang w:val="en-US" w:eastAsia="zh-CN"/>
        </w:rPr>
        <w:t>524.93</w:t>
      </w:r>
      <w:r>
        <w:rPr>
          <w:rFonts w:hint="eastAsia" w:ascii="仿宋" w:hAnsi="仿宋" w:eastAsia="仿宋"/>
          <w:b w:val="0"/>
          <w:bCs/>
          <w:sz w:val="32"/>
          <w:szCs w:val="32"/>
        </w:rPr>
        <w:t>万元，占本年支出合计的</w:t>
      </w:r>
      <w:r>
        <w:rPr>
          <w:rFonts w:ascii="仿宋" w:hAnsi="仿宋" w:eastAsia="仿宋"/>
          <w:b w:val="0"/>
          <w:bCs/>
          <w:sz w:val="32"/>
          <w:szCs w:val="32"/>
        </w:rPr>
        <w:t>100%</w:t>
      </w:r>
      <w:r>
        <w:rPr>
          <w:rFonts w:hint="eastAsia" w:ascii="仿宋" w:hAnsi="仿宋" w:eastAsia="仿宋"/>
          <w:b w:val="0"/>
          <w:bCs/>
          <w:sz w:val="32"/>
          <w:szCs w:val="32"/>
        </w:rPr>
        <w:t>。与202</w:t>
      </w:r>
      <w:r>
        <w:rPr>
          <w:rFonts w:hint="eastAsia" w:ascii="仿宋" w:hAnsi="仿宋" w:eastAsia="仿宋"/>
          <w:b w:val="0"/>
          <w:bCs/>
          <w:sz w:val="32"/>
          <w:szCs w:val="32"/>
          <w:lang w:val="en-US" w:eastAsia="zh-CN"/>
        </w:rPr>
        <w:t>3</w:t>
      </w:r>
      <w:r>
        <w:rPr>
          <w:rFonts w:hint="eastAsia" w:ascii="仿宋" w:hAnsi="仿宋" w:eastAsia="仿宋"/>
          <w:b w:val="0"/>
          <w:bCs/>
          <w:sz w:val="32"/>
          <w:szCs w:val="32"/>
        </w:rPr>
        <w:t>年度相比，一般公共预算财政拨款支出减少</w:t>
      </w:r>
      <w:r>
        <w:rPr>
          <w:rFonts w:hint="eastAsia" w:ascii="仿宋" w:hAnsi="仿宋" w:eastAsia="仿宋"/>
          <w:b w:val="0"/>
          <w:bCs/>
          <w:sz w:val="32"/>
          <w:szCs w:val="32"/>
          <w:lang w:val="en-US" w:eastAsia="zh-CN"/>
        </w:rPr>
        <w:t>23.61</w:t>
      </w:r>
      <w:r>
        <w:rPr>
          <w:rFonts w:hint="eastAsia" w:ascii="仿宋" w:hAnsi="仿宋" w:eastAsia="仿宋"/>
          <w:b w:val="0"/>
          <w:bCs/>
          <w:sz w:val="32"/>
          <w:szCs w:val="32"/>
        </w:rPr>
        <w:t>万元，下降</w:t>
      </w:r>
      <w:r>
        <w:rPr>
          <w:rFonts w:hint="eastAsia" w:ascii="仿宋" w:hAnsi="仿宋" w:eastAsia="仿宋"/>
          <w:b w:val="0"/>
          <w:bCs/>
          <w:sz w:val="32"/>
          <w:szCs w:val="32"/>
          <w:lang w:val="en-US" w:eastAsia="zh-CN"/>
        </w:rPr>
        <w:t>4.3</w:t>
      </w:r>
      <w:r>
        <w:rPr>
          <w:rFonts w:ascii="仿宋" w:hAnsi="仿宋" w:eastAsia="仿宋"/>
          <w:b w:val="0"/>
          <w:bCs/>
          <w:sz w:val="32"/>
          <w:szCs w:val="32"/>
        </w:rPr>
        <w:t>%</w:t>
      </w:r>
      <w:r>
        <w:rPr>
          <w:rFonts w:hint="eastAsia" w:ascii="仿宋" w:hAnsi="仿宋" w:eastAsia="仿宋"/>
          <w:b w:val="0"/>
          <w:bCs/>
          <w:sz w:val="32"/>
          <w:szCs w:val="32"/>
        </w:rPr>
        <w:t>。主要变动</w:t>
      </w:r>
      <w:r>
        <w:rPr>
          <w:rFonts w:hint="eastAsia" w:ascii="仿宋" w:hAnsi="仿宋" w:eastAsia="仿宋"/>
          <w:sz w:val="32"/>
          <w:szCs w:val="32"/>
        </w:rPr>
        <w:t>原因是</w:t>
      </w:r>
      <w:r>
        <w:rPr>
          <w:rFonts w:hint="eastAsia" w:ascii="仿宋" w:hAnsi="仿宋" w:eastAsia="仿宋"/>
          <w:sz w:val="32"/>
          <w:szCs w:val="32"/>
          <w:lang w:val="en-US" w:eastAsia="zh-CN"/>
        </w:rPr>
        <w:t>学校教师调出导致人员经费减少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ascii="仿宋" w:hAnsi="仿宋" w:eastAsia="仿宋"/>
          <w:color w:val="000000"/>
          <w:sz w:val="32"/>
          <w:szCs w:val="32"/>
        </w:rPr>
        <w:drawing>
          <wp:anchor distT="0" distB="0" distL="0" distR="0" simplePos="0" relativeHeight="251662336" behindDoc="1" locked="0" layoutInCell="1" allowOverlap="1">
            <wp:simplePos x="0" y="0"/>
            <wp:positionH relativeFrom="column">
              <wp:posOffset>76200</wp:posOffset>
            </wp:positionH>
            <wp:positionV relativeFrom="paragraph">
              <wp:posOffset>18415</wp:posOffset>
            </wp:positionV>
            <wp:extent cx="4905375" cy="1948815"/>
            <wp:effectExtent l="4445" t="4445" r="5080" b="8890"/>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28"/>
          <w:szCs w:val="28"/>
        </w:rPr>
        <w:t>（图5：一般公共预算财政拨款支出决算变动情况</w:t>
      </w:r>
      <w:r>
        <w:rPr>
          <w:rFonts w:hint="eastAsia" w:ascii="仿宋" w:hAnsi="仿宋" w:eastAsia="仿宋"/>
          <w:sz w:val="28"/>
          <w:szCs w:val="28"/>
          <w:lang w:eastAsia="zh-CN"/>
        </w:rPr>
        <w:t>）</w:t>
      </w:r>
      <w:r>
        <w:rPr>
          <w:rFonts w:hint="eastAsia" w:ascii="仿宋" w:hAnsi="仿宋" w:eastAsia="仿宋"/>
          <w:sz w:val="28"/>
          <w:szCs w:val="28"/>
        </w:rPr>
        <w:t>（柱状图）</w:t>
      </w:r>
    </w:p>
    <w:p>
      <w:pPr>
        <w:spacing w:line="600" w:lineRule="exact"/>
        <w:ind w:firstLine="643" w:firstLineChars="200"/>
        <w:outlineLvl w:val="2"/>
        <w:rPr>
          <w:rFonts w:ascii="仿宋" w:hAnsi="仿宋" w:eastAsia="仿宋"/>
          <w:b/>
          <w:sz w:val="32"/>
          <w:szCs w:val="32"/>
        </w:rPr>
      </w:pPr>
      <w:bookmarkStart w:id="34" w:name="_Toc15377211"/>
      <w:r>
        <w:rPr>
          <w:rFonts w:hint="eastAsia" w:ascii="仿宋" w:hAnsi="仿宋" w:eastAsia="仿宋"/>
          <w:b/>
          <w:sz w:val="32"/>
          <w:szCs w:val="32"/>
        </w:rPr>
        <w:t>（二）一般公共预算财政拨款支出决算结构情况</w:t>
      </w:r>
      <w:bookmarkEnd w:id="34"/>
    </w:p>
    <w:p>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val="0"/>
          <w:bCs/>
          <w:sz w:val="32"/>
          <w:szCs w:val="32"/>
          <w:lang w:val="en-US" w:eastAsia="zh-CN"/>
        </w:rPr>
        <w:t>524.93</w:t>
      </w:r>
      <w:r>
        <w:rPr>
          <w:rFonts w:hint="eastAsia" w:ascii="仿宋" w:hAnsi="仿宋" w:eastAsia="仿宋"/>
          <w:b w:val="0"/>
          <w:bCs/>
          <w:sz w:val="32"/>
          <w:szCs w:val="32"/>
        </w:rPr>
        <w:t>万元，主要用于以下方面</w:t>
      </w:r>
      <w:r>
        <w:rPr>
          <w:rFonts w:ascii="仿宋" w:hAnsi="仿宋" w:eastAsia="仿宋"/>
          <w:b w:val="0"/>
          <w:bCs/>
          <w:sz w:val="32"/>
          <w:szCs w:val="32"/>
        </w:rPr>
        <w:t>:</w:t>
      </w:r>
      <w:r>
        <w:rPr>
          <w:rFonts w:hint="eastAsia" w:ascii="仿宋" w:hAnsi="仿宋" w:eastAsia="仿宋"/>
          <w:b w:val="0"/>
          <w:bCs/>
          <w:sz w:val="32"/>
          <w:szCs w:val="32"/>
        </w:rPr>
        <w:t>教育支出</w:t>
      </w:r>
      <w:r>
        <w:rPr>
          <w:rFonts w:hint="eastAsia" w:ascii="仿宋" w:hAnsi="仿宋" w:eastAsia="仿宋"/>
          <w:b w:val="0"/>
          <w:bCs/>
          <w:sz w:val="32"/>
          <w:szCs w:val="32"/>
          <w:lang w:val="en-US" w:eastAsia="zh-CN"/>
        </w:rPr>
        <w:t>406.32</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77.41</w:t>
      </w:r>
      <w:r>
        <w:rPr>
          <w:rFonts w:ascii="仿宋" w:hAnsi="仿宋" w:eastAsia="仿宋"/>
          <w:b w:val="0"/>
          <w:bCs/>
          <w:sz w:val="32"/>
          <w:szCs w:val="32"/>
        </w:rPr>
        <w:t>%</w:t>
      </w:r>
      <w:r>
        <w:rPr>
          <w:rFonts w:hint="eastAsia" w:ascii="仿宋" w:hAnsi="仿宋" w:eastAsia="仿宋"/>
          <w:b w:val="0"/>
          <w:bCs/>
          <w:sz w:val="32"/>
          <w:szCs w:val="32"/>
        </w:rPr>
        <w:t>；社会保障和就业支出</w:t>
      </w:r>
      <w:r>
        <w:rPr>
          <w:rFonts w:hint="eastAsia" w:ascii="仿宋" w:hAnsi="仿宋" w:eastAsia="仿宋"/>
          <w:b w:val="0"/>
          <w:bCs/>
          <w:sz w:val="32"/>
          <w:szCs w:val="32"/>
          <w:lang w:val="en-US" w:eastAsia="zh-CN"/>
        </w:rPr>
        <w:t>63.03</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12</w:t>
      </w:r>
      <w:r>
        <w:rPr>
          <w:rFonts w:ascii="仿宋" w:hAnsi="仿宋" w:eastAsia="仿宋"/>
          <w:b w:val="0"/>
          <w:bCs/>
          <w:sz w:val="32"/>
          <w:szCs w:val="32"/>
        </w:rPr>
        <w:t>%</w:t>
      </w:r>
      <w:r>
        <w:rPr>
          <w:rFonts w:hint="eastAsia" w:ascii="仿宋" w:hAnsi="仿宋" w:eastAsia="仿宋"/>
          <w:b w:val="0"/>
          <w:bCs/>
          <w:sz w:val="32"/>
          <w:szCs w:val="32"/>
        </w:rPr>
        <w:t>；卫生健康支出</w:t>
      </w:r>
      <w:r>
        <w:rPr>
          <w:rFonts w:hint="eastAsia" w:ascii="仿宋" w:hAnsi="仿宋" w:eastAsia="仿宋"/>
          <w:b w:val="0"/>
          <w:bCs/>
          <w:sz w:val="32"/>
          <w:szCs w:val="32"/>
          <w:lang w:val="en-US" w:eastAsia="zh-CN"/>
        </w:rPr>
        <w:t>20.09</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3.83</w:t>
      </w:r>
      <w:r>
        <w:rPr>
          <w:rFonts w:ascii="仿宋" w:hAnsi="仿宋" w:eastAsia="仿宋"/>
          <w:b w:val="0"/>
          <w:bCs/>
          <w:sz w:val="32"/>
          <w:szCs w:val="32"/>
        </w:rPr>
        <w:t>%</w:t>
      </w:r>
      <w:r>
        <w:rPr>
          <w:rFonts w:hint="eastAsia" w:ascii="仿宋" w:hAnsi="仿宋" w:eastAsia="仿宋"/>
          <w:b w:val="0"/>
          <w:bCs/>
          <w:sz w:val="32"/>
          <w:szCs w:val="32"/>
        </w:rPr>
        <w:t>；住房保障支出</w:t>
      </w:r>
      <w:r>
        <w:rPr>
          <w:rFonts w:hint="eastAsia" w:ascii="仿宋" w:hAnsi="仿宋" w:eastAsia="仿宋"/>
          <w:b w:val="0"/>
          <w:bCs/>
          <w:sz w:val="32"/>
          <w:szCs w:val="32"/>
          <w:lang w:val="en-US" w:eastAsia="zh-CN"/>
        </w:rPr>
        <w:t>35.49</w:t>
      </w:r>
      <w:r>
        <w:rPr>
          <w:rFonts w:hint="eastAsia" w:ascii="仿宋" w:hAnsi="仿宋" w:eastAsia="仿宋"/>
          <w:b w:val="0"/>
          <w:bCs/>
          <w:sz w:val="32"/>
          <w:szCs w:val="32"/>
        </w:rPr>
        <w:t>万元，占</w:t>
      </w:r>
      <w:r>
        <w:rPr>
          <w:rFonts w:hint="eastAsia" w:ascii="仿宋" w:hAnsi="仿宋" w:eastAsia="仿宋"/>
          <w:b w:val="0"/>
          <w:bCs/>
          <w:sz w:val="32"/>
          <w:szCs w:val="32"/>
          <w:lang w:val="en-US" w:eastAsia="zh-CN"/>
        </w:rPr>
        <w:t>6.76</w:t>
      </w:r>
      <w:r>
        <w:rPr>
          <w:rFonts w:ascii="仿宋" w:hAnsi="仿宋" w:eastAsia="仿宋"/>
          <w:b w:val="0"/>
          <w:bCs/>
          <w:sz w:val="32"/>
          <w:szCs w:val="32"/>
        </w:rPr>
        <w:t>%</w:t>
      </w:r>
      <w:r>
        <w:rPr>
          <w:rFonts w:hint="eastAsia" w:ascii="仿宋" w:hAnsi="仿宋" w:eastAsia="仿宋"/>
          <w:b w:val="0"/>
          <w:bCs/>
          <w:sz w:val="32"/>
          <w:szCs w:val="32"/>
          <w:lang w:eastAsia="zh-CN"/>
        </w:rPr>
        <w:t>。</w:t>
      </w:r>
    </w:p>
    <w:p>
      <w:pPr>
        <w:spacing w:line="600" w:lineRule="exact"/>
        <w:ind w:firstLine="640"/>
        <w:rPr>
          <w:rFonts w:hint="eastAsia" w:ascii="仿宋" w:hAnsi="仿宋" w:eastAsia="仿宋"/>
          <w:sz w:val="32"/>
          <w:szCs w:val="32"/>
          <w:lang w:eastAsia="zh-CN"/>
        </w:rPr>
      </w:pPr>
      <w:r>
        <w:rPr>
          <w:rFonts w:ascii="仿宋" w:hAnsi="仿宋" w:eastAsia="仿宋"/>
          <w:color w:val="000000"/>
          <w:sz w:val="32"/>
          <w:szCs w:val="32"/>
        </w:rPr>
        <w:drawing>
          <wp:anchor distT="0" distB="0" distL="0" distR="0" simplePos="0" relativeHeight="251663360" behindDoc="1" locked="0" layoutInCell="1" allowOverlap="1">
            <wp:simplePos x="0" y="0"/>
            <wp:positionH relativeFrom="column">
              <wp:posOffset>104775</wp:posOffset>
            </wp:positionH>
            <wp:positionV relativeFrom="paragraph">
              <wp:posOffset>133350</wp:posOffset>
            </wp:positionV>
            <wp:extent cx="4875530" cy="1783715"/>
            <wp:effectExtent l="4445" t="4445" r="15875" b="2159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ind w:firstLine="640"/>
        <w:rPr>
          <w:rFonts w:hint="eastAsia" w:ascii="仿宋" w:hAnsi="仿宋" w:eastAsia="仿宋"/>
          <w:sz w:val="32"/>
          <w:szCs w:val="32"/>
          <w:lang w:eastAsia="zh-CN"/>
        </w:rPr>
      </w:pP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5" w:name="_Toc15377212"/>
      <w:r>
        <w:rPr>
          <w:rFonts w:hint="eastAsia" w:ascii="仿宋" w:hAnsi="仿宋" w:eastAsia="仿宋"/>
          <w:b/>
          <w:sz w:val="32"/>
          <w:szCs w:val="32"/>
        </w:rPr>
        <w:t>（三）一般公共预算财政拨款支出决算具体情况</w:t>
      </w:r>
      <w:bookmarkEnd w:id="35"/>
    </w:p>
    <w:p>
      <w:pPr>
        <w:spacing w:line="600" w:lineRule="exact"/>
        <w:ind w:firstLine="643" w:firstLineChars="200"/>
        <w:outlineLvl w:val="2"/>
        <w:rPr>
          <w:rFonts w:ascii="仿宋" w:hAnsi="仿宋" w:eastAsia="仿宋"/>
          <w:sz w:val="32"/>
          <w:szCs w:val="32"/>
        </w:rPr>
      </w:pPr>
      <w:bookmarkStart w:id="36" w:name="_Toc15377444"/>
      <w:bookmarkStart w:id="37" w:name="_Toc15378460"/>
      <w:bookmarkStart w:id="38"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524.93</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6"/>
      <w:bookmarkEnd w:id="37"/>
      <w:bookmarkEnd w:id="38"/>
    </w:p>
    <w:p>
      <w:pPr>
        <w:numPr>
          <w:ilvl w:val="0"/>
          <w:numId w:val="4"/>
        </w:numPr>
        <w:spacing w:line="600" w:lineRule="exact"/>
        <w:ind w:firstLine="643"/>
        <w:rPr>
          <w:rFonts w:ascii="仿宋" w:hAnsi="仿宋" w:eastAsia="仿宋"/>
          <w:b/>
          <w:sz w:val="32"/>
          <w:szCs w:val="32"/>
        </w:rPr>
      </w:pPr>
      <w:r>
        <w:rPr>
          <w:rStyle w:val="18"/>
          <w:rFonts w:hint="eastAsia" w:ascii="仿宋" w:hAnsi="仿宋" w:eastAsia="仿宋"/>
          <w:bCs/>
          <w:sz w:val="32"/>
          <w:szCs w:val="32"/>
        </w:rPr>
        <w:t>教育（205类）普通教育（02款）</w:t>
      </w:r>
      <w:r>
        <w:rPr>
          <w:rStyle w:val="18"/>
          <w:rFonts w:hint="eastAsia" w:ascii="仿宋" w:hAnsi="仿宋" w:eastAsia="仿宋"/>
          <w:bCs/>
          <w:sz w:val="32"/>
          <w:szCs w:val="32"/>
          <w:lang w:val="en-US" w:eastAsia="zh-CN"/>
        </w:rPr>
        <w:t>初中</w:t>
      </w:r>
      <w:r>
        <w:rPr>
          <w:rStyle w:val="18"/>
          <w:rFonts w:hint="eastAsia" w:ascii="仿宋" w:hAnsi="仿宋" w:eastAsia="仿宋"/>
          <w:bCs/>
          <w:sz w:val="32"/>
          <w:szCs w:val="32"/>
        </w:rPr>
        <w:t>教育（0</w:t>
      </w: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398.06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Cs/>
          <w:sz w:val="32"/>
          <w:szCs w:val="32"/>
        </w:rPr>
        <w:t>教育（205类）普通教育（</w:t>
      </w:r>
      <w:r>
        <w:rPr>
          <w:rStyle w:val="18"/>
          <w:rFonts w:hint="eastAsia" w:ascii="仿宋" w:hAnsi="仿宋" w:eastAsia="仿宋"/>
          <w:bCs/>
          <w:sz w:val="32"/>
          <w:szCs w:val="32"/>
          <w:lang w:val="en-US" w:eastAsia="zh-CN"/>
        </w:rPr>
        <w:t>02</w:t>
      </w:r>
      <w:r>
        <w:rPr>
          <w:rStyle w:val="18"/>
          <w:rFonts w:hint="eastAsia" w:ascii="仿宋" w:hAnsi="仿宋" w:eastAsia="仿宋"/>
          <w:bCs/>
          <w:sz w:val="32"/>
          <w:szCs w:val="32"/>
        </w:rPr>
        <w:t>款）其他普通教育支出（99项）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lang w:val="en-US" w:eastAsia="zh-CN"/>
        </w:rPr>
        <w:t>8.26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Fonts w:hint="eastAsia" w:ascii="Times New Roman" w:hAnsi="Times New Roman" w:eastAsia="仿宋_GB2312" w:cs="仿宋_GB2312"/>
          <w:color w:val="auto"/>
          <w:kern w:val="2"/>
          <w:sz w:val="32"/>
          <w:szCs w:val="32"/>
          <w:highlight w:val="none"/>
          <w:lang w:val="zh-CN" w:eastAsia="zh-CN" w:bidi="ar-SA"/>
        </w:rPr>
        <w:t>决算数与预算数持平</w:t>
      </w:r>
      <w:r>
        <w:rPr>
          <w:rStyle w:val="18"/>
          <w:rFonts w:hint="eastAsia" w:ascii="仿宋" w:hAnsi="仿宋" w:eastAsia="仿宋"/>
          <w:b w:val="0"/>
          <w:bCs/>
          <w:color w:val="auto"/>
          <w:sz w:val="32"/>
          <w:szCs w:val="32"/>
          <w:highlight w:val="none"/>
          <w:lang w:eastAsia="zh-CN"/>
        </w:rPr>
        <w:t>。</w:t>
      </w:r>
    </w:p>
    <w:p>
      <w:pPr>
        <w:numPr>
          <w:ilvl w:val="0"/>
          <w:numId w:val="4"/>
        </w:numPr>
        <w:spacing w:line="600" w:lineRule="exact"/>
        <w:ind w:firstLine="643"/>
        <w:rPr>
          <w:rFonts w:ascii="仿宋" w:hAnsi="仿宋" w:eastAsia="仿宋"/>
          <w:b/>
          <w:sz w:val="32"/>
          <w:szCs w:val="32"/>
        </w:rPr>
      </w:pPr>
      <w:r>
        <w:rPr>
          <w:rStyle w:val="18"/>
          <w:rFonts w:hint="eastAsia" w:ascii="仿宋" w:hAnsi="仿宋" w:eastAsia="仿宋"/>
          <w:bCs/>
          <w:sz w:val="32"/>
          <w:szCs w:val="32"/>
        </w:rPr>
        <w:t>社会保障和就业（208类）</w:t>
      </w:r>
      <w:r>
        <w:rPr>
          <w:rStyle w:val="18"/>
          <w:rFonts w:hint="eastAsia" w:ascii="仿宋" w:hAnsi="仿宋" w:eastAsia="仿宋"/>
          <w:bCs/>
          <w:sz w:val="32"/>
          <w:szCs w:val="32"/>
          <w:lang w:val="en-US" w:eastAsia="zh-CN"/>
        </w:rPr>
        <w:t>行政</w:t>
      </w:r>
      <w:r>
        <w:rPr>
          <w:rStyle w:val="18"/>
          <w:rFonts w:hint="eastAsia" w:ascii="仿宋" w:hAnsi="仿宋" w:eastAsia="仿宋"/>
          <w:bCs/>
          <w:sz w:val="32"/>
          <w:szCs w:val="32"/>
        </w:rPr>
        <w:t>事业单位养老支出（05款）</w:t>
      </w:r>
      <w:r>
        <w:rPr>
          <w:rStyle w:val="18"/>
          <w:rFonts w:hint="eastAsia" w:ascii="仿宋" w:hAnsi="仿宋" w:eastAsia="仿宋"/>
          <w:bCs/>
          <w:sz w:val="32"/>
          <w:szCs w:val="32"/>
          <w:lang w:val="en-US" w:eastAsia="zh-CN"/>
        </w:rPr>
        <w:t>事业单位离退休</w:t>
      </w:r>
      <w:r>
        <w:rPr>
          <w:rStyle w:val="18"/>
          <w:rFonts w:hint="eastAsia" w:ascii="仿宋" w:hAnsi="仿宋" w:eastAsia="仿宋"/>
          <w:bCs/>
          <w:sz w:val="32"/>
          <w:szCs w:val="32"/>
        </w:rPr>
        <w:t>（0</w:t>
      </w: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5.79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社会保障和就业（208类）</w:t>
      </w:r>
      <w:r>
        <w:rPr>
          <w:rStyle w:val="18"/>
          <w:rFonts w:hint="eastAsia" w:ascii="仿宋" w:hAnsi="仿宋" w:eastAsia="仿宋"/>
          <w:bCs/>
          <w:sz w:val="32"/>
          <w:szCs w:val="32"/>
          <w:lang w:val="en-US" w:eastAsia="zh-CN"/>
        </w:rPr>
        <w:t>行政</w:t>
      </w:r>
      <w:r>
        <w:rPr>
          <w:rStyle w:val="18"/>
          <w:rFonts w:hint="eastAsia" w:ascii="仿宋" w:hAnsi="仿宋" w:eastAsia="仿宋"/>
          <w:bCs/>
          <w:sz w:val="32"/>
          <w:szCs w:val="32"/>
        </w:rPr>
        <w:t>事业单位养老支出（05款）</w:t>
      </w:r>
      <w:r>
        <w:rPr>
          <w:rStyle w:val="18"/>
          <w:rFonts w:hint="eastAsia" w:ascii="仿宋" w:hAnsi="仿宋" w:eastAsia="仿宋"/>
          <w:bCs/>
          <w:sz w:val="32"/>
          <w:szCs w:val="32"/>
          <w:lang w:val="en-US" w:eastAsia="zh-CN"/>
        </w:rPr>
        <w:t>机关事业单位基本养老保险缴费支出</w:t>
      </w:r>
      <w:r>
        <w:rPr>
          <w:rStyle w:val="18"/>
          <w:rFonts w:hint="eastAsia" w:ascii="仿宋" w:hAnsi="仿宋" w:eastAsia="仿宋"/>
          <w:bCs/>
          <w:sz w:val="32"/>
          <w:szCs w:val="32"/>
        </w:rPr>
        <w:t>（0</w:t>
      </w:r>
      <w:r>
        <w:rPr>
          <w:rStyle w:val="18"/>
          <w:rFonts w:hint="eastAsia" w:ascii="仿宋" w:hAnsi="仿宋" w:eastAsia="仿宋"/>
          <w:bCs/>
          <w:sz w:val="32"/>
          <w:szCs w:val="32"/>
          <w:lang w:val="en-US" w:eastAsia="zh-CN"/>
        </w:rPr>
        <w:t>5</w:t>
      </w:r>
      <w:r>
        <w:rPr>
          <w:rStyle w:val="18"/>
          <w:rFonts w:hint="eastAsia" w:ascii="仿宋" w:hAnsi="仿宋" w:eastAsia="仿宋"/>
          <w:bCs/>
          <w:sz w:val="32"/>
          <w:szCs w:val="32"/>
        </w:rPr>
        <w:t>项）</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47.77</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社会保障和就业（208类）</w:t>
      </w:r>
      <w:r>
        <w:rPr>
          <w:rStyle w:val="18"/>
          <w:rFonts w:hint="eastAsia" w:ascii="仿宋" w:hAnsi="仿宋" w:eastAsia="仿宋"/>
          <w:bCs/>
          <w:sz w:val="32"/>
          <w:szCs w:val="32"/>
          <w:lang w:val="en-US" w:eastAsia="zh-CN"/>
        </w:rPr>
        <w:t>行政</w:t>
      </w:r>
      <w:r>
        <w:rPr>
          <w:rStyle w:val="18"/>
          <w:rFonts w:hint="eastAsia" w:ascii="仿宋" w:hAnsi="仿宋" w:eastAsia="仿宋"/>
          <w:bCs/>
          <w:sz w:val="32"/>
          <w:szCs w:val="32"/>
        </w:rPr>
        <w:t>事业单位养老支出（05款）</w:t>
      </w:r>
      <w:r>
        <w:rPr>
          <w:rStyle w:val="18"/>
          <w:rFonts w:hint="eastAsia" w:ascii="仿宋" w:hAnsi="仿宋" w:eastAsia="仿宋"/>
          <w:bCs/>
          <w:sz w:val="32"/>
          <w:szCs w:val="32"/>
          <w:lang w:val="en-US" w:eastAsia="zh-CN"/>
        </w:rPr>
        <w:t>其它行政事业单位养老支出</w:t>
      </w:r>
      <w:r>
        <w:rPr>
          <w:rStyle w:val="18"/>
          <w:rFonts w:hint="eastAsia" w:ascii="仿宋" w:hAnsi="仿宋" w:eastAsia="仿宋"/>
          <w:bCs/>
          <w:sz w:val="32"/>
          <w:szCs w:val="32"/>
        </w:rPr>
        <w:t>（</w:t>
      </w:r>
      <w:r>
        <w:rPr>
          <w:rStyle w:val="18"/>
          <w:rFonts w:hint="eastAsia" w:ascii="仿宋" w:hAnsi="仿宋" w:eastAsia="仿宋"/>
          <w:bCs/>
          <w:sz w:val="32"/>
          <w:szCs w:val="32"/>
          <w:lang w:val="en-US" w:eastAsia="zh-CN"/>
        </w:rPr>
        <w:t>99</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5.26</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eastAsia="zh-CN"/>
        </w:rPr>
        <w:t>；</w:t>
      </w:r>
      <w:r>
        <w:rPr>
          <w:rStyle w:val="18"/>
          <w:rFonts w:hint="eastAsia" w:ascii="仿宋" w:hAnsi="仿宋" w:eastAsia="仿宋"/>
          <w:bCs/>
          <w:sz w:val="32"/>
          <w:szCs w:val="32"/>
        </w:rPr>
        <w:t>社会保障和就业（208类）其他社会保障和就业支出（99款）其他社会保障和就业支出（99项）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4.21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Fonts w:hint="eastAsia" w:ascii="Times New Roman" w:hAnsi="Times New Roman" w:eastAsia="仿宋_GB2312" w:cs="仿宋_GB2312"/>
          <w:color w:val="auto"/>
          <w:kern w:val="2"/>
          <w:sz w:val="32"/>
          <w:szCs w:val="32"/>
          <w:highlight w:val="none"/>
          <w:lang w:val="zh-CN" w:eastAsia="zh-CN" w:bidi="ar-SA"/>
        </w:rPr>
        <w:t>决算数与预算数持平</w:t>
      </w:r>
      <w:r>
        <w:rPr>
          <w:rStyle w:val="18"/>
          <w:rFonts w:hint="eastAsia" w:ascii="仿宋" w:hAnsi="仿宋" w:eastAsia="仿宋"/>
          <w:b w:val="0"/>
          <w:bCs/>
          <w:color w:val="auto"/>
          <w:sz w:val="32"/>
          <w:szCs w:val="32"/>
          <w:highlight w:val="none"/>
          <w:lang w:eastAsia="zh-CN"/>
        </w:rPr>
        <w:t>。</w:t>
      </w:r>
    </w:p>
    <w:p>
      <w:pPr>
        <w:numPr>
          <w:ilvl w:val="0"/>
          <w:numId w:val="4"/>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（210类）行政事业单位医疗（11款）事业单位医疗（02项）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20.09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Fonts w:hint="eastAsia" w:ascii="Times New Roman" w:hAnsi="Times New Roman" w:eastAsia="仿宋_GB2312" w:cs="仿宋_GB2312"/>
          <w:color w:val="auto"/>
          <w:kern w:val="2"/>
          <w:sz w:val="32"/>
          <w:szCs w:val="32"/>
          <w:highlight w:val="none"/>
          <w:lang w:val="zh-CN" w:eastAsia="zh-CN" w:bidi="ar-SA"/>
        </w:rPr>
        <w:t>决算数与预算数持平</w:t>
      </w:r>
      <w:r>
        <w:rPr>
          <w:rStyle w:val="18"/>
          <w:rFonts w:hint="eastAsia" w:ascii="仿宋" w:hAnsi="仿宋" w:eastAsia="仿宋"/>
          <w:b w:val="0"/>
          <w:bCs/>
          <w:color w:val="auto"/>
          <w:sz w:val="32"/>
          <w:szCs w:val="32"/>
          <w:highlight w:val="none"/>
          <w:lang w:eastAsia="zh-CN"/>
        </w:rPr>
        <w:t>。</w:t>
      </w:r>
    </w:p>
    <w:p>
      <w:pPr>
        <w:numPr>
          <w:ilvl w:val="0"/>
          <w:numId w:val="4"/>
        </w:numPr>
        <w:spacing w:line="600" w:lineRule="exact"/>
        <w:ind w:firstLine="643" w:firstLineChars="200"/>
        <w:rPr>
          <w:rFonts w:ascii="仿宋" w:hAnsi="仿宋" w:eastAsia="仿宋"/>
          <w:b/>
          <w:sz w:val="32"/>
          <w:szCs w:val="32"/>
        </w:rPr>
      </w:pPr>
      <w:r>
        <w:rPr>
          <w:rFonts w:hint="eastAsia" w:ascii="仿宋" w:hAnsi="仿宋" w:eastAsia="仿宋"/>
          <w:b/>
          <w:bCs/>
          <w:sz w:val="32"/>
          <w:szCs w:val="32"/>
        </w:rPr>
        <w:t>住房保障支出</w:t>
      </w:r>
      <w:r>
        <w:rPr>
          <w:rStyle w:val="18"/>
          <w:rFonts w:hint="eastAsia" w:ascii="仿宋" w:hAnsi="仿宋" w:eastAsia="仿宋"/>
          <w:bCs/>
          <w:sz w:val="32"/>
          <w:szCs w:val="32"/>
        </w:rPr>
        <w:t>（221类）住房改革支出（02款）住房公积金（01项）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35.49</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w:t>
      </w:r>
      <w:r>
        <w:rPr>
          <w:rFonts w:hint="eastAsia" w:ascii="Times New Roman" w:hAnsi="Times New Roman" w:eastAsia="仿宋_GB2312" w:cs="仿宋_GB2312"/>
          <w:color w:val="auto"/>
          <w:kern w:val="2"/>
          <w:sz w:val="32"/>
          <w:szCs w:val="32"/>
          <w:highlight w:val="none"/>
          <w:lang w:val="zh-CN" w:eastAsia="zh-CN" w:bidi="ar-SA"/>
        </w:rPr>
        <w:t>决算数与预算数持平</w:t>
      </w:r>
      <w:r>
        <w:rPr>
          <w:rStyle w:val="18"/>
          <w:rFonts w:hint="eastAsia" w:ascii="仿宋" w:hAnsi="仿宋" w:eastAsia="仿宋"/>
          <w:b w:val="0"/>
          <w:bCs/>
          <w:color w:val="auto"/>
          <w:sz w:val="32"/>
          <w:szCs w:val="32"/>
          <w:highlight w:val="none"/>
          <w:lang w:eastAsia="zh-CN"/>
        </w:rPr>
        <w:t>。</w:t>
      </w:r>
    </w:p>
    <w:p>
      <w:pPr>
        <w:tabs>
          <w:tab w:val="right" w:pos="8306"/>
        </w:tabs>
        <w:spacing w:line="600" w:lineRule="exact"/>
        <w:ind w:firstLine="640"/>
        <w:outlineLvl w:val="1"/>
        <w:rPr>
          <w:rStyle w:val="30"/>
        </w:rPr>
      </w:pPr>
      <w:bookmarkStart w:id="39" w:name="_Toc15377214"/>
      <w:bookmarkStart w:id="40"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9"/>
      <w:bookmarkEnd w:id="40"/>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sz w:val="32"/>
          <w:szCs w:val="32"/>
          <w:lang w:val="en-US" w:eastAsia="zh-CN"/>
        </w:rPr>
        <w:t>446.43</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436.05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sz w:val="32"/>
          <w:szCs w:val="32"/>
          <w:lang w:val="zh-CN"/>
        </w:rPr>
        <w:t>公用经费</w:t>
      </w:r>
      <w:r>
        <w:rPr>
          <w:rFonts w:hint="eastAsia" w:ascii="仿宋" w:hAnsi="仿宋" w:eastAsia="仿宋"/>
          <w:sz w:val="32"/>
          <w:szCs w:val="32"/>
          <w:lang w:val="en-US" w:eastAsia="zh-CN"/>
        </w:rPr>
        <w:t>10.38</w:t>
      </w:r>
      <w:r>
        <w:rPr>
          <w:rFonts w:hint="eastAsia" w:ascii="仿宋" w:hAnsi="仿宋" w:eastAsia="仿宋"/>
          <w:sz w:val="32"/>
          <w:szCs w:val="32"/>
          <w:lang w:val="zh-CN" w:eastAsia="zh-CN"/>
        </w:rPr>
        <w:t>万元，</w:t>
      </w:r>
      <w:r>
        <w:rPr>
          <w:rFonts w:hint="eastAsia" w:ascii="Times New Roman" w:hAnsi="Times New Roman" w:eastAsia="仿宋_GB2312" w:cs="仿宋_GB2312"/>
          <w:color w:val="auto"/>
          <w:kern w:val="2"/>
          <w:sz w:val="32"/>
          <w:szCs w:val="32"/>
          <w:highlight w:val="none"/>
          <w:lang w:val="zh-CN" w:eastAsia="zh-CN" w:bidi="ar-SA"/>
        </w:rPr>
        <w:t>主要包括：</w:t>
      </w:r>
      <w:r>
        <w:rPr>
          <w:rFonts w:hint="eastAsia" w:ascii="Times New Roman" w:hAnsi="Times New Roman" w:eastAsia="仿宋_GB2312" w:cs="仿宋_GB2312"/>
          <w:color w:val="auto"/>
          <w:kern w:val="2"/>
          <w:sz w:val="32"/>
          <w:szCs w:val="32"/>
          <w:highlight w:val="none"/>
          <w:lang w:val="en-US" w:eastAsia="zh-CN" w:bidi="ar-SA"/>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Style w:val="30"/>
          <w:rFonts w:ascii="黑体" w:hAnsi="黑体" w:eastAsia="黑体"/>
          <w:b w:val="0"/>
        </w:rPr>
      </w:pPr>
      <w:bookmarkStart w:id="41" w:name="_Toc15396609"/>
      <w:bookmarkStart w:id="42"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1"/>
      <w:bookmarkEnd w:id="42"/>
    </w:p>
    <w:p>
      <w:pPr>
        <w:spacing w:line="576" w:lineRule="exact"/>
        <w:ind w:firstLine="643"/>
        <w:rPr>
          <w:rFonts w:hint="eastAsia" w:ascii="宋体" w:hAnsi="宋体" w:cs="宋体"/>
          <w:b/>
          <w:bCs/>
          <w:sz w:val="32"/>
        </w:rPr>
      </w:pPr>
      <w:bookmarkStart w:id="43" w:name="_Toc15377216"/>
      <w:r>
        <w:rPr>
          <w:rFonts w:hint="eastAsia" w:ascii="宋体" w:hAnsi="宋体" w:cs="宋体"/>
          <w:b/>
          <w:bCs/>
          <w:sz w:val="32"/>
        </w:rPr>
        <w:t>（一）“三公”经费财政拨款支出决算总体情况说明</w:t>
      </w:r>
      <w:bookmarkEnd w:id="43"/>
    </w:p>
    <w:p>
      <w:pPr>
        <w:spacing w:line="576" w:lineRule="exact"/>
        <w:ind w:firstLine="643"/>
        <w:rPr>
          <w:rFonts w:hint="eastAsia" w:ascii="Times New Roman" w:hAnsi="Times New Roman" w:eastAsia="仿宋_GB2312" w:cs="仿宋_GB2312"/>
          <w:b w:val="0"/>
          <w:bCs w:val="0"/>
          <w:color w:val="auto"/>
          <w:kern w:val="2"/>
          <w:sz w:val="32"/>
          <w:szCs w:val="32"/>
          <w:highlight w:val="none"/>
          <w:lang w:val="en-US" w:eastAsia="zh-CN" w:bidi="ar-SA"/>
        </w:rPr>
      </w:pPr>
      <w:bookmarkStart w:id="44" w:name="_Toc15377217"/>
      <w:r>
        <w:rPr>
          <w:rFonts w:hint="eastAsia" w:ascii="Times New Roman" w:hAnsi="Times New Roman" w:eastAsia="仿宋_GB2312" w:cs="仿宋_GB2312"/>
          <w:b w:val="0"/>
          <w:bCs w:val="0"/>
          <w:color w:val="auto"/>
          <w:kern w:val="2"/>
          <w:sz w:val="32"/>
          <w:szCs w:val="32"/>
          <w:highlight w:val="none"/>
          <w:lang w:val="en-US" w:eastAsia="zh-CN" w:bidi="ar-SA"/>
        </w:rPr>
        <w:t>2024年度“三公”经费财政拨款支出决算为0万元，完成预算100%，与上年度持平,决算数与预算数持平。</w:t>
      </w:r>
    </w:p>
    <w:p>
      <w:pPr>
        <w:spacing w:line="576" w:lineRule="exact"/>
        <w:ind w:firstLine="643"/>
        <w:rPr>
          <w:rFonts w:hint="eastAsia" w:ascii="宋体" w:hAnsi="宋体" w:cs="宋体"/>
          <w:b/>
          <w:bCs/>
          <w:sz w:val="32"/>
        </w:rPr>
      </w:pPr>
      <w:r>
        <w:rPr>
          <w:rFonts w:hint="eastAsia" w:ascii="宋体" w:hAnsi="宋体" w:cs="宋体"/>
          <w:b/>
          <w:bCs/>
          <w:sz w:val="32"/>
        </w:rPr>
        <w:t>（二）“三公”经费财政拨款支出决算具体情况说明</w:t>
      </w:r>
      <w:bookmarkEnd w:id="44"/>
    </w:p>
    <w:p>
      <w:pPr>
        <w:spacing w:line="576" w:lineRule="exact"/>
        <w:ind w:firstLine="643"/>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pPr>
        <w:spacing w:line="576" w:lineRule="exact"/>
        <w:ind w:firstLine="643"/>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1.因公出国（境）经费支出0万元，完成预算100%。全年安排因公出国（境）团组0次，出国（境）0人。因公出国（境）支出决算比2023年增加0万元，增长0%。</w:t>
      </w:r>
    </w:p>
    <w:p>
      <w:pPr>
        <w:spacing w:line="576" w:lineRule="exact"/>
        <w:ind w:firstLine="643"/>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2.公务用车购置及运行维护费支出0万元,完成预算100%。公务用车购置及运行维护费支出决算比2023年度增加0万元，增长0%。</w:t>
      </w:r>
    </w:p>
    <w:p>
      <w:pPr>
        <w:spacing w:line="576" w:lineRule="exact"/>
        <w:ind w:firstLine="643"/>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其中：公务用车购置支出0万元。全年按规定更新购置公务用车0辆，其中：轿车0辆、金额0元，越野车0辆、金额0万元，载客汽车0辆、金额0万元。截至2024年12月31日，单位共有公务用车0辆，其中：轿车0辆、越野车0辆、载客汽车0辆。</w:t>
      </w:r>
    </w:p>
    <w:p>
      <w:pPr>
        <w:spacing w:line="576"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eastAsia="仿宋_GB2312" w:cs="仿宋_GB2312"/>
          <w:b w:val="0"/>
          <w:bCs w:val="0"/>
          <w:color w:val="auto"/>
          <w:kern w:val="2"/>
          <w:sz w:val="32"/>
          <w:szCs w:val="32"/>
          <w:highlight w:val="none"/>
          <w:lang w:val="en-US" w:eastAsia="zh-CN" w:bidi="ar-SA"/>
        </w:rPr>
        <w:t>3.</w:t>
      </w:r>
      <w:r>
        <w:rPr>
          <w:rFonts w:hint="eastAsia" w:ascii="Times New Roman" w:hAnsi="Times New Roman" w:eastAsia="仿宋_GB2312" w:cs="仿宋_GB2312"/>
          <w:b w:val="0"/>
          <w:bCs w:val="0"/>
          <w:color w:val="auto"/>
          <w:kern w:val="2"/>
          <w:sz w:val="32"/>
          <w:szCs w:val="32"/>
          <w:highlight w:val="none"/>
          <w:lang w:val="en-US" w:eastAsia="zh-CN" w:bidi="ar-SA"/>
        </w:rPr>
        <w:t>公务接待费支出0万元，完成预算100%。公务接待费支出决算与2023年度持平。其中：</w:t>
      </w:r>
    </w:p>
    <w:p>
      <w:pPr>
        <w:spacing w:line="576" w:lineRule="exact"/>
        <w:ind w:firstLine="643"/>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b w:val="0"/>
          <w:bCs w:val="0"/>
          <w:color w:val="auto"/>
          <w:kern w:val="2"/>
          <w:sz w:val="32"/>
          <w:szCs w:val="32"/>
          <w:highlight w:val="none"/>
          <w:lang w:val="en-US" w:eastAsia="zh-CN" w:bidi="ar-SA"/>
        </w:rPr>
        <w:br w:type="textWrapping"/>
      </w:r>
      <w:r>
        <w:rPr>
          <w:rFonts w:hint="eastAsia" w:ascii="Times New Roman" w:hAnsi="Times New Roman" w:eastAsia="仿宋_GB2312" w:cs="仿宋_GB2312"/>
          <w:b w:val="0"/>
          <w:bCs w:val="0"/>
          <w:color w:val="auto"/>
          <w:kern w:val="2"/>
          <w:sz w:val="32"/>
          <w:szCs w:val="32"/>
          <w:highlight w:val="none"/>
          <w:lang w:val="en-US" w:eastAsia="zh-CN" w:bidi="ar-SA"/>
        </w:rPr>
        <w:t xml:space="preserve">   外事接待支出0万元。外事接待0批次，0人次（不包括陪同人员），共计支出0万元。</w:t>
      </w:r>
    </w:p>
    <w:p>
      <w:pPr>
        <w:spacing w:line="576" w:lineRule="exact"/>
        <w:rPr>
          <w:rFonts w:hint="eastAsia" w:ascii="宋体" w:hAnsi="宋体" w:cs="宋体"/>
          <w:sz w:val="32"/>
        </w:rPr>
      </w:pPr>
      <w:bookmarkStart w:id="45" w:name="_Toc15377218"/>
      <w:bookmarkStart w:id="46" w:name="_Toc15396610"/>
      <w:r>
        <w:rPr>
          <w:rFonts w:hint="eastAsia" w:ascii="黑体" w:hAnsi="黑体" w:eastAsia="黑体" w:cs="黑体"/>
          <w:sz w:val="32"/>
        </w:rPr>
        <w:t>八、政府性基金预算支出决算情况说明</w:t>
      </w:r>
      <w:bookmarkEnd w:id="45"/>
      <w:bookmarkEnd w:id="46"/>
    </w:p>
    <w:p>
      <w:pPr>
        <w:spacing w:line="576" w:lineRule="exact"/>
        <w:ind w:firstLine="643"/>
        <w:rPr>
          <w:rFonts w:hint="eastAsia" w:ascii="宋体" w:hAnsi="宋体" w:cs="宋体"/>
          <w:sz w:val="32"/>
        </w:rPr>
      </w:pPr>
      <w:r>
        <w:rPr>
          <w:rFonts w:hint="eastAsia" w:ascii="Times New Roman" w:hAnsi="Times New Roman" w:eastAsia="仿宋_GB2312" w:cs="仿宋_GB2312"/>
          <w:b w:val="0"/>
          <w:bCs w:val="0"/>
          <w:color w:val="auto"/>
          <w:kern w:val="2"/>
          <w:sz w:val="32"/>
          <w:szCs w:val="32"/>
          <w:highlight w:val="none"/>
          <w:lang w:val="en-US" w:eastAsia="zh-CN" w:bidi="ar-SA"/>
        </w:rPr>
        <w:t>2024年政府性基金预算财政拨款支出0万元</w:t>
      </w:r>
      <w:r>
        <w:rPr>
          <w:rFonts w:hint="eastAsia" w:eastAsia="仿宋_GB2312" w:cs="仿宋_GB2312"/>
          <w:b w:val="0"/>
          <w:bCs w:val="0"/>
          <w:color w:val="auto"/>
          <w:kern w:val="2"/>
          <w:sz w:val="32"/>
          <w:szCs w:val="32"/>
          <w:highlight w:val="none"/>
          <w:lang w:val="en-US" w:eastAsia="zh-CN" w:bidi="ar-SA"/>
        </w:rPr>
        <w:t>，完成预算100%</w:t>
      </w:r>
      <w:r>
        <w:rPr>
          <w:rFonts w:hint="eastAsia" w:ascii="Times New Roman" w:hAnsi="Times New Roman" w:eastAsia="仿宋_GB2312" w:cs="仿宋_GB2312"/>
          <w:b w:val="0"/>
          <w:bCs w:val="0"/>
          <w:color w:val="auto"/>
          <w:kern w:val="2"/>
          <w:sz w:val="32"/>
          <w:szCs w:val="32"/>
          <w:highlight w:val="none"/>
          <w:lang w:val="en-US" w:eastAsia="zh-CN" w:bidi="ar-SA"/>
        </w:rPr>
        <w:t>。</w:t>
      </w:r>
    </w:p>
    <w:p>
      <w:pPr>
        <w:spacing w:line="576" w:lineRule="exact"/>
        <w:rPr>
          <w:rFonts w:hint="eastAsia" w:ascii="黑体" w:hAnsi="黑体" w:eastAsia="黑体" w:cs="黑体"/>
          <w:sz w:val="32"/>
        </w:rPr>
      </w:pPr>
      <w:bookmarkStart w:id="47" w:name="_Toc15396611"/>
      <w:bookmarkStart w:id="48" w:name="_Toc15377219"/>
      <w:r>
        <w:rPr>
          <w:rFonts w:hint="eastAsia" w:ascii="黑体" w:hAnsi="黑体" w:eastAsia="黑体" w:cs="黑体"/>
          <w:sz w:val="32"/>
        </w:rPr>
        <w:t>九、国有资本经营预算支出决算情况说明</w:t>
      </w:r>
      <w:bookmarkEnd w:id="47"/>
      <w:bookmarkEnd w:id="48"/>
    </w:p>
    <w:p>
      <w:pPr>
        <w:spacing w:line="576" w:lineRule="exact"/>
        <w:ind w:firstLine="643"/>
        <w:rPr>
          <w:rFonts w:hint="eastAsia" w:ascii="宋体" w:hAnsi="宋体" w:cs="宋体"/>
          <w:sz w:val="32"/>
        </w:rPr>
      </w:pPr>
      <w:r>
        <w:rPr>
          <w:rFonts w:hint="eastAsia" w:ascii="Times New Roman" w:hAnsi="Times New Roman" w:eastAsia="仿宋_GB2312" w:cs="仿宋_GB2312"/>
          <w:b w:val="0"/>
          <w:bCs w:val="0"/>
          <w:color w:val="auto"/>
          <w:kern w:val="2"/>
          <w:sz w:val="32"/>
          <w:szCs w:val="32"/>
          <w:highlight w:val="none"/>
          <w:lang w:val="en-US" w:eastAsia="zh-CN" w:bidi="ar-SA"/>
        </w:rPr>
        <w:t>2024年国有资本经营预算财政拨款支出0万元</w:t>
      </w:r>
      <w:r>
        <w:rPr>
          <w:rFonts w:hint="eastAsia" w:eastAsia="仿宋_GB2312" w:cs="仿宋_GB2312"/>
          <w:b w:val="0"/>
          <w:bCs w:val="0"/>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w:t>
      </w:r>
    </w:p>
    <w:p>
      <w:pPr>
        <w:spacing w:line="576" w:lineRule="exact"/>
        <w:rPr>
          <w:rFonts w:hint="eastAsia" w:ascii="黑体" w:hAnsi="黑体" w:eastAsia="黑体" w:cs="黑体"/>
          <w:sz w:val="32"/>
        </w:rPr>
      </w:pPr>
      <w:bookmarkStart w:id="49" w:name="_Toc15396612"/>
      <w:bookmarkStart w:id="50" w:name="_Toc15377221"/>
      <w:r>
        <w:rPr>
          <w:rFonts w:hint="eastAsia" w:ascii="黑体" w:hAnsi="黑体" w:eastAsia="黑体" w:cs="黑体"/>
          <w:sz w:val="32"/>
        </w:rPr>
        <w:t>十、其他重要事项的情况说明</w:t>
      </w:r>
      <w:bookmarkEnd w:id="49"/>
      <w:bookmarkEnd w:id="50"/>
    </w:p>
    <w:p>
      <w:pPr>
        <w:spacing w:line="576" w:lineRule="exact"/>
        <w:ind w:firstLine="643"/>
        <w:rPr>
          <w:rFonts w:hint="eastAsia" w:ascii="宋体" w:hAnsi="宋体" w:cs="宋体"/>
          <w:b/>
          <w:bCs/>
          <w:sz w:val="32"/>
        </w:rPr>
      </w:pPr>
      <w:bookmarkStart w:id="51" w:name="_Toc15377222"/>
      <w:r>
        <w:rPr>
          <w:rFonts w:hint="eastAsia" w:ascii="宋体" w:hAnsi="宋体" w:cs="宋体"/>
          <w:sz w:val="32"/>
        </w:rPr>
        <w:t>（</w:t>
      </w:r>
      <w:r>
        <w:rPr>
          <w:rFonts w:hint="eastAsia" w:ascii="宋体" w:hAnsi="宋体" w:cs="宋体"/>
          <w:b/>
          <w:bCs/>
          <w:sz w:val="32"/>
        </w:rPr>
        <w:t>一）机关运行经费支出情况</w:t>
      </w:r>
      <w:bookmarkEnd w:id="51"/>
    </w:p>
    <w:p>
      <w:pPr>
        <w:spacing w:line="576" w:lineRule="exact"/>
        <w:ind w:firstLine="64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2024年，遂宁市安居区</w:t>
      </w:r>
      <w:r>
        <w:rPr>
          <w:rFonts w:hint="eastAsia" w:eastAsia="仿宋_GB2312" w:cs="仿宋_GB2312"/>
          <w:color w:val="auto"/>
          <w:kern w:val="2"/>
          <w:sz w:val="32"/>
          <w:szCs w:val="32"/>
          <w:highlight w:val="none"/>
          <w:lang w:val="en-US" w:eastAsia="zh-CN" w:bidi="ar-SA"/>
        </w:rPr>
        <w:t>中兴</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初级中</w:t>
      </w:r>
      <w:r>
        <w:rPr>
          <w:rFonts w:hint="eastAsia" w:ascii="Times New Roman" w:hAnsi="Times New Roman" w:eastAsia="仿宋_GB2312" w:cs="仿宋_GB2312"/>
          <w:color w:val="auto"/>
          <w:kern w:val="2"/>
          <w:sz w:val="32"/>
          <w:szCs w:val="32"/>
          <w:highlight w:val="none"/>
          <w:lang w:val="en-US" w:eastAsia="zh-CN" w:bidi="ar-SA"/>
        </w:rPr>
        <w:t>学校机关运行经费支出0万元</w:t>
      </w:r>
      <w:r>
        <w:rPr>
          <w:rFonts w:hint="eastAsia" w:eastAsia="仿宋_GB2312" w:cs="仿宋_GB2312"/>
          <w:color w:val="auto"/>
          <w:kern w:val="2"/>
          <w:sz w:val="32"/>
          <w:szCs w:val="32"/>
          <w:highlight w:val="none"/>
          <w:lang w:val="en-US" w:eastAsia="zh-CN" w:bidi="ar-SA"/>
        </w:rPr>
        <w:t>，完成预算100%</w:t>
      </w:r>
      <w:r>
        <w:rPr>
          <w:rFonts w:hint="eastAsia" w:ascii="Times New Roman" w:hAnsi="Times New Roman" w:eastAsia="仿宋_GB2312" w:cs="仿宋_GB2312"/>
          <w:color w:val="auto"/>
          <w:kern w:val="2"/>
          <w:sz w:val="32"/>
          <w:szCs w:val="32"/>
          <w:highlight w:val="none"/>
          <w:lang w:val="en-US" w:eastAsia="zh-CN" w:bidi="ar-SA"/>
        </w:rPr>
        <w:t>。与2023年度决算数持平。</w:t>
      </w:r>
    </w:p>
    <w:p>
      <w:pPr>
        <w:spacing w:line="576" w:lineRule="exact"/>
        <w:ind w:firstLine="643"/>
        <w:rPr>
          <w:rFonts w:hint="eastAsia" w:ascii="宋体" w:hAnsi="宋体" w:cs="宋体"/>
          <w:b/>
          <w:bCs/>
          <w:sz w:val="32"/>
        </w:rPr>
      </w:pPr>
      <w:bookmarkStart w:id="52" w:name="_Toc15377223"/>
      <w:r>
        <w:rPr>
          <w:rFonts w:hint="eastAsia" w:ascii="宋体" w:hAnsi="宋体" w:cs="宋体"/>
          <w:b/>
          <w:bCs/>
          <w:sz w:val="32"/>
        </w:rPr>
        <w:t>（二）政府采购支出情况</w:t>
      </w:r>
      <w:bookmarkEnd w:id="52"/>
    </w:p>
    <w:p>
      <w:pPr>
        <w:spacing w:line="576" w:lineRule="exact"/>
        <w:ind w:firstLine="643"/>
        <w:rPr>
          <w:rFonts w:hint="eastAsia" w:ascii="宋体" w:hAnsi="宋体" w:cs="宋体"/>
          <w:sz w:val="32"/>
        </w:rPr>
      </w:pPr>
      <w:bookmarkStart w:id="53" w:name="_Toc15377224"/>
      <w:r>
        <w:rPr>
          <w:rFonts w:hint="eastAsia" w:ascii="Times New Roman" w:hAnsi="Times New Roman" w:eastAsia="仿宋_GB2312" w:cs="仿宋_GB2312"/>
          <w:color w:val="auto"/>
          <w:kern w:val="2"/>
          <w:sz w:val="32"/>
          <w:szCs w:val="32"/>
          <w:highlight w:val="none"/>
          <w:lang w:val="en-US" w:eastAsia="zh-CN" w:bidi="ar-SA"/>
        </w:rPr>
        <w:t>2024年度，遂宁市安居区</w:t>
      </w:r>
      <w:r>
        <w:rPr>
          <w:rFonts w:hint="eastAsia" w:eastAsia="仿宋_GB2312" w:cs="仿宋_GB2312"/>
          <w:color w:val="auto"/>
          <w:kern w:val="2"/>
          <w:sz w:val="32"/>
          <w:szCs w:val="32"/>
          <w:highlight w:val="none"/>
          <w:lang w:val="en-US" w:eastAsia="zh-CN" w:bidi="ar-SA"/>
        </w:rPr>
        <w:t>中兴</w:t>
      </w:r>
      <w:r>
        <w:rPr>
          <w:rFonts w:hint="eastAsia" w:ascii="Times New Roman" w:hAnsi="Times New Roman" w:eastAsia="仿宋_GB2312" w:cs="仿宋_GB2312"/>
          <w:color w:val="auto"/>
          <w:kern w:val="2"/>
          <w:sz w:val="32"/>
          <w:szCs w:val="32"/>
          <w:highlight w:val="none"/>
          <w:lang w:val="en-US" w:eastAsia="zh-CN" w:bidi="ar-SA"/>
        </w:rPr>
        <w:t>镇</w:t>
      </w:r>
      <w:r>
        <w:rPr>
          <w:rFonts w:hint="eastAsia" w:eastAsia="仿宋_GB2312" w:cs="仿宋_GB2312"/>
          <w:color w:val="auto"/>
          <w:kern w:val="2"/>
          <w:sz w:val="32"/>
          <w:szCs w:val="32"/>
          <w:highlight w:val="none"/>
          <w:lang w:val="en-US" w:eastAsia="zh-CN" w:bidi="ar-SA"/>
        </w:rPr>
        <w:t>初级中学</w:t>
      </w:r>
      <w:r>
        <w:rPr>
          <w:rFonts w:hint="eastAsia" w:ascii="Times New Roman" w:hAnsi="Times New Roman" w:eastAsia="仿宋_GB2312" w:cs="仿宋_GB2312"/>
          <w:color w:val="auto"/>
          <w:kern w:val="2"/>
          <w:sz w:val="32"/>
          <w:szCs w:val="32"/>
          <w:highlight w:val="none"/>
          <w:lang w:val="en-US" w:eastAsia="zh-CN" w:bidi="ar-SA"/>
        </w:rPr>
        <w:t>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bookmarkEnd w:id="53"/>
    <w:p>
      <w:pPr>
        <w:spacing w:line="576" w:lineRule="exact"/>
        <w:ind w:firstLine="643"/>
        <w:rPr>
          <w:rFonts w:hint="eastAsia" w:ascii="宋体" w:hAnsi="宋体" w:cs="宋体"/>
          <w:sz w:val="32"/>
        </w:rPr>
      </w:pPr>
      <w:r>
        <w:rPr>
          <w:rFonts w:hint="eastAsia" w:ascii="宋体" w:hAnsi="宋体" w:cs="宋体"/>
          <w:b/>
          <w:bCs/>
          <w:sz w:val="32"/>
        </w:rPr>
        <w:t>（三）国有资产占有使用情况</w:t>
      </w:r>
    </w:p>
    <w:p>
      <w:pPr>
        <w:pStyle w:val="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截至2024年12月31日，遂宁市安居区</w:t>
      </w:r>
      <w:r>
        <w:rPr>
          <w:rFonts w:hint="eastAsia" w:ascii="Times New Roman" w:eastAsia="仿宋_GB2312" w:cs="仿宋_GB2312"/>
          <w:color w:val="auto"/>
          <w:kern w:val="2"/>
          <w:sz w:val="32"/>
          <w:szCs w:val="32"/>
          <w:highlight w:val="none"/>
          <w:lang w:val="en-US" w:eastAsia="zh-CN" w:bidi="ar-SA"/>
        </w:rPr>
        <w:t>中兴</w:t>
      </w:r>
      <w:r>
        <w:rPr>
          <w:rFonts w:hint="eastAsia" w:ascii="Times New Roman" w:hAnsi="Times New Roman" w:eastAsia="仿宋_GB2312" w:cs="仿宋_GB2312"/>
          <w:color w:val="auto"/>
          <w:kern w:val="2"/>
          <w:sz w:val="32"/>
          <w:szCs w:val="32"/>
          <w:highlight w:val="none"/>
          <w:lang w:val="en-US" w:eastAsia="zh-CN" w:bidi="ar-SA"/>
        </w:rPr>
        <w:t>镇</w:t>
      </w:r>
      <w:r>
        <w:rPr>
          <w:rFonts w:hint="eastAsia" w:ascii="Times New Roman" w:eastAsia="仿宋_GB2312" w:cs="仿宋_GB2312"/>
          <w:color w:val="auto"/>
          <w:kern w:val="2"/>
          <w:sz w:val="32"/>
          <w:szCs w:val="32"/>
          <w:highlight w:val="none"/>
          <w:lang w:val="en-US" w:eastAsia="zh-CN" w:bidi="ar-SA"/>
        </w:rPr>
        <w:t>初级中学</w:t>
      </w:r>
      <w:r>
        <w:rPr>
          <w:rFonts w:hint="eastAsia" w:ascii="Times New Roman" w:hAnsi="Times New Roman" w:eastAsia="仿宋_GB2312" w:cs="仿宋_GB2312"/>
          <w:color w:val="auto"/>
          <w:kern w:val="2"/>
          <w:sz w:val="32"/>
          <w:szCs w:val="32"/>
          <w:highlight w:val="none"/>
          <w:lang w:val="en-US" w:eastAsia="zh-CN" w:bidi="ar-SA"/>
        </w:rPr>
        <w:t>校共有车辆0辆，其中：主要领导干部用车0辆、机要通信用车0辆、应急保障用车0辆、其他用车0辆。单价100万元以上设备（不含车辆）0台（套）。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义务教育家庭经济困难学生生活补助</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5个项目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2024年度部</w:t>
      </w:r>
      <w:r>
        <w:rPr>
          <w:rFonts w:hint="eastAsia" w:ascii="仿宋_GB2312" w:hAnsi="仿宋_GB2312" w:eastAsia="仿宋_GB2312" w:cs="仿宋_GB2312"/>
          <w:color w:val="auto"/>
          <w:sz w:val="32"/>
          <w:szCs w:val="32"/>
          <w:highlight w:val="none"/>
          <w:lang w:eastAsia="zh-CN"/>
        </w:rPr>
        <w:t>门决算中反</w:t>
      </w:r>
      <w:r>
        <w:rPr>
          <w:rFonts w:hint="eastAsia" w:ascii="仿宋_GB2312" w:hAnsi="仿宋_GB2312" w:eastAsia="仿宋_GB2312" w:cs="仿宋_GB2312"/>
          <w:color w:val="auto"/>
          <w:sz w:val="32"/>
          <w:szCs w:val="32"/>
          <w:highlight w:val="none"/>
          <w:lang w:val="en-US" w:eastAsia="zh-CN"/>
        </w:rPr>
        <w:t>映“义务教育家庭经济困难学生生活补助”、“校舍维修”、“2024年城乡义务教育中央补助经费-校舍维修改造资金”5</w:t>
      </w:r>
      <w:r>
        <w:rPr>
          <w:rFonts w:hint="eastAsia" w:ascii="仿宋_GB2312" w:hAnsi="仿宋_GB2312" w:eastAsia="仿宋_GB2312" w:cs="仿宋_GB2312"/>
          <w:color w:val="auto"/>
          <w:sz w:val="32"/>
          <w:szCs w:val="32"/>
          <w:highlight w:val="none"/>
          <w:lang w:eastAsia="zh-CN"/>
        </w:rPr>
        <w:t>个项目</w:t>
      </w:r>
      <w:r>
        <w:rPr>
          <w:rFonts w:hint="eastAsia" w:ascii="仿宋_GB2312" w:hAnsi="仿宋_GB2312" w:eastAsia="仿宋_GB2312" w:cs="仿宋_GB2312"/>
          <w:color w:val="auto"/>
          <w:sz w:val="32"/>
          <w:szCs w:val="32"/>
          <w:highlight w:val="none"/>
          <w:lang w:val="en-US" w:eastAsia="zh-CN"/>
        </w:rPr>
        <w:t>全面开展绩效自评，形成遂宁市安居区中兴镇初级中学校</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绩效自评报告，其中，遂宁市安居区中兴镇初级中学校部门整体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绩效自评得分为97分，各项目绩效自评综述如下：</w:t>
      </w:r>
    </w:p>
    <w:p>
      <w:pPr>
        <w:numPr>
          <w:ilvl w:val="0"/>
          <w:numId w:val="5"/>
        </w:numPr>
        <w:spacing w:line="580" w:lineRule="exact"/>
        <w:ind w:firstLine="640" w:firstLineChars="200"/>
        <w:rPr>
          <w:rFonts w:hint="eastAsia"/>
          <w:lang w:eastAsia="zh-CN"/>
        </w:rPr>
      </w:pP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7.24</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7.24</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pPr>
        <w:numPr>
          <w:ilvl w:val="0"/>
          <w:numId w:val="5"/>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2024年城乡义务教育中央补助经费-校舍维修改造资金</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lang w:val="en-US" w:eastAsia="zh-CN"/>
        </w:rPr>
        <w:t>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7.97</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7.97</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有效改善学校环境。</w:t>
      </w:r>
    </w:p>
    <w:p>
      <w:pPr>
        <w:numPr>
          <w:ilvl w:val="0"/>
          <w:numId w:val="5"/>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校舍维修项目</w:t>
      </w:r>
      <w:r>
        <w:rPr>
          <w:rFonts w:hint="eastAsia" w:ascii="仿宋_GB2312" w:hAnsi="仿宋_GB2312" w:eastAsia="仿宋_GB2312" w:cs="仿宋_GB2312"/>
          <w:color w:val="auto"/>
          <w:sz w:val="32"/>
          <w:szCs w:val="32"/>
          <w:highlight w:val="none"/>
          <w:lang w:val="en-US" w:eastAsia="zh-CN"/>
        </w:rPr>
        <w:t>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20.75</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20.75</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有效改善学校办学条件。</w:t>
      </w:r>
    </w:p>
    <w:p>
      <w:pPr>
        <w:numPr>
          <w:ilvl w:val="0"/>
          <w:numId w:val="5"/>
        </w:numPr>
        <w:spacing w:line="58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义务教育课后服务绩效自评得分为100分，</w:t>
      </w:r>
      <w:r>
        <w:rPr>
          <w:rFonts w:hint="eastAsia" w:ascii="仿宋_GB2312" w:hAnsi="仿宋_GB2312" w:eastAsia="仿宋_GB2312" w:cs="仿宋_GB2312"/>
          <w:color w:val="auto"/>
          <w:sz w:val="32"/>
          <w:szCs w:val="32"/>
          <w:highlight w:val="none"/>
          <w:lang w:eastAsia="zh-CN"/>
        </w:rPr>
        <w:t>绩效</w:t>
      </w:r>
      <w:r>
        <w:rPr>
          <w:rFonts w:hint="eastAsia" w:ascii="仿宋_GB2312" w:hAnsi="仿宋_GB2312" w:eastAsia="仿宋_GB2312" w:cs="仿宋_GB2312"/>
          <w:color w:val="auto"/>
          <w:sz w:val="32"/>
          <w:szCs w:val="32"/>
          <w:highlight w:val="none"/>
          <w:lang w:val="en-US" w:eastAsia="zh-CN"/>
        </w:rPr>
        <w:t>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17.08</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17.08</w:t>
      </w:r>
      <w:r>
        <w:rPr>
          <w:rFonts w:hint="eastAsia" w:ascii="仿宋_GB2312" w:hAnsi="仿宋_GB2312" w:eastAsia="仿宋_GB2312" w:cs="仿宋_GB2312"/>
          <w:color w:val="auto"/>
          <w:sz w:val="32"/>
          <w:szCs w:val="32"/>
          <w:highlight w:val="none"/>
          <w:lang w:eastAsia="zh-CN"/>
        </w:rPr>
        <w:t>万元，完成预算的100%。通过项目实施，</w:t>
      </w:r>
      <w:r>
        <w:rPr>
          <w:rFonts w:hint="eastAsia" w:ascii="仿宋_GB2312" w:hAnsi="仿宋_GB2312" w:eastAsia="仿宋_GB2312" w:cs="仿宋_GB2312"/>
          <w:color w:val="auto"/>
          <w:sz w:val="32"/>
          <w:szCs w:val="32"/>
          <w:highlight w:val="none"/>
          <w:lang w:val="en-US" w:eastAsia="zh-CN"/>
        </w:rPr>
        <w:t>进一步增强教育服务能力、使人民群众具有更多获得感和幸福感，利用放学后时间组织学生参加丰富多彩的兴趣小组活动，激发学习兴趣，发展个性特长，丰富校园生活，促进学生全面发展，解决家长后顾之忧。</w:t>
      </w:r>
    </w:p>
    <w:p>
      <w:pPr>
        <w:numPr>
          <w:ilvl w:val="0"/>
          <w:numId w:val="0"/>
        </w:numPr>
        <w:spacing w:line="580" w:lineRule="exact"/>
        <w:ind w:firstLine="320" w:firstLineChars="1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）义务教育家庭经济困难学生生活补助</w:t>
      </w:r>
      <w:r>
        <w:rPr>
          <w:rFonts w:hint="eastAsia" w:ascii="仿宋_GB2312" w:hAnsi="仿宋_GB2312" w:eastAsia="仿宋_GB2312" w:cs="仿宋_GB2312"/>
          <w:color w:val="auto"/>
          <w:sz w:val="32"/>
          <w:szCs w:val="32"/>
          <w:highlight w:val="none"/>
          <w:lang w:val="en-US" w:eastAsia="zh-CN"/>
        </w:rPr>
        <w:t>项目绩效自评得分为100分，绩效自评</w:t>
      </w:r>
      <w:r>
        <w:rPr>
          <w:rFonts w:hint="eastAsia" w:ascii="仿宋_GB2312" w:hAnsi="仿宋_GB2312" w:eastAsia="仿宋_GB2312" w:cs="仿宋_GB2312"/>
          <w:color w:val="auto"/>
          <w:sz w:val="32"/>
          <w:szCs w:val="32"/>
          <w:highlight w:val="none"/>
          <w:lang w:eastAsia="zh-CN"/>
        </w:rPr>
        <w:t>综述：项目全年预算数</w:t>
      </w:r>
      <w:r>
        <w:rPr>
          <w:rFonts w:hint="eastAsia" w:ascii="仿宋_GB2312" w:hAnsi="仿宋_GB2312" w:eastAsia="仿宋_GB2312" w:cs="仿宋_GB2312"/>
          <w:color w:val="auto"/>
          <w:sz w:val="32"/>
          <w:szCs w:val="32"/>
          <w:highlight w:val="none"/>
          <w:lang w:val="en-US" w:eastAsia="zh-CN"/>
        </w:rPr>
        <w:t>5.55</w:t>
      </w:r>
      <w:r>
        <w:rPr>
          <w:rFonts w:hint="eastAsia" w:ascii="仿宋_GB2312" w:hAnsi="仿宋_GB2312" w:eastAsia="仿宋_GB2312" w:cs="仿宋_GB2312"/>
          <w:color w:val="auto"/>
          <w:sz w:val="32"/>
          <w:szCs w:val="32"/>
          <w:highlight w:val="none"/>
          <w:lang w:eastAsia="zh-CN"/>
        </w:rPr>
        <w:t>万元，执行数为</w:t>
      </w:r>
      <w:r>
        <w:rPr>
          <w:rFonts w:hint="eastAsia" w:ascii="仿宋_GB2312" w:hAnsi="仿宋_GB2312" w:eastAsia="仿宋_GB2312" w:cs="仿宋_GB2312"/>
          <w:color w:val="auto"/>
          <w:sz w:val="32"/>
          <w:szCs w:val="32"/>
          <w:highlight w:val="none"/>
          <w:lang w:val="en-US" w:eastAsia="zh-CN"/>
        </w:rPr>
        <w:t>5.55</w:t>
      </w:r>
      <w:r>
        <w:rPr>
          <w:rFonts w:hint="eastAsia" w:ascii="仿宋_GB2312" w:hAnsi="仿宋_GB2312" w:eastAsia="仿宋_GB2312" w:cs="仿宋_GB2312"/>
          <w:color w:val="auto"/>
          <w:sz w:val="32"/>
          <w:szCs w:val="32"/>
          <w:highlight w:val="none"/>
          <w:lang w:eastAsia="zh-CN"/>
        </w:rPr>
        <w:t>万元，完成预算的100%。通过项目实施，保障建档立卡学生的正常学习，支持了学生接受学校教育水平，促进了学生学业水平提升。</w:t>
      </w:r>
    </w:p>
    <w:p>
      <w:pPr>
        <w:pStyle w:val="3"/>
        <w:rPr>
          <w:rFonts w:hint="eastAsia" w:ascii="仿宋_GB2312" w:hAnsi="仿宋_GB2312" w:eastAsia="仿宋_GB2312" w:cs="仿宋_GB2312"/>
          <w:color w:val="auto"/>
          <w:sz w:val="32"/>
          <w:szCs w:val="32"/>
          <w:highlight w:val="none"/>
          <w:lang w:val="en-US" w:eastAsia="zh-CN"/>
        </w:rPr>
      </w:pPr>
    </w:p>
    <w:p>
      <w:pPr>
        <w:pStyle w:val="2"/>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rPr>
          <w:rFonts w:hint="eastAsia" w:ascii="仿宋_GB2312" w:hAnsi="仿宋_GB2312" w:eastAsia="仿宋_GB2312" w:cs="仿宋_GB2312"/>
          <w:color w:val="auto"/>
          <w:sz w:val="32"/>
          <w:szCs w:val="32"/>
          <w:highlight w:val="none"/>
          <w:lang w:val="en-US" w:eastAsia="zh-CN"/>
        </w:rPr>
      </w:pPr>
    </w:p>
    <w:p>
      <w:pPr>
        <w:pStyle w:val="3"/>
        <w:ind w:left="0" w:leftChars="0" w:firstLine="0" w:firstLineChars="0"/>
        <w:rPr>
          <w:rFonts w:hint="eastAsia" w:ascii="Times New Roman" w:hAnsi="Times New Roman" w:eastAsia="宋体" w:cs="Times New Roman"/>
          <w:kern w:val="2"/>
          <w:sz w:val="21"/>
          <w:szCs w:val="24"/>
          <w:lang w:val="en-US" w:eastAsia="zh-CN" w:bidi="ar-SA"/>
        </w:rPr>
      </w:pPr>
    </w:p>
    <w:p>
      <w:pPr>
        <w:numPr>
          <w:ilvl w:val="0"/>
          <w:numId w:val="6"/>
        </w:numPr>
        <w:spacing w:line="600" w:lineRule="exact"/>
        <w:ind w:firstLine="660" w:firstLineChars="150"/>
        <w:jc w:val="center"/>
        <w:outlineLvl w:val="0"/>
        <w:rPr>
          <w:rStyle w:val="29"/>
          <w:rFonts w:ascii="黑体" w:hAnsi="黑体" w:eastAsia="黑体"/>
          <w:b w:val="0"/>
        </w:rPr>
      </w:pPr>
      <w:bookmarkStart w:id="54" w:name="_Toc15377225"/>
      <w:bookmarkStart w:id="55" w:name="_Toc15396613"/>
      <w:r>
        <w:rPr>
          <w:rFonts w:hint="eastAsia" w:ascii="黑体" w:hAnsi="黑体" w:eastAsia="黑体"/>
          <w:sz w:val="44"/>
          <w:szCs w:val="44"/>
        </w:rPr>
        <w:t>名</w:t>
      </w:r>
      <w:r>
        <w:rPr>
          <w:rStyle w:val="29"/>
          <w:rFonts w:hint="eastAsia" w:ascii="黑体" w:hAnsi="黑体" w:eastAsia="黑体"/>
          <w:b w:val="0"/>
        </w:rPr>
        <w:t>词解释</w:t>
      </w:r>
      <w:bookmarkEnd w:id="54"/>
      <w:bookmarkEnd w:id="55"/>
    </w:p>
    <w:p>
      <w:pPr>
        <w:spacing w:line="600" w:lineRule="exact"/>
        <w:jc w:val="left"/>
        <w:rPr>
          <w:rFonts w:ascii="宋体"/>
          <w:b/>
          <w:sz w:val="44"/>
          <w:szCs w:val="44"/>
        </w:rPr>
      </w:pPr>
    </w:p>
    <w:p>
      <w:pPr>
        <w:ind w:firstLine="640" w:firstLineChars="200"/>
        <w:rPr>
          <w:rFonts w:ascii="仿宋_GB2312" w:hAnsi="Calibri" w:eastAsia="仿宋_GB2312" w:cs="仿宋"/>
          <w:kern w:val="0"/>
          <w:sz w:val="32"/>
          <w:szCs w:val="32"/>
        </w:rPr>
      </w:pPr>
      <w:bookmarkStart w:id="56" w:name="_Toc15377226"/>
      <w:r>
        <w:rPr>
          <w:rFonts w:hint="eastAsia" w:ascii="仿宋_GB2312" w:hAnsi="Calibri" w:eastAsia="仿宋_GB2312" w:cs="仿宋"/>
          <w:kern w:val="0"/>
          <w:sz w:val="32"/>
          <w:szCs w:val="32"/>
        </w:rPr>
        <w:t>1.财政拨款收入：指单位从同级财政部门取得的财政预算资金。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2.事业收入：指事业单位开展专业业务活动及辅助活动取得的收入。如高中学费收入、学前教育保教费收入等。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3.其他收入：指单位取得的除上述收入以外的各项收入。主要是利息收入、捐赠收入等。</w:t>
      </w:r>
    </w:p>
    <w:p>
      <w:pPr>
        <w:ind w:firstLine="640" w:firstLineChars="20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4.其他收入：指单位取得的除上述收入以外的各项收入。</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.教育（205类）普通教育（02款）学前教育（01项）: 反映各部门举办的学前教育支出。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.教育（205类）普通教育（02款）初中教育（03项）: 反映各部门举办的初中教育支出。政府各部门对社会中介组织等举办的初中教育的资助，如各类捐赠、补贴等，也在本科目中反映。</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.教育（205类）普通教育（02款）其他普通教育支出（99项）: 反映除上述项目以外其它用于普通教育方面的支出。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.教育（205类）教育费附加安排的支出（09款）农村中小学校舍建设（01项）: 反映教育附加安排用于农村中小学校舍新建、改建、修缮和维护的支出。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.教育（205类）教育费附加安排的支出（09款）其他教育费附加安排的支出（99项）: 反映除上述项目以外的教育费附加支出。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.教育（205类）其他教育支出（99款）其他教育支出（99项）: 反映除上述项目以外其它教育方面的支出。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.社会保障和就业（208类）行政事业单位离退休（05款）机关事业单位基本养老保险缴费支出（05项）: 反映机关事业单位实施养老保险制度由单位缴纳的基本养老保险费支出。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2</w:t>
      </w:r>
      <w:r>
        <w:rPr>
          <w:rFonts w:hint="eastAsia" w:ascii="仿宋_GB2312" w:hAnsi="Calibri" w:eastAsia="仿宋_GB2312" w:cs="仿宋"/>
          <w:kern w:val="0"/>
          <w:sz w:val="32"/>
          <w:szCs w:val="32"/>
        </w:rPr>
        <w:t>.社会保障和就业（208类）抚恤（08款）死亡抚恤（01项）: 反映按规定用于烈士和牺牲、病故人员家属的一次性和定期抚恤金以及丧葬补助费。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.社会保障和就业（208类）其他社会保障和就业支出（99款）其他社会保障和就业支出（01项）: 反映上述项目以外其他用用于社会保障和就业方面的支出。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4</w:t>
      </w:r>
      <w:r>
        <w:rPr>
          <w:rFonts w:hint="eastAsia" w:ascii="仿宋_GB2312" w:hAnsi="Calibri" w:eastAsia="仿宋_GB2312" w:cs="仿宋"/>
          <w:kern w:val="0"/>
          <w:sz w:val="32"/>
          <w:szCs w:val="32"/>
        </w:rPr>
        <w:t>.医疗卫生与计划生育（210类）卫生健康支出（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5</w:t>
      </w:r>
      <w:r>
        <w:rPr>
          <w:rFonts w:hint="eastAsia" w:ascii="仿宋_GB2312" w:hAnsi="Calibri" w:eastAsia="仿宋_GB2312" w:cs="仿宋"/>
          <w:kern w:val="0"/>
          <w:sz w:val="32"/>
          <w:szCs w:val="32"/>
        </w:rPr>
        <w:t>.住房保障支出（221类）住房改革支出（02款）住房公积金（01项）:反映行政事业单位按人力资源和社会保障部、财政部规定的基本工资和津贴补贴以及规定比例为职工缴纳的住房公积金。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6</w:t>
      </w:r>
      <w:r>
        <w:rPr>
          <w:rFonts w:hint="eastAsia" w:ascii="仿宋_GB2312" w:hAnsi="Calibri" w:eastAsia="仿宋_GB2312" w:cs="仿宋"/>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7</w:t>
      </w:r>
      <w:r>
        <w:rPr>
          <w:rFonts w:hint="eastAsia" w:ascii="仿宋_GB2312" w:hAnsi="Calibri" w:eastAsia="仿宋_GB2312" w:cs="仿宋"/>
          <w:kern w:val="0"/>
          <w:sz w:val="32"/>
          <w:szCs w:val="32"/>
        </w:rPr>
        <w:t>.项目支出：指在基本支出之外为完成特定行政任务和事业发展目标所发生的支出。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w:t>
      </w:r>
      <w:r>
        <w:rPr>
          <w:rFonts w:hint="eastAsia" w:ascii="仿宋_GB2312" w:hAnsi="Calibri" w:eastAsia="仿宋_GB2312" w:cs="仿宋"/>
          <w:kern w:val="0"/>
          <w:sz w:val="32"/>
          <w:szCs w:val="32"/>
          <w:lang w:val="en-US" w:eastAsia="zh-CN"/>
        </w:rPr>
        <w:t>8</w:t>
      </w:r>
      <w:r>
        <w:rPr>
          <w:rFonts w:hint="eastAsia" w:ascii="仿宋_GB2312" w:hAnsi="Calibri" w:eastAsia="仿宋_GB2312" w:cs="仿宋"/>
          <w:kern w:val="0"/>
          <w:sz w:val="32"/>
          <w:szCs w:val="32"/>
        </w:rPr>
        <w:t>.工资福利：反映单位开支的在职职工和编制外长期聘用人员的各类劳动报酬，以及为上述人员缴纳的各项社会保险费等。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19</w:t>
      </w:r>
      <w:r>
        <w:rPr>
          <w:rFonts w:hint="eastAsia" w:ascii="仿宋_GB2312" w:hAnsi="Calibri" w:eastAsia="仿宋_GB2312" w:cs="仿宋"/>
          <w:kern w:val="0"/>
          <w:sz w:val="32"/>
          <w:szCs w:val="32"/>
        </w:rPr>
        <w:t>.商品和服务：反映单位购买商品和服务的支出，不包括用于购置固定资产、战略性和应急性物资储备等资本支出。</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0</w:t>
      </w:r>
      <w:r>
        <w:rPr>
          <w:rFonts w:hint="eastAsia" w:ascii="仿宋_GB2312" w:hAnsi="Calibri" w:eastAsia="仿宋_GB2312" w:cs="仿宋"/>
          <w:kern w:val="0"/>
          <w:sz w:val="32"/>
          <w:szCs w:val="32"/>
        </w:rPr>
        <w:t>.对个人和家庭的补助：反映政府用于对个和家庭的补助支出。</w:t>
      </w:r>
    </w:p>
    <w:p>
      <w:pPr>
        <w:ind w:firstLine="640" w:firstLineChars="200"/>
        <w:rPr>
          <w:rFonts w:hint="eastAsia" w:ascii="黑体" w:hAnsi="黑体" w:eastAsia="仿宋_GB2312"/>
          <w:color w:val="auto"/>
          <w:sz w:val="44"/>
          <w:szCs w:val="44"/>
          <w:highlight w:val="none"/>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Calibri" w:eastAsia="仿宋_GB2312" w:cs="仿宋"/>
          <w:kern w:val="0"/>
          <w:sz w:val="32"/>
          <w:szCs w:val="32"/>
        </w:rPr>
        <w:t>2</w:t>
      </w:r>
      <w:r>
        <w:rPr>
          <w:rFonts w:hint="eastAsia" w:ascii="仿宋_GB2312" w:hAnsi="Calibri" w:eastAsia="仿宋_GB2312" w:cs="仿宋"/>
          <w:kern w:val="0"/>
          <w:sz w:val="32"/>
          <w:szCs w:val="32"/>
          <w:lang w:val="en-US" w:eastAsia="zh-CN"/>
        </w:rPr>
        <w:t>1</w:t>
      </w:r>
      <w:r>
        <w:rPr>
          <w:rFonts w:hint="eastAsia" w:ascii="仿宋_GB2312" w:hAnsi="Calibri" w:eastAsia="仿宋_GB2312" w:cs="仿宋"/>
          <w:kern w:val="0"/>
          <w:sz w:val="32"/>
          <w:szCs w:val="32"/>
        </w:rPr>
        <w:t>.资本性支出：反映各单位安排的资本性支出。切块由发展改革部门安排的基本建设支出不在此科目</w:t>
      </w:r>
      <w:r>
        <w:rPr>
          <w:rFonts w:hint="eastAsia" w:ascii="仿宋_GB2312" w:hAnsi="Calibri" w:eastAsia="仿宋_GB2312" w:cs="仿宋"/>
          <w:kern w:val="0"/>
          <w:sz w:val="32"/>
          <w:szCs w:val="32"/>
          <w:lang w:eastAsia="zh-CN"/>
        </w:rPr>
        <w:t>。</w:t>
      </w:r>
    </w:p>
    <w:p>
      <w:pPr>
        <w:spacing w:line="600" w:lineRule="exact"/>
        <w:jc w:val="center"/>
        <w:outlineLvl w:val="0"/>
        <w:rPr>
          <w:rStyle w:val="35"/>
          <w:rFonts w:ascii="黑体" w:hAnsi="黑体" w:eastAsia="黑体"/>
          <w:b w:val="0"/>
        </w:rPr>
      </w:pPr>
      <w:r>
        <w:rPr>
          <w:rFonts w:hint="eastAsia" w:ascii="黑体" w:hAnsi="黑体" w:eastAsia="黑体"/>
          <w:sz w:val="44"/>
          <w:szCs w:val="44"/>
        </w:rPr>
        <w:t>第</w:t>
      </w:r>
      <w:r>
        <w:rPr>
          <w:rStyle w:val="35"/>
          <w:rFonts w:hint="eastAsia" w:ascii="黑体" w:hAnsi="黑体" w:eastAsia="黑体"/>
          <w:b w:val="0"/>
        </w:rPr>
        <w:t>四部分 附件</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黑体" w:cs="Times New Roman"/>
          <w:color w:val="000000"/>
          <w:kern w:val="0"/>
          <w:sz w:val="24"/>
          <w:szCs w:val="32"/>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eastAsia" w:eastAsia="方正小标宋简体" w:cs="Times New Roman"/>
          <w:b w:val="0"/>
          <w:bCs/>
          <w:sz w:val="44"/>
          <w:szCs w:val="44"/>
          <w:highlight w:val="none"/>
          <w:shd w:val="clear" w:color="auto" w:fill="FFFFFF"/>
          <w:lang w:val="en-US" w:eastAsia="zh-CN"/>
        </w:rPr>
        <w:t>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一、部门（单位）概况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（一）机构组成</w:t>
      </w:r>
      <w:r>
        <w:rPr>
          <w:rFonts w:hint="eastAsia" w:eastAsia="楷体_GB2312" w:cs="Times New Roman"/>
          <w:b/>
          <w:bCs/>
          <w:color w:val="000000"/>
          <w:kern w:val="0"/>
          <w:sz w:val="32"/>
          <w:szCs w:val="32"/>
          <w:highlight w:val="none"/>
          <w:shd w:val="clear" w:color="auto" w:fill="FFFFFF"/>
          <w:lang w:val="zh-CN"/>
        </w:rPr>
        <w:t>：</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w:t>
      </w:r>
      <w:r>
        <w:rPr>
          <w:rFonts w:hint="eastAsia" w:ascii="仿宋" w:hAnsi="仿宋" w:eastAsia="仿宋"/>
          <w:sz w:val="32"/>
          <w:szCs w:val="32"/>
          <w:lang w:val="en-US" w:eastAsia="zh-CN"/>
        </w:rPr>
        <w:t>中兴镇初级中学校</w:t>
      </w:r>
      <w:r>
        <w:rPr>
          <w:rFonts w:hint="eastAsia" w:ascii="仿宋" w:hAnsi="仿宋" w:eastAsia="仿宋"/>
          <w:sz w:val="32"/>
          <w:szCs w:val="32"/>
        </w:rPr>
        <w:t>共设有</w:t>
      </w:r>
      <w:r>
        <w:rPr>
          <w:rFonts w:ascii="仿宋" w:hAnsi="仿宋" w:eastAsia="仿宋"/>
          <w:sz w:val="32"/>
          <w:szCs w:val="32"/>
        </w:rPr>
        <w:t>6</w:t>
      </w:r>
      <w:r>
        <w:rPr>
          <w:rFonts w:hint="eastAsia" w:ascii="仿宋" w:hAnsi="仿宋" w:eastAsia="仿宋"/>
          <w:sz w:val="32"/>
          <w:szCs w:val="32"/>
        </w:rPr>
        <w:t>个内设部门。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（二）机构职能</w:t>
      </w:r>
      <w:r>
        <w:rPr>
          <w:rFonts w:hint="eastAsia" w:eastAsia="楷体_GB2312" w:cs="Times New Roman"/>
          <w:b/>
          <w:bCs/>
          <w:color w:val="000000"/>
          <w:kern w:val="0"/>
          <w:sz w:val="32"/>
          <w:szCs w:val="32"/>
          <w:highlight w:val="none"/>
          <w:shd w:val="clear" w:color="auto" w:fill="FFFFFF"/>
          <w:lang w:val="zh-CN"/>
        </w:rPr>
        <w:t>：</w:t>
      </w:r>
    </w:p>
    <w:p>
      <w:pPr>
        <w:ind w:firstLine="960" w:firstLineChars="300"/>
        <w:jc w:val="both"/>
        <w:rPr>
          <w:rFonts w:ascii="仿宋" w:hAnsi="仿宋" w:eastAsia="仿宋"/>
          <w:sz w:val="32"/>
          <w:szCs w:val="32"/>
        </w:rPr>
      </w:pPr>
      <w:r>
        <w:rPr>
          <w:rFonts w:ascii="仿宋" w:hAnsi="仿宋" w:eastAsia="仿宋"/>
          <w:sz w:val="32"/>
          <w:szCs w:val="32"/>
        </w:rPr>
        <w:t>行政办公室工作职责</w:t>
      </w:r>
    </w:p>
    <w:p>
      <w:pPr>
        <w:ind w:firstLine="960" w:firstLineChars="300"/>
        <w:rPr>
          <w:rFonts w:ascii="仿宋" w:hAnsi="仿宋" w:eastAsia="仿宋"/>
          <w:sz w:val="32"/>
          <w:szCs w:val="32"/>
        </w:rPr>
      </w:pPr>
      <w:r>
        <w:rPr>
          <w:rFonts w:ascii="仿宋" w:hAnsi="仿宋" w:eastAsia="仿宋"/>
          <w:sz w:val="32"/>
          <w:szCs w:val="32"/>
        </w:rPr>
        <w:t>做好学校日常工作的部门，协助校长制订、贯彻和落实学校改革方案、工作计划；经常检查执行情况，严格执行催办制度。其职责是：</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pPr>
        <w:ind w:firstLine="640" w:firstLineChars="200"/>
        <w:rPr>
          <w:rFonts w:hint="eastAsia"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960" w:firstLineChars="300"/>
        <w:jc w:val="both"/>
        <w:rPr>
          <w:rFonts w:ascii="仿宋" w:hAnsi="仿宋" w:eastAsia="仿宋"/>
          <w:sz w:val="32"/>
          <w:szCs w:val="32"/>
        </w:rPr>
      </w:pPr>
      <w:r>
        <w:rPr>
          <w:rFonts w:ascii="仿宋" w:hAnsi="仿宋" w:eastAsia="仿宋"/>
          <w:sz w:val="32"/>
          <w:szCs w:val="32"/>
        </w:rPr>
        <w:t>财务室工作职责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在上级财务部门的指导下，遵守国家财经法纪和财务制度，组织全校财务管理与会计核算工作。</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pPr>
        <w:ind w:firstLine="640" w:firstLineChars="200"/>
        <w:jc w:val="both"/>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完成校长会议布置的其它工作。</w:t>
      </w:r>
    </w:p>
    <w:p>
      <w:pPr>
        <w:ind w:firstLine="640" w:firstLineChars="200"/>
        <w:jc w:val="both"/>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pPr>
        <w:ind w:firstLine="640" w:firstLineChars="200"/>
        <w:jc w:val="both"/>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pPr>
        <w:ind w:firstLine="640" w:firstLineChars="200"/>
        <w:rPr>
          <w:rFonts w:ascii="仿宋" w:hAnsi="仿宋" w:eastAsia="仿宋"/>
          <w:sz w:val="32"/>
          <w:szCs w:val="32"/>
        </w:rPr>
      </w:pPr>
      <w:r>
        <w:rPr>
          <w:rFonts w:ascii="仿宋" w:hAnsi="仿宋" w:eastAsia="仿宋"/>
          <w:sz w:val="32"/>
          <w:szCs w:val="32"/>
        </w:rPr>
        <w:t>一、负责全校德育工作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w:t>
      </w:r>
      <w:r>
        <w:rPr>
          <w:rFonts w:hint="eastAsia" w:ascii="仿宋" w:hAnsi="仿宋" w:eastAsia="仿宋"/>
          <w:sz w:val="32"/>
          <w:szCs w:val="32"/>
          <w:lang w:val="en-US" w:eastAsia="zh-CN"/>
        </w:rPr>
        <w:t>副</w:t>
      </w:r>
      <w:r>
        <w:rPr>
          <w:rFonts w:ascii="仿宋" w:hAnsi="仿宋" w:eastAsia="仿宋"/>
          <w:sz w:val="32"/>
          <w:szCs w:val="32"/>
        </w:rPr>
        <w:t>校长领导下，组织全校德育工作，努力树立良好的校风和学风。</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pPr>
        <w:spacing w:line="580" w:lineRule="exact"/>
        <w:ind w:firstLine="640" w:firstLineChars="200"/>
        <w:rPr>
          <w:rFonts w:ascii="仿宋" w:hAnsi="仿宋" w:eastAsia="仿宋"/>
          <w:sz w:val="32"/>
          <w:szCs w:val="32"/>
        </w:rPr>
      </w:pPr>
    </w:p>
    <w:p>
      <w:pPr>
        <w:spacing w:line="580" w:lineRule="exact"/>
        <w:jc w:val="center"/>
        <w:rPr>
          <w:rFonts w:ascii="仿宋" w:hAnsi="仿宋" w:eastAsia="仿宋"/>
          <w:sz w:val="32"/>
          <w:szCs w:val="32"/>
        </w:rPr>
      </w:pPr>
    </w:p>
    <w:p>
      <w:pPr>
        <w:spacing w:line="580" w:lineRule="exact"/>
        <w:ind w:firstLine="640" w:firstLineChars="200"/>
        <w:jc w:val="both"/>
        <w:rPr>
          <w:rFonts w:ascii="仿宋" w:hAnsi="仿宋" w:eastAsia="仿宋"/>
          <w:sz w:val="32"/>
          <w:szCs w:val="32"/>
        </w:rPr>
      </w:pPr>
      <w:r>
        <w:rPr>
          <w:rFonts w:ascii="仿宋" w:hAnsi="仿宋" w:eastAsia="仿宋"/>
          <w:sz w:val="32"/>
          <w:szCs w:val="32"/>
        </w:rPr>
        <w:t>安全办工作职责</w:t>
      </w:r>
    </w:p>
    <w:p>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加强治安秩序管理，开展法制宣传教育，增强师生员工法制观念，预防和减少违法犯罪行为。</w:t>
      </w:r>
    </w:p>
    <w:p>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pPr>
        <w:pStyle w:val="2"/>
        <w:rPr>
          <w:rFonts w:hint="default"/>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Calibri" w:eastAsia="仿宋_GB2312" w:cs="仿宋"/>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eastAsia="楷体_GB2312" w:cs="Times New Roman"/>
          <w:b/>
          <w:bCs/>
          <w:color w:val="000000"/>
          <w:kern w:val="0"/>
          <w:sz w:val="32"/>
          <w:szCs w:val="32"/>
          <w:highlight w:val="none"/>
          <w:shd w:val="clear" w:color="auto" w:fill="FFFFFF"/>
          <w:lang w:val="zh-CN"/>
        </w:rPr>
        <w:t>：</w:t>
      </w:r>
      <w:r>
        <w:rPr>
          <w:rFonts w:hint="default" w:ascii="仿宋_GB2312" w:hAnsi="Calibri" w:eastAsia="仿宋_GB2312" w:cs="仿宋"/>
          <w:kern w:val="0"/>
          <w:sz w:val="32"/>
          <w:szCs w:val="32"/>
          <w:lang w:val="en-US" w:eastAsia="zh-CN"/>
        </w:rPr>
        <w:t>截至202</w:t>
      </w:r>
      <w:r>
        <w:rPr>
          <w:rFonts w:hint="eastAsia" w:ascii="仿宋_GB2312" w:hAnsi="Calibri" w:eastAsia="仿宋_GB2312" w:cs="仿宋"/>
          <w:kern w:val="0"/>
          <w:sz w:val="32"/>
          <w:szCs w:val="32"/>
          <w:lang w:val="en-US" w:eastAsia="zh-CN"/>
        </w:rPr>
        <w:t>4</w:t>
      </w:r>
      <w:r>
        <w:rPr>
          <w:rFonts w:hint="default" w:ascii="仿宋_GB2312" w:hAnsi="Calibri" w:eastAsia="仿宋_GB2312" w:cs="仿宋"/>
          <w:kern w:val="0"/>
          <w:sz w:val="32"/>
          <w:szCs w:val="32"/>
          <w:lang w:val="en-US" w:eastAsia="zh-CN"/>
        </w:rPr>
        <w:t>年末，</w:t>
      </w:r>
      <w:r>
        <w:rPr>
          <w:rFonts w:hint="eastAsia" w:ascii="仿宋_GB2312" w:hAnsi="Calibri" w:eastAsia="仿宋_GB2312" w:cs="仿宋"/>
          <w:kern w:val="0"/>
          <w:sz w:val="32"/>
          <w:szCs w:val="32"/>
          <w:lang w:val="en-US" w:eastAsia="zh-CN"/>
        </w:rPr>
        <w:t>中兴初中</w:t>
      </w:r>
      <w:r>
        <w:rPr>
          <w:rFonts w:hint="default" w:ascii="仿宋_GB2312" w:hAnsi="Calibri" w:eastAsia="仿宋_GB2312" w:cs="仿宋"/>
          <w:kern w:val="0"/>
          <w:sz w:val="32"/>
          <w:szCs w:val="32"/>
          <w:lang w:val="en-US" w:eastAsia="zh-CN"/>
        </w:rPr>
        <w:t>编制</w:t>
      </w:r>
      <w:r>
        <w:rPr>
          <w:rFonts w:hint="eastAsia" w:ascii="仿宋_GB2312" w:hAnsi="Calibri" w:eastAsia="仿宋_GB2312" w:cs="仿宋"/>
          <w:kern w:val="0"/>
          <w:sz w:val="32"/>
          <w:szCs w:val="32"/>
          <w:lang w:val="en-US" w:eastAsia="zh-CN"/>
        </w:rPr>
        <w:t>数23人，</w:t>
      </w:r>
      <w:r>
        <w:rPr>
          <w:rFonts w:hint="eastAsia" w:ascii="仿宋_GB2312" w:hAnsi="Calibri" w:eastAsia="仿宋_GB2312" w:cs="仿宋"/>
          <w:kern w:val="0"/>
          <w:sz w:val="32"/>
          <w:szCs w:val="32"/>
        </w:rPr>
        <w:t>现有在职教职工</w:t>
      </w:r>
      <w:r>
        <w:rPr>
          <w:rFonts w:hint="eastAsia" w:ascii="仿宋_GB2312" w:hAnsi="Calibri" w:eastAsia="仿宋_GB2312" w:cs="仿宋"/>
          <w:kern w:val="0"/>
          <w:sz w:val="32"/>
          <w:szCs w:val="32"/>
          <w:lang w:val="en-US" w:eastAsia="zh-CN"/>
        </w:rPr>
        <w:t>23</w:t>
      </w:r>
      <w:r>
        <w:rPr>
          <w:rFonts w:hint="eastAsia" w:ascii="仿宋_GB2312" w:hAnsi="Calibri" w:eastAsia="仿宋_GB2312" w:cs="仿宋"/>
          <w:kern w:val="0"/>
          <w:sz w:val="32"/>
          <w:szCs w:val="32"/>
        </w:rPr>
        <w:t>人，退休人员</w:t>
      </w:r>
      <w:r>
        <w:rPr>
          <w:rFonts w:hint="eastAsia" w:ascii="仿宋_GB2312" w:hAnsi="Calibri" w:eastAsia="仿宋_GB2312" w:cs="仿宋"/>
          <w:kern w:val="0"/>
          <w:sz w:val="32"/>
          <w:szCs w:val="32"/>
          <w:lang w:val="en-US" w:eastAsia="zh-CN"/>
        </w:rPr>
        <w:t>9</w:t>
      </w:r>
      <w:r>
        <w:rPr>
          <w:rFonts w:hint="eastAsia" w:ascii="仿宋_GB2312" w:hAnsi="Calibri" w:eastAsia="仿宋_GB2312" w:cs="仿宋"/>
          <w:kern w:val="0"/>
          <w:sz w:val="32"/>
          <w:szCs w:val="32"/>
        </w:rPr>
        <w:t>人，遗属</w:t>
      </w:r>
      <w:r>
        <w:rPr>
          <w:rFonts w:hint="eastAsia" w:ascii="仿宋_GB2312" w:hAnsi="Calibri" w:eastAsia="仿宋_GB2312" w:cs="仿宋"/>
          <w:kern w:val="0"/>
          <w:sz w:val="32"/>
          <w:szCs w:val="32"/>
          <w:lang w:val="en-US" w:eastAsia="zh-CN"/>
        </w:rPr>
        <w:t>3</w:t>
      </w:r>
      <w:r>
        <w:rPr>
          <w:rFonts w:hint="eastAsia" w:ascii="仿宋_GB2312" w:hAnsi="Calibri" w:eastAsia="仿宋_GB2312" w:cs="仿宋"/>
          <w:kern w:val="0"/>
          <w:sz w:val="32"/>
          <w:szCs w:val="32"/>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二、部门资金收支情况</w:t>
      </w:r>
    </w:p>
    <w:p>
      <w:pPr>
        <w:spacing w:line="600" w:lineRule="exact"/>
        <w:ind w:firstLine="643" w:firstLineChars="200"/>
        <w:rPr>
          <w:rFonts w:hint="eastAsia" w:ascii="仿宋" w:hAnsi="仿宋" w:eastAsia="仿宋"/>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w:t>
      </w:r>
      <w:r>
        <w:rPr>
          <w:rFonts w:hint="eastAsia" w:ascii="仿宋" w:hAnsi="仿宋" w:eastAsia="仿宋"/>
          <w:sz w:val="32"/>
          <w:szCs w:val="32"/>
          <w:lang w:val="en-US" w:eastAsia="zh-CN"/>
        </w:rPr>
        <w:t>入</w:t>
      </w:r>
      <w:r>
        <w:rPr>
          <w:rFonts w:hint="eastAsia" w:ascii="仿宋" w:hAnsi="仿宋" w:eastAsia="仿宋"/>
          <w:sz w:val="32"/>
          <w:szCs w:val="32"/>
        </w:rPr>
        <w:t>总计均为</w:t>
      </w:r>
      <w:r>
        <w:rPr>
          <w:rFonts w:hint="eastAsia" w:ascii="仿宋" w:hAnsi="仿宋" w:eastAsia="仿宋"/>
          <w:b/>
          <w:sz w:val="32"/>
          <w:szCs w:val="32"/>
          <w:lang w:val="en-US" w:eastAsia="zh-CN"/>
        </w:rPr>
        <w:t>592.53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w:t>
      </w:r>
      <w:r>
        <w:rPr>
          <w:rFonts w:hint="eastAsia" w:ascii="仿宋" w:hAnsi="仿宋" w:eastAsia="仿宋"/>
          <w:sz w:val="32"/>
          <w:szCs w:val="32"/>
          <w:lang w:val="en-US" w:eastAsia="zh-CN"/>
        </w:rPr>
        <w:t>入增加43.99</w:t>
      </w:r>
      <w:r>
        <w:rPr>
          <w:rFonts w:hint="eastAsia" w:ascii="仿宋" w:hAnsi="仿宋" w:eastAsia="仿宋"/>
          <w:sz w:val="32"/>
          <w:szCs w:val="32"/>
        </w:rPr>
        <w:t>万元，</w:t>
      </w:r>
      <w:r>
        <w:rPr>
          <w:rFonts w:hint="eastAsia" w:ascii="仿宋" w:hAnsi="仿宋" w:eastAsia="仿宋"/>
          <w:sz w:val="32"/>
          <w:szCs w:val="32"/>
          <w:lang w:val="en-US" w:eastAsia="zh-CN"/>
        </w:rPr>
        <w:t>增长8.02</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w:t>
      </w:r>
      <w:r>
        <w:rPr>
          <w:rFonts w:hint="eastAsia" w:ascii="仿宋" w:hAnsi="仿宋" w:eastAsia="仿宋"/>
          <w:sz w:val="32"/>
          <w:szCs w:val="32"/>
        </w:rPr>
        <w:t>因是</w:t>
      </w:r>
      <w:r>
        <w:rPr>
          <w:rFonts w:hint="eastAsia" w:ascii="仿宋" w:hAnsi="仿宋" w:eastAsia="仿宋"/>
          <w:sz w:val="32"/>
          <w:szCs w:val="32"/>
          <w:lang w:val="en-US" w:eastAsia="zh-CN"/>
        </w:rPr>
        <w:t>校舍维修，城乡义务教育-综合奖补资金项目</w:t>
      </w:r>
      <w:r>
        <w:rPr>
          <w:rFonts w:hint="eastAsia" w:ascii="仿宋" w:hAnsi="仿宋" w:eastAsia="仿宋"/>
          <w:sz w:val="32"/>
          <w:szCs w:val="32"/>
        </w:rPr>
        <w:t>支出</w:t>
      </w:r>
      <w:r>
        <w:rPr>
          <w:rFonts w:hint="eastAsia" w:ascii="仿宋" w:hAnsi="仿宋" w:eastAsia="仿宋"/>
          <w:sz w:val="32"/>
          <w:szCs w:val="32"/>
          <w:lang w:val="en-US" w:eastAsia="zh-CN"/>
        </w:rPr>
        <w:t>增多</w:t>
      </w:r>
      <w:r>
        <w:rPr>
          <w:rFonts w:hint="eastAsia" w:ascii="仿宋" w:hAnsi="仿宋" w:eastAsia="仿宋"/>
          <w:sz w:val="32"/>
          <w:szCs w:val="32"/>
        </w:rPr>
        <w:t>。</w:t>
      </w:r>
    </w:p>
    <w:p>
      <w:pPr>
        <w:spacing w:line="600" w:lineRule="exact"/>
        <w:ind w:firstLine="643" w:firstLineChars="200"/>
        <w:rPr>
          <w:rFonts w:hint="eastAsia" w:ascii="仿宋" w:hAnsi="仿宋" w:eastAsia="仿宋"/>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 w:hAnsi="仿宋" w:eastAsia="仿宋"/>
          <w:sz w:val="32"/>
          <w:szCs w:val="32"/>
          <w:lang w:val="en-US" w:eastAsia="zh-CN"/>
        </w:rPr>
        <w:t>2</w:t>
      </w:r>
      <w:r>
        <w:rPr>
          <w:rFonts w:hint="eastAsia" w:ascii="仿宋" w:hAnsi="仿宋" w:eastAsia="仿宋"/>
          <w:sz w:val="32"/>
          <w:szCs w:val="32"/>
        </w:rPr>
        <w:t>02</w:t>
      </w:r>
      <w:r>
        <w:rPr>
          <w:rFonts w:hint="eastAsia" w:ascii="仿宋" w:hAnsi="仿宋" w:eastAsia="仿宋"/>
          <w:sz w:val="32"/>
          <w:szCs w:val="32"/>
          <w:lang w:val="en-US" w:eastAsia="zh-CN"/>
        </w:rPr>
        <w:t>4</w:t>
      </w:r>
      <w:r>
        <w:rPr>
          <w:rFonts w:hint="eastAsia" w:ascii="仿宋" w:hAnsi="仿宋" w:eastAsia="仿宋"/>
          <w:sz w:val="32"/>
          <w:szCs w:val="32"/>
        </w:rPr>
        <w:t>年度</w:t>
      </w:r>
      <w:r>
        <w:rPr>
          <w:rFonts w:hint="eastAsia" w:ascii="仿宋" w:hAnsi="仿宋" w:eastAsia="仿宋"/>
          <w:sz w:val="32"/>
          <w:szCs w:val="32"/>
          <w:lang w:val="en-US" w:eastAsia="zh-CN"/>
        </w:rPr>
        <w:t>支出</w:t>
      </w:r>
      <w:r>
        <w:rPr>
          <w:rFonts w:hint="eastAsia" w:ascii="仿宋" w:hAnsi="仿宋" w:eastAsia="仿宋"/>
          <w:sz w:val="32"/>
          <w:szCs w:val="32"/>
        </w:rPr>
        <w:t>总计为</w:t>
      </w:r>
      <w:r>
        <w:rPr>
          <w:rFonts w:hint="eastAsia" w:ascii="仿宋" w:hAnsi="仿宋" w:eastAsia="仿宋"/>
          <w:b/>
          <w:sz w:val="32"/>
          <w:szCs w:val="32"/>
          <w:lang w:val="en-US" w:eastAsia="zh-CN"/>
        </w:rPr>
        <w:t>592.53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sz w:val="32"/>
          <w:szCs w:val="32"/>
          <w:lang w:val="en-US"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增加43.99</w:t>
      </w:r>
      <w:r>
        <w:rPr>
          <w:rFonts w:hint="eastAsia" w:ascii="仿宋" w:hAnsi="仿宋" w:eastAsia="仿宋"/>
          <w:sz w:val="32"/>
          <w:szCs w:val="32"/>
        </w:rPr>
        <w:t>万元，</w:t>
      </w:r>
      <w:r>
        <w:rPr>
          <w:rFonts w:hint="eastAsia" w:ascii="仿宋" w:hAnsi="仿宋" w:eastAsia="仿宋"/>
          <w:sz w:val="32"/>
          <w:szCs w:val="32"/>
          <w:lang w:val="en-US" w:eastAsia="zh-CN"/>
        </w:rPr>
        <w:t>增长8.02</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w:t>
      </w:r>
      <w:r>
        <w:rPr>
          <w:rFonts w:hint="eastAsia" w:ascii="仿宋" w:hAnsi="仿宋" w:eastAsia="仿宋"/>
          <w:sz w:val="32"/>
          <w:szCs w:val="32"/>
        </w:rPr>
        <w:t>因是</w:t>
      </w:r>
      <w:r>
        <w:rPr>
          <w:rFonts w:hint="eastAsia" w:ascii="仿宋" w:hAnsi="仿宋" w:eastAsia="仿宋"/>
          <w:sz w:val="32"/>
          <w:szCs w:val="32"/>
          <w:lang w:val="en-US" w:eastAsia="zh-CN"/>
        </w:rPr>
        <w:t>校舍维修，城乡义务教育-综合奖补资金项目</w:t>
      </w:r>
      <w:r>
        <w:rPr>
          <w:rFonts w:hint="eastAsia" w:ascii="仿宋" w:hAnsi="仿宋" w:eastAsia="仿宋"/>
          <w:sz w:val="32"/>
          <w:szCs w:val="32"/>
        </w:rPr>
        <w:t>支出</w:t>
      </w:r>
      <w:r>
        <w:rPr>
          <w:rFonts w:hint="eastAsia" w:ascii="仿宋" w:hAnsi="仿宋" w:eastAsia="仿宋"/>
          <w:sz w:val="32"/>
          <w:szCs w:val="32"/>
          <w:lang w:val="en-US" w:eastAsia="zh-CN"/>
        </w:rPr>
        <w:t>增多</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仿宋_GB2312" w:hAnsi="Calibri" w:eastAsia="仿宋_GB2312" w:cs="仿宋"/>
          <w:kern w:val="0"/>
          <w:sz w:val="32"/>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Calibri" w:eastAsia="仿宋_GB2312" w:cs="仿宋"/>
          <w:kern w:val="0"/>
          <w:sz w:val="32"/>
          <w:szCs w:val="32"/>
          <w:lang w:val="en-US" w:eastAsia="zh-CN"/>
        </w:rPr>
        <w:t>中兴初中2024年决算报表</w:t>
      </w:r>
      <w:r>
        <w:rPr>
          <w:rFonts w:hint="default" w:ascii="仿宋_GB2312" w:hAnsi="Calibri" w:eastAsia="仿宋_GB2312" w:cs="仿宋"/>
          <w:kern w:val="0"/>
          <w:sz w:val="32"/>
          <w:szCs w:val="32"/>
          <w:lang w:val="en-US" w:eastAsia="zh-CN"/>
        </w:rPr>
        <w:t>结转结余</w:t>
      </w:r>
      <w:r>
        <w:rPr>
          <w:rFonts w:hint="eastAsia" w:ascii="仿宋_GB2312" w:hAnsi="Calibri" w:eastAsia="仿宋_GB2312" w:cs="仿宋"/>
          <w:kern w:val="0"/>
          <w:sz w:val="32"/>
          <w:szCs w:val="32"/>
          <w:lang w:val="en-US" w:eastAsia="zh-CN"/>
        </w:rPr>
        <w:t>0万元</w:t>
      </w:r>
      <w:r>
        <w:rPr>
          <w:rFonts w:hint="default" w:ascii="仿宋_GB2312" w:hAnsi="Calibri" w:eastAsia="仿宋_GB2312" w:cs="仿宋"/>
          <w:kern w:val="0"/>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eastAsia="zh-CN"/>
        </w:rPr>
      </w:pPr>
      <w:r>
        <w:rPr>
          <w:rFonts w:hint="default"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仿宋_GB2312" w:hAnsi="Calibri" w:eastAsia="仿宋_GB2312" w:cs="仿宋"/>
          <w:kern w:val="0"/>
          <w:sz w:val="32"/>
          <w:szCs w:val="32"/>
          <w:lang w:val="zh-CN" w:eastAsia="zh-CN"/>
        </w:rPr>
        <w:t>根据部门预算绩效评价指标体系“总体绩效”涉及</w:t>
      </w:r>
      <w:r>
        <w:rPr>
          <w:rFonts w:hint="eastAsia" w:ascii="仿宋_GB2312" w:hAnsi="Calibri" w:eastAsia="仿宋_GB2312" w:cs="仿宋"/>
          <w:kern w:val="0"/>
          <w:sz w:val="32"/>
          <w:szCs w:val="32"/>
          <w:lang w:val="zh-CN" w:eastAsia="zh-CN"/>
        </w:rPr>
        <w:t>二、三级</w:t>
      </w:r>
      <w:r>
        <w:rPr>
          <w:rFonts w:hint="default" w:ascii="仿宋_GB2312" w:hAnsi="Calibri" w:eastAsia="仿宋_GB2312" w:cs="仿宋"/>
          <w:kern w:val="0"/>
          <w:sz w:val="32"/>
          <w:szCs w:val="32"/>
          <w:lang w:val="zh-CN" w:eastAsia="zh-CN"/>
        </w:rPr>
        <w:t>指标进行</w:t>
      </w:r>
      <w:r>
        <w:rPr>
          <w:rFonts w:hint="eastAsia" w:ascii="仿宋_GB2312" w:hAnsi="Calibri" w:eastAsia="仿宋_GB2312" w:cs="仿宋"/>
          <w:kern w:val="0"/>
          <w:sz w:val="32"/>
          <w:szCs w:val="32"/>
          <w:lang w:val="zh-CN" w:eastAsia="zh-CN"/>
        </w:rPr>
        <w:t>逐项</w:t>
      </w:r>
      <w:r>
        <w:rPr>
          <w:rFonts w:hint="default" w:ascii="仿宋_GB2312" w:hAnsi="Calibri" w:eastAsia="仿宋_GB2312" w:cs="仿宋"/>
          <w:kern w:val="0"/>
          <w:sz w:val="32"/>
          <w:szCs w:val="32"/>
          <w:lang w:val="zh-CN" w:eastAsia="zh-CN"/>
        </w:rPr>
        <w:t>绩效分析</w:t>
      </w:r>
      <w:r>
        <w:rPr>
          <w:rFonts w:hint="eastAsia" w:ascii="仿宋_GB2312" w:hAnsi="Calibri" w:eastAsia="仿宋_GB2312" w:cs="仿宋"/>
          <w:kern w:val="0"/>
          <w:sz w:val="32"/>
          <w:szCs w:val="32"/>
          <w:lang w:val="zh-CN" w:eastAsia="zh-CN"/>
        </w:rPr>
        <w:t>并评分</w:t>
      </w:r>
      <w:r>
        <w:rPr>
          <w:rFonts w:hint="default" w:ascii="仿宋_GB2312" w:hAnsi="Calibri" w:eastAsia="仿宋_GB2312" w:cs="仿宋"/>
          <w:kern w:val="0"/>
          <w:sz w:val="32"/>
          <w:szCs w:val="32"/>
          <w:lang w:val="zh-CN" w:eastAsia="zh-CN"/>
        </w:rPr>
        <w:t>，依次包</w:t>
      </w:r>
      <w:r>
        <w:rPr>
          <w:rFonts w:hint="default" w:ascii="Times New Roman" w:hAnsi="Times New Roman" w:eastAsia="仿宋_GB2312" w:cs="Times New Roman"/>
          <w:sz w:val="32"/>
          <w:szCs w:val="32"/>
          <w:lang w:val="zh-CN" w:eastAsia="zh-CN"/>
        </w:rPr>
        <w:t>括履职效能、预算管理、财务管理、资产管理、采购管理等情况。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Calibri" w:eastAsia="仿宋_GB2312" w:cs="仿宋"/>
          <w:kern w:val="0"/>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履职效能。</w:t>
      </w:r>
      <w:r>
        <w:rPr>
          <w:rFonts w:hint="eastAsia" w:ascii="仿宋_GB2312" w:hAnsi="Calibri" w:eastAsia="仿宋_GB2312" w:cs="仿宋"/>
          <w:kern w:val="0"/>
          <w:sz w:val="32"/>
          <w:szCs w:val="32"/>
          <w:lang w:val="zh-CN" w:eastAsia="zh-CN"/>
        </w:rPr>
        <w:t>根据相关规定，制定绩效目标管理，规范资金使用，提升资金使用效益。严格支出控制、预算及时动态调整。我单位资金主要是人员经费、公用经费支出，学校制定的相关规章制度，对资金进行严格收支管理。</w:t>
      </w:r>
    </w:p>
    <w:p>
      <w:pPr>
        <w:spacing w:line="600" w:lineRule="exact"/>
        <w:ind w:firstLine="640" w:firstLineChars="200"/>
        <w:rPr>
          <w:rFonts w:ascii="仿宋" w:hAnsi="仿宋" w:eastAsia="仿宋"/>
          <w:sz w:val="32"/>
          <w:szCs w:val="32"/>
        </w:rPr>
      </w:pPr>
      <w:r>
        <w:rPr>
          <w:rFonts w:hint="eastAsia" w:ascii="楷体_GB2312" w:hAnsi="楷体_GB2312" w:eastAsia="楷体_GB2312" w:cs="楷体_GB2312"/>
          <w:color w:val="000000"/>
          <w:kern w:val="0"/>
          <w:sz w:val="32"/>
          <w:szCs w:val="32"/>
          <w:highlight w:val="none"/>
          <w:shd w:val="clear" w:color="auto" w:fill="FFFFFF"/>
          <w:lang w:val="en-US" w:eastAsia="zh-CN"/>
        </w:rPr>
        <w:t>2.</w:t>
      </w:r>
      <w:r>
        <w:rPr>
          <w:rFonts w:hint="default" w:ascii="楷体_GB2312" w:hAnsi="楷体_GB2312" w:eastAsia="楷体_GB2312" w:cs="楷体_GB2312"/>
          <w:color w:val="000000"/>
          <w:kern w:val="0"/>
          <w:sz w:val="32"/>
          <w:szCs w:val="32"/>
          <w:highlight w:val="none"/>
          <w:shd w:val="clear" w:color="auto" w:fill="FFFFFF"/>
          <w:lang w:val="zh-CN"/>
        </w:rPr>
        <w:t>预算管理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val="0"/>
          <w:bCs/>
          <w:sz w:val="32"/>
          <w:szCs w:val="32"/>
          <w:lang w:val="en-US" w:eastAsia="zh-CN"/>
        </w:rPr>
        <w:t>592.53</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w:t>
      </w:r>
      <w:r>
        <w:rPr>
          <w:rFonts w:hint="eastAsia" w:ascii="仿宋" w:hAnsi="仿宋" w:eastAsia="仿宋"/>
          <w:sz w:val="32"/>
          <w:szCs w:val="32"/>
          <w:lang w:val="en-US" w:eastAsia="zh-CN"/>
        </w:rPr>
        <w:t>收、支</w:t>
      </w:r>
      <w:r>
        <w:rPr>
          <w:rFonts w:hint="eastAsia" w:ascii="仿宋" w:hAnsi="仿宋" w:eastAsia="仿宋"/>
          <w:sz w:val="32"/>
          <w:szCs w:val="32"/>
        </w:rPr>
        <w:t>总计</w:t>
      </w:r>
      <w:r>
        <w:rPr>
          <w:rFonts w:hint="eastAsia" w:ascii="仿宋" w:hAnsi="仿宋" w:eastAsia="仿宋"/>
          <w:sz w:val="32"/>
          <w:szCs w:val="32"/>
          <w:lang w:val="en-US" w:eastAsia="zh-CN"/>
        </w:rPr>
        <w:t>均增加43.99</w:t>
      </w:r>
      <w:r>
        <w:rPr>
          <w:rFonts w:hint="eastAsia" w:ascii="仿宋" w:hAnsi="仿宋" w:eastAsia="仿宋"/>
          <w:sz w:val="32"/>
          <w:szCs w:val="32"/>
        </w:rPr>
        <w:t>万元，</w:t>
      </w:r>
      <w:r>
        <w:rPr>
          <w:rFonts w:hint="eastAsia" w:ascii="仿宋" w:hAnsi="仿宋" w:eastAsia="仿宋"/>
          <w:sz w:val="32"/>
          <w:szCs w:val="32"/>
          <w:lang w:val="en-US" w:eastAsia="zh-CN"/>
        </w:rPr>
        <w:t>增长8.02</w:t>
      </w:r>
      <w:r>
        <w:rPr>
          <w:rFonts w:ascii="仿宋" w:hAnsi="仿宋" w:eastAsia="仿宋"/>
          <w:sz w:val="32"/>
          <w:szCs w:val="32"/>
        </w:rPr>
        <w:t>%</w:t>
      </w:r>
      <w:r>
        <w:rPr>
          <w:rFonts w:hint="eastAsia" w:ascii="仿宋" w:hAnsi="仿宋" w:eastAsia="仿宋"/>
          <w:sz w:val="32"/>
          <w:szCs w:val="32"/>
        </w:rPr>
        <w:t>。</w:t>
      </w:r>
      <w:r>
        <w:rPr>
          <w:rFonts w:hint="eastAsia" w:eastAsia="仿宋_GB2312" w:cs="仿宋_GB2312"/>
          <w:sz w:val="32"/>
          <w:szCs w:val="32"/>
        </w:rPr>
        <w:t>主要变动原</w:t>
      </w:r>
      <w:r>
        <w:rPr>
          <w:rFonts w:hint="eastAsia" w:ascii="仿宋" w:hAnsi="仿宋" w:eastAsia="仿宋"/>
          <w:sz w:val="32"/>
          <w:szCs w:val="32"/>
        </w:rPr>
        <w:t>因是</w:t>
      </w:r>
      <w:r>
        <w:rPr>
          <w:rFonts w:hint="eastAsia" w:ascii="仿宋" w:hAnsi="仿宋" w:eastAsia="仿宋"/>
          <w:sz w:val="32"/>
          <w:szCs w:val="32"/>
          <w:lang w:val="en-US" w:eastAsia="zh-CN"/>
        </w:rPr>
        <w:t>校舍维修，城乡义务教育-综合奖补资金项目</w:t>
      </w:r>
      <w:r>
        <w:rPr>
          <w:rFonts w:hint="eastAsia" w:ascii="仿宋" w:hAnsi="仿宋" w:eastAsia="仿宋"/>
          <w:sz w:val="32"/>
          <w:szCs w:val="32"/>
        </w:rPr>
        <w:t>支出</w:t>
      </w:r>
      <w:r>
        <w:rPr>
          <w:rFonts w:hint="eastAsia" w:ascii="仿宋" w:hAnsi="仿宋" w:eastAsia="仿宋"/>
          <w:sz w:val="32"/>
          <w:szCs w:val="32"/>
          <w:lang w:val="en-US" w:eastAsia="zh-CN"/>
        </w:rPr>
        <w:t>增多</w:t>
      </w:r>
      <w:r>
        <w:rPr>
          <w:rFonts w:hint="eastAsia" w:ascii="仿宋" w:hAnsi="仿宋" w:eastAsia="仿宋"/>
          <w:sz w:val="32"/>
          <w:szCs w:val="32"/>
        </w:rPr>
        <w:t>。</w:t>
      </w:r>
    </w:p>
    <w:p>
      <w:pPr>
        <w:spacing w:line="600" w:lineRule="exact"/>
        <w:ind w:firstLine="640" w:firstLineChars="200"/>
        <w:rPr>
          <w:rFonts w:hint="default" w:ascii="仿宋_GB2312" w:hAnsi="Calibri" w:eastAsia="仿宋_GB2312" w:cs="仿宋"/>
          <w:kern w:val="0"/>
          <w:sz w:val="32"/>
          <w:szCs w:val="32"/>
          <w:lang w:val="en-US" w:eastAsia="zh-CN"/>
        </w:rPr>
      </w:pPr>
      <w:r>
        <w:rPr>
          <w:rFonts w:hint="eastAsia" w:ascii="仿宋_GB2312" w:hAnsi="Calibri" w:eastAsia="仿宋_GB2312" w:cs="仿宋"/>
          <w:kern w:val="0"/>
          <w:sz w:val="32"/>
          <w:szCs w:val="32"/>
          <w:lang w:val="en-US" w:eastAsia="zh-CN"/>
        </w:rPr>
        <w:t>各项管理制度执行总体较为有效，需进一步强化，资金的使用和管理应进一步加强。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default" w:ascii="楷体_GB2312" w:hAnsi="楷体_GB2312" w:eastAsia="楷体_GB2312" w:cs="楷体_GB2312"/>
          <w:color w:val="000000"/>
          <w:kern w:val="0"/>
          <w:sz w:val="32"/>
          <w:szCs w:val="32"/>
          <w:highlight w:val="none"/>
          <w:shd w:val="clear" w:color="auto" w:fill="FFFFFF"/>
          <w:lang w:val="zh-CN"/>
        </w:rPr>
        <w:t>财务管理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仿宋_GB2312" w:hAnsi="Calibri" w:eastAsia="仿宋_GB2312" w:cs="仿宋"/>
          <w:kern w:val="0"/>
          <w:sz w:val="32"/>
          <w:szCs w:val="32"/>
          <w:lang w:val="en-US" w:eastAsia="zh-CN"/>
        </w:rPr>
        <w:t>制度了完善的</w:t>
      </w:r>
      <w:r>
        <w:rPr>
          <w:rFonts w:hint="eastAsia" w:ascii="仿宋_GB2312" w:hAnsi="Calibri" w:eastAsia="仿宋_GB2312" w:cs="仿宋"/>
          <w:kern w:val="0"/>
          <w:sz w:val="32"/>
          <w:szCs w:val="32"/>
          <w:lang w:val="zh-CN" w:eastAsia="zh-CN"/>
        </w:rPr>
        <w:t>财务管理制度、财务岗位设置、</w:t>
      </w:r>
      <w:r>
        <w:rPr>
          <w:rFonts w:hint="eastAsia" w:ascii="仿宋_GB2312" w:hAnsi="Calibri" w:eastAsia="仿宋_GB2312" w:cs="仿宋"/>
          <w:kern w:val="0"/>
          <w:sz w:val="32"/>
          <w:szCs w:val="32"/>
          <w:lang w:val="en-US" w:eastAsia="zh-CN"/>
        </w:rPr>
        <w:t>规范了</w:t>
      </w:r>
      <w:r>
        <w:rPr>
          <w:rFonts w:hint="eastAsia" w:ascii="仿宋_GB2312" w:hAnsi="Calibri" w:eastAsia="仿宋_GB2312" w:cs="仿宋"/>
          <w:kern w:val="0"/>
          <w:sz w:val="32"/>
          <w:szCs w:val="32"/>
          <w:lang w:val="zh-CN" w:eastAsia="zh-CN"/>
        </w:rPr>
        <w:t>资金使用</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lang w:val="zh-CN" w:eastAsia="zh-CN"/>
        </w:rPr>
      </w:pPr>
      <w:r>
        <w:rPr>
          <w:rFonts w:hint="eastAsia" w:ascii="楷体_GB2312" w:hAnsi="楷体_GB2312" w:eastAsia="楷体_GB2312" w:cs="楷体_GB2312"/>
          <w:color w:val="000000"/>
          <w:kern w:val="0"/>
          <w:sz w:val="32"/>
          <w:szCs w:val="32"/>
          <w:highlight w:val="none"/>
          <w:shd w:val="clear" w:color="auto" w:fill="FFFFFF"/>
          <w:lang w:val="en-US" w:eastAsia="zh-CN"/>
        </w:rPr>
        <w:t>4.</w:t>
      </w:r>
      <w:r>
        <w:rPr>
          <w:rFonts w:hint="default" w:ascii="楷体_GB2312" w:hAnsi="楷体_GB2312" w:eastAsia="楷体_GB2312" w:cs="楷体_GB2312"/>
          <w:color w:val="000000"/>
          <w:kern w:val="0"/>
          <w:sz w:val="32"/>
          <w:szCs w:val="32"/>
          <w:highlight w:val="none"/>
          <w:shd w:val="clear" w:color="auto" w:fill="FFFFFF"/>
          <w:lang w:val="zh-CN"/>
        </w:rPr>
        <w:t>资产管理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建立资产管理制度，定期进行资产盘点和资产清理，总体执行较好。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5.</w:t>
      </w:r>
      <w:r>
        <w:rPr>
          <w:rFonts w:hint="default" w:ascii="楷体_GB2312" w:hAnsi="楷体_GB2312" w:eastAsia="楷体_GB2312" w:cs="楷体_GB2312"/>
          <w:color w:val="000000"/>
          <w:kern w:val="0"/>
          <w:sz w:val="32"/>
          <w:szCs w:val="32"/>
          <w:highlight w:val="none"/>
          <w:shd w:val="clear" w:color="auto" w:fill="FFFFFF"/>
          <w:lang w:val="zh-CN"/>
        </w:rPr>
        <w:t>采购管理</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en-US" w:eastAsia="zh-CN"/>
        </w:rPr>
        <w:t>建立学校采购管理制度，做好物品入库、领取台账，总体执行较好。</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eastAsia="楷体_GB2312" w:cs="Times New Roman"/>
          <w:b/>
          <w:bCs/>
          <w:color w:val="000000"/>
          <w:kern w:val="0"/>
          <w:sz w:val="32"/>
          <w:szCs w:val="32"/>
          <w:highlight w:val="none"/>
          <w:shd w:val="clear" w:color="auto" w:fill="FFFFFF"/>
          <w:lang w:val="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常年项目绩效分析</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zh-CN" w:eastAsia="zh-CN"/>
        </w:rPr>
        <w:t>该类项目总数</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eastAsia="zh-CN"/>
        </w:rPr>
        <w:t>个，涉及预算总金额</w:t>
      </w:r>
      <w:r>
        <w:rPr>
          <w:rFonts w:hint="eastAsia" w:eastAsia="仿宋_GB2312" w:cs="Times New Roman"/>
          <w:sz w:val="32"/>
          <w:szCs w:val="32"/>
          <w:lang w:val="en-US" w:eastAsia="zh-CN"/>
        </w:rPr>
        <w:t>58.59</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阶段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一次性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项目绩效分析。</w:t>
      </w:r>
      <w:r>
        <w:rPr>
          <w:rFonts w:hint="default" w:ascii="Times New Roman" w:hAnsi="Times New Roman" w:eastAsia="仿宋_GB2312" w:cs="Times New Roman"/>
          <w:sz w:val="32"/>
          <w:szCs w:val="32"/>
          <w:lang w:val="zh-CN" w:eastAsia="zh-CN"/>
        </w:rPr>
        <w:t>该类项目总数</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个，涉及预算总金额</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eastAsia="zh-CN"/>
        </w:rPr>
        <w:t>万元，1</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eastAsia="zh-CN"/>
        </w:rPr>
        <w:t>月预算执行总体进度为</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%，其中：预算结余率大于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eastAsia="zh-CN"/>
        </w:rPr>
        <w:t>的项目共计</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1.</w:t>
      </w:r>
      <w:r>
        <w:rPr>
          <w:rFonts w:hint="eastAsia" w:ascii="楷体_GB2312" w:hAnsi="楷体_GB2312" w:eastAsia="楷体_GB2312" w:cs="楷体_GB2312"/>
          <w:color w:val="000000"/>
          <w:kern w:val="0"/>
          <w:sz w:val="32"/>
          <w:szCs w:val="32"/>
          <w:highlight w:val="none"/>
          <w:shd w:val="clear" w:color="auto" w:fill="FFFFFF"/>
          <w:lang w:val="zh-CN"/>
        </w:rPr>
        <w:t>项目决策。</w:t>
      </w:r>
      <w:r>
        <w:rPr>
          <w:rFonts w:hint="eastAsia" w:ascii="Times New Roman" w:hAnsi="Times New Roman" w:eastAsia="仿宋_GB2312" w:cs="Times New Roman"/>
          <w:sz w:val="32"/>
          <w:szCs w:val="32"/>
          <w:lang w:val="zh-CN" w:eastAsia="zh-CN"/>
        </w:rPr>
        <w:t>围绕决策程序、目标设置、项目入库</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2.项目执行</w:t>
      </w:r>
      <w:r>
        <w:rPr>
          <w:rFonts w:hint="eastAsia" w:ascii="楷体_GB2312" w:hAnsi="楷体_GB2312" w:eastAsia="楷体_GB2312" w:cs="楷体_GB2312"/>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围绕资金执行同向、项目调整、执行结果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楷体_GB2312" w:hAnsi="楷体_GB2312" w:eastAsia="楷体_GB2312" w:cs="楷体_GB2312"/>
          <w:color w:val="000000"/>
          <w:kern w:val="0"/>
          <w:sz w:val="32"/>
          <w:szCs w:val="32"/>
          <w:highlight w:val="none"/>
          <w:shd w:val="clear" w:color="auto" w:fill="FFFFFF"/>
          <w:lang w:val="zh-CN"/>
        </w:rPr>
      </w:pPr>
      <w:r>
        <w:rPr>
          <w:rFonts w:hint="eastAsia" w:ascii="楷体_GB2312" w:hAnsi="楷体_GB2312" w:eastAsia="楷体_GB2312" w:cs="楷体_GB2312"/>
          <w:color w:val="000000"/>
          <w:kern w:val="0"/>
          <w:sz w:val="32"/>
          <w:szCs w:val="32"/>
          <w:highlight w:val="none"/>
          <w:shd w:val="clear" w:color="auto" w:fill="FFFFFF"/>
          <w:lang w:val="en-US" w:eastAsia="zh-CN"/>
        </w:rPr>
        <w:t>3.</w:t>
      </w:r>
      <w:r>
        <w:rPr>
          <w:rFonts w:hint="eastAsia" w:ascii="楷体_GB2312" w:hAnsi="楷体_GB2312" w:eastAsia="楷体_GB2312" w:cs="楷体_GB2312"/>
          <w:color w:val="000000"/>
          <w:kern w:val="0"/>
          <w:sz w:val="32"/>
          <w:szCs w:val="32"/>
          <w:highlight w:val="none"/>
          <w:shd w:val="clear" w:color="auto" w:fill="FFFFFF"/>
          <w:lang w:val="zh-CN"/>
        </w:rPr>
        <w:t>目标实现。</w:t>
      </w:r>
      <w:r>
        <w:rPr>
          <w:rFonts w:hint="eastAsia" w:ascii="Times New Roman" w:hAnsi="Times New Roman" w:eastAsia="仿宋_GB2312" w:cs="Times New Roman"/>
          <w:sz w:val="32"/>
          <w:szCs w:val="32"/>
          <w:lang w:val="zh-CN" w:eastAsia="zh-CN"/>
        </w:rPr>
        <w:t>围绕目标完成、目标偏离、实现效果</w:t>
      </w:r>
      <w:r>
        <w:rPr>
          <w:rFonts w:hint="default" w:ascii="Times New Roman" w:hAnsi="Times New Roman" w:eastAsia="仿宋_GB2312" w:cs="Times New Roman"/>
          <w:sz w:val="32"/>
          <w:szCs w:val="32"/>
          <w:lang w:val="zh-CN" w:eastAsia="zh-CN"/>
        </w:rPr>
        <w:t>进行绩效分析</w:t>
      </w:r>
      <w:r>
        <w:rPr>
          <w:rFonts w:hint="eastAsia" w:ascii="Times New Roman"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Times New Roman"/>
          <w:sz w:val="32"/>
          <w:szCs w:val="32"/>
          <w:highlight w:val="none"/>
          <w:u w:val="none"/>
          <w:lang w:val="en-US" w:eastAsia="zh-CN" w:bidi="ar"/>
        </w:rPr>
        <w:t>无</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（四）绩效结果应用情况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sz w:val="32"/>
          <w:szCs w:val="32"/>
          <w:highlight w:val="none"/>
          <w:u w:val="none"/>
          <w:lang w:val="en-US" w:eastAsia="zh-CN" w:bidi="ar"/>
        </w:rPr>
        <w:t>一是建立评价结果反馈与整改相结合的制度；二是建立评价结果与通报相结合的制度；三是建立评价结果与预算安排相结合的制度；四是建立评价结果公开制度。</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黑体" w:cs="Times New Roman"/>
          <w:color w:val="000000"/>
          <w:kern w:val="0"/>
          <w:sz w:val="32"/>
          <w:szCs w:val="32"/>
          <w:highlight w:val="none"/>
          <w:shd w:val="clear" w:color="auto" w:fill="FFFFFF"/>
          <w:lang w:val="zh-CN"/>
        </w:rPr>
      </w:pPr>
      <w:r>
        <w:rPr>
          <w:rFonts w:hint="default" w:eastAsia="黑体" w:cs="Times New Roman"/>
          <w:color w:val="000000"/>
          <w:kern w:val="0"/>
          <w:sz w:val="32"/>
          <w:szCs w:val="32"/>
          <w:highlight w:val="none"/>
          <w:shd w:val="clear" w:color="auto" w:fill="FFFFFF"/>
          <w:lang w:val="zh-CN" w:eastAsia="zh-CN"/>
        </w:rPr>
        <w:t>四、</w:t>
      </w:r>
      <w:r>
        <w:rPr>
          <w:rFonts w:hint="default"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宋体" w:eastAsia="仿宋_GB2312"/>
          <w:kern w:val="0"/>
          <w:sz w:val="32"/>
        </w:rPr>
        <w:t>通过各项绩效指标评价的结果，反映出部门整体支出、收入、执行及调整等事项安排合理、运行稳健，在投入、过程、产出、工作成就和社会效益等方面都取得了较好成绩。综上所述，项目总评分为</w:t>
      </w:r>
      <w:r>
        <w:rPr>
          <w:rFonts w:hint="eastAsia" w:ascii="仿宋_GB2312" w:hAnsi="宋体" w:eastAsia="仿宋_GB2312"/>
          <w:kern w:val="0"/>
          <w:sz w:val="32"/>
          <w:lang w:val="en-US" w:eastAsia="zh-CN"/>
        </w:rPr>
        <w:t>97</w:t>
      </w:r>
      <w:r>
        <w:rPr>
          <w:rFonts w:hint="eastAsia" w:ascii="仿宋_GB2312" w:hAnsi="宋体" w:eastAsia="仿宋_GB2312"/>
          <w:kern w:val="0"/>
          <w:sz w:val="32"/>
        </w:rPr>
        <w:t>分，评价小组通过综合认定的评价等级为“</w:t>
      </w:r>
      <w:r>
        <w:rPr>
          <w:rFonts w:hint="eastAsia" w:ascii="仿宋_GB2312" w:hAnsi="宋体" w:eastAsia="仿宋_GB2312"/>
          <w:kern w:val="0"/>
          <w:sz w:val="32"/>
          <w:lang w:eastAsia="zh-CN"/>
        </w:rPr>
        <w:t>优</w:t>
      </w:r>
      <w:r>
        <w:rPr>
          <w:rFonts w:hint="eastAsia" w:ascii="仿宋_GB2312" w:hAnsi="宋体" w:eastAsia="仿宋_GB2312"/>
          <w:kern w:val="0"/>
          <w:sz w:val="32"/>
        </w:rPr>
        <w:t>”。</w:t>
      </w:r>
    </w:p>
    <w:p>
      <w:pPr>
        <w:ind w:firstLine="643" w:firstLineChars="200"/>
        <w:rPr>
          <w:rFonts w:hint="eastAsia" w:ascii="仿宋_GB2312" w:hAnsi="仿宋_GB2312" w:eastAsia="仿宋_GB2312"/>
          <w:sz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eastAsia="楷体_GB2312" w:cs="Times New Roman"/>
          <w:b/>
          <w:bCs/>
          <w:color w:val="000000"/>
          <w:kern w:val="0"/>
          <w:sz w:val="32"/>
          <w:szCs w:val="32"/>
          <w:highlight w:val="none"/>
          <w:shd w:val="clear" w:color="auto" w:fill="FFFFFF"/>
          <w:lang w:val="zh-CN"/>
        </w:rPr>
        <w:t>：</w:t>
      </w:r>
      <w:r>
        <w:rPr>
          <w:rFonts w:hint="eastAsia" w:ascii="仿宋_GB2312" w:hAnsi="仿宋_GB2312" w:eastAsia="仿宋_GB2312"/>
          <w:sz w:val="32"/>
        </w:rPr>
        <w:t>一是</w:t>
      </w:r>
      <w:r>
        <w:rPr>
          <w:rFonts w:hint="eastAsia" w:ascii="仿宋_GB2312" w:hAnsi="仿宋_GB2312" w:eastAsia="仿宋_GB2312"/>
          <w:sz w:val="32"/>
          <w:lang w:eastAsia="zh-CN"/>
        </w:rPr>
        <w:t>采购</w:t>
      </w:r>
      <w:r>
        <w:rPr>
          <w:rFonts w:hint="eastAsia" w:ascii="仿宋_GB2312" w:hAnsi="仿宋_GB2312" w:eastAsia="仿宋_GB2312"/>
          <w:sz w:val="32"/>
        </w:rPr>
        <w:t>项目</w:t>
      </w:r>
      <w:r>
        <w:rPr>
          <w:rFonts w:hint="eastAsia" w:ascii="仿宋_GB2312" w:hAnsi="仿宋_GB2312" w:eastAsia="仿宋_GB2312"/>
          <w:sz w:val="32"/>
          <w:lang w:eastAsia="zh-CN"/>
        </w:rPr>
        <w:t>招标工作开展较晚</w:t>
      </w:r>
      <w:r>
        <w:rPr>
          <w:rFonts w:hint="eastAsia" w:ascii="仿宋_GB2312" w:hAnsi="仿宋_GB2312" w:eastAsia="仿宋_GB2312"/>
          <w:sz w:val="32"/>
        </w:rPr>
        <w:t>，造成整体预算</w:t>
      </w:r>
      <w:r>
        <w:rPr>
          <w:rFonts w:hint="eastAsia" w:ascii="仿宋_GB2312" w:hAnsi="仿宋_GB2312" w:eastAsia="仿宋_GB2312"/>
          <w:sz w:val="32"/>
          <w:lang w:eastAsia="zh-CN"/>
        </w:rPr>
        <w:t>下半年支出压力较大</w:t>
      </w:r>
      <w:r>
        <w:rPr>
          <w:rFonts w:hint="eastAsia" w:ascii="仿宋_GB2312" w:hAnsi="仿宋_GB2312" w:eastAsia="仿宋_GB2312"/>
          <w:sz w:val="32"/>
        </w:rPr>
        <w:t>；二是</w:t>
      </w:r>
      <w:r>
        <w:rPr>
          <w:rFonts w:hint="eastAsia" w:ascii="仿宋_GB2312" w:hAnsi="仿宋_GB2312" w:eastAsia="仿宋_GB2312"/>
          <w:sz w:val="32"/>
          <w:lang w:val="en-US" w:eastAsia="zh-CN"/>
        </w:rPr>
        <w:t>资金</w:t>
      </w:r>
      <w:r>
        <w:rPr>
          <w:rFonts w:hint="eastAsia" w:ascii="仿宋_GB2312" w:hAnsi="仿宋_GB2312" w:eastAsia="仿宋_GB2312"/>
          <w:sz w:val="32"/>
        </w:rPr>
        <w:t>支付</w:t>
      </w:r>
      <w:r>
        <w:rPr>
          <w:rFonts w:hint="eastAsia" w:ascii="仿宋_GB2312" w:hAnsi="仿宋_GB2312" w:eastAsia="仿宋_GB2312"/>
          <w:sz w:val="32"/>
          <w:lang w:val="en-US" w:eastAsia="zh-CN"/>
        </w:rPr>
        <w:t>进度</w:t>
      </w:r>
      <w:r>
        <w:rPr>
          <w:rFonts w:hint="eastAsia" w:ascii="仿宋_GB2312" w:hAnsi="仿宋_GB2312" w:eastAsia="仿宋_GB2312"/>
          <w:sz w:val="32"/>
        </w:rPr>
        <w:t>相对较低，造成支付进度率指标评价总体得分不高。</w:t>
      </w:r>
    </w:p>
    <w:p>
      <w:pPr>
        <w:pStyle w:val="36"/>
        <w:ind w:firstLine="643" w:firstLineChars="200"/>
        <w:rPr>
          <w:rFonts w:hint="eastAsia" w:ascii="仿宋_GB2312" w:hAnsi="仿宋_GB2312"/>
          <w:b w:val="0"/>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仿宋_GB2312" w:hAnsi="仿宋_GB2312"/>
          <w:b w:val="0"/>
          <w:shd w:val="clear" w:color="auto" w:fill="FFFFFF"/>
        </w:rPr>
        <w:t>针对存在的绩效问题，在下步工作中：一是根据项目实施进展情况，科学做好年度预算编制工作，并在实施过程中督促加快支出进度；二是制订更为详尽的年度预算支出计划，并督促按计划严格执行，确保</w:t>
      </w:r>
      <w:r>
        <w:rPr>
          <w:rFonts w:hint="eastAsia" w:ascii="仿宋_GB2312" w:hAnsi="仿宋_GB2312"/>
          <w:b w:val="0"/>
          <w:shd w:val="clear" w:color="auto" w:fill="FFFFFF"/>
          <w:lang w:val="en-US" w:eastAsia="zh-CN"/>
        </w:rPr>
        <w:t>各项资金</w:t>
      </w:r>
      <w:r>
        <w:rPr>
          <w:rFonts w:hint="eastAsia" w:ascii="仿宋_GB2312" w:hAnsi="仿宋_GB2312"/>
          <w:b w:val="0"/>
          <w:shd w:val="clear" w:color="auto" w:fill="FFFFFF"/>
        </w:rPr>
        <w:t>支出数达到相对均衡</w:t>
      </w:r>
      <w:r>
        <w:rPr>
          <w:rFonts w:hint="eastAsia" w:ascii="仿宋_GB2312" w:hAnsi="仿宋_GB2312"/>
          <w:b w:val="0"/>
          <w:shd w:val="clear" w:color="auto" w:fill="FFFFFF"/>
          <w:lang w:eastAsia="zh-CN"/>
        </w:rPr>
        <w:t>。</w:t>
      </w:r>
    </w:p>
    <w:p>
      <w:pPr>
        <w:pStyle w:val="36"/>
        <w:ind w:firstLine="640" w:firstLineChars="200"/>
        <w:rPr>
          <w:rFonts w:hint="eastAsia" w:ascii="仿宋_GB2312" w:hAnsi="仿宋_GB2312"/>
          <w:b w:val="0"/>
          <w:shd w:val="clear" w:color="auto" w:fill="FFFFFF"/>
          <w:lang w:val="en-US" w:eastAsia="zh-CN"/>
        </w:rPr>
      </w:pPr>
      <w:r>
        <w:rPr>
          <w:rFonts w:hint="eastAsia" w:ascii="仿宋_GB2312" w:hAnsi="仿宋_GB2312"/>
          <w:b w:val="0"/>
          <w:shd w:val="clear" w:color="auto" w:fill="FFFFFF"/>
          <w:lang w:val="en-US" w:eastAsia="zh-CN"/>
        </w:rPr>
        <w:t>附件：1、部门整体支出绩效自评表</w:t>
      </w:r>
    </w:p>
    <w:p>
      <w:pPr>
        <w:pStyle w:val="36"/>
        <w:keepNext/>
        <w:keepLines/>
        <w:pageBreakBefore w:val="0"/>
        <w:widowControl w:val="0"/>
        <w:kinsoku/>
        <w:wordWrap/>
        <w:overflowPunct/>
        <w:topLinePunct w:val="0"/>
        <w:autoSpaceDE/>
        <w:autoSpaceDN/>
        <w:bidi w:val="0"/>
        <w:adjustRightInd/>
        <w:snapToGrid/>
        <w:spacing w:line="400" w:lineRule="exact"/>
        <w:ind w:firstLine="1600" w:firstLineChars="500"/>
        <w:textAlignment w:val="auto"/>
        <w:rPr>
          <w:rFonts w:hint="default" w:ascii="仿宋_GB2312" w:hAnsi="仿宋_GB2312"/>
          <w:b w:val="0"/>
          <w:shd w:val="clear" w:color="auto" w:fill="FFFFFF"/>
          <w:lang w:val="en-US" w:eastAsia="zh-CN"/>
        </w:rPr>
      </w:pPr>
      <w:r>
        <w:rPr>
          <w:rFonts w:hint="eastAsia" w:ascii="仿宋_GB2312" w:hAnsi="仿宋_GB2312"/>
          <w:b w:val="0"/>
          <w:shd w:val="clear" w:color="auto" w:fill="FFFFFF"/>
          <w:lang w:val="en-US" w:eastAsia="zh-CN"/>
        </w:rPr>
        <w:t>2、部门预算项目支出绩效自评表（2024年度）</w:t>
      </w:r>
    </w:p>
    <w:p>
      <w:pPr>
        <w:pStyle w:val="2"/>
        <w:rPr>
          <w:rFonts w:ascii="仿宋_GB2312" w:hAnsi="仿宋_GB2312" w:eastAsia="仿宋_GB2312" w:cs="仿宋_GB2312"/>
          <w:sz w:val="32"/>
          <w:szCs w:val="32"/>
        </w:rPr>
      </w:pPr>
    </w:p>
    <w:p>
      <w:pPr>
        <w:pStyle w:val="3"/>
        <w:rPr>
          <w:rFonts w:ascii="仿宋_GB2312" w:hAnsi="仿宋_GB2312" w:eastAsia="仿宋_GB2312" w:cs="仿宋_GB2312"/>
          <w:sz w:val="32"/>
          <w:szCs w:val="32"/>
        </w:rPr>
      </w:pPr>
    </w:p>
    <w:tbl>
      <w:tblPr>
        <w:tblStyle w:val="16"/>
        <w:tblpPr w:leftFromText="180" w:rightFromText="180" w:vertAnchor="text" w:horzAnchor="page" w:tblpX="1772" w:tblpY="-542"/>
        <w:tblOverlap w:val="never"/>
        <w:tblW w:w="5000" w:type="pct"/>
        <w:tblInd w:w="0" w:type="dxa"/>
        <w:tblLayout w:type="autofit"/>
        <w:tblCellMar>
          <w:top w:w="0" w:type="dxa"/>
          <w:left w:w="108" w:type="dxa"/>
          <w:bottom w:w="0" w:type="dxa"/>
          <w:right w:w="108" w:type="dxa"/>
        </w:tblCellMar>
      </w:tblPr>
      <w:tblGrid>
        <w:gridCol w:w="699"/>
        <w:gridCol w:w="708"/>
        <w:gridCol w:w="1124"/>
        <w:gridCol w:w="456"/>
        <w:gridCol w:w="1345"/>
        <w:gridCol w:w="3058"/>
        <w:gridCol w:w="585"/>
        <w:gridCol w:w="547"/>
      </w:tblGrid>
      <w:tr>
        <w:tblPrEx>
          <w:tblCellMar>
            <w:top w:w="0" w:type="dxa"/>
            <w:left w:w="108" w:type="dxa"/>
            <w:bottom w:w="0" w:type="dxa"/>
            <w:right w:w="108" w:type="dxa"/>
          </w:tblCellMar>
        </w:tblPrEx>
        <w:trPr>
          <w:trHeight w:val="1335" w:hRule="atLeast"/>
        </w:trPr>
        <w:tc>
          <w:tcPr>
            <w:tcW w:w="5000" w:type="pct"/>
            <w:gridSpan w:val="8"/>
            <w:tcBorders>
              <w:top w:val="nil"/>
              <w:left w:val="nil"/>
              <w:bottom w:val="nil"/>
              <w:right w:val="nil"/>
            </w:tcBorders>
            <w:noWrap w:val="0"/>
            <w:vAlign w:val="center"/>
          </w:tcPr>
          <w:p>
            <w:pPr>
              <w:ind w:firstLine="1280" w:firstLineChars="400"/>
              <w:rPr>
                <w:rFonts w:hint="eastAsia" w:eastAsia="黑体" w:cs="黑体"/>
                <w:kern w:val="0"/>
                <w:sz w:val="32"/>
                <w:szCs w:val="32"/>
                <w:shd w:val="clear" w:color="auto" w:fill="FFFFFF"/>
                <w:lang w:val="zh-CN"/>
              </w:rPr>
            </w:pPr>
          </w:p>
          <w:p>
            <w:pPr>
              <w:ind w:firstLine="1280" w:firstLineChars="400"/>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tblPrEx>
          <w:tblCellMar>
            <w:top w:w="0" w:type="dxa"/>
            <w:left w:w="108" w:type="dxa"/>
            <w:bottom w:w="0" w:type="dxa"/>
            <w:right w:w="108" w:type="dxa"/>
          </w:tblCellMar>
        </w:tblPrEx>
        <w:trPr>
          <w:trHeight w:val="519" w:hRule="atLeast"/>
        </w:trPr>
        <w:tc>
          <w:tcPr>
            <w:tcW w:w="1753" w:type="pct"/>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78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179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343"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319"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tblPrEx>
          <w:tblCellMar>
            <w:top w:w="0" w:type="dxa"/>
            <w:left w:w="108" w:type="dxa"/>
            <w:bottom w:w="0" w:type="dxa"/>
            <w:right w:w="108" w:type="dxa"/>
          </w:tblCellMar>
        </w:tblPrEx>
        <w:trPr>
          <w:trHeight w:val="1248" w:hRule="atLeast"/>
        </w:trPr>
        <w:tc>
          <w:tcPr>
            <w:tcW w:w="410" w:type="pct"/>
            <w:tcBorders>
              <w:top w:val="nil"/>
              <w:left w:val="single" w:color="auto" w:sz="4" w:space="0"/>
              <w:bottom w:val="single" w:color="auto" w:sz="4" w:space="0"/>
              <w:right w:val="nil"/>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416"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659"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267" w:type="pct"/>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78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179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4"/>
              </w:rPr>
            </w:pPr>
          </w:p>
        </w:tc>
        <w:tc>
          <w:tcPr>
            <w:tcW w:w="343"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c>
          <w:tcPr>
            <w:tcW w:w="319"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黑体" w:hAnsi="黑体" w:eastAsia="黑体" w:cs="宋体"/>
                <w:kern w:val="0"/>
                <w:sz w:val="24"/>
              </w:rPr>
            </w:pPr>
          </w:p>
        </w:tc>
      </w:tr>
      <w:tr>
        <w:tblPrEx>
          <w:tblCellMar>
            <w:top w:w="0" w:type="dxa"/>
            <w:left w:w="108" w:type="dxa"/>
            <w:bottom w:w="0" w:type="dxa"/>
            <w:right w:w="108" w:type="dxa"/>
          </w:tblCellMar>
        </w:tblPrEx>
        <w:trPr>
          <w:trHeight w:val="468" w:hRule="atLeast"/>
        </w:trPr>
        <w:tc>
          <w:tcPr>
            <w:tcW w:w="410"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6"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65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人才培养</w:t>
            </w:r>
          </w:p>
        </w:tc>
        <w:tc>
          <w:tcPr>
            <w:tcW w:w="267"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89"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评价学校在人才培养、科学研究、社会服务、文化传承等核心职能方面的效果。</w:t>
            </w:r>
          </w:p>
        </w:tc>
        <w:tc>
          <w:tcPr>
            <w:tcW w:w="1794" w:type="pct"/>
            <w:vMerge w:val="restart"/>
            <w:tcBorders>
              <w:top w:val="nil"/>
              <w:left w:val="single" w:color="auto" w:sz="4" w:space="0"/>
              <w:bottom w:val="nil"/>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人才方面：完成学前教育及小学阶段招送生；教学质量方面：课程建设成果，教研成果，师生满意度等；科学研究方面：教研经费的保障，教学论文的发表等。</w:t>
            </w:r>
          </w:p>
        </w:tc>
        <w:tc>
          <w:tcPr>
            <w:tcW w:w="343" w:type="pct"/>
            <w:vMerge w:val="restart"/>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319"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教学质量</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科学研究</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68"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社会服务</w:t>
            </w: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87"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p>
        </w:tc>
        <w:tc>
          <w:tcPr>
            <w:tcW w:w="267"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78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1794"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c>
          <w:tcPr>
            <w:tcW w:w="343" w:type="pct"/>
            <w:vMerge w:val="continue"/>
            <w:tcBorders>
              <w:top w:val="nil"/>
              <w:left w:val="single" w:color="auto" w:sz="4" w:space="0"/>
              <w:bottom w:val="nil"/>
              <w:right w:val="single" w:color="auto" w:sz="4" w:space="0"/>
            </w:tcBorders>
            <w:noWrap w:val="0"/>
            <w:vAlign w:val="center"/>
          </w:tcPr>
          <w:p>
            <w:pPr>
              <w:widowControl/>
              <w:jc w:val="left"/>
              <w:rPr>
                <w:rFonts w:hint="eastAsia" w:ascii="宋体" w:hAnsi="宋体" w:cs="宋体"/>
                <w:color w:val="000000"/>
                <w:kern w:val="0"/>
                <w:sz w:val="18"/>
                <w:szCs w:val="18"/>
              </w:rPr>
            </w:pPr>
          </w:p>
        </w:tc>
        <w:tc>
          <w:tcPr>
            <w:tcW w:w="319"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36"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证明预算编制科学、精准。</w:t>
            </w:r>
          </w:p>
        </w:tc>
        <w:tc>
          <w:tcPr>
            <w:tcW w:w="1794"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预算编制充分征求各部门意见，经过两上两下程序，预算项目均经过事前绩效评估，与学校年度工作计划紧密相连。</w:t>
            </w:r>
          </w:p>
        </w:tc>
        <w:tc>
          <w:tcPr>
            <w:tcW w:w="343"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319"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215"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预算执行的及时性</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全年的预算执行率数据1-6月执行率50%，1-9月执行率75%，全年执行率</w:t>
            </w:r>
            <w:r>
              <w:rPr>
                <w:rFonts w:hint="eastAsia" w:ascii="宋体" w:hAnsi="宋体" w:cs="宋体"/>
                <w:color w:val="000000"/>
                <w:kern w:val="0"/>
                <w:sz w:val="18"/>
                <w:szCs w:val="18"/>
                <w:lang w:val="en-US" w:eastAsia="zh-CN"/>
              </w:rPr>
              <w:t>100</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44"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179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年终无结余</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8</w:t>
            </w: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981"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对三公经费的严控度</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“严格执行‘过紧日子’要求，202</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年‘三公’经费零支出。</w:t>
            </w:r>
            <w:r>
              <w:rPr>
                <w:rFonts w:hint="eastAsia" w:ascii="宋体" w:hAnsi="宋体" w:cs="宋体"/>
                <w:color w:val="000000"/>
                <w:kern w:val="0"/>
                <w:sz w:val="18"/>
                <w:szCs w:val="18"/>
                <w:lang w:val="en-US" w:eastAsia="zh-CN"/>
              </w:rPr>
              <w:t>与2023年持平。</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9"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029"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59"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267"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反映资产配置效率。</w:t>
            </w:r>
          </w:p>
        </w:tc>
        <w:tc>
          <w:tcPr>
            <w:tcW w:w="1794" w:type="pct"/>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计算总资产 / 教职工人数，与上年对比，合理增</w:t>
            </w:r>
            <w:r>
              <w:rPr>
                <w:rFonts w:hint="eastAsia" w:ascii="宋体" w:hAnsi="宋体" w:cs="宋体"/>
                <w:color w:val="000000"/>
                <w:kern w:val="0"/>
                <w:sz w:val="18"/>
                <w:szCs w:val="18"/>
                <w:lang w:val="en-US" w:eastAsia="zh-CN"/>
              </w:rPr>
              <w:t>长。</w:t>
            </w:r>
          </w:p>
        </w:tc>
        <w:tc>
          <w:tcPr>
            <w:tcW w:w="343"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9"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71"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267" w:type="pct"/>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反映资产的使用情况</w:t>
            </w:r>
          </w:p>
        </w:tc>
        <w:tc>
          <w:tcPr>
            <w:tcW w:w="1794" w:type="pct"/>
            <w:tcBorders>
              <w:top w:val="nil"/>
              <w:left w:val="nil"/>
              <w:bottom w:val="single" w:color="000000" w:sz="4" w:space="0"/>
              <w:right w:val="single" w:color="000000"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学校对教学设备的使用情况及周期合理</w:t>
            </w:r>
          </w:p>
        </w:tc>
        <w:tc>
          <w:tcPr>
            <w:tcW w:w="343" w:type="pc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741" w:hRule="atLeast"/>
        </w:trPr>
        <w:tc>
          <w:tcPr>
            <w:tcW w:w="410"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416"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65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267"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1794" w:type="pct"/>
            <w:tcBorders>
              <w:top w:val="single" w:color="auto" w:sz="4" w:space="0"/>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无闲置资产</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01"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采购中专门对中小企业的扶持</w:t>
            </w:r>
          </w:p>
        </w:tc>
        <w:tc>
          <w:tcPr>
            <w:tcW w:w="179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2024年在832平台支持中小企业购物达标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9"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450"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无采购</w:t>
            </w:r>
          </w:p>
        </w:tc>
        <w:tc>
          <w:tcPr>
            <w:tcW w:w="1794"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无政府采购</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319"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805" w:hRule="atLeast"/>
        </w:trPr>
        <w:tc>
          <w:tcPr>
            <w:tcW w:w="410"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416" w:type="pct"/>
            <w:vMerge w:val="restart"/>
            <w:tcBorders>
              <w:top w:val="nil"/>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所有项目均经过</w:t>
            </w:r>
            <w:r>
              <w:rPr>
                <w:rFonts w:hint="eastAsia" w:ascii="宋体" w:hAnsi="宋体" w:cs="宋体"/>
                <w:color w:val="000000"/>
                <w:kern w:val="0"/>
                <w:sz w:val="18"/>
                <w:szCs w:val="18"/>
                <w:lang w:val="en-US" w:eastAsia="zh-CN"/>
              </w:rPr>
              <w:t>支部</w:t>
            </w:r>
            <w:r>
              <w:rPr>
                <w:rFonts w:hint="eastAsia" w:ascii="宋体" w:hAnsi="宋体" w:cs="宋体"/>
                <w:color w:val="000000"/>
                <w:kern w:val="0"/>
                <w:sz w:val="18"/>
                <w:szCs w:val="18"/>
              </w:rPr>
              <w:t>会审议</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3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项目申报书均设置了清晰、量化、可衡量的绩效目标</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41"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证明项目立项规范、目标明确</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项目均已纳入学校项目库管理，实行常态化申报和滚动管理</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项目资金使用与预算批复用途一致，无挪用。</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102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nil"/>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如需调整，是否履行了规范的内部审批和报备程序</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如需调整，</w:t>
            </w:r>
            <w:r>
              <w:rPr>
                <w:rFonts w:hint="eastAsia" w:ascii="宋体" w:hAnsi="宋体" w:cs="宋体"/>
                <w:color w:val="000000"/>
                <w:kern w:val="0"/>
                <w:sz w:val="18"/>
                <w:szCs w:val="18"/>
                <w:lang w:val="en-US" w:eastAsia="zh-CN"/>
              </w:rPr>
              <w:t>均</w:t>
            </w:r>
            <w:r>
              <w:rPr>
                <w:rFonts w:hint="eastAsia" w:ascii="宋体" w:hAnsi="宋体" w:cs="宋体"/>
                <w:color w:val="000000"/>
                <w:kern w:val="0"/>
                <w:sz w:val="18"/>
                <w:szCs w:val="18"/>
              </w:rPr>
              <w:t>履行了规范的内部审批和报备程序</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64"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nil"/>
              <w:right w:val="single" w:color="auto" w:sz="4" w:space="0"/>
            </w:tcBorders>
            <w:noWrap w:val="0"/>
            <w:vAlign w:val="center"/>
          </w:tcPr>
          <w:p>
            <w:pPr>
              <w:widowControl/>
              <w:jc w:val="left"/>
              <w:rPr>
                <w:rFonts w:ascii="宋体" w:hAnsi="宋体" w:cs="宋体"/>
                <w:b/>
                <w:bCs/>
                <w:kern w:val="0"/>
                <w:sz w:val="24"/>
              </w:rPr>
            </w:pPr>
          </w:p>
        </w:tc>
        <w:tc>
          <w:tcPr>
            <w:tcW w:w="659" w:type="pct"/>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项目执行率</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项目执行率达</w:t>
            </w:r>
            <w:r>
              <w:rPr>
                <w:rFonts w:hint="eastAsia" w:ascii="宋体" w:hAnsi="宋体" w:cs="宋体"/>
                <w:color w:val="000000"/>
                <w:kern w:val="0"/>
                <w:sz w:val="18"/>
                <w:szCs w:val="18"/>
                <w:lang w:val="en-US" w:eastAsia="zh-CN"/>
              </w:rPr>
              <w:t>到</w:t>
            </w:r>
            <w:r>
              <w:rPr>
                <w:rFonts w:hint="eastAsia" w:ascii="宋体" w:hAnsi="宋体" w:cs="宋体"/>
                <w:color w:val="000000"/>
                <w:kern w:val="0"/>
                <w:sz w:val="18"/>
                <w:szCs w:val="18"/>
              </w:rPr>
              <w:t>100%</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目标完成率</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基建项目：按时完工、验收合格。设备采购项目：按时采购安装到位、设备运行良好。科研项目：</w:t>
            </w:r>
            <w:r>
              <w:rPr>
                <w:rFonts w:hint="eastAsia" w:ascii="宋体" w:hAnsi="宋体" w:cs="宋体"/>
                <w:color w:val="000000"/>
                <w:kern w:val="0"/>
                <w:sz w:val="18"/>
                <w:szCs w:val="18"/>
                <w:lang w:val="en-US" w:eastAsia="zh-CN"/>
              </w:rPr>
              <w:t>教师</w:t>
            </w:r>
            <w:r>
              <w:rPr>
                <w:rFonts w:hint="eastAsia" w:ascii="宋体" w:hAnsi="宋体" w:cs="宋体"/>
                <w:color w:val="000000"/>
                <w:kern w:val="0"/>
                <w:sz w:val="18"/>
                <w:szCs w:val="18"/>
              </w:rPr>
              <w:t>发表了论文。培训项目：完成了计划培训人次、学员满意度</w:t>
            </w:r>
            <w:r>
              <w:rPr>
                <w:rFonts w:hint="eastAsia" w:ascii="宋体" w:hAnsi="宋体" w:cs="宋体"/>
                <w:color w:val="000000"/>
                <w:kern w:val="0"/>
                <w:sz w:val="18"/>
                <w:szCs w:val="18"/>
                <w:lang w:eastAsia="zh-CN"/>
              </w:rPr>
              <w:t>高</w:t>
            </w:r>
            <w:r>
              <w:rPr>
                <w:rFonts w:hint="eastAsia" w:ascii="宋体" w:hAnsi="宋体" w:cs="宋体"/>
                <w:color w:val="000000"/>
                <w:kern w:val="0"/>
                <w:sz w:val="18"/>
                <w:szCs w:val="18"/>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909"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项目结果与预期目标有无重大偏差</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项目结果与预期目标无重大偏差</w:t>
            </w:r>
            <w:r>
              <w:rPr>
                <w:rFonts w:hint="eastAsia" w:ascii="宋体" w:hAnsi="宋体" w:cs="宋体"/>
                <w:color w:val="000000"/>
                <w:kern w:val="0"/>
                <w:sz w:val="18"/>
                <w:szCs w:val="18"/>
                <w:lang w:eastAsia="zh-CN"/>
              </w:rPr>
              <w:t>。</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带来的长远效益</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项目带来的长远效益。</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80" w:hRule="atLeast"/>
        </w:trPr>
        <w:tc>
          <w:tcPr>
            <w:tcW w:w="410" w:type="pct"/>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416" w:type="pct"/>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有健全的财务制度</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学校有健全的财务制度</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0"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合理</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岗位设置合理</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705"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416" w:type="pct"/>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4"/>
              </w:rPr>
            </w:pPr>
          </w:p>
        </w:tc>
        <w:tc>
          <w:tcPr>
            <w:tcW w:w="65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w:t>
            </w:r>
            <w:r>
              <w:rPr>
                <w:rFonts w:hint="eastAsia" w:ascii="宋体" w:hAnsi="宋体" w:cs="宋体"/>
                <w:color w:val="000000"/>
                <w:kern w:val="0"/>
                <w:sz w:val="18"/>
                <w:szCs w:val="18"/>
                <w:lang w:val="en-US" w:eastAsia="zh-CN"/>
              </w:rPr>
              <w:t>是否</w:t>
            </w:r>
            <w:r>
              <w:rPr>
                <w:rFonts w:hint="eastAsia" w:ascii="宋体" w:hAnsi="宋体" w:cs="宋体"/>
                <w:color w:val="000000"/>
                <w:kern w:val="0"/>
                <w:sz w:val="18"/>
                <w:szCs w:val="18"/>
              </w:rPr>
              <w:t>规范</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　</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06"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1076"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无</w:t>
            </w:r>
          </w:p>
        </w:tc>
        <w:tc>
          <w:tcPr>
            <w:tcW w:w="343"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0</w:t>
            </w:r>
            <w:r>
              <w:rPr>
                <w:rFonts w:hint="eastAsia" w:ascii="宋体" w:hAnsi="宋体" w:cs="宋体"/>
                <w:color w:val="000000"/>
                <w:kern w:val="0"/>
                <w:sz w:val="18"/>
                <w:szCs w:val="18"/>
              </w:rPr>
              <w:t>　</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840" w:hRule="atLeast"/>
        </w:trPr>
        <w:tc>
          <w:tcPr>
            <w:tcW w:w="410" w:type="pct"/>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b/>
                <w:bCs/>
                <w:kern w:val="0"/>
                <w:sz w:val="24"/>
              </w:rPr>
            </w:pPr>
          </w:p>
        </w:tc>
        <w:tc>
          <w:tcPr>
            <w:tcW w:w="1076" w:type="pct"/>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267"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89" w:type="pct"/>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是否配合财政部门评价</w:t>
            </w:r>
          </w:p>
        </w:tc>
        <w:tc>
          <w:tcPr>
            <w:tcW w:w="1794" w:type="pct"/>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在财政重点绩效评价中，学校提供材料及时、配合调研。</w:t>
            </w:r>
          </w:p>
        </w:tc>
        <w:tc>
          <w:tcPr>
            <w:tcW w:w="343" w:type="pct"/>
            <w:tcBorders>
              <w:top w:val="nil"/>
              <w:left w:val="nil"/>
              <w:bottom w:val="single" w:color="auto" w:sz="4" w:space="0"/>
              <w:right w:val="single" w:color="auto" w:sz="4" w:space="0"/>
            </w:tcBorders>
            <w:noWrap w:val="0"/>
            <w:vAlign w:val="center"/>
          </w:tcPr>
          <w:p>
            <w:pPr>
              <w:widowControl/>
              <w:jc w:val="left"/>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319" w:type="pct"/>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39" w:hRule="atLeast"/>
        </w:trPr>
        <w:tc>
          <w:tcPr>
            <w:tcW w:w="1486" w:type="pct"/>
            <w:gridSpan w:val="3"/>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267"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89"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94" w:type="pct"/>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43" w:type="pct"/>
            <w:tcBorders>
              <w:top w:val="nil"/>
              <w:left w:val="nil"/>
              <w:bottom w:val="single" w:color="auto" w:sz="4" w:space="0"/>
              <w:right w:val="single" w:color="auto" w:sz="4" w:space="0"/>
            </w:tcBorders>
            <w:noWrap/>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319" w:type="pct"/>
            <w:tcBorders>
              <w:top w:val="nil"/>
              <w:left w:val="nil"/>
              <w:bottom w:val="single" w:color="auto" w:sz="4" w:space="0"/>
              <w:right w:val="single" w:color="auto" w:sz="4" w:space="0"/>
            </w:tcBorders>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pPr>
        <w:ind w:firstLine="1260" w:firstLineChars="600"/>
        <w:rPr>
          <w:b w:val="0"/>
          <w:bCs w:val="0"/>
        </w:rPr>
      </w:pPr>
      <w:bookmarkStart w:id="57" w:name="_Toc15396618"/>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62"/>
        <w:gridCol w:w="15"/>
        <w:gridCol w:w="707"/>
        <w:gridCol w:w="28"/>
        <w:gridCol w:w="1182"/>
        <w:gridCol w:w="54"/>
        <w:gridCol w:w="342"/>
        <w:gridCol w:w="54"/>
        <w:gridCol w:w="784"/>
        <w:gridCol w:w="72"/>
        <w:gridCol w:w="324"/>
        <w:gridCol w:w="72"/>
        <w:gridCol w:w="756"/>
        <w:gridCol w:w="19"/>
        <w:gridCol w:w="467"/>
        <w:gridCol w:w="23"/>
        <w:gridCol w:w="463"/>
        <w:gridCol w:w="23"/>
        <w:gridCol w:w="1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500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496"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8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5"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9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9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7.24</w:t>
            </w: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产出指标</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数量指标</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审核贫困学生情况</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效益指标</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5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宋体" w:hAnsi="宋体" w:eastAsia="宋体" w:cs="宋体"/>
                <w:i w:val="0"/>
                <w:iCs w:val="0"/>
                <w:color w:val="000000"/>
                <w:kern w:val="0"/>
                <w:sz w:val="18"/>
                <w:szCs w:val="18"/>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24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项目负责人：彭勇军</w:t>
            </w:r>
          </w:p>
        </w:tc>
        <w:tc>
          <w:tcPr>
            <w:tcW w:w="2586"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000"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64"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51090422T000007203223-校舍维修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44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6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80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64"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26.00</w:t>
            </w:r>
          </w:p>
        </w:tc>
        <w:tc>
          <w:tcPr>
            <w:tcW w:w="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20.75</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79.81%</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产出指标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数量指标</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项目全部落实到位</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100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1"/>
                <w:szCs w:val="11"/>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30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30</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效益指标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及时支付资金</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100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1"/>
                <w:szCs w:val="11"/>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40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40</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7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服务对象满意度</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社会及学生满意率</w:t>
            </w:r>
          </w:p>
        </w:tc>
        <w:tc>
          <w:tcPr>
            <w:tcW w:w="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95</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1"/>
                <w:szCs w:val="11"/>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lang w:val="en-US" w:eastAsia="zh-CN" w:bidi="ar"/>
              </w:rPr>
              <w:t>20</w:t>
            </w:r>
          </w:p>
        </w:tc>
        <w:tc>
          <w:tcPr>
            <w:tcW w:w="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1"/>
                <w:szCs w:val="11"/>
                <w:u w:val="none"/>
                <w:lang w:val="en-US" w:eastAsia="zh-CN" w:bidi="ar"/>
              </w:rPr>
              <w:t>20</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42"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改善了学校办学条件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4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项目负责人：彭勇军</w:t>
            </w:r>
          </w:p>
        </w:tc>
        <w:tc>
          <w:tcPr>
            <w:tcW w:w="2555"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财务负责人：彭勇军</w:t>
            </w:r>
          </w:p>
        </w:tc>
      </w:tr>
    </w:tbl>
    <w:tbl>
      <w:tblPr>
        <w:tblStyle w:val="16"/>
        <w:tblpPr w:leftFromText="180" w:rightFromText="180" w:vertAnchor="text" w:horzAnchor="page" w:tblpX="1792" w:tblpY="319"/>
        <w:tblOverlap w:val="never"/>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75"/>
        <w:gridCol w:w="740"/>
        <w:gridCol w:w="1230"/>
        <w:gridCol w:w="398"/>
        <w:gridCol w:w="864"/>
        <w:gridCol w:w="396"/>
        <w:gridCol w:w="758"/>
        <w:gridCol w:w="486"/>
        <w:gridCol w:w="487"/>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51090423T000008612092-义务教育课后服务支出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442"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利用课后时间为学生提供的自愿选择的、公益性服务。</w:t>
            </w:r>
          </w:p>
        </w:tc>
        <w:tc>
          <w:tcPr>
            <w:tcW w:w="18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激发学习兴趣，发展个性特长，丰富校园生活，促进学生全面发展，解决家长后顾之忧。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进一步增强教育服务能力、使人民群众具有更多获得感和幸福感，利用放学后时间组织学生参加丰富多彩的兴趣小组活动，激发学习兴趣，发展个性特长。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w:t>
            </w:r>
          </w:p>
        </w:tc>
        <w:tc>
          <w:tcPr>
            <w:tcW w:w="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71.18%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义务教育在校生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义务教育在校生</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进一步增强教育服务能力、使人民群众具有更多获得感和幸福感，利用放学后时间组织学生参加丰富多彩的兴趣小组活动，激发学习兴趣，发展个性特长，丰富校园生活，促进学生全面发展，解决家长后顾之忧</w:t>
            </w:r>
            <w:r>
              <w:rPr>
                <w:rFonts w:hint="eastAsia" w:ascii="微软雅黑" w:hAnsi="微软雅黑" w:eastAsia="微软雅黑" w:cs="微软雅黑"/>
                <w:i/>
                <w:iCs/>
                <w:color w:val="000000"/>
                <w:kern w:val="0"/>
                <w:sz w:val="16"/>
                <w:szCs w:val="1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学生课后服务形式单一。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利用放学后时间组织学生参加丰富多彩的兴趣小组活动，激发学习兴趣，发展个性特长，丰富校园生活，促进学生全面发展，解决家长后顾之忧。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24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项目负责人：彭勇军</w:t>
            </w:r>
          </w:p>
        </w:tc>
        <w:tc>
          <w:tcPr>
            <w:tcW w:w="25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财务负责人：彭勇军</w:t>
            </w:r>
          </w:p>
        </w:tc>
      </w:tr>
    </w:tbl>
    <w:p/>
    <w:p>
      <w:pPr>
        <w:ind w:firstLine="1260" w:firstLineChars="600"/>
      </w:pPr>
    </w:p>
    <w:tbl>
      <w:tblPr>
        <w:tblStyle w:val="16"/>
        <w:tblW w:w="50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58"/>
        <w:gridCol w:w="18"/>
        <w:gridCol w:w="695"/>
        <w:gridCol w:w="37"/>
        <w:gridCol w:w="1166"/>
        <w:gridCol w:w="63"/>
        <w:gridCol w:w="336"/>
        <w:gridCol w:w="65"/>
        <w:gridCol w:w="781"/>
        <w:gridCol w:w="89"/>
        <w:gridCol w:w="307"/>
        <w:gridCol w:w="89"/>
        <w:gridCol w:w="756"/>
        <w:gridCol w:w="7"/>
        <w:gridCol w:w="481"/>
        <w:gridCol w:w="5"/>
        <w:gridCol w:w="48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51090424T000010666685-城乡义务教育-综合奖补资金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10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443"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2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促进学校健康发展，提高预算编制质量，严格执行预算，减少结余资金。</w:t>
            </w:r>
          </w:p>
        </w:tc>
        <w:tc>
          <w:tcPr>
            <w:tcW w:w="184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2"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严格执行预算，及时申请支付资金，促进学校健康发展。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28.97</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27.52%</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28.97</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27.52%</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产出指标</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数量指标</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项目全部落实到位</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3"/>
                <w:szCs w:val="13"/>
                <w:u w:val="none"/>
                <w:lang w:val="en-US" w:eastAsia="zh-CN" w:bidi="ar"/>
              </w:rPr>
              <w:t>100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30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3"/>
                <w:szCs w:val="13"/>
                <w:u w:val="none"/>
                <w:lang w:val="en-US" w:eastAsia="zh-CN" w:bidi="ar"/>
              </w:rPr>
              <w:t>30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效益指标</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3"/>
                <w:szCs w:val="13"/>
                <w:u w:val="none"/>
                <w:lang w:val="en-US" w:eastAsia="zh-CN" w:bidi="ar"/>
              </w:rPr>
              <w:t>100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3"/>
                <w:szCs w:val="13"/>
                <w:u w:val="none"/>
                <w:lang w:val="en-US" w:eastAsia="zh-CN" w:bidi="ar"/>
              </w:rPr>
              <w:t>40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4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95</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3"/>
                <w:szCs w:val="13"/>
                <w:u w:val="none"/>
                <w:lang w:val="en-US" w:eastAsia="zh-CN" w:bidi="ar"/>
              </w:rPr>
              <w:t>100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3"/>
                <w:szCs w:val="13"/>
                <w:u w:val="none"/>
                <w:lang w:val="en-US" w:eastAsia="zh-CN" w:bidi="ar"/>
              </w:rPr>
              <w:t>20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98"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促进学校健康发展</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改善了学校办学条件</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241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项目负责人：彭勇军</w:t>
            </w:r>
          </w:p>
        </w:tc>
        <w:tc>
          <w:tcPr>
            <w:tcW w:w="25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000" w:type="pct"/>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83"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0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0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遂宁市安居区中兴镇初级中学校部门</w:t>
            </w:r>
          </w:p>
        </w:tc>
        <w:tc>
          <w:tcPr>
            <w:tcW w:w="499"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遂宁市安居区中兴镇初级中学校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0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9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8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保障了学校家庭经济困难学生正常入学，减轻其家庭经济负担。</w:t>
            </w:r>
          </w:p>
        </w:tc>
        <w:tc>
          <w:tcPr>
            <w:tcW w:w="1896"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保障了学校家庭经济困难学生正常入学，减轻其家庭经济负担。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83"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加强民生资金专项管理，提高民生资金使用效益，确保专款专用，按程序及时兑现给学生（或监护人），及时报送资助政策落实情况及相关资料。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w:t>
            </w:r>
          </w:p>
        </w:tc>
        <w:tc>
          <w:tcPr>
            <w:tcW w:w="9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w:t>
            </w:r>
          </w:p>
        </w:tc>
        <w:tc>
          <w:tcPr>
            <w:tcW w:w="9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5.55</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产出指标</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数量指标</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审核贫困学生情况</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效益指标</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及时支付资金</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满意度指标</w:t>
            </w:r>
          </w:p>
        </w:tc>
        <w:tc>
          <w:tcPr>
            <w:tcW w:w="4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服务对象满意度</w:t>
            </w:r>
          </w:p>
        </w:tc>
        <w:tc>
          <w:tcPr>
            <w:tcW w:w="7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3"/>
                <w:szCs w:val="13"/>
                <w:u w:val="none"/>
                <w:lang w:val="en-US" w:eastAsia="zh-CN" w:bidi="ar"/>
              </w:rPr>
              <w:t>社会及学生满意率</w:t>
            </w:r>
          </w:p>
        </w:tc>
        <w:tc>
          <w:tcPr>
            <w:tcW w:w="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100</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02"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及时有效把困难学生生活补助发放到学生，贯彻了中央，省市县精准脱贫工作部署安排，做到了贫困学生全覆盖。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学校宣传力度不够，宣传方式单一，资助过程不够完善。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加大宣传力度，让学生家长更好了解资助政策。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237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项目负责人：彭勇军</w:t>
            </w:r>
          </w:p>
        </w:tc>
        <w:tc>
          <w:tcPr>
            <w:tcW w:w="262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财务负责人：彭勇军</w:t>
            </w:r>
          </w:p>
        </w:tc>
      </w:tr>
    </w:tbl>
    <w:p/>
    <w:p>
      <w:pPr>
        <w:spacing w:line="600" w:lineRule="exact"/>
        <w:ind w:firstLine="2200" w:firstLineChars="500"/>
        <w:jc w:val="both"/>
        <w:outlineLvl w:val="0"/>
        <w:rPr>
          <w:rFonts w:hint="eastAsia" w:ascii="黑体" w:hAnsi="黑体" w:eastAsia="黑体"/>
          <w:sz w:val="44"/>
          <w:szCs w:val="44"/>
        </w:rPr>
      </w:pPr>
    </w:p>
    <w:p>
      <w:pPr>
        <w:pStyle w:val="3"/>
        <w:ind w:left="0" w:leftChars="0" w:firstLine="0" w:firstLineChars="0"/>
        <w:rPr>
          <w:rFonts w:hint="eastAsia"/>
        </w:rPr>
      </w:pPr>
    </w:p>
    <w:p>
      <w:pPr>
        <w:spacing w:line="600" w:lineRule="exact"/>
        <w:ind w:firstLine="2200" w:firstLineChars="500"/>
        <w:jc w:val="both"/>
        <w:outlineLvl w:val="0"/>
        <w:rPr>
          <w:rFonts w:hint="eastAsia" w:ascii="黑体" w:hAnsi="黑体" w:eastAsia="黑体"/>
          <w:sz w:val="44"/>
          <w:szCs w:val="44"/>
        </w:rPr>
      </w:pPr>
    </w:p>
    <w:p>
      <w:pPr>
        <w:spacing w:line="600" w:lineRule="exact"/>
        <w:ind w:firstLine="2200" w:firstLineChars="500"/>
        <w:jc w:val="both"/>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ind w:firstLine="2200" w:firstLineChars="500"/>
        <w:jc w:val="both"/>
        <w:outlineLvl w:val="0"/>
        <w:rPr>
          <w:rFonts w:hint="eastAsia" w:ascii="黑体" w:hAnsi="黑体" w:eastAsia="黑体"/>
          <w:sz w:val="44"/>
          <w:szCs w:val="44"/>
        </w:rPr>
      </w:pPr>
    </w:p>
    <w:p>
      <w:pPr>
        <w:spacing w:line="600" w:lineRule="exact"/>
        <w:ind w:firstLine="2200" w:firstLineChars="500"/>
        <w:jc w:val="both"/>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 xml:space="preserve">五部分 </w:t>
      </w:r>
      <w:r>
        <w:rPr>
          <w:rStyle w:val="29"/>
          <w:rFonts w:hint="eastAsia" w:ascii="黑体" w:hAnsi="黑体" w:eastAsia="黑体"/>
          <w:b w:val="0"/>
          <w:lang w:val="en-US" w:eastAsia="zh-CN"/>
        </w:rPr>
        <w:t xml:space="preserve">  </w:t>
      </w:r>
      <w:r>
        <w:rPr>
          <w:rStyle w:val="29"/>
          <w:rFonts w:hint="eastAsia" w:ascii="黑体" w:hAnsi="黑体" w:eastAsia="黑体"/>
          <w:b w:val="0"/>
        </w:rPr>
        <w:t>附表</w:t>
      </w:r>
      <w:bookmarkEnd w:id="56"/>
      <w:bookmarkEnd w:id="57"/>
      <w:bookmarkStart w:id="58" w:name="_Toc15396619"/>
    </w:p>
    <w:p>
      <w:pPr>
        <w:pStyle w:val="6"/>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8"/>
    </w:p>
    <w:p>
      <w:pPr>
        <w:pStyle w:val="6"/>
        <w:rPr>
          <w:rFonts w:ascii="仿宋" w:hAnsi="仿宋" w:eastAsia="仿宋"/>
        </w:rPr>
      </w:pPr>
      <w:bookmarkStart w:id="59" w:name="_Toc15396620"/>
      <w:r>
        <w:rPr>
          <w:rFonts w:hint="eastAsia" w:ascii="仿宋" w:hAnsi="仿宋" w:eastAsia="仿宋"/>
          <w:b w:val="0"/>
        </w:rPr>
        <w:t>二、收</w:t>
      </w:r>
      <w:r>
        <w:rPr>
          <w:rStyle w:val="30"/>
          <w:rFonts w:hint="eastAsia" w:ascii="仿宋" w:hAnsi="仿宋" w:eastAsia="仿宋"/>
          <w:b w:val="0"/>
          <w:bCs w:val="0"/>
        </w:rPr>
        <w:t>入决算表</w:t>
      </w:r>
      <w:bookmarkEnd w:id="59"/>
    </w:p>
    <w:p>
      <w:pPr>
        <w:pStyle w:val="6"/>
        <w:rPr>
          <w:rFonts w:ascii="仿宋" w:hAnsi="仿宋" w:eastAsia="仿宋"/>
        </w:rPr>
      </w:pPr>
      <w:bookmarkStart w:id="60"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60"/>
    </w:p>
    <w:p>
      <w:pPr>
        <w:pStyle w:val="6"/>
        <w:rPr>
          <w:rFonts w:ascii="仿宋" w:hAnsi="仿宋" w:eastAsia="仿宋"/>
          <w:b w:val="0"/>
        </w:rPr>
      </w:pPr>
      <w:bookmarkStart w:id="6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61"/>
    </w:p>
    <w:p>
      <w:pPr>
        <w:pStyle w:val="6"/>
        <w:rPr>
          <w:rStyle w:val="30"/>
          <w:rFonts w:ascii="仿宋" w:hAnsi="仿宋" w:eastAsia="仿宋"/>
          <w:b w:val="0"/>
          <w:bCs w:val="0"/>
        </w:rPr>
      </w:pPr>
      <w:bookmarkStart w:id="62"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2"/>
      <w:bookmarkStart w:id="63" w:name="_Toc15396624"/>
    </w:p>
    <w:p>
      <w:pPr>
        <w:pStyle w:val="6"/>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3"/>
    </w:p>
    <w:p>
      <w:pPr>
        <w:pStyle w:val="6"/>
        <w:rPr>
          <w:rFonts w:ascii="仿宋" w:hAnsi="仿宋" w:eastAsia="仿宋"/>
        </w:rPr>
      </w:pPr>
      <w:bookmarkStart w:id="64"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4"/>
    </w:p>
    <w:p>
      <w:pPr>
        <w:pStyle w:val="6"/>
        <w:rPr>
          <w:rFonts w:ascii="仿宋" w:hAnsi="仿宋" w:eastAsia="仿宋"/>
        </w:rPr>
      </w:pPr>
      <w:bookmarkStart w:id="65"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5"/>
    </w:p>
    <w:p>
      <w:pPr>
        <w:pStyle w:val="6"/>
        <w:rPr>
          <w:rFonts w:ascii="仿宋" w:hAnsi="仿宋" w:eastAsia="仿宋"/>
        </w:rPr>
      </w:pPr>
      <w:bookmarkStart w:id="66"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6"/>
    </w:p>
    <w:p>
      <w:pPr>
        <w:pStyle w:val="6"/>
        <w:rPr>
          <w:rFonts w:ascii="仿宋" w:hAnsi="仿宋" w:eastAsia="仿宋"/>
        </w:rPr>
      </w:pPr>
      <w:bookmarkStart w:id="67" w:name="_Toc15396628"/>
      <w:r>
        <w:rPr>
          <w:rStyle w:val="30"/>
          <w:rFonts w:hint="eastAsia" w:ascii="仿宋" w:hAnsi="仿宋" w:eastAsia="仿宋"/>
          <w:b w:val="0"/>
          <w:bCs w:val="0"/>
        </w:rPr>
        <w:t>十、</w:t>
      </w:r>
      <w:bookmarkEnd w:id="67"/>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6"/>
        <w:rPr>
          <w:rFonts w:ascii="仿宋" w:hAnsi="仿宋" w:eastAsia="仿宋"/>
        </w:rPr>
      </w:pPr>
      <w:bookmarkStart w:id="68" w:name="_Toc15396629"/>
      <w:r>
        <w:rPr>
          <w:rStyle w:val="30"/>
          <w:rFonts w:hint="eastAsia" w:ascii="仿宋" w:hAnsi="仿宋" w:eastAsia="仿宋"/>
          <w:b w:val="0"/>
          <w:bCs w:val="0"/>
        </w:rPr>
        <w:t>十一、</w:t>
      </w:r>
      <w:bookmarkEnd w:id="68"/>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6"/>
        <w:rPr>
          <w:rFonts w:ascii="仿宋" w:hAnsi="仿宋" w:eastAsia="仿宋"/>
        </w:rPr>
      </w:pPr>
      <w:bookmarkStart w:id="69" w:name="_Toc15396630"/>
      <w:r>
        <w:rPr>
          <w:rStyle w:val="30"/>
          <w:rFonts w:hint="eastAsia" w:ascii="仿宋" w:hAnsi="仿宋" w:eastAsia="仿宋"/>
          <w:b w:val="0"/>
          <w:bCs w:val="0"/>
        </w:rPr>
        <w:t>十二、</w:t>
      </w:r>
      <w:bookmarkEnd w:id="69"/>
      <w:r>
        <w:rPr>
          <w:rStyle w:val="30"/>
          <w:rFonts w:hint="eastAsia" w:ascii="仿宋" w:hAnsi="仿宋" w:eastAsia="仿宋"/>
          <w:b w:val="0"/>
          <w:bCs w:val="0"/>
        </w:rPr>
        <w:t>国有资本经营预算财政拨款支出决算表</w:t>
      </w:r>
    </w:p>
    <w:p>
      <w:pPr>
        <w:pStyle w:val="6"/>
        <w:rPr>
          <w:rStyle w:val="30"/>
          <w:rFonts w:hint="eastAsia" w:ascii="仿宋" w:hAnsi="仿宋" w:eastAsia="仿宋"/>
          <w:b w:val="0"/>
          <w:bCs w:val="0"/>
        </w:rPr>
      </w:pPr>
      <w:bookmarkStart w:id="70" w:name="_Toc15396631"/>
      <w:r>
        <w:rPr>
          <w:rStyle w:val="30"/>
          <w:rFonts w:hint="eastAsia" w:ascii="仿宋" w:hAnsi="仿宋" w:eastAsia="仿宋"/>
          <w:b w:val="0"/>
          <w:bCs w:val="0"/>
        </w:rPr>
        <w:t>十三、</w:t>
      </w:r>
      <w:bookmarkEnd w:id="70"/>
      <w:r>
        <w:rPr>
          <w:rStyle w:val="30"/>
          <w:rFonts w:hint="eastAsia" w:ascii="仿宋" w:hAnsi="仿宋" w:eastAsia="仿宋"/>
          <w:b w:val="0"/>
          <w:bCs w:val="0"/>
        </w:rPr>
        <w:t>财政拨款“三公”经费支出决算表</w:t>
      </w:r>
    </w:p>
    <w:p>
      <w:pPr>
        <w:pStyle w:val="9"/>
        <w:rPr>
          <w:rStyle w:val="30"/>
          <w:rFonts w:hint="eastAsia" w:ascii="仿宋" w:hAnsi="仿宋" w:eastAsia="仿宋"/>
          <w:b w:val="0"/>
          <w:bCs w:val="0"/>
        </w:rPr>
      </w:pPr>
    </w:p>
    <w:sectPr>
      <w:footerReference r:id="rId8" w:type="first"/>
      <w:headerReference r:id="rId6" w:type="default"/>
      <w:footerReference r:id="rId7" w:type="default"/>
      <w:pgSz w:w="11906" w:h="16838"/>
      <w:pgMar w:top="1440" w:right="1800" w:bottom="1440" w:left="1800" w:header="851" w:footer="992" w:gutter="0"/>
      <w:pgNumType w:start="17"/>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52419"/>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sdt>
                    <w:sdtPr>
                      <w:id w:val="147452419"/>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6979"/>
        <w:tab w:val="clear" w:pos="4153"/>
      </w:tabs>
      <w:rPr>
        <w:rFonts w:hint="default" w:eastAsia="宋体"/>
        <w:lang w:val="en-US" w:eastAsia="zh-CN"/>
      </w:rPr>
    </w:pPr>
  </w:p>
  <w:p>
    <w:pPr>
      <w:pStyle w:val="12"/>
      <w:tabs>
        <w:tab w:val="center" w:pos="6979"/>
        <w:tab w:val="clear" w:pos="4153"/>
      </w:tabs>
      <w:rPr>
        <w:rFonts w:hint="default"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837"/>
                          </w:sdtPr>
                          <w:sdtContent>
                            <w:p>
                              <w:pPr>
                                <w:pStyle w:val="12"/>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0837"/>
                    </w:sdtPr>
                    <w:sdtContent>
                      <w:p>
                        <w:pPr>
                          <w:pStyle w:val="12"/>
                          <w:jc w:val="center"/>
                        </w:pPr>
                        <w:r>
                          <w:fldChar w:fldCharType="begin"/>
                        </w:r>
                        <w:r>
                          <w:instrText xml:space="preserve">PAGE   \* MERGEFORMAT</w:instrText>
                        </w:r>
                        <w:r>
                          <w:fldChar w:fldCharType="separate"/>
                        </w:r>
                        <w:r>
                          <w:rPr>
                            <w:lang w:val="zh-CN"/>
                          </w:rPr>
                          <w:t>15</w:t>
                        </w:r>
                        <w:r>
                          <w:fldChar w:fldCharType="end"/>
                        </w:r>
                      </w:p>
                    </w:sdtContent>
                  </w:sdt>
                  <w:p>
                    <w:pPr>
                      <w:pStyle w:val="2"/>
                    </w:pP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ED4BA4"/>
    <w:multiLevelType w:val="singleLevel"/>
    <w:tmpl w:val="9FED4BA4"/>
    <w:lvl w:ilvl="0" w:tentative="0">
      <w:start w:val="2"/>
      <w:numFmt w:val="chineseCounting"/>
      <w:suff w:val="space"/>
      <w:lvlText w:val="第%1部分"/>
      <w:lvlJc w:val="left"/>
      <w:rPr>
        <w:rFonts w:hint="eastAsia"/>
      </w:rPr>
    </w:lvl>
  </w:abstractNum>
  <w:abstractNum w:abstractNumId="1">
    <w:nsid w:val="B8E2093A"/>
    <w:multiLevelType w:val="singleLevel"/>
    <w:tmpl w:val="B8E2093A"/>
    <w:lvl w:ilvl="0" w:tentative="0">
      <w:start w:val="1"/>
      <w:numFmt w:val="decimal"/>
      <w:lvlText w:val="(%1)"/>
      <w:lvlJc w:val="left"/>
      <w:pPr>
        <w:tabs>
          <w:tab w:val="left" w:pos="312"/>
        </w:tabs>
      </w:pPr>
      <w:rPr>
        <w:rFonts w:hint="default"/>
        <w:sz w:val="36"/>
        <w:szCs w:val="36"/>
      </w:rPr>
    </w:lvl>
  </w:abstractNum>
  <w:abstractNum w:abstractNumId="2">
    <w:nsid w:val="CC7831D2"/>
    <w:multiLevelType w:val="singleLevel"/>
    <w:tmpl w:val="CC7831D2"/>
    <w:lvl w:ilvl="0" w:tentative="0">
      <w:start w:val="1"/>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818A09A"/>
    <w:multiLevelType w:val="singleLevel"/>
    <w:tmpl w:val="3818A09A"/>
    <w:lvl w:ilvl="0" w:tentative="0">
      <w:start w:val="1"/>
      <w:numFmt w:val="chineseCounting"/>
      <w:suff w:val="nothing"/>
      <w:lvlText w:val="%1、"/>
      <w:lvlJc w:val="left"/>
      <w:rPr>
        <w:rFonts w:hint="eastAsia"/>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jMjE5NWQ5NjcyZmRmMDYyYzkwNmE1ODExODI3ND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5D71"/>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0138"/>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01D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507A"/>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B60B2"/>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11AD4"/>
    <w:rsid w:val="012313A8"/>
    <w:rsid w:val="012375E7"/>
    <w:rsid w:val="01565C22"/>
    <w:rsid w:val="016814B1"/>
    <w:rsid w:val="01F01BD2"/>
    <w:rsid w:val="02557C87"/>
    <w:rsid w:val="02C545FF"/>
    <w:rsid w:val="02D2752A"/>
    <w:rsid w:val="02E01C47"/>
    <w:rsid w:val="02F832CB"/>
    <w:rsid w:val="031861D1"/>
    <w:rsid w:val="0348159A"/>
    <w:rsid w:val="03806F86"/>
    <w:rsid w:val="03A32C74"/>
    <w:rsid w:val="03DC2831"/>
    <w:rsid w:val="040C0819"/>
    <w:rsid w:val="044B7594"/>
    <w:rsid w:val="045022BA"/>
    <w:rsid w:val="048D195A"/>
    <w:rsid w:val="04F80D9E"/>
    <w:rsid w:val="05137986"/>
    <w:rsid w:val="05151950"/>
    <w:rsid w:val="05201F9D"/>
    <w:rsid w:val="054A63BE"/>
    <w:rsid w:val="058D14E6"/>
    <w:rsid w:val="05C70E9C"/>
    <w:rsid w:val="05D11D1B"/>
    <w:rsid w:val="05EC72F3"/>
    <w:rsid w:val="06E96BF0"/>
    <w:rsid w:val="0708351A"/>
    <w:rsid w:val="07283BBC"/>
    <w:rsid w:val="072B2159"/>
    <w:rsid w:val="07941252"/>
    <w:rsid w:val="07CD206E"/>
    <w:rsid w:val="07D24A1A"/>
    <w:rsid w:val="07E55609"/>
    <w:rsid w:val="081B5E94"/>
    <w:rsid w:val="086701E5"/>
    <w:rsid w:val="093F3F60"/>
    <w:rsid w:val="09530545"/>
    <w:rsid w:val="09594501"/>
    <w:rsid w:val="09842C00"/>
    <w:rsid w:val="099E0166"/>
    <w:rsid w:val="0A2032A3"/>
    <w:rsid w:val="0A551B56"/>
    <w:rsid w:val="0B3C4C61"/>
    <w:rsid w:val="0B8A37D8"/>
    <w:rsid w:val="0BDB5123"/>
    <w:rsid w:val="0C396DB4"/>
    <w:rsid w:val="0C476893"/>
    <w:rsid w:val="0C5E1E2E"/>
    <w:rsid w:val="0C943B8E"/>
    <w:rsid w:val="0CE2480D"/>
    <w:rsid w:val="0D4050F3"/>
    <w:rsid w:val="0D5079C9"/>
    <w:rsid w:val="0D6C40D7"/>
    <w:rsid w:val="0D7F205C"/>
    <w:rsid w:val="0DBA7538"/>
    <w:rsid w:val="0DBE0DD6"/>
    <w:rsid w:val="0DCD1019"/>
    <w:rsid w:val="0DD95C10"/>
    <w:rsid w:val="0DF465A6"/>
    <w:rsid w:val="0DFF319D"/>
    <w:rsid w:val="0E19425F"/>
    <w:rsid w:val="0E552DBD"/>
    <w:rsid w:val="0E5E1C72"/>
    <w:rsid w:val="0EAA4EB7"/>
    <w:rsid w:val="0EBD0902"/>
    <w:rsid w:val="0ECF2B6F"/>
    <w:rsid w:val="0F024CF3"/>
    <w:rsid w:val="0F2E5AE8"/>
    <w:rsid w:val="0F4B669A"/>
    <w:rsid w:val="0F580DB7"/>
    <w:rsid w:val="0F5FFB2F"/>
    <w:rsid w:val="0FAE09D7"/>
    <w:rsid w:val="0FC63F72"/>
    <w:rsid w:val="0FFFCF60"/>
    <w:rsid w:val="10AF4A06"/>
    <w:rsid w:val="10C055FF"/>
    <w:rsid w:val="11586462"/>
    <w:rsid w:val="118107EC"/>
    <w:rsid w:val="11A117AE"/>
    <w:rsid w:val="11DD6519"/>
    <w:rsid w:val="12483364"/>
    <w:rsid w:val="1272218F"/>
    <w:rsid w:val="12EF53C4"/>
    <w:rsid w:val="12FD414F"/>
    <w:rsid w:val="13160D6D"/>
    <w:rsid w:val="139B5716"/>
    <w:rsid w:val="13B14F39"/>
    <w:rsid w:val="14617754"/>
    <w:rsid w:val="14877923"/>
    <w:rsid w:val="14CF38C9"/>
    <w:rsid w:val="14EC447B"/>
    <w:rsid w:val="1516401F"/>
    <w:rsid w:val="152534E9"/>
    <w:rsid w:val="156C1118"/>
    <w:rsid w:val="15707DC1"/>
    <w:rsid w:val="1571672E"/>
    <w:rsid w:val="15D171CD"/>
    <w:rsid w:val="166E2C6E"/>
    <w:rsid w:val="16A86080"/>
    <w:rsid w:val="16BB723D"/>
    <w:rsid w:val="16ED6288"/>
    <w:rsid w:val="16EF2001"/>
    <w:rsid w:val="17005FBC"/>
    <w:rsid w:val="17051824"/>
    <w:rsid w:val="1706734A"/>
    <w:rsid w:val="17D93E0F"/>
    <w:rsid w:val="18015F3F"/>
    <w:rsid w:val="18567E5D"/>
    <w:rsid w:val="18583BD5"/>
    <w:rsid w:val="187A1D9E"/>
    <w:rsid w:val="18BD4DB0"/>
    <w:rsid w:val="18CE20EA"/>
    <w:rsid w:val="18D55226"/>
    <w:rsid w:val="18EA5DB5"/>
    <w:rsid w:val="191775ED"/>
    <w:rsid w:val="194D26EB"/>
    <w:rsid w:val="19CF7EC7"/>
    <w:rsid w:val="19E51499"/>
    <w:rsid w:val="19E82D37"/>
    <w:rsid w:val="1A22449B"/>
    <w:rsid w:val="1A5C42A8"/>
    <w:rsid w:val="1A7016AA"/>
    <w:rsid w:val="1A872550"/>
    <w:rsid w:val="1A8A7F67"/>
    <w:rsid w:val="1AB1581F"/>
    <w:rsid w:val="1AC27A2C"/>
    <w:rsid w:val="1AFF2A2E"/>
    <w:rsid w:val="1B28788F"/>
    <w:rsid w:val="1B48360C"/>
    <w:rsid w:val="1B6D1746"/>
    <w:rsid w:val="1B776A68"/>
    <w:rsid w:val="1BE8440E"/>
    <w:rsid w:val="1BFB31F6"/>
    <w:rsid w:val="1C057BD0"/>
    <w:rsid w:val="1C13053F"/>
    <w:rsid w:val="1C6A3ED7"/>
    <w:rsid w:val="1C6E7E6B"/>
    <w:rsid w:val="1D0B1216"/>
    <w:rsid w:val="1D155CEE"/>
    <w:rsid w:val="1D1772AB"/>
    <w:rsid w:val="1D3F7112"/>
    <w:rsid w:val="1D5B1678"/>
    <w:rsid w:val="1D721295"/>
    <w:rsid w:val="1D9C17D2"/>
    <w:rsid w:val="1DAA6C81"/>
    <w:rsid w:val="1DF12B02"/>
    <w:rsid w:val="1DF2475D"/>
    <w:rsid w:val="1E262080"/>
    <w:rsid w:val="1E311151"/>
    <w:rsid w:val="1E9271A8"/>
    <w:rsid w:val="1ED74BE8"/>
    <w:rsid w:val="1EFD54D7"/>
    <w:rsid w:val="1F5C72A9"/>
    <w:rsid w:val="1F8D1B11"/>
    <w:rsid w:val="1FDBBF84"/>
    <w:rsid w:val="1FE01E2C"/>
    <w:rsid w:val="1FE83A91"/>
    <w:rsid w:val="200A0E90"/>
    <w:rsid w:val="2059262C"/>
    <w:rsid w:val="20623843"/>
    <w:rsid w:val="206F41B2"/>
    <w:rsid w:val="20A91472"/>
    <w:rsid w:val="20B3409F"/>
    <w:rsid w:val="20F57F95"/>
    <w:rsid w:val="212366EA"/>
    <w:rsid w:val="22031056"/>
    <w:rsid w:val="22057CDF"/>
    <w:rsid w:val="22105521"/>
    <w:rsid w:val="224F1BA5"/>
    <w:rsid w:val="225620E5"/>
    <w:rsid w:val="22623FCE"/>
    <w:rsid w:val="22743D02"/>
    <w:rsid w:val="229C5438"/>
    <w:rsid w:val="22AD4B1E"/>
    <w:rsid w:val="22B91715"/>
    <w:rsid w:val="233C685D"/>
    <w:rsid w:val="235165D8"/>
    <w:rsid w:val="236038CC"/>
    <w:rsid w:val="236553F8"/>
    <w:rsid w:val="23A8245B"/>
    <w:rsid w:val="23E20C7C"/>
    <w:rsid w:val="23E9602A"/>
    <w:rsid w:val="23EB3B50"/>
    <w:rsid w:val="240371BF"/>
    <w:rsid w:val="240B41F2"/>
    <w:rsid w:val="241A2687"/>
    <w:rsid w:val="24741D97"/>
    <w:rsid w:val="25675458"/>
    <w:rsid w:val="256B13EC"/>
    <w:rsid w:val="25711CC6"/>
    <w:rsid w:val="258B55EA"/>
    <w:rsid w:val="25C741E6"/>
    <w:rsid w:val="25E44CFA"/>
    <w:rsid w:val="25E90563"/>
    <w:rsid w:val="25F50CB6"/>
    <w:rsid w:val="265D1C24"/>
    <w:rsid w:val="267C6E14"/>
    <w:rsid w:val="276F80C0"/>
    <w:rsid w:val="27750300"/>
    <w:rsid w:val="27840A2B"/>
    <w:rsid w:val="27842671"/>
    <w:rsid w:val="27F60D15"/>
    <w:rsid w:val="28277120"/>
    <w:rsid w:val="285F2D5E"/>
    <w:rsid w:val="286363AA"/>
    <w:rsid w:val="286B1703"/>
    <w:rsid w:val="288252F5"/>
    <w:rsid w:val="28940C5A"/>
    <w:rsid w:val="28994AED"/>
    <w:rsid w:val="28AF15F0"/>
    <w:rsid w:val="29A50C45"/>
    <w:rsid w:val="29CE5AA6"/>
    <w:rsid w:val="29FD04D3"/>
    <w:rsid w:val="2A225DF1"/>
    <w:rsid w:val="2A6F54DA"/>
    <w:rsid w:val="2AB54EB7"/>
    <w:rsid w:val="2ABE7A3E"/>
    <w:rsid w:val="2AF552B4"/>
    <w:rsid w:val="2AFF09B6"/>
    <w:rsid w:val="2B1C6CE5"/>
    <w:rsid w:val="2B3E30FF"/>
    <w:rsid w:val="2B432555"/>
    <w:rsid w:val="2C0C6D59"/>
    <w:rsid w:val="2C2C2F57"/>
    <w:rsid w:val="2C424529"/>
    <w:rsid w:val="2C4B41E1"/>
    <w:rsid w:val="2C673F8F"/>
    <w:rsid w:val="2CA234A8"/>
    <w:rsid w:val="2CC338BC"/>
    <w:rsid w:val="2CC67FB9"/>
    <w:rsid w:val="2CD45AC9"/>
    <w:rsid w:val="2D6A01DB"/>
    <w:rsid w:val="2D742E08"/>
    <w:rsid w:val="2D8C0151"/>
    <w:rsid w:val="2D9214E0"/>
    <w:rsid w:val="2DBF0527"/>
    <w:rsid w:val="2DC31699"/>
    <w:rsid w:val="2DEC6E42"/>
    <w:rsid w:val="2E112405"/>
    <w:rsid w:val="2E1770E9"/>
    <w:rsid w:val="2E2F2CEF"/>
    <w:rsid w:val="2E3A195C"/>
    <w:rsid w:val="2E8A7C40"/>
    <w:rsid w:val="2EA66FF1"/>
    <w:rsid w:val="2EE3297D"/>
    <w:rsid w:val="2EFA178C"/>
    <w:rsid w:val="2EFDF86C"/>
    <w:rsid w:val="2F000DF7"/>
    <w:rsid w:val="2F8310E0"/>
    <w:rsid w:val="2F967065"/>
    <w:rsid w:val="2F9D17E1"/>
    <w:rsid w:val="2FFE2E5D"/>
    <w:rsid w:val="30316D8E"/>
    <w:rsid w:val="304B03C8"/>
    <w:rsid w:val="3069477A"/>
    <w:rsid w:val="30765772"/>
    <w:rsid w:val="30847806"/>
    <w:rsid w:val="30B46D73"/>
    <w:rsid w:val="30CE6CD3"/>
    <w:rsid w:val="314F3970"/>
    <w:rsid w:val="319F7F4E"/>
    <w:rsid w:val="31F664E1"/>
    <w:rsid w:val="323A20B6"/>
    <w:rsid w:val="326371A9"/>
    <w:rsid w:val="32B21B2F"/>
    <w:rsid w:val="33813B89"/>
    <w:rsid w:val="33B57CD6"/>
    <w:rsid w:val="33CF2B46"/>
    <w:rsid w:val="33F7209D"/>
    <w:rsid w:val="34735DA1"/>
    <w:rsid w:val="34880F47"/>
    <w:rsid w:val="34BA1016"/>
    <w:rsid w:val="34CE2DFE"/>
    <w:rsid w:val="35301317"/>
    <w:rsid w:val="35327394"/>
    <w:rsid w:val="35374E47"/>
    <w:rsid w:val="354E2190"/>
    <w:rsid w:val="356A28F1"/>
    <w:rsid w:val="357C035A"/>
    <w:rsid w:val="35DC154A"/>
    <w:rsid w:val="35E420FB"/>
    <w:rsid w:val="360A4309"/>
    <w:rsid w:val="368E000D"/>
    <w:rsid w:val="36D3294D"/>
    <w:rsid w:val="371B2546"/>
    <w:rsid w:val="37307DA0"/>
    <w:rsid w:val="37313B18"/>
    <w:rsid w:val="375B3FD0"/>
    <w:rsid w:val="37A47242"/>
    <w:rsid w:val="37EF1A09"/>
    <w:rsid w:val="383D272C"/>
    <w:rsid w:val="38D96215"/>
    <w:rsid w:val="390908A8"/>
    <w:rsid w:val="395F671A"/>
    <w:rsid w:val="397523E2"/>
    <w:rsid w:val="39A36597"/>
    <w:rsid w:val="39AE70AB"/>
    <w:rsid w:val="39BD0CE7"/>
    <w:rsid w:val="3A4DCE41"/>
    <w:rsid w:val="3A8D1B64"/>
    <w:rsid w:val="3B0D21A6"/>
    <w:rsid w:val="3B4E2EEA"/>
    <w:rsid w:val="3BCB56FA"/>
    <w:rsid w:val="3C0C0783"/>
    <w:rsid w:val="3C37397E"/>
    <w:rsid w:val="3C571DAD"/>
    <w:rsid w:val="3C601127"/>
    <w:rsid w:val="3C653C5C"/>
    <w:rsid w:val="3C772E04"/>
    <w:rsid w:val="3C7E77FF"/>
    <w:rsid w:val="3C81109D"/>
    <w:rsid w:val="3C812E4B"/>
    <w:rsid w:val="3C890788"/>
    <w:rsid w:val="3C9C1A33"/>
    <w:rsid w:val="3CC316B6"/>
    <w:rsid w:val="3CD72A6B"/>
    <w:rsid w:val="3D31661F"/>
    <w:rsid w:val="3D606F05"/>
    <w:rsid w:val="3D6A38DF"/>
    <w:rsid w:val="3D74671D"/>
    <w:rsid w:val="3DD07BE6"/>
    <w:rsid w:val="3DD84CED"/>
    <w:rsid w:val="3E0E4BB3"/>
    <w:rsid w:val="3E2E2B5F"/>
    <w:rsid w:val="3E2E7003"/>
    <w:rsid w:val="3E4719D3"/>
    <w:rsid w:val="3E7A2248"/>
    <w:rsid w:val="3E886713"/>
    <w:rsid w:val="3EE7C2F4"/>
    <w:rsid w:val="3F340649"/>
    <w:rsid w:val="3F371B56"/>
    <w:rsid w:val="3F650802"/>
    <w:rsid w:val="3F792ED8"/>
    <w:rsid w:val="3F9F3A96"/>
    <w:rsid w:val="3FA94B93"/>
    <w:rsid w:val="3FBD2CB6"/>
    <w:rsid w:val="3FC7326B"/>
    <w:rsid w:val="3FECA4B2"/>
    <w:rsid w:val="3FF58C48"/>
    <w:rsid w:val="406B1E48"/>
    <w:rsid w:val="409F5F96"/>
    <w:rsid w:val="40F97454"/>
    <w:rsid w:val="413A41F9"/>
    <w:rsid w:val="413E130B"/>
    <w:rsid w:val="42131C58"/>
    <w:rsid w:val="42336996"/>
    <w:rsid w:val="42507548"/>
    <w:rsid w:val="42D24401"/>
    <w:rsid w:val="42E94B17"/>
    <w:rsid w:val="42FF6694"/>
    <w:rsid w:val="437E6C9A"/>
    <w:rsid w:val="43B81849"/>
    <w:rsid w:val="43BD6E5F"/>
    <w:rsid w:val="43C7383A"/>
    <w:rsid w:val="43DD305D"/>
    <w:rsid w:val="43F839F3"/>
    <w:rsid w:val="440B5E1C"/>
    <w:rsid w:val="445A2900"/>
    <w:rsid w:val="44603A41"/>
    <w:rsid w:val="44BD4C0B"/>
    <w:rsid w:val="44EB3558"/>
    <w:rsid w:val="4554734F"/>
    <w:rsid w:val="45B82850"/>
    <w:rsid w:val="45BB6EF5"/>
    <w:rsid w:val="45F276C8"/>
    <w:rsid w:val="45F96148"/>
    <w:rsid w:val="4622744D"/>
    <w:rsid w:val="46696BAC"/>
    <w:rsid w:val="46D1677D"/>
    <w:rsid w:val="46ED7A5B"/>
    <w:rsid w:val="4714323A"/>
    <w:rsid w:val="47290367"/>
    <w:rsid w:val="47421D71"/>
    <w:rsid w:val="478B2DD0"/>
    <w:rsid w:val="479B74B7"/>
    <w:rsid w:val="479C6D8B"/>
    <w:rsid w:val="48074B4D"/>
    <w:rsid w:val="48217291"/>
    <w:rsid w:val="482E032B"/>
    <w:rsid w:val="48671147"/>
    <w:rsid w:val="48BF60AB"/>
    <w:rsid w:val="490E3CB9"/>
    <w:rsid w:val="493C27E9"/>
    <w:rsid w:val="496658A3"/>
    <w:rsid w:val="496F39ED"/>
    <w:rsid w:val="49831FB1"/>
    <w:rsid w:val="498C3781"/>
    <w:rsid w:val="498F4DFA"/>
    <w:rsid w:val="49BA799D"/>
    <w:rsid w:val="49FF41D3"/>
    <w:rsid w:val="4A1E1CDA"/>
    <w:rsid w:val="4A25750C"/>
    <w:rsid w:val="4A510301"/>
    <w:rsid w:val="4AC070F1"/>
    <w:rsid w:val="4AEA6060"/>
    <w:rsid w:val="4AFF7D5D"/>
    <w:rsid w:val="4B1F03FF"/>
    <w:rsid w:val="4B410375"/>
    <w:rsid w:val="4B5856BF"/>
    <w:rsid w:val="4BA6642B"/>
    <w:rsid w:val="4BD9235C"/>
    <w:rsid w:val="4BE068DB"/>
    <w:rsid w:val="4BF6002B"/>
    <w:rsid w:val="4BFFC6BE"/>
    <w:rsid w:val="4C7C718B"/>
    <w:rsid w:val="4C940979"/>
    <w:rsid w:val="4CAC181F"/>
    <w:rsid w:val="4CC50B32"/>
    <w:rsid w:val="4CE7369A"/>
    <w:rsid w:val="4D1473C4"/>
    <w:rsid w:val="4DCE587E"/>
    <w:rsid w:val="4DDE60C6"/>
    <w:rsid w:val="4E8D742E"/>
    <w:rsid w:val="4E9E788D"/>
    <w:rsid w:val="4EAC1FAA"/>
    <w:rsid w:val="4ECE2238"/>
    <w:rsid w:val="4EF42D8F"/>
    <w:rsid w:val="4F027E1C"/>
    <w:rsid w:val="4F11005F"/>
    <w:rsid w:val="4F4C553B"/>
    <w:rsid w:val="4F691C49"/>
    <w:rsid w:val="4F734876"/>
    <w:rsid w:val="4FBD1F95"/>
    <w:rsid w:val="50033E4B"/>
    <w:rsid w:val="50100316"/>
    <w:rsid w:val="505E0E93"/>
    <w:rsid w:val="50836D3A"/>
    <w:rsid w:val="509E3B74"/>
    <w:rsid w:val="511B6F73"/>
    <w:rsid w:val="514D315A"/>
    <w:rsid w:val="516052CE"/>
    <w:rsid w:val="51DB4B86"/>
    <w:rsid w:val="51E64DE7"/>
    <w:rsid w:val="51F64DB0"/>
    <w:rsid w:val="52001E6C"/>
    <w:rsid w:val="52171E30"/>
    <w:rsid w:val="52187956"/>
    <w:rsid w:val="524D7600"/>
    <w:rsid w:val="52EE47CC"/>
    <w:rsid w:val="536D7E1D"/>
    <w:rsid w:val="5382777D"/>
    <w:rsid w:val="544B5DC1"/>
    <w:rsid w:val="5463135D"/>
    <w:rsid w:val="54EF1E33"/>
    <w:rsid w:val="55333C3E"/>
    <w:rsid w:val="557E5D22"/>
    <w:rsid w:val="55AA56B5"/>
    <w:rsid w:val="55CA5489"/>
    <w:rsid w:val="55CF47D0"/>
    <w:rsid w:val="55E32700"/>
    <w:rsid w:val="565D1DDC"/>
    <w:rsid w:val="567710EF"/>
    <w:rsid w:val="567E247E"/>
    <w:rsid w:val="56BC2FA6"/>
    <w:rsid w:val="56EA18C1"/>
    <w:rsid w:val="56F269C8"/>
    <w:rsid w:val="570D735E"/>
    <w:rsid w:val="576553EC"/>
    <w:rsid w:val="57DE6F4C"/>
    <w:rsid w:val="58367E18"/>
    <w:rsid w:val="58540210"/>
    <w:rsid w:val="58694A68"/>
    <w:rsid w:val="587578B0"/>
    <w:rsid w:val="58845D45"/>
    <w:rsid w:val="589F3308"/>
    <w:rsid w:val="58C61471"/>
    <w:rsid w:val="58FA1B64"/>
    <w:rsid w:val="59305585"/>
    <w:rsid w:val="593908DE"/>
    <w:rsid w:val="597436C4"/>
    <w:rsid w:val="59926240"/>
    <w:rsid w:val="59A541C5"/>
    <w:rsid w:val="59A815C0"/>
    <w:rsid w:val="59B60181"/>
    <w:rsid w:val="59D625D1"/>
    <w:rsid w:val="5A897643"/>
    <w:rsid w:val="5AF50835"/>
    <w:rsid w:val="5B1F3B03"/>
    <w:rsid w:val="5B5E287E"/>
    <w:rsid w:val="5B6D486F"/>
    <w:rsid w:val="5B865931"/>
    <w:rsid w:val="5B9C6F02"/>
    <w:rsid w:val="5BA26C0E"/>
    <w:rsid w:val="5C07081F"/>
    <w:rsid w:val="5C59327A"/>
    <w:rsid w:val="5C5C58C8"/>
    <w:rsid w:val="5C763BF7"/>
    <w:rsid w:val="5CD34BA6"/>
    <w:rsid w:val="5CEB1EEF"/>
    <w:rsid w:val="5CEC5C67"/>
    <w:rsid w:val="5CED3EB9"/>
    <w:rsid w:val="5D995DEF"/>
    <w:rsid w:val="5DA56542"/>
    <w:rsid w:val="5E9640DD"/>
    <w:rsid w:val="5EBD78BB"/>
    <w:rsid w:val="5EE906B0"/>
    <w:rsid w:val="5EFC04E3"/>
    <w:rsid w:val="5F0C2AF9"/>
    <w:rsid w:val="5F67802D"/>
    <w:rsid w:val="5F7714E6"/>
    <w:rsid w:val="5F7DC4F2"/>
    <w:rsid w:val="5F891239"/>
    <w:rsid w:val="5FB21A3E"/>
    <w:rsid w:val="5FB36814"/>
    <w:rsid w:val="5FBB8E56"/>
    <w:rsid w:val="5FBC4017"/>
    <w:rsid w:val="5FFB5535"/>
    <w:rsid w:val="60363DC9"/>
    <w:rsid w:val="60522285"/>
    <w:rsid w:val="60673F83"/>
    <w:rsid w:val="607F51B5"/>
    <w:rsid w:val="611063C8"/>
    <w:rsid w:val="61377DF9"/>
    <w:rsid w:val="61532759"/>
    <w:rsid w:val="61693D2A"/>
    <w:rsid w:val="6175447D"/>
    <w:rsid w:val="617F3ADA"/>
    <w:rsid w:val="618648DC"/>
    <w:rsid w:val="61B74A96"/>
    <w:rsid w:val="61E71743"/>
    <w:rsid w:val="62522A10"/>
    <w:rsid w:val="62960B4F"/>
    <w:rsid w:val="63153814"/>
    <w:rsid w:val="633F2F95"/>
    <w:rsid w:val="63CD49CD"/>
    <w:rsid w:val="64CA39A1"/>
    <w:rsid w:val="64EF09EB"/>
    <w:rsid w:val="64FC7A3D"/>
    <w:rsid w:val="65037FF2"/>
    <w:rsid w:val="65336B29"/>
    <w:rsid w:val="654A5C21"/>
    <w:rsid w:val="65530F79"/>
    <w:rsid w:val="65AE05B7"/>
    <w:rsid w:val="668C4743"/>
    <w:rsid w:val="668D04BB"/>
    <w:rsid w:val="66BA2932"/>
    <w:rsid w:val="66E75E1D"/>
    <w:rsid w:val="67452B44"/>
    <w:rsid w:val="67535261"/>
    <w:rsid w:val="677671A1"/>
    <w:rsid w:val="678C42CF"/>
    <w:rsid w:val="67CE0D8B"/>
    <w:rsid w:val="67DB0DB2"/>
    <w:rsid w:val="68112A26"/>
    <w:rsid w:val="683C7AA3"/>
    <w:rsid w:val="685F19E3"/>
    <w:rsid w:val="6874548F"/>
    <w:rsid w:val="68EA1347"/>
    <w:rsid w:val="694330B3"/>
    <w:rsid w:val="69630ADE"/>
    <w:rsid w:val="69BD5F13"/>
    <w:rsid w:val="69FB0B4B"/>
    <w:rsid w:val="6A042359"/>
    <w:rsid w:val="6A042842"/>
    <w:rsid w:val="6A4315BC"/>
    <w:rsid w:val="6A542108"/>
    <w:rsid w:val="6A7A6FA8"/>
    <w:rsid w:val="6AA33E09"/>
    <w:rsid w:val="6AF64881"/>
    <w:rsid w:val="6B047A64"/>
    <w:rsid w:val="6B6338E0"/>
    <w:rsid w:val="6B685053"/>
    <w:rsid w:val="6B792DBC"/>
    <w:rsid w:val="6BA3608B"/>
    <w:rsid w:val="6BAC4F3F"/>
    <w:rsid w:val="6BE24E05"/>
    <w:rsid w:val="6BE75F78"/>
    <w:rsid w:val="6BFC528A"/>
    <w:rsid w:val="6BFFE1FB"/>
    <w:rsid w:val="6C0B5889"/>
    <w:rsid w:val="6C117498"/>
    <w:rsid w:val="6C423AF6"/>
    <w:rsid w:val="6C4834FC"/>
    <w:rsid w:val="6C4A05C8"/>
    <w:rsid w:val="6C6770B8"/>
    <w:rsid w:val="6C773A8C"/>
    <w:rsid w:val="6C7A503E"/>
    <w:rsid w:val="6C7F08A6"/>
    <w:rsid w:val="6C884079"/>
    <w:rsid w:val="6CD26C28"/>
    <w:rsid w:val="6D3B1A89"/>
    <w:rsid w:val="6D527D69"/>
    <w:rsid w:val="6D8A5754"/>
    <w:rsid w:val="6D8B6DD7"/>
    <w:rsid w:val="6D997745"/>
    <w:rsid w:val="6D9B170F"/>
    <w:rsid w:val="6DB7D8A3"/>
    <w:rsid w:val="6DCC7B1B"/>
    <w:rsid w:val="6DF1132F"/>
    <w:rsid w:val="6E14608C"/>
    <w:rsid w:val="6E1B4DBD"/>
    <w:rsid w:val="6E494CC8"/>
    <w:rsid w:val="6E9F2B3A"/>
    <w:rsid w:val="6EB20ABF"/>
    <w:rsid w:val="6EC78701"/>
    <w:rsid w:val="6F0805B5"/>
    <w:rsid w:val="6F1B2B08"/>
    <w:rsid w:val="6F675874"/>
    <w:rsid w:val="6F773AB6"/>
    <w:rsid w:val="6F7A5481"/>
    <w:rsid w:val="6F9814CC"/>
    <w:rsid w:val="6FB40867"/>
    <w:rsid w:val="6FFE07A9"/>
    <w:rsid w:val="70514307"/>
    <w:rsid w:val="705931BC"/>
    <w:rsid w:val="706C7393"/>
    <w:rsid w:val="70910BA8"/>
    <w:rsid w:val="70A97C9F"/>
    <w:rsid w:val="70B054D2"/>
    <w:rsid w:val="70B328CC"/>
    <w:rsid w:val="70E17439"/>
    <w:rsid w:val="719646C8"/>
    <w:rsid w:val="71BF4EC2"/>
    <w:rsid w:val="71C470AC"/>
    <w:rsid w:val="720D24B0"/>
    <w:rsid w:val="72165809"/>
    <w:rsid w:val="721D4D44"/>
    <w:rsid w:val="72282E5A"/>
    <w:rsid w:val="72343E4D"/>
    <w:rsid w:val="725F0F5E"/>
    <w:rsid w:val="72734D90"/>
    <w:rsid w:val="727D6D64"/>
    <w:rsid w:val="728704B4"/>
    <w:rsid w:val="72BD7A32"/>
    <w:rsid w:val="72C214EC"/>
    <w:rsid w:val="72F07E08"/>
    <w:rsid w:val="731C29AB"/>
    <w:rsid w:val="73852C46"/>
    <w:rsid w:val="739F35DC"/>
    <w:rsid w:val="73B2330F"/>
    <w:rsid w:val="73E536E4"/>
    <w:rsid w:val="73E75B71"/>
    <w:rsid w:val="74122000"/>
    <w:rsid w:val="7412278C"/>
    <w:rsid w:val="741915E0"/>
    <w:rsid w:val="74264B66"/>
    <w:rsid w:val="7445639A"/>
    <w:rsid w:val="745E6FF3"/>
    <w:rsid w:val="74681C20"/>
    <w:rsid w:val="74793E2D"/>
    <w:rsid w:val="747D1B6F"/>
    <w:rsid w:val="74844CAB"/>
    <w:rsid w:val="74A953D6"/>
    <w:rsid w:val="74FD680C"/>
    <w:rsid w:val="756E35E3"/>
    <w:rsid w:val="75BC0475"/>
    <w:rsid w:val="75C17839"/>
    <w:rsid w:val="75DDCDA9"/>
    <w:rsid w:val="75FF44B1"/>
    <w:rsid w:val="77020109"/>
    <w:rsid w:val="772B3B04"/>
    <w:rsid w:val="772C162A"/>
    <w:rsid w:val="773724A9"/>
    <w:rsid w:val="77670518"/>
    <w:rsid w:val="777FA627"/>
    <w:rsid w:val="77DF1B5F"/>
    <w:rsid w:val="77EF2D9D"/>
    <w:rsid w:val="781E0F73"/>
    <w:rsid w:val="784C1F84"/>
    <w:rsid w:val="785904E4"/>
    <w:rsid w:val="7860333A"/>
    <w:rsid w:val="788A485A"/>
    <w:rsid w:val="78A53442"/>
    <w:rsid w:val="78D4194A"/>
    <w:rsid w:val="792A4F35"/>
    <w:rsid w:val="792F6065"/>
    <w:rsid w:val="79425135"/>
    <w:rsid w:val="795A422D"/>
    <w:rsid w:val="79D42231"/>
    <w:rsid w:val="79E65AC0"/>
    <w:rsid w:val="79E7B28D"/>
    <w:rsid w:val="7A236D15"/>
    <w:rsid w:val="7A4B626B"/>
    <w:rsid w:val="7A57076C"/>
    <w:rsid w:val="7A792DD8"/>
    <w:rsid w:val="7A8552D9"/>
    <w:rsid w:val="7ACFF0C2"/>
    <w:rsid w:val="7AEC7106"/>
    <w:rsid w:val="7AFB9108"/>
    <w:rsid w:val="7B166879"/>
    <w:rsid w:val="7B310FBD"/>
    <w:rsid w:val="7B5573A2"/>
    <w:rsid w:val="7B643141"/>
    <w:rsid w:val="7BD5340C"/>
    <w:rsid w:val="7BF100A7"/>
    <w:rsid w:val="7BFB19D2"/>
    <w:rsid w:val="7BFD1750"/>
    <w:rsid w:val="7BFDAA1B"/>
    <w:rsid w:val="7C400B6F"/>
    <w:rsid w:val="7C5236A2"/>
    <w:rsid w:val="7C5238E1"/>
    <w:rsid w:val="7C63256C"/>
    <w:rsid w:val="7CB023B6"/>
    <w:rsid w:val="7CB225D2"/>
    <w:rsid w:val="7CD47394"/>
    <w:rsid w:val="7CDF9A82"/>
    <w:rsid w:val="7CFFA1BD"/>
    <w:rsid w:val="7D2E3F7A"/>
    <w:rsid w:val="7D697134"/>
    <w:rsid w:val="7D9D6DDE"/>
    <w:rsid w:val="7DA656CC"/>
    <w:rsid w:val="7DED9490"/>
    <w:rsid w:val="7DFA5FDE"/>
    <w:rsid w:val="7DFF4872"/>
    <w:rsid w:val="7E1626EC"/>
    <w:rsid w:val="7E3A462D"/>
    <w:rsid w:val="7E527BC8"/>
    <w:rsid w:val="7E543940"/>
    <w:rsid w:val="7E5576B9"/>
    <w:rsid w:val="7E5A082B"/>
    <w:rsid w:val="7E7277EC"/>
    <w:rsid w:val="7E7487E6"/>
    <w:rsid w:val="7E7C2A54"/>
    <w:rsid w:val="7ED92098"/>
    <w:rsid w:val="7EEEFD72"/>
    <w:rsid w:val="7F1D517C"/>
    <w:rsid w:val="7F2204FD"/>
    <w:rsid w:val="7F3E639F"/>
    <w:rsid w:val="7F4533E4"/>
    <w:rsid w:val="7F4E409C"/>
    <w:rsid w:val="7F5DA057"/>
    <w:rsid w:val="7F6C2237"/>
    <w:rsid w:val="7F7F319B"/>
    <w:rsid w:val="7F8A5140"/>
    <w:rsid w:val="7F9F20EE"/>
    <w:rsid w:val="7FBBE890"/>
    <w:rsid w:val="7FBC2ABD"/>
    <w:rsid w:val="7FBF5D48"/>
    <w:rsid w:val="7FCCFC01"/>
    <w:rsid w:val="7FDD1748"/>
    <w:rsid w:val="7FE24F7C"/>
    <w:rsid w:val="7FE769C6"/>
    <w:rsid w:val="7FFB603E"/>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6"/>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9"/>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1"/>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1 Char"/>
    <w:basedOn w:val="17"/>
    <w:link w:val="5"/>
    <w:qFormat/>
    <w:uiPriority w:val="9"/>
    <w:rPr>
      <w:rFonts w:ascii="Times New Roman" w:hAnsi="Times New Roman"/>
      <w:b/>
      <w:bCs/>
      <w:kern w:val="44"/>
      <w:sz w:val="44"/>
      <w:szCs w:val="44"/>
    </w:rPr>
  </w:style>
  <w:style w:type="paragraph" w:customStyle="1" w:styleId="36">
    <w:name w:val="标题 4 New New New New New New New New New New New New New New New New New New New New New New New New New New New New New New New New New New New New New"/>
    <w:basedOn w:val="1"/>
    <w:next w:val="1"/>
    <w:qFormat/>
    <w:uiPriority w:val="0"/>
    <w:pPr>
      <w:keepNext/>
      <w:keepLines/>
      <w:spacing w:before="100" w:beforeLines="0" w:beforeAutospacing="1" w:after="100" w:afterLines="0" w:afterAutospacing="1" w:line="360" w:lineRule="auto"/>
      <w:outlineLvl w:val="3"/>
    </w:pPr>
    <w:rPr>
      <w:rFonts w:ascii="Arial" w:hAnsi="Arial" w:eastAsia="仿宋_GB2312"/>
      <w:b/>
      <w:kern w:val="2"/>
      <w:sz w:val="32"/>
      <w:lang w:val="en-US" w:eastAsia="zh-CN"/>
    </w:rPr>
  </w:style>
  <w:style w:type="character" w:customStyle="1" w:styleId="37">
    <w:name w:val="标题 2 Char"/>
    <w:basedOn w:val="17"/>
    <w:link w:val="6"/>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中兴初中</a:t>
            </a:r>
            <a:r>
              <a:rPr lang="en-US" altLang="zh-CN"/>
              <a:t>2023</a:t>
            </a:r>
            <a:r>
              <a:rPr altLang="en-US"/>
              <a:t>年与</a:t>
            </a:r>
            <a:r>
              <a:rPr lang="en-US" altLang="zh-CN"/>
              <a:t>2024</a:t>
            </a:r>
            <a:r>
              <a:rPr altLang="en-US"/>
              <a:t>年收、支决算总计变动情况图</a:t>
            </a:r>
            <a:endParaRPr altLang="en-US"/>
          </a:p>
        </c:rich>
      </c:tx>
      <c:layout/>
      <c:overlay val="0"/>
      <c:spPr>
        <a:noFill/>
        <a:ln>
          <a:noFill/>
        </a:ln>
        <a:effectLst/>
      </c:spPr>
    </c:title>
    <c:autoTitleDeleted val="0"/>
    <c:plotArea>
      <c:layout>
        <c:manualLayout>
          <c:layoutTarget val="inner"/>
          <c:xMode val="edge"/>
          <c:yMode val="edge"/>
          <c:x val="0.0630088909686476"/>
          <c:y val="0.153138078655634"/>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548.54</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592.53</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548.54</c:v>
                </c:pt>
                <c:pt idx="1">
                  <c:v>592.53</c:v>
                </c:pt>
                <c:pt idx="2">
                  <c:v>548.54</c:v>
                </c:pt>
                <c:pt idx="3">
                  <c:v>592.53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863981616"/>
        <c:axId val="863982008"/>
      </c:barChart>
      <c:catAx>
        <c:axId val="86398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2008"/>
        <c:crosses val="autoZero"/>
        <c:auto val="1"/>
        <c:lblAlgn val="ctr"/>
        <c:lblOffset val="100"/>
        <c:noMultiLvlLbl val="0"/>
      </c:catAx>
      <c:valAx>
        <c:axId val="863982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98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中兴初中</a:t>
            </a:r>
            <a:r>
              <a:rPr lang="en-US" altLang="zh-CN"/>
              <a:t>2024</a:t>
            </a:r>
            <a:r>
              <a:rPr altLang="en-US"/>
              <a:t>年</a:t>
            </a:r>
            <a:r>
              <a:t>收入决算结构图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8.59</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1.41</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其它收入</c:v>
                </c:pt>
              </c:strCache>
            </c:strRef>
          </c:cat>
          <c:val>
            <c:numRef>
              <c:f>Sheet1!$B$2:$B$3</c:f>
              <c:numCache>
                <c:formatCode>0.00%</c:formatCode>
                <c:ptCount val="2"/>
                <c:pt idx="0">
                  <c:v>0.8859</c:v>
                </c:pt>
                <c:pt idx="1">
                  <c:v>0.1141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中兴初中</a:t>
            </a:r>
            <a:r>
              <a:rPr lang="en-US" altLang="zh-CN"/>
              <a:t>2024</a:t>
            </a:r>
            <a:r>
              <a:rPr altLang="en-US"/>
              <a:t>年</a:t>
            </a:r>
            <a:r>
              <a:t>支出决算结构图</a:t>
            </a:r>
          </a:p>
        </c:rich>
      </c:tx>
      <c:layout/>
      <c:overlay val="0"/>
      <c:spPr>
        <a:noFill/>
        <a:ln>
          <a:noFill/>
        </a:ln>
        <a:effectLst/>
      </c:spPr>
    </c:title>
    <c:autoTitleDeleted val="0"/>
    <c:plotArea>
      <c:layout/>
      <c:pieChart>
        <c:varyColors val="1"/>
        <c:ser>
          <c:idx val="0"/>
          <c:order val="0"/>
          <c:tx>
            <c:strRef>
              <c:f>Sheet1!$B$1</c:f>
              <c:strCache>
                <c:ptCount val="1"/>
                <c:pt idx="0">
                  <c:v>中兴镇初级中学校支出表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0.7534</c:v>
                </c:pt>
                <c:pt idx="1">
                  <c:v>0.2466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79562470753393"/>
          <c:y val="0.911922904527118"/>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中兴初中</a:t>
            </a:r>
            <a:r>
              <a:rPr lang="en-US" altLang="zh-CN"/>
              <a:t>2023</a:t>
            </a:r>
            <a:r>
              <a:rPr altLang="en-US"/>
              <a:t>年与</a:t>
            </a:r>
            <a:r>
              <a:rPr lang="en-US" altLang="zh-CN"/>
              <a:t>2024</a:t>
            </a:r>
            <a:r>
              <a:rPr altLang="en-US"/>
              <a:t>年财政拨款收、支决算总计变动情况图</a:t>
            </a:r>
            <a:endParaRPr altLang="en-US"/>
          </a:p>
        </c:rich>
      </c:tx>
      <c:layout>
        <c:manualLayout>
          <c:xMode val="edge"/>
          <c:yMode val="edge"/>
          <c:x val="0.104607532192932"/>
          <c:y val="0.00825991189427313"/>
        </c:manualLayout>
      </c:layout>
      <c:overlay val="0"/>
      <c:spPr>
        <a:noFill/>
        <a:ln>
          <a:noFill/>
        </a:ln>
        <a:effectLst/>
      </c:spPr>
    </c:title>
    <c:autoTitleDeleted val="0"/>
    <c:plotArea>
      <c:layout>
        <c:manualLayout>
          <c:layoutTarget val="inner"/>
          <c:xMode val="edge"/>
          <c:yMode val="edge"/>
          <c:x val="0.0852363125877398"/>
          <c:y val="0.155087474429089"/>
          <c:w val="0.911254094525035"/>
          <c:h val="0.750180505415162"/>
        </c:manualLayout>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548.54</c:v>
                </c:pt>
                <c:pt idx="1">
                  <c:v>524.93</c:v>
                </c:pt>
                <c:pt idx="2">
                  <c:v>548.54</c:v>
                </c:pt>
                <c:pt idx="3">
                  <c:v>524.93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Sheet1!$C$2:$C$5</c:f>
              <c:numCache>
                <c:formatCode>General</c:formatCode>
                <c:ptCount val="4"/>
              </c:numCache>
            </c:numRef>
          </c:val>
        </c:ser>
        <c:dLbls>
          <c:showLegendKey val="0"/>
          <c:showVal val="0"/>
          <c:showCatName val="0"/>
          <c:showSerName val="0"/>
          <c:showPercent val="0"/>
          <c:showBubbleSize val="0"/>
        </c:dLbls>
        <c:gapWidth val="219"/>
        <c:overlap val="-27"/>
        <c:axId val="54750968"/>
        <c:axId val="54751360"/>
      </c:barChart>
      <c:catAx>
        <c:axId val="54750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1360"/>
        <c:crosses val="autoZero"/>
        <c:auto val="1"/>
        <c:lblAlgn val="ctr"/>
        <c:lblOffset val="100"/>
        <c:noMultiLvlLbl val="0"/>
      </c:catAx>
      <c:valAx>
        <c:axId val="5475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0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中兴初中一般公共预算财政拨款支出决算变动情况表</a:t>
            </a:r>
            <a:endParaRPr lang="en-US" altLang="zh-CN"/>
          </a:p>
        </c:rich>
      </c:tx>
      <c:layout>
        <c:manualLayout>
          <c:xMode val="edge"/>
          <c:yMode val="edge"/>
          <c:x val="0.123545611414901"/>
          <c:y val="0.010205130080578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548.54</c:v>
                </c:pt>
                <c:pt idx="1">
                  <c:v>524.93</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numCache>
            </c:numRef>
          </c:val>
        </c:ser>
        <c:dLbls>
          <c:showLegendKey val="0"/>
          <c:showVal val="0"/>
          <c:showCatName val="0"/>
          <c:showSerName val="0"/>
          <c:showPercent val="0"/>
          <c:showBubbleSize val="0"/>
        </c:dLbls>
        <c:gapWidth val="219"/>
        <c:overlap val="-27"/>
        <c:axId val="54752144"/>
        <c:axId val="54752536"/>
      </c:barChart>
      <c:catAx>
        <c:axId val="54752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536"/>
        <c:crosses val="autoZero"/>
        <c:auto val="1"/>
        <c:lblAlgn val="ctr"/>
        <c:lblOffset val="100"/>
        <c:noMultiLvlLbl val="0"/>
      </c:catAx>
      <c:valAx>
        <c:axId val="54752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752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中兴初中支出表</a:t>
            </a:r>
          </a:p>
        </c:rich>
      </c:tx>
      <c:layout/>
      <c:overlay val="0"/>
      <c:spPr>
        <a:noFill/>
        <a:ln>
          <a:noFill/>
        </a:ln>
        <a:effectLst/>
      </c:spPr>
    </c:title>
    <c:autoTitleDeleted val="0"/>
    <c:plotArea>
      <c:layout/>
      <c:pieChart>
        <c:varyColors val="1"/>
        <c:ser>
          <c:idx val="0"/>
          <c:order val="0"/>
          <c:tx>
            <c:strRef>
              <c:f>Sheet1!$B$1</c:f>
              <c:strCache>
                <c:ptCount val="1"/>
                <c:pt idx="0">
                  <c:v>中兴小学支出表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教育支出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77.41</a:t>
                    </a:r>
                    <a:r>
                      <a:t>%</a:t>
                    </a:r>
                  </a:p>
                </c:rich>
              </c:tx>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07449856733524"/>
                  <c:y val="0.177683013503909"/>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社会保障和就业</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12</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25032560562647"/>
                  <c:y val="0"/>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卫生健康支出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3.83</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7752417343709"/>
                  <c:y val="0.0226946751543982"/>
                </c:manualLayout>
              </c:layout>
              <c:tx>
                <c:rich>
                  <a:bodyPr rot="0" spcFirstLastPara="1" vertOverflow="clip" vert="horz" wrap="square" lIns="38100" tIns="19050" rIns="38100" bIns="19050" anchor="ctr" anchorCtr="1"/>
                  <a:lstStyle/>
                  <a:p>
                    <a:pPr defTabSz="914400">
                      <a:defRPr lang="zh-CN" sz="900" b="0" i="0" u="none" strike="noStrike" kern="1200" baseline="0">
                        <a:solidFill>
                          <a:schemeClr val="dk1">
                            <a:lumMod val="65000"/>
                            <a:lumOff val="35000"/>
                          </a:schemeClr>
                        </a:solidFill>
                        <a:latin typeface="+mn-lt"/>
                        <a:ea typeface="+mn-ea"/>
                        <a:cs typeface="+mn-cs"/>
                      </a:defRPr>
                    </a:pPr>
                    <a:r>
                      <a:t>住房保障支出</a:t>
                    </a:r>
                  </a:p>
                  <a:p>
                    <a:pPr defTabSz="914400">
                      <a:defRPr lang="zh-CN" sz="900" b="0" i="0" u="none" strike="noStrike" kern="1200" baseline="0">
                        <a:solidFill>
                          <a:schemeClr val="dk1">
                            <a:lumMod val="65000"/>
                            <a:lumOff val="35000"/>
                          </a:schemeClr>
                        </a:solidFill>
                        <a:latin typeface="+mn-lt"/>
                        <a:ea typeface="+mn-ea"/>
                        <a:cs typeface="+mn-cs"/>
                      </a:defRPr>
                    </a:pPr>
                    <a:r>
                      <a:rPr lang="en-US" altLang="zh-CN"/>
                      <a:t>6.76</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c:v>
                </c:pt>
                <c:pt idx="2">
                  <c:v>卫生健康支出</c:v>
                </c:pt>
                <c:pt idx="3">
                  <c:v>住房保障支出</c:v>
                </c:pt>
              </c:strCache>
            </c:strRef>
          </c:cat>
          <c:val>
            <c:numRef>
              <c:f>Sheet1!$B$2:$B$5</c:f>
              <c:numCache>
                <c:formatCode>General</c:formatCode>
                <c:ptCount val="4"/>
                <c:pt idx="0">
                  <c:v>406.32</c:v>
                </c:pt>
                <c:pt idx="1">
                  <c:v>63.03</c:v>
                </c:pt>
                <c:pt idx="2">
                  <c:v>20.09</c:v>
                </c:pt>
                <c:pt idx="3">
                  <c:v>35.49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9734</Words>
  <Characters>10388</Characters>
  <Lines>54</Lines>
  <Paragraphs>15</Paragraphs>
  <TotalTime>0</TotalTime>
  <ScaleCrop>false</ScaleCrop>
  <LinksUpToDate>false</LinksUpToDate>
  <CharactersWithSpaces>10414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Lenovo</cp:lastModifiedBy>
  <cp:lastPrinted>2023-08-03T02:35:00Z</cp:lastPrinted>
  <dcterms:modified xsi:type="dcterms:W3CDTF">2025-08-27T06:53:42Z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8B1CCDF62E0C4F1CBD31649EB864C6D5_12</vt:lpwstr>
  </property>
  <property fmtid="{D5CDD505-2E9C-101B-9397-08002B2CF9AE}" pid="4" name="KSOTemplateDocerSaveRecord">
    <vt:lpwstr>eyJoZGlkIjoiODc0ZjBjOTk5MDU5MzU4ZjkxZWMwZTAyNjE2ZjBhMTkiLCJ1c2VySWQiOiI3Njc0NTEyNjEifQ==</vt:lpwstr>
  </property>
</Properties>
</file>