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15377196"/>
      <w:bookmarkStart w:id="1" w:name="_Toc15396599"/>
    </w:p>
    <w:p>
      <w:pPr>
        <w:pStyle w:val="2"/>
      </w:pPr>
    </w:p>
    <w:p>
      <w:pPr>
        <w:pStyle w:val="3"/>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pStyle w:val="2"/>
        <w:rPr>
          <w:rFonts w:ascii="宋体" w:hAnsi="宋体" w:eastAsia="宋体" w:cs="Times New Roman"/>
          <w:kern w:val="2"/>
          <w:sz w:val="21"/>
          <w:szCs w:val="24"/>
          <w:lang w:val="en-US" w:eastAsia="zh-CN" w:bidi="ar-SA"/>
        </w:rPr>
      </w:pPr>
    </w:p>
    <w:p>
      <w:pPr>
        <w:pStyle w:val="3"/>
        <w:rPr>
          <w:rFonts w:ascii="宋体" w:hAnsi="宋体" w:eastAsia="宋体" w:cs="Times New Roman"/>
          <w:kern w:val="2"/>
          <w:sz w:val="21"/>
          <w:szCs w:val="24"/>
          <w:lang w:val="en-US" w:eastAsia="zh-CN" w:bidi="ar-SA"/>
        </w:rPr>
      </w:pPr>
    </w:p>
    <w:p>
      <w:pPr>
        <w:pStyle w:val="3"/>
        <w:rPr>
          <w:rFonts w:ascii="宋体" w:hAnsi="宋体" w:eastAsia="宋体" w:cs="Times New Roman"/>
          <w:kern w:val="2"/>
          <w:sz w:val="21"/>
          <w:szCs w:val="24"/>
          <w:lang w:val="en-US" w:eastAsia="zh-CN" w:bidi="ar-SA"/>
        </w:rPr>
      </w:pPr>
    </w:p>
    <w:p>
      <w:pPr>
        <w:pStyle w:val="3"/>
        <w:rPr>
          <w:rFonts w:ascii="宋体" w:hAnsi="宋体" w:eastAsia="宋体" w:cs="Times New Roman"/>
          <w:kern w:val="2"/>
          <w:sz w:val="21"/>
          <w:szCs w:val="24"/>
          <w:lang w:val="en-US" w:eastAsia="zh-CN" w:bidi="ar-SA"/>
        </w:rPr>
      </w:pPr>
    </w:p>
    <w:p>
      <w:pPr>
        <w:pStyle w:val="3"/>
        <w:rPr>
          <w:rFonts w:ascii="宋体" w:hAnsi="宋体" w:eastAsia="宋体" w:cs="Times New Roman"/>
          <w:kern w:val="2"/>
          <w:sz w:val="21"/>
          <w:szCs w:val="24"/>
          <w:lang w:val="en-US" w:eastAsia="zh-CN" w:bidi="ar-SA"/>
        </w:rPr>
      </w:pPr>
    </w:p>
    <w:p>
      <w:pPr>
        <w:adjustRightInd w:val="0"/>
        <w:snapToGrid w:val="0"/>
        <w:spacing w:line="360" w:lineRule="auto"/>
        <w:jc w:val="center"/>
        <w:outlineLvl w:val="0"/>
        <w:rPr>
          <w:rFonts w:ascii="方正小标宋简体" w:hAnsi="方正小标宋简体" w:eastAsia="方正小标宋简体" w:cs="方正小标宋简体"/>
          <w:sz w:val="48"/>
          <w:szCs w:val="48"/>
        </w:rPr>
      </w:pPr>
      <w:bookmarkStart w:id="2" w:name="_Toc15377193"/>
      <w:bookmarkStart w:id="3" w:name="_Toc15377425"/>
      <w:bookmarkStart w:id="4" w:name="_Toc15396475"/>
      <w:bookmarkStart w:id="5" w:name="_Toc15396597"/>
      <w:bookmarkStart w:id="6" w:name="_Toc15378441"/>
      <w:r>
        <w:rPr>
          <w:rFonts w:hint="eastAsia" w:ascii="方正小标宋简体" w:hAnsi="方正小标宋简体" w:eastAsia="方正小标宋简体" w:cs="方正小标宋简体"/>
          <w:sz w:val="48"/>
          <w:szCs w:val="48"/>
        </w:rPr>
        <w:t>202</w:t>
      </w:r>
      <w:r>
        <w:rPr>
          <w:rFonts w:hint="eastAsia" w:ascii="方正小标宋简体" w:hAnsi="方正小标宋简体" w:eastAsia="方正小标宋简体" w:cs="方正小标宋简体"/>
          <w:sz w:val="48"/>
          <w:szCs w:val="48"/>
          <w:lang w:val="en-US" w:eastAsia="zh-CN"/>
        </w:rPr>
        <w:t>4</w:t>
      </w:r>
      <w:r>
        <w:rPr>
          <w:rFonts w:hint="eastAsia" w:ascii="方正小标宋简体" w:hAnsi="方正小标宋简体" w:eastAsia="方正小标宋简体" w:cs="方正小标宋简体"/>
          <w:sz w:val="48"/>
          <w:szCs w:val="48"/>
        </w:rPr>
        <w:t>年度</w:t>
      </w:r>
      <w:bookmarkEnd w:id="2"/>
      <w:bookmarkEnd w:id="3"/>
      <w:bookmarkEnd w:id="4"/>
      <w:bookmarkEnd w:id="5"/>
      <w:bookmarkEnd w:id="6"/>
    </w:p>
    <w:p>
      <w:pPr>
        <w:adjustRightInd w:val="0"/>
        <w:snapToGrid w:val="0"/>
        <w:spacing w:line="360" w:lineRule="auto"/>
        <w:jc w:val="center"/>
        <w:outlineLvl w:val="0"/>
        <w:rPr>
          <w:rFonts w:ascii="方正小标宋简体" w:hAnsi="方正小标宋简体" w:eastAsia="方正小标宋简体" w:cs="方正小标宋简体"/>
          <w:sz w:val="56"/>
          <w:szCs w:val="56"/>
        </w:rPr>
      </w:pPr>
      <w:bookmarkStart w:id="7" w:name="_Toc15396598"/>
      <w:bookmarkStart w:id="8" w:name="_Toc15378442"/>
      <w:bookmarkStart w:id="9" w:name="_Toc15377194"/>
      <w:bookmarkStart w:id="10" w:name="_Toc15306268"/>
      <w:bookmarkStart w:id="11" w:name="_Toc15396476"/>
      <w:bookmarkStart w:id="12" w:name="_Toc15377426"/>
      <w:r>
        <w:rPr>
          <w:rFonts w:hint="eastAsia" w:ascii="方正小标宋简体" w:hAnsi="方正小标宋简体" w:eastAsia="方正小标宋简体" w:cs="方正小标宋简体"/>
          <w:sz w:val="48"/>
          <w:szCs w:val="48"/>
          <w:lang w:eastAsia="zh-CN"/>
        </w:rPr>
        <w:t>四川省</w:t>
      </w:r>
      <w:r>
        <w:rPr>
          <w:rFonts w:hint="eastAsia" w:ascii="方正小标宋简体" w:hAnsi="方正小标宋简体" w:eastAsia="方正小标宋简体" w:cs="方正小标宋简体"/>
          <w:sz w:val="48"/>
          <w:szCs w:val="48"/>
        </w:rPr>
        <w:t>遂宁市安居区横山镇中心幼儿园</w:t>
      </w:r>
      <w:r>
        <w:rPr>
          <w:rFonts w:hint="eastAsia" w:ascii="方正小标宋简体" w:hAnsi="方正小标宋简体" w:eastAsia="方正小标宋简体" w:cs="方正小标宋简体"/>
          <w:sz w:val="48"/>
          <w:szCs w:val="48"/>
          <w:lang w:eastAsia="zh-CN"/>
        </w:rPr>
        <w:t>部门</w:t>
      </w:r>
      <w:r>
        <w:rPr>
          <w:rFonts w:hint="eastAsia" w:ascii="方正小标宋简体" w:hAnsi="方正小标宋简体" w:eastAsia="方正小标宋简体" w:cs="方正小标宋简体"/>
          <w:sz w:val="48"/>
          <w:szCs w:val="48"/>
        </w:rPr>
        <w:t>决算</w:t>
      </w:r>
      <w:bookmarkEnd w:id="7"/>
      <w:bookmarkEnd w:id="8"/>
      <w:bookmarkEnd w:id="9"/>
      <w:bookmarkEnd w:id="10"/>
      <w:bookmarkEnd w:id="11"/>
      <w:bookmarkEnd w:id="12"/>
    </w:p>
    <w:p>
      <w:pPr>
        <w:pStyle w:val="3"/>
        <w:rPr>
          <w:rFonts w:ascii="宋体" w:hAnsi="宋体" w:eastAsia="宋体" w:cs="Times New Roman"/>
          <w:kern w:val="2"/>
          <w:sz w:val="21"/>
          <w:szCs w:val="24"/>
          <w:lang w:val="en-US" w:eastAsia="zh-CN" w:bidi="ar-SA"/>
        </w:rPr>
        <w:sectPr>
          <w:footerReference r:id="rId5" w:type="first"/>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sdt>
      <w:sdtPr>
        <w:rPr>
          <w:rFonts w:ascii="宋体" w:hAnsi="宋体" w:eastAsia="宋体" w:cs="Times New Roman"/>
          <w:kern w:val="2"/>
          <w:sz w:val="21"/>
          <w:szCs w:val="24"/>
          <w:lang w:val="en-US" w:eastAsia="zh-CN" w:bidi="ar-SA"/>
        </w:rPr>
        <w:id w:val="147476383"/>
        <w15:color w:val="DBDBDB"/>
        <w:docPartObj>
          <w:docPartGallery w:val="Table of Contents"/>
          <w:docPartUnique/>
        </w:docPartObj>
      </w:sdtPr>
      <w:sdtEndPr>
        <w:rPr>
          <w:rFonts w:hint="eastAsia" w:ascii="仿宋" w:hAnsi="仿宋" w:eastAsia="仿宋" w:cs="仿宋"/>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32"/>
              <w:szCs w:val="32"/>
            </w:rPr>
          </w:pPr>
          <w:r>
            <w:rPr>
              <w:rFonts w:hint="eastAsia" w:ascii="黑体" w:hAnsi="黑体" w:eastAsia="黑体" w:cs="黑体"/>
              <w:sz w:val="32"/>
              <w:szCs w:val="32"/>
            </w:rPr>
            <w:t>目录</w:t>
          </w:r>
        </w:p>
        <w:p>
          <w:pPr>
            <w:tabs>
              <w:tab w:val="right" w:leader="dot" w:pos="8296"/>
            </w:tabs>
            <w:adjustRightInd w:val="0"/>
            <w:snapToGrid w:val="0"/>
            <w:spacing w:line="560" w:lineRule="exact"/>
            <w:ind w:firstLine="2240" w:firstLineChars="7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公开时间：2025年8月2</w:t>
          </w:r>
          <w:r>
            <w:rPr>
              <w:rFonts w:hint="eastAsia" w:eastAsia="仿宋_GB2312" w:cs="仿宋_GB2312"/>
              <w:sz w:val="32"/>
              <w:szCs w:val="32"/>
              <w:lang w:val="en-US" w:eastAsia="zh-CN"/>
            </w:rPr>
            <w:t>7</w:t>
          </w:r>
          <w:bookmarkStart w:id="98" w:name="_GoBack"/>
          <w:bookmarkEnd w:id="98"/>
          <w:r>
            <w:rPr>
              <w:rFonts w:hint="eastAsia" w:ascii="Times New Roman" w:hAnsi="Times New Roman" w:eastAsia="仿宋_GB2312" w:cs="仿宋_GB2312"/>
              <w:sz w:val="32"/>
              <w:szCs w:val="32"/>
            </w:rPr>
            <w:t>日</w:t>
          </w:r>
        </w:p>
        <w:p>
          <w:pPr>
            <w:pStyle w:val="2"/>
            <w:rPr>
              <w:rFonts w:hint="eastAsia"/>
            </w:rPr>
          </w:pPr>
        </w:p>
        <w:p>
          <w:pPr>
            <w:pStyle w:val="14"/>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"1-2" \h \u </w:instrText>
          </w:r>
          <w:r>
            <w:rPr>
              <w:rFonts w:hint="eastAsia" w:ascii="仿宋" w:hAnsi="仿宋" w:eastAsia="仿宋" w:cs="仿宋"/>
              <w:sz w:val="32"/>
              <w:szCs w:val="32"/>
            </w:rPr>
            <w:fldChar w:fldCharType="separate"/>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HYPERLINK \l _Toc2319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 xml:space="preserve">第一部分 </w:t>
          </w:r>
          <w:r>
            <w:rPr>
              <w:rFonts w:hint="eastAsia" w:cs="仿宋"/>
              <w:b/>
              <w:bCs/>
              <w:sz w:val="32"/>
              <w:szCs w:val="32"/>
              <w:lang w:eastAsia="zh-CN"/>
            </w:rPr>
            <w:t>部门</w:t>
          </w:r>
          <w:r>
            <w:rPr>
              <w:rFonts w:hint="eastAsia" w:ascii="仿宋" w:hAnsi="仿宋" w:eastAsia="仿宋" w:cs="仿宋"/>
              <w:b/>
              <w:bCs/>
              <w:sz w:val="32"/>
              <w:szCs w:val="32"/>
            </w:rPr>
            <w:t>概况</w:t>
          </w:r>
          <w:r>
            <w:rPr>
              <w:rFonts w:hint="eastAsia" w:ascii="仿宋" w:hAnsi="仿宋" w:eastAsia="仿宋" w:cs="仿宋"/>
              <w:b/>
              <w:bCs/>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_Toc2319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4</w:t>
          </w:r>
          <w:r>
            <w:rPr>
              <w:rFonts w:hint="eastAsia" w:ascii="仿宋" w:hAnsi="仿宋" w:eastAsia="仿宋" w:cs="仿宋"/>
              <w:b w:val="0"/>
              <w:bCs w:val="0"/>
              <w:sz w:val="32"/>
              <w:szCs w:val="32"/>
            </w:rPr>
            <w:fldChar w:fldCharType="end"/>
          </w:r>
          <w:r>
            <w:rPr>
              <w:rFonts w:hint="eastAsia" w:ascii="仿宋" w:hAnsi="仿宋" w:eastAsia="仿宋" w:cs="仿宋"/>
              <w:b/>
              <w:bCs/>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_Toc27512 </w:instrText>
          </w:r>
          <w:r>
            <w:rPr>
              <w:rFonts w:hint="eastAsia" w:ascii="仿宋" w:hAnsi="仿宋" w:eastAsia="仿宋" w:cs="仿宋"/>
              <w:sz w:val="32"/>
              <w:szCs w:val="32"/>
            </w:rPr>
            <w:fldChar w:fldCharType="separate"/>
          </w:r>
          <w:r>
            <w:rPr>
              <w:rFonts w:hint="eastAsia" w:ascii="仿宋" w:hAnsi="仿宋" w:eastAsia="仿宋" w:cs="仿宋"/>
              <w:bCs w:val="0"/>
              <w:sz w:val="32"/>
              <w:szCs w:val="32"/>
              <w:lang w:val="en-US"/>
            </w:rPr>
            <w:t>一、</w:t>
          </w:r>
          <w:r>
            <w:rPr>
              <w:rFonts w:hint="eastAsia" w:ascii="仿宋" w:hAnsi="仿宋" w:eastAsia="仿宋" w:cs="仿宋"/>
              <w:bCs w:val="0"/>
              <w:sz w:val="32"/>
              <w:szCs w:val="32"/>
              <w:lang w:val="en-US" w:eastAsia="zh-CN"/>
            </w:rPr>
            <w:t>部门</w:t>
          </w:r>
          <w:r>
            <w:rPr>
              <w:rFonts w:hint="eastAsia" w:ascii="仿宋" w:hAnsi="仿宋" w:eastAsia="仿宋" w:cs="仿宋"/>
              <w:bCs w:val="0"/>
              <w:sz w:val="32"/>
              <w:szCs w:val="32"/>
            </w:rPr>
            <w:t>职责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_Toc27512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_Toc8590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_Toc8590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4"/>
            <w:tabs>
              <w:tab w:val="right" w:leader="dot" w:pos="8306"/>
              <w:tab w:val="clear" w:pos="8296"/>
            </w:tabs>
            <w:rPr>
              <w:rFonts w:hint="eastAsia" w:ascii="仿宋" w:hAnsi="仿宋" w:eastAsia="仿宋" w:cs="仿宋"/>
              <w:sz w:val="32"/>
              <w:szCs w:val="32"/>
            </w:rPr>
          </w:pP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HYPERLINK \l _Toc28168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第二部分 202</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年度单位决算情况说明</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_Toc28168 \h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5</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_Toc26716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rPr>
            <w:t xml:space="preserve">一、 </w:t>
          </w:r>
          <w:r>
            <w:rPr>
              <w:rFonts w:hint="eastAsia" w:ascii="仿宋" w:hAnsi="仿宋" w:eastAsia="仿宋" w:cs="仿宋"/>
              <w:sz w:val="32"/>
              <w:szCs w:val="32"/>
            </w:rPr>
            <w:t>收入支出决算总体情况说明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_Toc26716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_Toc5706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rPr>
            <w:t xml:space="preserve">二、 </w:t>
          </w:r>
          <w:r>
            <w:rPr>
              <w:rFonts w:hint="eastAsia" w:ascii="仿宋" w:hAnsi="仿宋" w:eastAsia="仿宋" w:cs="仿宋"/>
              <w:sz w:val="32"/>
              <w:szCs w:val="32"/>
            </w:rPr>
            <w:t>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_Toc5706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_Toc16684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rPr>
            <w:t xml:space="preserve">三、 </w:t>
          </w:r>
          <w:r>
            <w:rPr>
              <w:rFonts w:hint="eastAsia" w:ascii="仿宋" w:hAnsi="仿宋" w:eastAsia="仿宋" w:cs="仿宋"/>
              <w:sz w:val="32"/>
              <w:szCs w:val="32"/>
            </w:rPr>
            <w:t>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_Toc16684 \h </w:instrText>
          </w:r>
          <w:r>
            <w:rPr>
              <w:rFonts w:hint="eastAsia" w:ascii="仿宋" w:hAnsi="仿宋" w:eastAsia="仿宋" w:cs="仿宋"/>
              <w:sz w:val="32"/>
              <w:szCs w:val="32"/>
            </w:rPr>
            <w:fldChar w:fldCharType="separate"/>
          </w:r>
          <w:r>
            <w:rPr>
              <w:rFonts w:hint="eastAsia" w:ascii="仿宋" w:hAnsi="仿宋" w:eastAsia="仿宋" w:cs="仿宋"/>
              <w:sz w:val="32"/>
              <w:szCs w:val="32"/>
            </w:rPr>
            <w:t>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_Toc16436 </w:instrText>
          </w:r>
          <w:r>
            <w:rPr>
              <w:rFonts w:hint="eastAsia" w:ascii="仿宋" w:hAnsi="仿宋" w:eastAsia="仿宋" w:cs="仿宋"/>
              <w:sz w:val="32"/>
              <w:szCs w:val="32"/>
            </w:rPr>
            <w:fldChar w:fldCharType="separate"/>
          </w:r>
          <w:r>
            <w:rPr>
              <w:rFonts w:hint="eastAsia" w:ascii="仿宋" w:hAnsi="仿宋" w:eastAsia="仿宋" w:cs="仿宋"/>
              <w:sz w:val="32"/>
              <w:szCs w:val="32"/>
            </w:rPr>
            <w:t>四、财政拨款收入支出决算总体情况说明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_Toc16436 \h </w:instrText>
          </w:r>
          <w:r>
            <w:rPr>
              <w:rFonts w:hint="eastAsia" w:ascii="仿宋" w:hAnsi="仿宋" w:eastAsia="仿宋" w:cs="仿宋"/>
              <w:sz w:val="32"/>
              <w:szCs w:val="32"/>
            </w:rPr>
            <w:fldChar w:fldCharType="separate"/>
          </w:r>
          <w:r>
            <w:rPr>
              <w:rFonts w:hint="eastAsia" w:ascii="仿宋" w:hAnsi="仿宋" w:eastAsia="仿宋" w:cs="仿宋"/>
              <w:sz w:val="32"/>
              <w:szCs w:val="32"/>
            </w:rPr>
            <w:t>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_Toc11013 </w:instrText>
          </w:r>
          <w:r>
            <w:rPr>
              <w:rFonts w:hint="eastAsia" w:ascii="仿宋" w:hAnsi="仿宋" w:eastAsia="仿宋" w:cs="仿宋"/>
              <w:sz w:val="32"/>
              <w:szCs w:val="32"/>
            </w:rPr>
            <w:fldChar w:fldCharType="separate"/>
          </w:r>
          <w:r>
            <w:rPr>
              <w:rFonts w:hint="eastAsia" w:ascii="仿宋" w:hAnsi="仿宋" w:eastAsia="仿宋" w:cs="仿宋"/>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_Toc11013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_Toc15878 </w:instrText>
          </w:r>
          <w:r>
            <w:rPr>
              <w:rFonts w:hint="eastAsia" w:ascii="仿宋" w:hAnsi="仿宋" w:eastAsia="仿宋" w:cs="仿宋"/>
              <w:sz w:val="32"/>
              <w:szCs w:val="32"/>
            </w:rPr>
            <w:fldChar w:fldCharType="separate"/>
          </w:r>
          <w:r>
            <w:rPr>
              <w:rFonts w:hint="eastAsia" w:ascii="仿宋" w:hAnsi="仿宋" w:eastAsia="仿宋" w:cs="仿宋"/>
              <w:sz w:val="32"/>
              <w:szCs w:val="32"/>
            </w:rPr>
            <w:t>六、一般公共预算财政拨款基本支出决算情况说明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_Toc15878 \h </w:instrText>
          </w:r>
          <w:r>
            <w:rPr>
              <w:rFonts w:hint="eastAsia" w:ascii="仿宋" w:hAnsi="仿宋" w:eastAsia="仿宋" w:cs="仿宋"/>
              <w:sz w:val="32"/>
              <w:szCs w:val="32"/>
            </w:rPr>
            <w:fldChar w:fldCharType="separate"/>
          </w:r>
          <w:r>
            <w:rPr>
              <w:rFonts w:hint="eastAsia" w:ascii="仿宋" w:hAnsi="仿宋" w:eastAsia="仿宋" w:cs="仿宋"/>
              <w:sz w:val="32"/>
              <w:szCs w:val="32"/>
            </w:rPr>
            <w:t>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_Toc10516 </w:instrText>
          </w:r>
          <w:r>
            <w:rPr>
              <w:rFonts w:hint="eastAsia" w:ascii="仿宋" w:hAnsi="仿宋" w:eastAsia="仿宋" w:cs="仿宋"/>
              <w:sz w:val="32"/>
              <w:szCs w:val="32"/>
            </w:rPr>
            <w:fldChar w:fldCharType="separate"/>
          </w:r>
          <w:r>
            <w:rPr>
              <w:rFonts w:hint="eastAsia" w:ascii="仿宋" w:hAnsi="仿宋" w:eastAsia="仿宋" w:cs="仿宋"/>
              <w:sz w:val="32"/>
              <w:szCs w:val="32"/>
            </w:rPr>
            <w:t>七、</w:t>
          </w:r>
          <w:r>
            <w:rPr>
              <w:rFonts w:hint="eastAsia" w:ascii="仿宋" w:hAnsi="仿宋" w:eastAsia="仿宋" w:cs="仿宋"/>
              <w:bCs/>
              <w:sz w:val="32"/>
              <w:szCs w:val="32"/>
            </w:rPr>
            <w:t>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_Toc10516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_Toc24678 </w:instrText>
          </w:r>
          <w:r>
            <w:rPr>
              <w:rFonts w:hint="eastAsia" w:ascii="仿宋" w:hAnsi="仿宋" w:eastAsia="仿宋" w:cs="仿宋"/>
              <w:sz w:val="32"/>
              <w:szCs w:val="32"/>
            </w:rPr>
            <w:fldChar w:fldCharType="separate"/>
          </w:r>
          <w:r>
            <w:rPr>
              <w:rFonts w:hint="eastAsia" w:ascii="仿宋" w:hAnsi="仿宋" w:eastAsia="仿宋" w:cs="仿宋"/>
              <w:sz w:val="32"/>
              <w:szCs w:val="32"/>
            </w:rPr>
            <w:t>八、</w:t>
          </w:r>
          <w:r>
            <w:rPr>
              <w:rFonts w:hint="eastAsia" w:ascii="仿宋" w:hAnsi="仿宋" w:eastAsia="仿宋" w:cs="仿宋"/>
              <w:bCs/>
              <w:sz w:val="32"/>
              <w:szCs w:val="32"/>
            </w:rPr>
            <w:t>政府性基金预算支出决算情况说明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_Toc24678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_Toc25326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 国有资本经营预算支出决算情况说明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_Toc25326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_Toc27663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十、其他重要事项的情况说明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_Toc27663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4"/>
            <w:tabs>
              <w:tab w:val="right" w:leader="dot" w:pos="8306"/>
              <w:tab w:val="clear" w:pos="8296"/>
            </w:tabs>
            <w:rPr>
              <w:rFonts w:hint="eastAsia" w:ascii="仿宋" w:hAnsi="仿宋" w:eastAsia="仿宋" w:cs="仿宋"/>
              <w:b/>
              <w:bCs/>
              <w:sz w:val="32"/>
              <w:szCs w:val="32"/>
            </w:rPr>
          </w:pP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HYPERLINK \l _Toc16368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第三部分 名词解释</w:t>
          </w:r>
          <w:r>
            <w:rPr>
              <w:rFonts w:hint="eastAsia" w:ascii="仿宋" w:hAnsi="仿宋" w:eastAsia="仿宋" w:cs="仿宋"/>
              <w:b/>
              <w:bCs/>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_Toc16368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14</w:t>
          </w:r>
          <w:r>
            <w:rPr>
              <w:rFonts w:hint="eastAsia" w:ascii="仿宋" w:hAnsi="仿宋" w:eastAsia="仿宋" w:cs="仿宋"/>
              <w:b w:val="0"/>
              <w:bCs w:val="0"/>
              <w:sz w:val="32"/>
              <w:szCs w:val="32"/>
            </w:rPr>
            <w:fldChar w:fldCharType="end"/>
          </w:r>
          <w:r>
            <w:rPr>
              <w:rFonts w:hint="eastAsia" w:ascii="仿宋" w:hAnsi="仿宋" w:eastAsia="仿宋" w:cs="仿宋"/>
              <w:b/>
              <w:bCs/>
              <w:sz w:val="32"/>
              <w:szCs w:val="32"/>
            </w:rPr>
            <w:fldChar w:fldCharType="end"/>
          </w:r>
        </w:p>
        <w:p>
          <w:pPr>
            <w:pStyle w:val="14"/>
            <w:tabs>
              <w:tab w:val="right" w:leader="dot" w:pos="8306"/>
              <w:tab w:val="clear" w:pos="8296"/>
            </w:tabs>
            <w:rPr>
              <w:rFonts w:hint="eastAsia" w:ascii="仿宋" w:hAnsi="仿宋" w:eastAsia="仿宋" w:cs="仿宋"/>
              <w:b/>
              <w:bCs/>
              <w:sz w:val="32"/>
              <w:szCs w:val="32"/>
            </w:rPr>
          </w:pP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HYPERLINK \l _Toc21043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第四部分 附件</w:t>
          </w:r>
          <w:r>
            <w:rPr>
              <w:rFonts w:hint="eastAsia" w:ascii="仿宋" w:hAnsi="仿宋" w:eastAsia="仿宋" w:cs="仿宋"/>
              <w:b/>
              <w:bCs/>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_Toc21043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16</w:t>
          </w:r>
          <w:r>
            <w:rPr>
              <w:rFonts w:hint="eastAsia" w:ascii="仿宋" w:hAnsi="仿宋" w:eastAsia="仿宋" w:cs="仿宋"/>
              <w:b w:val="0"/>
              <w:bCs w:val="0"/>
              <w:sz w:val="32"/>
              <w:szCs w:val="32"/>
            </w:rPr>
            <w:fldChar w:fldCharType="end"/>
          </w:r>
          <w:r>
            <w:rPr>
              <w:rFonts w:hint="eastAsia" w:ascii="仿宋" w:hAnsi="仿宋" w:eastAsia="仿宋" w:cs="仿宋"/>
              <w:b/>
              <w:bCs/>
              <w:sz w:val="32"/>
              <w:szCs w:val="32"/>
            </w:rPr>
            <w:fldChar w:fldCharType="end"/>
          </w:r>
        </w:p>
        <w:p>
          <w:pPr>
            <w:pStyle w:val="14"/>
            <w:tabs>
              <w:tab w:val="right" w:leader="dot" w:pos="8306"/>
              <w:tab w:val="clear" w:pos="8296"/>
            </w:tabs>
            <w:rPr>
              <w:rFonts w:hint="eastAsia" w:ascii="仿宋" w:hAnsi="仿宋" w:eastAsia="仿宋" w:cs="仿宋"/>
              <w:sz w:val="32"/>
              <w:szCs w:val="32"/>
            </w:rPr>
          </w:pP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HYPERLINK \l _Toc7845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第五部分 附表</w:t>
          </w:r>
          <w:r>
            <w:rPr>
              <w:rFonts w:hint="eastAsia" w:ascii="仿宋" w:hAnsi="仿宋" w:eastAsia="仿宋" w:cs="仿宋"/>
              <w:b/>
              <w:bCs/>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_Toc7845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30</w:t>
          </w:r>
          <w:r>
            <w:rPr>
              <w:rFonts w:hint="eastAsia" w:ascii="仿宋" w:hAnsi="仿宋" w:eastAsia="仿宋" w:cs="仿宋"/>
              <w:b w:val="0"/>
              <w:bCs w:val="0"/>
              <w:sz w:val="32"/>
              <w:szCs w:val="32"/>
            </w:rPr>
            <w:fldChar w:fldCharType="end"/>
          </w:r>
          <w:r>
            <w:rPr>
              <w:rFonts w:hint="eastAsia" w:ascii="仿宋" w:hAnsi="仿宋" w:eastAsia="仿宋" w:cs="仿宋"/>
              <w:b/>
              <w:bCs/>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_Toc26827 </w:instrText>
          </w:r>
          <w:r>
            <w:rPr>
              <w:rFonts w:hint="eastAsia" w:ascii="仿宋" w:hAnsi="仿宋" w:eastAsia="仿宋" w:cs="仿宋"/>
              <w:sz w:val="32"/>
              <w:szCs w:val="32"/>
            </w:rPr>
            <w:fldChar w:fldCharType="separate"/>
          </w:r>
          <w:r>
            <w:rPr>
              <w:rFonts w:hint="eastAsia" w:ascii="仿宋" w:hAnsi="仿宋" w:eastAsia="仿宋" w:cs="仿宋"/>
              <w:sz w:val="32"/>
              <w:szCs w:val="32"/>
            </w:rPr>
            <w:t>一、收</w:t>
          </w:r>
          <w:r>
            <w:rPr>
              <w:rFonts w:hint="eastAsia" w:ascii="仿宋" w:hAnsi="仿宋" w:eastAsia="仿宋" w:cs="仿宋"/>
              <w:bCs w:val="0"/>
              <w:sz w:val="32"/>
              <w:szCs w:val="32"/>
            </w:rPr>
            <w:t>入支出决算总表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_Toc26827 \h </w:instrText>
          </w:r>
          <w:r>
            <w:rPr>
              <w:rFonts w:hint="eastAsia" w:ascii="仿宋" w:hAnsi="仿宋" w:eastAsia="仿宋" w:cs="仿宋"/>
              <w:sz w:val="32"/>
              <w:szCs w:val="32"/>
            </w:rPr>
            <w:fldChar w:fldCharType="separate"/>
          </w:r>
          <w:r>
            <w:rPr>
              <w:rFonts w:hint="eastAsia" w:ascii="仿宋" w:hAnsi="仿宋" w:eastAsia="仿宋" w:cs="仿宋"/>
              <w:sz w:val="32"/>
              <w:szCs w:val="32"/>
            </w:rPr>
            <w:t>30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_Toc4186 </w:instrText>
          </w:r>
          <w:r>
            <w:rPr>
              <w:rFonts w:hint="eastAsia" w:ascii="仿宋" w:hAnsi="仿宋" w:eastAsia="仿宋" w:cs="仿宋"/>
              <w:sz w:val="32"/>
              <w:szCs w:val="32"/>
            </w:rPr>
            <w:fldChar w:fldCharType="separate"/>
          </w:r>
          <w:r>
            <w:rPr>
              <w:rFonts w:hint="eastAsia" w:ascii="仿宋" w:hAnsi="仿宋" w:eastAsia="仿宋" w:cs="仿宋"/>
              <w:sz w:val="32"/>
              <w:szCs w:val="32"/>
            </w:rPr>
            <w:t>二、收</w:t>
          </w:r>
          <w:r>
            <w:rPr>
              <w:rFonts w:hint="eastAsia" w:ascii="仿宋" w:hAnsi="仿宋" w:eastAsia="仿宋" w:cs="仿宋"/>
              <w:bCs w:val="0"/>
              <w:sz w:val="32"/>
              <w:szCs w:val="32"/>
            </w:rPr>
            <w:t>入决算表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_Toc4186 \h </w:instrText>
          </w:r>
          <w:r>
            <w:rPr>
              <w:rFonts w:hint="eastAsia" w:ascii="仿宋" w:hAnsi="仿宋" w:eastAsia="仿宋" w:cs="仿宋"/>
              <w:sz w:val="32"/>
              <w:szCs w:val="32"/>
            </w:rPr>
            <w:fldChar w:fldCharType="separate"/>
          </w:r>
          <w:r>
            <w:rPr>
              <w:rFonts w:hint="eastAsia" w:ascii="仿宋" w:hAnsi="仿宋" w:eastAsia="仿宋" w:cs="仿宋"/>
              <w:sz w:val="32"/>
              <w:szCs w:val="32"/>
            </w:rPr>
            <w:t>30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sectPr>
              <w:footerReference r:id="rId7" w:type="first"/>
              <w:footerReference r:id="rId6" w:type="default"/>
              <w:pgSz w:w="11906" w:h="16838"/>
              <w:pgMar w:top="1440" w:right="1800" w:bottom="1440" w:left="1800" w:header="851" w:footer="992" w:gutter="0"/>
              <w:pgNumType w:start="2"/>
              <w:cols w:space="425" w:num="1"/>
              <w:titlePg/>
              <w:docGrid w:type="lines" w:linePitch="312" w:charSpace="0"/>
            </w:sectPr>
          </w:pP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_Toc2649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三、</w:t>
          </w:r>
          <w:r>
            <w:rPr>
              <w:rFonts w:hint="eastAsia" w:ascii="仿宋" w:hAnsi="仿宋" w:eastAsia="仿宋" w:cs="仿宋"/>
              <w:sz w:val="32"/>
              <w:szCs w:val="32"/>
            </w:rPr>
            <w:t>支</w:t>
          </w:r>
          <w:r>
            <w:rPr>
              <w:rFonts w:hint="eastAsia" w:ascii="仿宋" w:hAnsi="仿宋" w:eastAsia="仿宋" w:cs="仿宋"/>
              <w:bCs w:val="0"/>
              <w:sz w:val="32"/>
              <w:szCs w:val="32"/>
            </w:rPr>
            <w:t>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_Toc2649 \h </w:instrText>
          </w:r>
          <w:r>
            <w:rPr>
              <w:rFonts w:hint="eastAsia" w:ascii="仿宋" w:hAnsi="仿宋" w:eastAsia="仿宋" w:cs="仿宋"/>
              <w:sz w:val="32"/>
              <w:szCs w:val="32"/>
            </w:rPr>
            <w:fldChar w:fldCharType="separate"/>
          </w:r>
          <w:r>
            <w:rPr>
              <w:rFonts w:hint="eastAsia" w:ascii="仿宋" w:hAnsi="仿宋" w:eastAsia="仿宋" w:cs="仿宋"/>
              <w:sz w:val="32"/>
              <w:szCs w:val="32"/>
            </w:rPr>
            <w:t>30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_Toc581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四、</w:t>
          </w:r>
          <w:r>
            <w:rPr>
              <w:rFonts w:hint="eastAsia" w:ascii="仿宋" w:hAnsi="仿宋" w:eastAsia="仿宋" w:cs="仿宋"/>
              <w:sz w:val="32"/>
              <w:szCs w:val="32"/>
            </w:rPr>
            <w:t>财</w:t>
          </w:r>
          <w:r>
            <w:rPr>
              <w:rFonts w:hint="eastAsia" w:ascii="仿宋" w:hAnsi="仿宋" w:eastAsia="仿宋" w:cs="仿宋"/>
              <w:bCs w:val="0"/>
              <w:sz w:val="32"/>
              <w:szCs w:val="32"/>
            </w:rPr>
            <w:t>政拨款收入支出决算总表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_Toc581 \h </w:instrText>
          </w:r>
          <w:r>
            <w:rPr>
              <w:rFonts w:hint="eastAsia" w:ascii="仿宋" w:hAnsi="仿宋" w:eastAsia="仿宋" w:cs="仿宋"/>
              <w:sz w:val="32"/>
              <w:szCs w:val="32"/>
            </w:rPr>
            <w:fldChar w:fldCharType="separate"/>
          </w:r>
          <w:r>
            <w:rPr>
              <w:rFonts w:hint="eastAsia" w:ascii="仿宋" w:hAnsi="仿宋" w:eastAsia="仿宋" w:cs="仿宋"/>
              <w:sz w:val="32"/>
              <w:szCs w:val="32"/>
            </w:rPr>
            <w:t>30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_Toc249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五、</w:t>
          </w:r>
          <w:r>
            <w:rPr>
              <w:rFonts w:hint="eastAsia" w:ascii="仿宋" w:hAnsi="仿宋" w:eastAsia="仿宋" w:cs="仿宋"/>
              <w:sz w:val="32"/>
              <w:szCs w:val="32"/>
            </w:rPr>
            <w:t>财</w:t>
          </w:r>
          <w:r>
            <w:rPr>
              <w:rFonts w:hint="eastAsia" w:ascii="仿宋" w:hAnsi="仿宋" w:eastAsia="仿宋" w:cs="仿宋"/>
              <w:bCs w:val="0"/>
              <w:sz w:val="32"/>
              <w:szCs w:val="32"/>
            </w:rPr>
            <w:t>政拨款支出决算明细表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_Toc249 \h </w:instrText>
          </w:r>
          <w:r>
            <w:rPr>
              <w:rFonts w:hint="eastAsia" w:ascii="仿宋" w:hAnsi="仿宋" w:eastAsia="仿宋" w:cs="仿宋"/>
              <w:sz w:val="32"/>
              <w:szCs w:val="32"/>
            </w:rPr>
            <w:fldChar w:fldCharType="separate"/>
          </w:r>
          <w:r>
            <w:rPr>
              <w:rFonts w:hint="eastAsia" w:ascii="仿宋" w:hAnsi="仿宋" w:eastAsia="仿宋" w:cs="仿宋"/>
              <w:sz w:val="32"/>
              <w:szCs w:val="32"/>
            </w:rPr>
            <w:t>30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_Toc18663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六、</w:t>
          </w:r>
          <w:r>
            <w:rPr>
              <w:rFonts w:hint="eastAsia" w:ascii="仿宋" w:hAnsi="仿宋" w:eastAsia="仿宋" w:cs="仿宋"/>
              <w:sz w:val="32"/>
              <w:szCs w:val="32"/>
            </w:rPr>
            <w:t>一</w:t>
          </w:r>
          <w:r>
            <w:rPr>
              <w:rFonts w:hint="eastAsia" w:ascii="仿宋" w:hAnsi="仿宋" w:eastAsia="仿宋" w:cs="仿宋"/>
              <w:bCs w:val="0"/>
              <w:sz w:val="32"/>
              <w:szCs w:val="32"/>
            </w:rPr>
            <w:t>般公共预算财政拨款支出决算表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_Toc18663 \h </w:instrText>
          </w:r>
          <w:r>
            <w:rPr>
              <w:rFonts w:hint="eastAsia" w:ascii="仿宋" w:hAnsi="仿宋" w:eastAsia="仿宋" w:cs="仿宋"/>
              <w:sz w:val="32"/>
              <w:szCs w:val="32"/>
            </w:rPr>
            <w:fldChar w:fldCharType="separate"/>
          </w:r>
          <w:r>
            <w:rPr>
              <w:rFonts w:hint="eastAsia" w:ascii="仿宋" w:hAnsi="仿宋" w:eastAsia="仿宋" w:cs="仿宋"/>
              <w:sz w:val="32"/>
              <w:szCs w:val="32"/>
            </w:rPr>
            <w:t>30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_Toc32429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七、</w:t>
          </w:r>
          <w:r>
            <w:rPr>
              <w:rFonts w:hint="eastAsia" w:ascii="仿宋" w:hAnsi="仿宋" w:eastAsia="仿宋" w:cs="仿宋"/>
              <w:sz w:val="32"/>
              <w:szCs w:val="32"/>
            </w:rPr>
            <w:t>一</w:t>
          </w:r>
          <w:r>
            <w:rPr>
              <w:rFonts w:hint="eastAsia" w:ascii="仿宋" w:hAnsi="仿宋" w:eastAsia="仿宋" w:cs="仿宋"/>
              <w:bCs w:val="0"/>
              <w:sz w:val="32"/>
              <w:szCs w:val="32"/>
            </w:rPr>
            <w:t>般公共预算财政拨款支出决算明细表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_Toc32429 \h </w:instrText>
          </w:r>
          <w:r>
            <w:rPr>
              <w:rFonts w:hint="eastAsia" w:ascii="仿宋" w:hAnsi="仿宋" w:eastAsia="仿宋" w:cs="仿宋"/>
              <w:sz w:val="32"/>
              <w:szCs w:val="32"/>
            </w:rPr>
            <w:fldChar w:fldCharType="separate"/>
          </w:r>
          <w:r>
            <w:rPr>
              <w:rFonts w:hint="eastAsia" w:ascii="仿宋" w:hAnsi="仿宋" w:eastAsia="仿宋" w:cs="仿宋"/>
              <w:sz w:val="32"/>
              <w:szCs w:val="32"/>
            </w:rPr>
            <w:t>30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_Toc26522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八、</w:t>
          </w:r>
          <w:r>
            <w:rPr>
              <w:rFonts w:hint="eastAsia" w:ascii="仿宋" w:hAnsi="仿宋" w:eastAsia="仿宋" w:cs="仿宋"/>
              <w:sz w:val="32"/>
              <w:szCs w:val="32"/>
            </w:rPr>
            <w:t>一</w:t>
          </w:r>
          <w:r>
            <w:rPr>
              <w:rFonts w:hint="eastAsia" w:ascii="仿宋" w:hAnsi="仿宋" w:eastAsia="仿宋" w:cs="仿宋"/>
              <w:bCs w:val="0"/>
              <w:sz w:val="32"/>
              <w:szCs w:val="32"/>
            </w:rPr>
            <w:t>般公共预算财政拨款基本支出决算表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_Toc26522 \h </w:instrText>
          </w:r>
          <w:r>
            <w:rPr>
              <w:rFonts w:hint="eastAsia" w:ascii="仿宋" w:hAnsi="仿宋" w:eastAsia="仿宋" w:cs="仿宋"/>
              <w:sz w:val="32"/>
              <w:szCs w:val="32"/>
            </w:rPr>
            <w:fldChar w:fldCharType="separate"/>
          </w:r>
          <w:r>
            <w:rPr>
              <w:rFonts w:hint="eastAsia" w:ascii="仿宋" w:hAnsi="仿宋" w:eastAsia="仿宋" w:cs="仿宋"/>
              <w:sz w:val="32"/>
              <w:szCs w:val="32"/>
            </w:rPr>
            <w:t>30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_Toc13637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九、</w:t>
          </w:r>
          <w:r>
            <w:rPr>
              <w:rFonts w:hint="eastAsia" w:ascii="仿宋" w:hAnsi="仿宋" w:eastAsia="仿宋" w:cs="仿宋"/>
              <w:sz w:val="32"/>
              <w:szCs w:val="32"/>
            </w:rPr>
            <w:t>一</w:t>
          </w:r>
          <w:r>
            <w:rPr>
              <w:rFonts w:hint="eastAsia" w:ascii="仿宋" w:hAnsi="仿宋" w:eastAsia="仿宋" w:cs="仿宋"/>
              <w:bCs w:val="0"/>
              <w:sz w:val="32"/>
              <w:szCs w:val="32"/>
            </w:rPr>
            <w:t>般公共预算财政拨款项目支出决算表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_Toc13637 \h </w:instrText>
          </w:r>
          <w:r>
            <w:rPr>
              <w:rFonts w:hint="eastAsia" w:ascii="仿宋" w:hAnsi="仿宋" w:eastAsia="仿宋" w:cs="仿宋"/>
              <w:sz w:val="32"/>
              <w:szCs w:val="32"/>
            </w:rPr>
            <w:fldChar w:fldCharType="separate"/>
          </w:r>
          <w:r>
            <w:rPr>
              <w:rFonts w:hint="eastAsia" w:ascii="仿宋" w:hAnsi="仿宋" w:eastAsia="仿宋" w:cs="仿宋"/>
              <w:sz w:val="32"/>
              <w:szCs w:val="32"/>
            </w:rPr>
            <w:t>30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_Toc32100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十、</w:t>
          </w:r>
          <w:r>
            <w:rPr>
              <w:rFonts w:hint="eastAsia" w:ascii="仿宋" w:hAnsi="仿宋" w:eastAsia="仿宋" w:cs="仿宋"/>
              <w:sz w:val="32"/>
              <w:szCs w:val="32"/>
            </w:rPr>
            <w:t>政</w:t>
          </w:r>
          <w:r>
            <w:rPr>
              <w:rFonts w:hint="eastAsia" w:ascii="仿宋" w:hAnsi="仿宋" w:eastAsia="仿宋" w:cs="仿宋"/>
              <w:bCs w:val="0"/>
              <w:sz w:val="32"/>
              <w:szCs w:val="32"/>
            </w:rPr>
            <w:t>府性基金预算财政拨款收入支出决算表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_Toc32100 \h </w:instrText>
          </w:r>
          <w:r>
            <w:rPr>
              <w:rFonts w:hint="eastAsia" w:ascii="仿宋" w:hAnsi="仿宋" w:eastAsia="仿宋" w:cs="仿宋"/>
              <w:sz w:val="32"/>
              <w:szCs w:val="32"/>
            </w:rPr>
            <w:fldChar w:fldCharType="separate"/>
          </w:r>
          <w:r>
            <w:rPr>
              <w:rFonts w:hint="eastAsia" w:ascii="仿宋" w:hAnsi="仿宋" w:eastAsia="仿宋" w:cs="仿宋"/>
              <w:sz w:val="32"/>
              <w:szCs w:val="32"/>
            </w:rPr>
            <w:t>30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_Toc29269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十一、</w:t>
          </w:r>
          <w:r>
            <w:rPr>
              <w:rFonts w:hint="eastAsia" w:ascii="仿宋" w:hAnsi="仿宋" w:eastAsia="仿宋" w:cs="仿宋"/>
              <w:sz w:val="32"/>
              <w:szCs w:val="32"/>
            </w:rPr>
            <w:t>国</w:t>
          </w:r>
          <w:r>
            <w:rPr>
              <w:rFonts w:hint="eastAsia" w:ascii="仿宋" w:hAnsi="仿宋" w:eastAsia="仿宋" w:cs="仿宋"/>
              <w:bCs w:val="0"/>
              <w:sz w:val="32"/>
              <w:szCs w:val="32"/>
            </w:rPr>
            <w:t>有资本经营预算财政拨款收入支出决算表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_Toc29269 \h </w:instrText>
          </w:r>
          <w:r>
            <w:rPr>
              <w:rFonts w:hint="eastAsia" w:ascii="仿宋" w:hAnsi="仿宋" w:eastAsia="仿宋" w:cs="仿宋"/>
              <w:sz w:val="32"/>
              <w:szCs w:val="32"/>
            </w:rPr>
            <w:fldChar w:fldCharType="separate"/>
          </w:r>
          <w:r>
            <w:rPr>
              <w:rFonts w:hint="eastAsia" w:ascii="仿宋" w:hAnsi="仿宋" w:eastAsia="仿宋" w:cs="仿宋"/>
              <w:sz w:val="32"/>
              <w:szCs w:val="32"/>
            </w:rPr>
            <w:t>30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_Toc18821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十二、国有资本经营预算财政拨款支出决算表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_Toc18821 \h </w:instrText>
          </w:r>
          <w:r>
            <w:rPr>
              <w:rFonts w:hint="eastAsia" w:ascii="仿宋" w:hAnsi="仿宋" w:eastAsia="仿宋" w:cs="仿宋"/>
              <w:sz w:val="32"/>
              <w:szCs w:val="32"/>
            </w:rPr>
            <w:fldChar w:fldCharType="separate"/>
          </w:r>
          <w:r>
            <w:rPr>
              <w:rFonts w:hint="eastAsia" w:ascii="仿宋" w:hAnsi="仿宋" w:eastAsia="仿宋" w:cs="仿宋"/>
              <w:sz w:val="32"/>
              <w:szCs w:val="32"/>
            </w:rPr>
            <w:t>30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_Toc2073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十三、财政拨款“三公”经费支出决算表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_Toc2073 \h </w:instrText>
          </w:r>
          <w:r>
            <w:rPr>
              <w:rFonts w:hint="eastAsia" w:ascii="仿宋" w:hAnsi="仿宋" w:eastAsia="仿宋" w:cs="仿宋"/>
              <w:sz w:val="32"/>
              <w:szCs w:val="32"/>
            </w:rPr>
            <w:fldChar w:fldCharType="separate"/>
          </w:r>
          <w:r>
            <w:rPr>
              <w:rFonts w:hint="eastAsia" w:ascii="仿宋" w:hAnsi="仿宋" w:eastAsia="仿宋" w:cs="仿宋"/>
              <w:sz w:val="32"/>
              <w:szCs w:val="32"/>
            </w:rPr>
            <w:t>30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rPr>
              <w:rFonts w:hint="eastAsia" w:ascii="仿宋" w:hAnsi="仿宋" w:eastAsia="仿宋" w:cs="仿宋"/>
              <w:sz w:val="32"/>
              <w:szCs w:val="32"/>
            </w:rPr>
          </w:pPr>
          <w:r>
            <w:rPr>
              <w:rFonts w:hint="eastAsia" w:ascii="仿宋" w:hAnsi="仿宋" w:eastAsia="仿宋" w:cs="仿宋"/>
              <w:sz w:val="32"/>
              <w:szCs w:val="32"/>
            </w:rPr>
            <w:fldChar w:fldCharType="end"/>
          </w:r>
        </w:p>
      </w:sdtContent>
    </w:sdt>
    <w:p/>
    <w:p>
      <w:pPr>
        <w:pStyle w:val="5"/>
        <w:jc w:val="center"/>
        <w:rPr>
          <w:rFonts w:hint="eastAsia" w:ascii="黑体" w:hAnsi="黑体" w:eastAsia="黑体"/>
          <w:b w:val="0"/>
        </w:rPr>
        <w:sectPr>
          <w:footerReference r:id="rId9" w:type="first"/>
          <w:footerReference r:id="rId8" w:type="default"/>
          <w:pgSz w:w="11906" w:h="16838"/>
          <w:pgMar w:top="1440" w:right="1800" w:bottom="1440" w:left="1800" w:header="851" w:footer="992" w:gutter="0"/>
          <w:pgNumType w:start="3"/>
          <w:cols w:space="425" w:num="1"/>
          <w:titlePg/>
          <w:docGrid w:type="lines" w:linePitch="312" w:charSpace="0"/>
        </w:sectPr>
      </w:pPr>
      <w:bookmarkStart w:id="13" w:name="_Toc2319"/>
    </w:p>
    <w:p>
      <w:pPr>
        <w:pStyle w:val="5"/>
        <w:pageBreakBefore w:val="0"/>
        <w:kinsoku/>
        <w:wordWrap/>
        <w:overflowPunct/>
        <w:topLinePunct w:val="0"/>
        <w:autoSpaceDE/>
        <w:autoSpaceDN/>
        <w:bidi w:val="0"/>
        <w:spacing w:before="0" w:after="0" w:line="600" w:lineRule="exact"/>
        <w:jc w:val="center"/>
        <w:textAlignment w:val="auto"/>
        <w:rPr>
          <w:rFonts w:ascii="黑体" w:eastAsia="黑体"/>
          <w:sz w:val="32"/>
          <w:szCs w:val="32"/>
        </w:rPr>
      </w:pPr>
      <w:r>
        <w:rPr>
          <w:rFonts w:hint="eastAsia" w:ascii="黑体" w:hAnsi="黑体" w:eastAsia="黑体"/>
          <w:b w:val="0"/>
        </w:rPr>
        <w:t xml:space="preserve">第一部分 </w:t>
      </w:r>
      <w:r>
        <w:rPr>
          <w:rFonts w:hint="eastAsia" w:ascii="黑体" w:hAnsi="黑体" w:eastAsia="黑体"/>
          <w:b w:val="0"/>
          <w:lang w:eastAsia="zh-CN"/>
        </w:rPr>
        <w:t>部门</w:t>
      </w:r>
      <w:r>
        <w:rPr>
          <w:rStyle w:val="28"/>
          <w:rFonts w:hint="eastAsia" w:ascii="黑体" w:hAnsi="黑体" w:eastAsia="黑体"/>
          <w:b w:val="0"/>
          <w:bCs w:val="0"/>
        </w:rPr>
        <w:t>概况</w:t>
      </w:r>
      <w:bookmarkEnd w:id="0"/>
      <w:bookmarkEnd w:id="1"/>
      <w:bookmarkEnd w:id="13"/>
    </w:p>
    <w:p>
      <w:pPr>
        <w:pStyle w:val="6"/>
        <w:pageBreakBefore w:val="0"/>
        <w:numPr>
          <w:ilvl w:val="0"/>
          <w:numId w:val="1"/>
        </w:numPr>
        <w:kinsoku/>
        <w:wordWrap/>
        <w:overflowPunct/>
        <w:topLinePunct w:val="0"/>
        <w:autoSpaceDE/>
        <w:autoSpaceDN/>
        <w:bidi w:val="0"/>
        <w:spacing w:before="0" w:after="0" w:line="600" w:lineRule="exact"/>
        <w:textAlignment w:val="auto"/>
        <w:rPr>
          <w:rStyle w:val="29"/>
          <w:rFonts w:ascii="黑体" w:hAnsi="黑体" w:eastAsia="黑体"/>
          <w:b w:val="0"/>
          <w:bCs w:val="0"/>
        </w:rPr>
      </w:pPr>
      <w:bookmarkStart w:id="14" w:name="_Toc27512"/>
      <w:bookmarkStart w:id="15" w:name="_Toc15377197"/>
      <w:bookmarkStart w:id="16" w:name="_Toc15396600"/>
      <w:r>
        <w:rPr>
          <w:rStyle w:val="29"/>
          <w:rFonts w:hint="eastAsia" w:ascii="黑体" w:hAnsi="黑体" w:eastAsia="黑体"/>
          <w:b w:val="0"/>
          <w:bCs w:val="0"/>
          <w:lang w:eastAsia="zh-CN"/>
        </w:rPr>
        <w:t>部门</w:t>
      </w:r>
      <w:r>
        <w:rPr>
          <w:rStyle w:val="29"/>
          <w:rFonts w:hint="eastAsia" w:ascii="黑体" w:hAnsi="黑体" w:eastAsia="黑体"/>
          <w:b w:val="0"/>
          <w:bCs w:val="0"/>
        </w:rPr>
        <w:t>职责</w:t>
      </w:r>
      <w:bookmarkEnd w:id="14"/>
      <w:bookmarkStart w:id="17" w:name="_Toc15377198"/>
      <w:bookmarkStart w:id="18" w:name="_Toc15378445"/>
    </w:p>
    <w:bookmarkEnd w:id="17"/>
    <w:bookmarkEnd w:id="18"/>
    <w:p>
      <w:pPr>
        <w:pageBreakBefore w:val="0"/>
        <w:kinsoku/>
        <w:wordWrap/>
        <w:overflowPunct/>
        <w:topLinePunct w:val="0"/>
        <w:autoSpaceDE w:val="0"/>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（1）正确贯彻执行党和国家的教育方针、政策、法规。</w:t>
      </w:r>
    </w:p>
    <w:p>
      <w:pPr>
        <w:pageBreakBefore w:val="0"/>
        <w:kinsoku/>
        <w:wordWrap/>
        <w:overflowPunct/>
        <w:topLinePunct w:val="0"/>
        <w:autoSpaceDE w:val="0"/>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（2）维护学校的教学秩序，为学生创造良好的学习环境;</w:t>
      </w:r>
    </w:p>
    <w:p>
      <w:pPr>
        <w:pageBreakBefore w:val="0"/>
        <w:kinsoku/>
        <w:wordWrap/>
        <w:overflowPunct/>
        <w:topLinePunct w:val="0"/>
        <w:autoSpaceDE w:val="0"/>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（3）积极稳妥地推进教育改革，按教育规律办事，不断提高教育质量;</w:t>
      </w:r>
    </w:p>
    <w:p>
      <w:pPr>
        <w:pageBreakBefore w:val="0"/>
        <w:kinsoku/>
        <w:wordWrap/>
        <w:overflowPunct/>
        <w:topLinePunct w:val="0"/>
        <w:autoSpaceDE w:val="0"/>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（4）根据学校规模，设置学校管理机构，建立健全各项规章制度和岗位责任制。</w:t>
      </w:r>
    </w:p>
    <w:p>
      <w:pPr>
        <w:pageBreakBefore w:val="0"/>
        <w:kinsoku/>
        <w:wordWrap/>
        <w:overflowPunct/>
        <w:topLinePunct w:val="0"/>
        <w:autoSpaceDE w:val="0"/>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（5）坚持教书育人，服务育人，环境育人方针，加强对学生的思想品德教育，使学生的德智体全面发展。</w:t>
      </w:r>
    </w:p>
    <w:p>
      <w:pPr>
        <w:pageBreakBefore w:val="0"/>
        <w:kinsoku/>
        <w:wordWrap/>
        <w:overflowPunct/>
        <w:topLinePunct w:val="0"/>
        <w:autoSpaceDE w:val="0"/>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（6）抓好教师队伍建设，使每个教师都热心于教育事业;</w:t>
      </w:r>
    </w:p>
    <w:p>
      <w:pPr>
        <w:pStyle w:val="9"/>
        <w:pageBreakBefore w:val="0"/>
        <w:kinsoku/>
        <w:wordWrap/>
        <w:overflowPunct/>
        <w:topLinePunct w:val="0"/>
        <w:autoSpaceDE/>
        <w:autoSpaceDN/>
        <w:bidi w:val="0"/>
        <w:adjustRightInd w:val="0"/>
        <w:snapToGrid w:val="0"/>
        <w:spacing w:beforeLines="0" w:line="600" w:lineRule="exact"/>
        <w:ind w:firstLine="640" w:firstLineChars="200"/>
        <w:textAlignment w:val="auto"/>
        <w:outlineLvl w:val="9"/>
        <w:rPr>
          <w:rFonts w:ascii="仿宋" w:hAnsi="仿宋" w:eastAsia="仿宋"/>
          <w:sz w:val="32"/>
        </w:rPr>
      </w:pPr>
      <w:r>
        <w:rPr>
          <w:rFonts w:hint="eastAsia" w:ascii="仿宋" w:hAnsi="仿宋" w:eastAsia="仿宋" w:cs="仿宋"/>
          <w:sz w:val="32"/>
          <w:szCs w:val="32"/>
        </w:rPr>
        <w:t>（7）做好安全防范，保证学生的</w:t>
      </w:r>
      <w:r>
        <w:rPr>
          <w:rFonts w:hint="eastAsia" w:ascii="仿宋" w:hAnsi="仿宋" w:eastAsia="仿宋" w:cs="仿宋"/>
          <w:sz w:val="32"/>
          <w:szCs w:val="32"/>
          <w:lang w:eastAsia="zh-CN"/>
        </w:rPr>
        <w:t>人身安全</w:t>
      </w:r>
      <w:r>
        <w:rPr>
          <w:rFonts w:hint="eastAsia" w:ascii="仿宋" w:hAnsi="仿宋" w:eastAsia="仿宋" w:cs="仿宋"/>
          <w:sz w:val="32"/>
          <w:szCs w:val="32"/>
        </w:rPr>
        <w:t>。</w:t>
      </w:r>
    </w:p>
    <w:p>
      <w:pPr>
        <w:pStyle w:val="9"/>
        <w:pageBreakBefore w:val="0"/>
        <w:kinsoku/>
        <w:wordWrap/>
        <w:overflowPunct/>
        <w:topLinePunct w:val="0"/>
        <w:autoSpaceDE/>
        <w:autoSpaceDN/>
        <w:bidi w:val="0"/>
        <w:adjustRightInd w:val="0"/>
        <w:snapToGrid w:val="0"/>
        <w:spacing w:beforeLines="0" w:line="600" w:lineRule="exact"/>
        <w:textAlignment w:val="auto"/>
        <w:outlineLvl w:val="1"/>
        <w:rPr>
          <w:rFonts w:ascii="黑体" w:hAnsi="黑体" w:eastAsia="黑体"/>
        </w:rPr>
      </w:pPr>
      <w:bookmarkStart w:id="19" w:name="_Toc8590"/>
      <w:r>
        <w:rPr>
          <w:rFonts w:hint="eastAsia" w:ascii="黑体" w:hAnsi="黑体" w:eastAsia="黑体"/>
        </w:rPr>
        <w:t>二、机构设置</w:t>
      </w:r>
      <w:bookmarkEnd w:id="19"/>
    </w:p>
    <w:p>
      <w:pPr>
        <w:pageBreakBefore w:val="0"/>
        <w:kinsoku/>
        <w:wordWrap/>
        <w:overflowPunct/>
        <w:topLinePunct w:val="0"/>
        <w:autoSpaceDE/>
        <w:autoSpaceDN/>
        <w:bidi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遂宁市安居区横山镇中心幼儿园属于公益一类事业单位，无下属二级预算单位。学校的主管部门为四川省遂宁市安居区教育局。我校为独立编制机构1个，独立核算机构1个。</w:t>
      </w:r>
    </w:p>
    <w:p>
      <w:pPr>
        <w:pageBreakBefore w:val="0"/>
        <w:kinsoku/>
        <w:wordWrap/>
        <w:overflowPunct/>
        <w:topLinePunct w:val="0"/>
        <w:autoSpaceDE/>
        <w:autoSpaceDN/>
        <w:bidi w:val="0"/>
        <w:spacing w:line="600" w:lineRule="exact"/>
        <w:ind w:firstLine="640" w:firstLineChars="200"/>
        <w:textAlignment w:val="auto"/>
        <w:rPr>
          <w:rFonts w:ascii="仿宋" w:hAnsi="仿宋" w:eastAsia="仿宋"/>
          <w:sz w:val="32"/>
          <w:szCs w:val="32"/>
        </w:rPr>
      </w:pPr>
    </w:p>
    <w:p>
      <w:pPr>
        <w:pStyle w:val="9"/>
        <w:pageBreakBefore w:val="0"/>
        <w:kinsoku/>
        <w:wordWrap/>
        <w:overflowPunct/>
        <w:topLinePunct w:val="0"/>
        <w:autoSpaceDE/>
        <w:autoSpaceDN/>
        <w:bidi w:val="0"/>
        <w:adjustRightInd w:val="0"/>
        <w:snapToGrid w:val="0"/>
        <w:spacing w:beforeLines="0" w:line="600" w:lineRule="exact"/>
        <w:textAlignment w:val="auto"/>
        <w:outlineLvl w:val="2"/>
        <w:rPr>
          <w:rFonts w:ascii="仿宋" w:hAnsi="仿宋" w:eastAsia="仿宋"/>
          <w:bCs/>
          <w:color w:val="000000"/>
          <w:sz w:val="32"/>
          <w:szCs w:val="32"/>
        </w:rPr>
      </w:pPr>
    </w:p>
    <w:bookmarkEnd w:id="15"/>
    <w:bookmarkEnd w:id="16"/>
    <w:p>
      <w:pPr>
        <w:pageBreakBefore w:val="0"/>
        <w:widowControl/>
        <w:kinsoku/>
        <w:wordWrap/>
        <w:overflowPunct/>
        <w:topLinePunct w:val="0"/>
        <w:autoSpaceDE/>
        <w:autoSpaceDN/>
        <w:bidi w:val="0"/>
        <w:spacing w:line="600" w:lineRule="exact"/>
        <w:jc w:val="left"/>
        <w:textAlignment w:val="auto"/>
        <w:rPr>
          <w:rFonts w:ascii="仿宋" w:hAnsi="仿宋" w:eastAsia="仿宋"/>
          <w:kern w:val="0"/>
          <w:sz w:val="32"/>
          <w:szCs w:val="32"/>
        </w:rPr>
      </w:pPr>
      <w:r>
        <w:rPr>
          <w:rFonts w:ascii="仿宋" w:hAnsi="仿宋" w:eastAsia="仿宋"/>
          <w:sz w:val="32"/>
          <w:szCs w:val="32"/>
        </w:rPr>
        <w:br w:type="page"/>
      </w:r>
    </w:p>
    <w:p>
      <w:pPr>
        <w:pStyle w:val="5"/>
        <w:ind w:right="440"/>
        <w:jc w:val="center"/>
      </w:pPr>
      <w:bookmarkStart w:id="20" w:name="_Toc28168"/>
      <w:bookmarkStart w:id="21" w:name="_Toc15396602"/>
      <w:bookmarkStart w:id="22" w:name="_Toc15377204"/>
      <w:r>
        <w:rPr>
          <w:rFonts w:hint="eastAsia" w:ascii="黑体" w:hAnsi="黑体" w:eastAsia="黑体"/>
          <w:b w:val="0"/>
        </w:rPr>
        <w:t>第二部分 202</w:t>
      </w:r>
      <w:r>
        <w:rPr>
          <w:rFonts w:hint="eastAsia" w:ascii="黑体" w:hAnsi="黑体" w:eastAsia="黑体"/>
          <w:b w:val="0"/>
          <w:lang w:val="en-US" w:eastAsia="zh-CN"/>
        </w:rPr>
        <w:t>4</w:t>
      </w:r>
      <w:r>
        <w:rPr>
          <w:rFonts w:hint="eastAsia" w:ascii="黑体" w:hAnsi="黑体" w:eastAsia="黑体"/>
          <w:b w:val="0"/>
        </w:rPr>
        <w:t>年度</w:t>
      </w:r>
      <w:r>
        <w:rPr>
          <w:rStyle w:val="28"/>
          <w:rFonts w:hint="eastAsia" w:ascii="黑体" w:hAnsi="黑体" w:eastAsia="黑体"/>
          <w:b w:val="0"/>
          <w:bCs/>
        </w:rPr>
        <w:t>单位决算情况说明</w:t>
      </w:r>
      <w:bookmarkEnd w:id="20"/>
      <w:bookmarkEnd w:id="21"/>
      <w:bookmarkEnd w:id="22"/>
    </w:p>
    <w:p>
      <w:pPr>
        <w:pStyle w:val="27"/>
        <w:numPr>
          <w:ilvl w:val="0"/>
          <w:numId w:val="2"/>
        </w:numPr>
        <w:spacing w:line="600" w:lineRule="exact"/>
        <w:ind w:left="0" w:leftChars="0" w:firstLine="0" w:firstLineChars="0"/>
        <w:outlineLvl w:val="1"/>
        <w:rPr>
          <w:rStyle w:val="29"/>
          <w:rFonts w:ascii="黑体" w:hAnsi="黑体" w:eastAsia="黑体"/>
          <w:b w:val="0"/>
        </w:rPr>
      </w:pPr>
      <w:bookmarkStart w:id="23" w:name="_Toc26716"/>
      <w:bookmarkStart w:id="24" w:name="_Toc15377205"/>
      <w:bookmarkStart w:id="25" w:name="_Toc15396603"/>
      <w:r>
        <w:rPr>
          <w:rFonts w:hint="eastAsia" w:ascii="黑体" w:hAnsi="黑体" w:eastAsia="黑体"/>
          <w:sz w:val="32"/>
          <w:szCs w:val="32"/>
        </w:rPr>
        <w:t>收</w:t>
      </w:r>
      <w:r>
        <w:rPr>
          <w:rStyle w:val="29"/>
          <w:rFonts w:hint="eastAsia" w:ascii="黑体" w:hAnsi="黑体" w:eastAsia="黑体"/>
          <w:b w:val="0"/>
        </w:rPr>
        <w:t>入支出决算总体情况说明</w:t>
      </w:r>
      <w:bookmarkEnd w:id="23"/>
      <w:bookmarkEnd w:id="24"/>
      <w:bookmarkEnd w:id="25"/>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年度收入</w:t>
      </w:r>
      <w:r>
        <w:rPr>
          <w:rFonts w:hint="eastAsia" w:ascii="仿宋" w:hAnsi="仿宋" w:eastAsia="仿宋"/>
          <w:color w:val="000000"/>
          <w:sz w:val="32"/>
          <w:szCs w:val="32"/>
          <w:lang w:val="en-US" w:eastAsia="zh-CN"/>
        </w:rPr>
        <w:t>419.79</w:t>
      </w:r>
      <w:r>
        <w:rPr>
          <w:rFonts w:hint="eastAsia" w:ascii="仿宋" w:hAnsi="仿宋" w:eastAsia="仿宋"/>
          <w:color w:val="000000"/>
          <w:sz w:val="32"/>
          <w:szCs w:val="32"/>
        </w:rPr>
        <w:t>万元，与</w:t>
      </w: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年相比，较上年收入增加</w:t>
      </w:r>
      <w:r>
        <w:rPr>
          <w:rFonts w:hint="eastAsia" w:ascii="仿宋" w:hAnsi="仿宋" w:eastAsia="仿宋"/>
          <w:color w:val="000000"/>
          <w:sz w:val="32"/>
          <w:szCs w:val="32"/>
          <w:lang w:val="en-US" w:eastAsia="zh-CN"/>
        </w:rPr>
        <w:t>49.73</w:t>
      </w:r>
      <w:r>
        <w:rPr>
          <w:rFonts w:hint="eastAsia" w:ascii="仿宋" w:hAnsi="仿宋" w:eastAsia="仿宋"/>
          <w:sz w:val="32"/>
          <w:szCs w:val="32"/>
        </w:rPr>
        <w:t>万元</w:t>
      </w:r>
      <w:r>
        <w:rPr>
          <w:rFonts w:ascii="仿宋" w:hAnsi="仿宋" w:eastAsia="仿宋"/>
          <w:sz w:val="32"/>
          <w:szCs w:val="32"/>
        </w:rPr>
        <w:t>，</w:t>
      </w:r>
      <w:r>
        <w:rPr>
          <w:rFonts w:hint="eastAsia" w:ascii="仿宋" w:hAnsi="仿宋" w:eastAsia="仿宋"/>
          <w:sz w:val="32"/>
          <w:szCs w:val="32"/>
        </w:rPr>
        <w:t>增幅</w:t>
      </w:r>
      <w:r>
        <w:rPr>
          <w:rFonts w:hint="eastAsia" w:ascii="仿宋" w:hAnsi="仿宋" w:eastAsia="仿宋"/>
          <w:sz w:val="32"/>
          <w:szCs w:val="32"/>
          <w:lang w:val="en-US" w:eastAsia="zh-CN"/>
        </w:rPr>
        <w:t>13.44</w:t>
      </w:r>
      <w:r>
        <w:rPr>
          <w:rFonts w:ascii="仿宋" w:hAnsi="仿宋" w:eastAsia="仿宋"/>
          <w:sz w:val="32"/>
          <w:szCs w:val="32"/>
        </w:rPr>
        <w:t>%</w:t>
      </w:r>
      <w:r>
        <w:rPr>
          <w:rFonts w:hint="eastAsia" w:ascii="仿宋" w:hAnsi="仿宋" w:eastAsia="仿宋"/>
          <w:sz w:val="32"/>
          <w:szCs w:val="32"/>
        </w:rPr>
        <w:t>；</w:t>
      </w: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年度支出总计</w:t>
      </w:r>
      <w:r>
        <w:rPr>
          <w:rFonts w:hint="eastAsia" w:ascii="仿宋" w:hAnsi="仿宋" w:eastAsia="仿宋"/>
          <w:color w:val="000000"/>
          <w:sz w:val="32"/>
          <w:szCs w:val="32"/>
          <w:lang w:val="en-US" w:eastAsia="zh-CN"/>
        </w:rPr>
        <w:t>419.79</w:t>
      </w:r>
      <w:r>
        <w:rPr>
          <w:rFonts w:hint="eastAsia" w:ascii="仿宋" w:hAnsi="仿宋" w:eastAsia="仿宋"/>
          <w:color w:val="000000"/>
          <w:sz w:val="32"/>
          <w:szCs w:val="32"/>
        </w:rPr>
        <w:t>万元，较上年支出增加</w:t>
      </w:r>
      <w:r>
        <w:rPr>
          <w:rFonts w:hint="eastAsia" w:ascii="仿宋" w:hAnsi="仿宋" w:eastAsia="仿宋"/>
          <w:color w:val="000000"/>
          <w:sz w:val="32"/>
          <w:szCs w:val="32"/>
          <w:lang w:val="en-US" w:eastAsia="zh-CN"/>
        </w:rPr>
        <w:t>49.73</w:t>
      </w:r>
      <w:r>
        <w:rPr>
          <w:rFonts w:hint="eastAsia" w:ascii="仿宋" w:hAnsi="仿宋" w:eastAsia="仿宋"/>
          <w:sz w:val="32"/>
          <w:szCs w:val="32"/>
        </w:rPr>
        <w:t>万元</w:t>
      </w:r>
      <w:r>
        <w:rPr>
          <w:rFonts w:ascii="仿宋" w:hAnsi="仿宋" w:eastAsia="仿宋"/>
          <w:sz w:val="32"/>
          <w:szCs w:val="32"/>
        </w:rPr>
        <w:t>，</w:t>
      </w:r>
      <w:r>
        <w:rPr>
          <w:rFonts w:hint="eastAsia" w:ascii="仿宋" w:hAnsi="仿宋" w:eastAsia="仿宋"/>
          <w:sz w:val="32"/>
          <w:szCs w:val="32"/>
        </w:rPr>
        <w:t>增幅</w:t>
      </w:r>
      <w:r>
        <w:rPr>
          <w:rFonts w:hint="eastAsia" w:ascii="仿宋" w:hAnsi="仿宋" w:eastAsia="仿宋"/>
          <w:sz w:val="32"/>
          <w:szCs w:val="32"/>
          <w:lang w:val="en-US" w:eastAsia="zh-CN"/>
        </w:rPr>
        <w:t>13.44</w:t>
      </w:r>
      <w:r>
        <w:rPr>
          <w:rFonts w:ascii="仿宋" w:hAnsi="仿宋" w:eastAsia="仿宋"/>
          <w:sz w:val="32"/>
          <w:szCs w:val="32"/>
        </w:rPr>
        <w:t>%</w:t>
      </w:r>
      <w:r>
        <w:rPr>
          <w:rFonts w:hint="eastAsia" w:ascii="仿宋" w:hAnsi="仿宋" w:eastAsia="仿宋"/>
          <w:color w:val="000000"/>
          <w:sz w:val="32"/>
          <w:szCs w:val="32"/>
        </w:rPr>
        <w:t>。主要变动原因是：政策性调资，人员经费增加，教师退休等。</w:t>
      </w:r>
    </w:p>
    <w:p>
      <w:pPr>
        <w:pStyle w:val="9"/>
        <w:spacing w:before="93"/>
        <w:rPr>
          <w:rFonts w:ascii="仿宋" w:hAnsi="仿宋" w:eastAsia="仿宋"/>
          <w:sz w:val="32"/>
          <w:szCs w:val="32"/>
        </w:rPr>
      </w:pPr>
      <w:r>
        <w:rPr>
          <w:rFonts w:ascii="仿宋" w:hAnsi="仿宋" w:eastAsia="仿宋"/>
          <w:sz w:val="32"/>
          <w:szCs w:val="32"/>
        </w:rPr>
        <w:drawing>
          <wp:inline distT="0" distB="0" distL="0" distR="0">
            <wp:extent cx="5274310" cy="307657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480" w:firstLineChars="15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7"/>
        <w:numPr>
          <w:ilvl w:val="0"/>
          <w:numId w:val="2"/>
        </w:numPr>
        <w:spacing w:line="600" w:lineRule="exact"/>
        <w:ind w:left="0" w:leftChars="0" w:firstLine="0" w:firstLineChars="0"/>
        <w:outlineLvl w:val="1"/>
        <w:rPr>
          <w:rFonts w:hint="eastAsia" w:ascii="黑体" w:hAnsi="黑体" w:eastAsia="黑体"/>
          <w:sz w:val="32"/>
          <w:szCs w:val="32"/>
        </w:rPr>
      </w:pPr>
      <w:bookmarkStart w:id="26" w:name="_Toc15396604"/>
      <w:bookmarkStart w:id="27" w:name="_Toc5706"/>
      <w:bookmarkStart w:id="28" w:name="_Toc15377206"/>
      <w:r>
        <w:rPr>
          <w:rFonts w:hint="eastAsia" w:ascii="黑体" w:hAnsi="黑体" w:eastAsia="黑体"/>
          <w:sz w:val="32"/>
          <w:szCs w:val="32"/>
        </w:rPr>
        <w:t>收入决算情况说明</w:t>
      </w:r>
      <w:bookmarkEnd w:id="26"/>
      <w:bookmarkEnd w:id="27"/>
      <w:bookmarkEnd w:id="28"/>
    </w:p>
    <w:p>
      <w:pPr>
        <w:spacing w:line="600" w:lineRule="exact"/>
        <w:ind w:firstLine="640" w:firstLineChars="200"/>
        <w:outlineLvl w:val="9"/>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419.79</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419.79</w:t>
      </w:r>
      <w:r>
        <w:rPr>
          <w:rFonts w:hint="eastAsia" w:ascii="仿宋" w:hAnsi="仿宋" w:eastAsia="仿宋"/>
          <w:color w:val="000000"/>
          <w:sz w:val="32"/>
          <w:szCs w:val="32"/>
        </w:rPr>
        <w:t>万元，占100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1285" w:firstLineChars="400"/>
        <w:rPr>
          <w:rFonts w:ascii="仿宋" w:hAnsi="仿宋" w:eastAsia="仿宋"/>
          <w:sz w:val="32"/>
          <w:szCs w:val="32"/>
        </w:rPr>
      </w:pPr>
      <w:r>
        <w:rPr>
          <w:rFonts w:ascii="仿宋" w:hAnsi="仿宋" w:eastAsia="仿宋"/>
          <w:b/>
          <w:sz w:val="32"/>
          <w:szCs w:val="32"/>
        </w:rPr>
        <w:drawing>
          <wp:anchor distT="0" distB="0" distL="114300" distR="114300" simplePos="0" relativeHeight="251659264" behindDoc="0" locked="0" layoutInCell="1" allowOverlap="1">
            <wp:simplePos x="0" y="0"/>
            <wp:positionH relativeFrom="column">
              <wp:posOffset>-1905</wp:posOffset>
            </wp:positionH>
            <wp:positionV relativeFrom="paragraph">
              <wp:posOffset>41275</wp:posOffset>
            </wp:positionV>
            <wp:extent cx="5274310" cy="3076575"/>
            <wp:effectExtent l="0" t="0" r="0" b="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1280" w:firstLineChars="400"/>
        <w:rPr>
          <w:rFonts w:ascii="仿宋" w:hAnsi="仿宋" w:eastAsia="仿宋"/>
          <w:sz w:val="32"/>
          <w:szCs w:val="32"/>
        </w:rPr>
      </w:pPr>
    </w:p>
    <w:p>
      <w:pPr>
        <w:spacing w:line="600" w:lineRule="exact"/>
        <w:ind w:firstLine="1280" w:firstLineChars="400"/>
        <w:rPr>
          <w:rFonts w:ascii="仿宋" w:hAnsi="仿宋" w:eastAsia="仿宋"/>
          <w:sz w:val="32"/>
          <w:szCs w:val="32"/>
        </w:rPr>
      </w:pPr>
    </w:p>
    <w:p>
      <w:pPr>
        <w:spacing w:line="600" w:lineRule="exact"/>
        <w:ind w:firstLine="1280" w:firstLineChars="400"/>
        <w:rPr>
          <w:rFonts w:ascii="仿宋" w:hAnsi="仿宋" w:eastAsia="仿宋"/>
          <w:sz w:val="32"/>
          <w:szCs w:val="32"/>
        </w:rPr>
      </w:pPr>
    </w:p>
    <w:p>
      <w:pPr>
        <w:spacing w:line="600" w:lineRule="exact"/>
        <w:ind w:firstLine="1280" w:firstLineChars="400"/>
        <w:rPr>
          <w:rFonts w:ascii="仿宋" w:hAnsi="仿宋" w:eastAsia="仿宋"/>
          <w:sz w:val="32"/>
          <w:szCs w:val="32"/>
        </w:rPr>
      </w:pPr>
    </w:p>
    <w:p>
      <w:pPr>
        <w:spacing w:line="600" w:lineRule="exact"/>
        <w:ind w:firstLine="1280" w:firstLineChars="400"/>
        <w:rPr>
          <w:rFonts w:ascii="仿宋" w:hAnsi="仿宋" w:eastAsia="仿宋"/>
          <w:sz w:val="32"/>
          <w:szCs w:val="32"/>
        </w:rPr>
      </w:pPr>
    </w:p>
    <w:p>
      <w:pPr>
        <w:spacing w:line="600" w:lineRule="exact"/>
        <w:ind w:firstLine="1280" w:firstLineChars="400"/>
        <w:rPr>
          <w:rFonts w:ascii="仿宋" w:hAnsi="仿宋" w:eastAsia="仿宋"/>
          <w:sz w:val="32"/>
          <w:szCs w:val="32"/>
        </w:rPr>
      </w:pPr>
    </w:p>
    <w:p>
      <w:pPr>
        <w:spacing w:line="600" w:lineRule="exact"/>
        <w:ind w:firstLine="1280" w:firstLineChars="400"/>
        <w:rPr>
          <w:rFonts w:ascii="仿宋" w:hAnsi="仿宋" w:eastAsia="仿宋"/>
          <w:sz w:val="32"/>
          <w:szCs w:val="32"/>
        </w:rPr>
      </w:pPr>
    </w:p>
    <w:p>
      <w:pPr>
        <w:spacing w:line="600" w:lineRule="exact"/>
        <w:ind w:firstLine="1280" w:firstLineChars="400"/>
        <w:rPr>
          <w:rFonts w:ascii="仿宋" w:hAnsi="仿宋" w:eastAsia="仿宋"/>
          <w:sz w:val="32"/>
          <w:szCs w:val="32"/>
        </w:rPr>
      </w:pPr>
      <w:r>
        <w:rPr>
          <w:rFonts w:hint="eastAsia" w:ascii="仿宋" w:hAnsi="仿宋" w:eastAsia="仿宋"/>
          <w:sz w:val="32"/>
          <w:szCs w:val="32"/>
        </w:rPr>
        <w:t>（图2：收入决算结构图）（饼状图）</w:t>
      </w:r>
    </w:p>
    <w:p>
      <w:pPr>
        <w:pStyle w:val="27"/>
        <w:numPr>
          <w:ilvl w:val="0"/>
          <w:numId w:val="2"/>
        </w:numPr>
        <w:spacing w:line="600" w:lineRule="exact"/>
        <w:ind w:left="0" w:leftChars="0" w:firstLine="0" w:firstLineChars="0"/>
        <w:outlineLvl w:val="1"/>
        <w:rPr>
          <w:rFonts w:hint="eastAsia" w:ascii="黑体" w:hAnsi="黑体" w:eastAsia="黑体"/>
          <w:sz w:val="32"/>
          <w:szCs w:val="32"/>
        </w:rPr>
      </w:pPr>
      <w:bookmarkStart w:id="29" w:name="_Toc16684"/>
      <w:bookmarkStart w:id="30" w:name="_Toc15396605"/>
      <w:bookmarkStart w:id="31" w:name="_Toc15377207"/>
      <w:r>
        <w:rPr>
          <w:rFonts w:hint="eastAsia" w:ascii="黑体" w:hAnsi="黑体" w:eastAsia="黑体"/>
          <w:sz w:val="32"/>
          <w:szCs w:val="32"/>
        </w:rPr>
        <w:t>支出决算情况说明</w:t>
      </w:r>
      <w:bookmarkEnd w:id="29"/>
      <w:bookmarkEnd w:id="30"/>
      <w:bookmarkEnd w:id="3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419.79</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338.93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80.74</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80.86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19.26</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840" w:firstLineChars="400"/>
        <w:rPr>
          <w:rFonts w:ascii="仿宋" w:hAnsi="仿宋" w:eastAsia="仿宋"/>
          <w:sz w:val="32"/>
          <w:szCs w:val="32"/>
        </w:rPr>
      </w:pPr>
      <w:r>
        <w:drawing>
          <wp:anchor distT="0" distB="0" distL="114300" distR="114300" simplePos="0" relativeHeight="251661312" behindDoc="0" locked="0" layoutInCell="1" allowOverlap="1">
            <wp:simplePos x="0" y="0"/>
            <wp:positionH relativeFrom="column">
              <wp:posOffset>5080</wp:posOffset>
            </wp:positionH>
            <wp:positionV relativeFrom="paragraph">
              <wp:posOffset>176530</wp:posOffset>
            </wp:positionV>
            <wp:extent cx="5259070" cy="2421255"/>
            <wp:effectExtent l="0" t="0" r="0" b="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600" w:lineRule="exact"/>
        <w:ind w:firstLine="1280" w:firstLineChars="400"/>
        <w:rPr>
          <w:rFonts w:ascii="仿宋" w:hAnsi="仿宋" w:eastAsia="仿宋"/>
          <w:sz w:val="32"/>
          <w:szCs w:val="32"/>
        </w:rPr>
      </w:pPr>
    </w:p>
    <w:p>
      <w:pPr>
        <w:spacing w:line="600" w:lineRule="exact"/>
        <w:ind w:firstLine="1280" w:firstLineChars="400"/>
        <w:rPr>
          <w:rFonts w:ascii="仿宋" w:hAnsi="仿宋" w:eastAsia="仿宋"/>
          <w:sz w:val="32"/>
          <w:szCs w:val="32"/>
        </w:rPr>
      </w:pPr>
    </w:p>
    <w:p>
      <w:pPr>
        <w:spacing w:line="600" w:lineRule="exact"/>
        <w:ind w:firstLine="1280" w:firstLineChars="400"/>
        <w:rPr>
          <w:rFonts w:ascii="仿宋" w:hAnsi="仿宋" w:eastAsia="仿宋"/>
          <w:sz w:val="32"/>
          <w:szCs w:val="32"/>
        </w:rPr>
      </w:pPr>
    </w:p>
    <w:p>
      <w:pPr>
        <w:spacing w:line="600" w:lineRule="exact"/>
        <w:ind w:firstLine="1280" w:firstLineChars="400"/>
        <w:rPr>
          <w:rFonts w:ascii="仿宋" w:hAnsi="仿宋" w:eastAsia="仿宋"/>
          <w:sz w:val="32"/>
          <w:szCs w:val="32"/>
        </w:rPr>
      </w:pPr>
    </w:p>
    <w:p>
      <w:pPr>
        <w:spacing w:line="600" w:lineRule="exact"/>
        <w:ind w:firstLine="1280" w:firstLineChars="400"/>
        <w:rPr>
          <w:rFonts w:ascii="仿宋" w:hAnsi="仿宋" w:eastAsia="仿宋"/>
          <w:sz w:val="32"/>
          <w:szCs w:val="32"/>
        </w:rPr>
      </w:pPr>
    </w:p>
    <w:p>
      <w:pPr>
        <w:spacing w:line="600" w:lineRule="exact"/>
        <w:rPr>
          <w:rFonts w:hint="eastAsia" w:ascii="仿宋" w:hAnsi="仿宋" w:eastAsia="仿宋"/>
          <w:sz w:val="32"/>
          <w:szCs w:val="32"/>
        </w:rPr>
      </w:pPr>
    </w:p>
    <w:p>
      <w:pPr>
        <w:spacing w:line="600" w:lineRule="exact"/>
        <w:ind w:firstLine="1280" w:firstLineChars="400"/>
        <w:rPr>
          <w:rFonts w:hint="eastAsia" w:ascii="黑体" w:hAnsi="黑体" w:eastAsia="黑体"/>
          <w:sz w:val="32"/>
          <w:szCs w:val="32"/>
        </w:rPr>
      </w:pPr>
      <w:r>
        <w:rPr>
          <w:rFonts w:hint="eastAsia" w:ascii="仿宋" w:hAnsi="仿宋" w:eastAsia="仿宋"/>
          <w:sz w:val="32"/>
          <w:szCs w:val="32"/>
        </w:rPr>
        <w:t>（图3：支出决算结构图）（饼状图）</w:t>
      </w:r>
      <w:bookmarkStart w:id="32" w:name="_Toc15377208"/>
      <w:bookmarkStart w:id="33" w:name="_Toc15396606"/>
      <w:bookmarkStart w:id="34" w:name="_Toc16436"/>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Style w:val="29"/>
          <w:rFonts w:ascii="黑体" w:hAnsi="黑体" w:eastAsia="黑体"/>
          <w:b w:val="0"/>
        </w:rPr>
      </w:pPr>
      <w:r>
        <w:rPr>
          <w:rFonts w:hint="eastAsia" w:ascii="黑体" w:hAnsi="黑体" w:eastAsia="黑体"/>
          <w:sz w:val="32"/>
          <w:szCs w:val="32"/>
        </w:rPr>
        <w:t>四、</w:t>
      </w:r>
      <w:r>
        <w:rPr>
          <w:rFonts w:hint="eastAsia" w:ascii="黑体" w:hAnsi="黑体" w:eastAsia="黑体" w:cs="Times New Roman"/>
          <w:kern w:val="2"/>
          <w:sz w:val="32"/>
          <w:szCs w:val="32"/>
          <w:lang w:val="en-US" w:eastAsia="zh-CN" w:bidi="ar-SA"/>
        </w:rPr>
        <w:t>财政拨款收入支出决算总体情况说明</w:t>
      </w:r>
      <w:bookmarkEnd w:id="32"/>
      <w:bookmarkEnd w:id="33"/>
      <w:bookmarkEnd w:id="3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drawing>
          <wp:anchor distT="0" distB="0" distL="114300" distR="114300" simplePos="0" relativeHeight="251660288" behindDoc="1" locked="0" layoutInCell="1" allowOverlap="1">
            <wp:simplePos x="0" y="0"/>
            <wp:positionH relativeFrom="column">
              <wp:posOffset>128905</wp:posOffset>
            </wp:positionH>
            <wp:positionV relativeFrom="page">
              <wp:posOffset>2873375</wp:posOffset>
            </wp:positionV>
            <wp:extent cx="5017770" cy="2816225"/>
            <wp:effectExtent l="0" t="0" r="0" b="0"/>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年财政拨款</w:t>
      </w:r>
      <w:r>
        <w:rPr>
          <w:rFonts w:ascii="仿宋" w:hAnsi="仿宋" w:eastAsia="仿宋"/>
          <w:color w:val="000000"/>
          <w:sz w:val="32"/>
          <w:szCs w:val="32"/>
        </w:rPr>
        <w:t>收入合计</w:t>
      </w:r>
      <w:r>
        <w:rPr>
          <w:rFonts w:hint="eastAsia" w:ascii="仿宋" w:hAnsi="仿宋" w:eastAsia="仿宋"/>
          <w:color w:val="000000"/>
          <w:sz w:val="32"/>
          <w:szCs w:val="32"/>
          <w:lang w:val="en-US" w:eastAsia="zh-CN"/>
        </w:rPr>
        <w:t>419.79</w:t>
      </w:r>
      <w:r>
        <w:rPr>
          <w:rFonts w:hint="eastAsia" w:ascii="仿宋" w:hAnsi="仿宋" w:eastAsia="仿宋"/>
          <w:color w:val="000000"/>
          <w:sz w:val="32"/>
          <w:szCs w:val="32"/>
        </w:rPr>
        <w:t>万元，支出合计</w:t>
      </w:r>
      <w:r>
        <w:rPr>
          <w:rFonts w:hint="eastAsia" w:ascii="仿宋" w:hAnsi="仿宋" w:eastAsia="仿宋"/>
          <w:color w:val="000000"/>
          <w:sz w:val="32"/>
          <w:szCs w:val="32"/>
          <w:lang w:val="en-US" w:eastAsia="zh-CN"/>
        </w:rPr>
        <w:t>419.79</w:t>
      </w:r>
      <w:r>
        <w:rPr>
          <w:rFonts w:hint="eastAsia" w:ascii="仿宋" w:hAnsi="仿宋" w:eastAsia="仿宋"/>
          <w:color w:val="000000"/>
          <w:sz w:val="32"/>
          <w:szCs w:val="32"/>
        </w:rPr>
        <w:t>万元。与</w:t>
      </w: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年相比，财政拨款收入总计增加</w:t>
      </w:r>
      <w:r>
        <w:rPr>
          <w:rFonts w:hint="eastAsia" w:ascii="仿宋" w:hAnsi="仿宋" w:eastAsia="仿宋"/>
          <w:color w:val="000000"/>
          <w:sz w:val="32"/>
          <w:szCs w:val="32"/>
          <w:lang w:val="en-US" w:eastAsia="zh-CN"/>
        </w:rPr>
        <w:t>49.73</w:t>
      </w:r>
      <w:r>
        <w:rPr>
          <w:rFonts w:hint="eastAsia" w:ascii="仿宋" w:hAnsi="仿宋" w:eastAsia="仿宋"/>
          <w:color w:val="000000"/>
          <w:sz w:val="32"/>
          <w:szCs w:val="32"/>
        </w:rPr>
        <w:t>万元、支出总计增加</w:t>
      </w:r>
      <w:r>
        <w:rPr>
          <w:rFonts w:hint="eastAsia" w:ascii="仿宋" w:hAnsi="仿宋" w:eastAsia="仿宋"/>
          <w:color w:val="000000"/>
          <w:sz w:val="32"/>
          <w:szCs w:val="32"/>
          <w:lang w:val="en-US" w:eastAsia="zh-CN"/>
        </w:rPr>
        <w:t>49.73</w:t>
      </w:r>
      <w:r>
        <w:rPr>
          <w:rFonts w:hint="eastAsia" w:ascii="仿宋" w:hAnsi="仿宋" w:eastAsia="仿宋"/>
          <w:color w:val="000000"/>
          <w:sz w:val="32"/>
          <w:szCs w:val="32"/>
        </w:rPr>
        <w:t>万元，收入总计增加</w:t>
      </w:r>
      <w:r>
        <w:rPr>
          <w:rFonts w:hint="eastAsia" w:ascii="仿宋" w:hAnsi="仿宋" w:eastAsia="仿宋"/>
          <w:color w:val="000000"/>
          <w:sz w:val="32"/>
          <w:szCs w:val="32"/>
          <w:lang w:val="en-US" w:eastAsia="zh-CN"/>
        </w:rPr>
        <w:t>13.44</w:t>
      </w:r>
      <w:r>
        <w:rPr>
          <w:rFonts w:hint="eastAsia" w:ascii="仿宋" w:hAnsi="仿宋" w:eastAsia="仿宋"/>
          <w:color w:val="000000"/>
          <w:sz w:val="32"/>
          <w:szCs w:val="32"/>
        </w:rPr>
        <w:t>%，支出总计增加</w:t>
      </w:r>
      <w:r>
        <w:rPr>
          <w:rFonts w:hint="eastAsia" w:ascii="仿宋" w:hAnsi="仿宋" w:eastAsia="仿宋"/>
          <w:color w:val="000000"/>
          <w:sz w:val="32"/>
          <w:szCs w:val="32"/>
          <w:lang w:val="en-US" w:eastAsia="zh-CN"/>
        </w:rPr>
        <w:t>13.44</w:t>
      </w:r>
      <w:r>
        <w:rPr>
          <w:rFonts w:hint="eastAsia" w:ascii="仿宋" w:hAnsi="仿宋" w:eastAsia="仿宋"/>
          <w:color w:val="000000"/>
          <w:sz w:val="32"/>
          <w:szCs w:val="32"/>
        </w:rPr>
        <w:t>%。主要变动原因是：政策性调资，人员经费增加，教师退休等。</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160" w:firstLineChars="50"/>
        <w:outlineLvl w:val="1"/>
        <w:rPr>
          <w:rStyle w:val="29"/>
          <w:rFonts w:ascii="黑体" w:hAnsi="黑体" w:eastAsia="黑体"/>
          <w:b w:val="0"/>
        </w:rPr>
      </w:pPr>
      <w:bookmarkStart w:id="35" w:name="_Toc15377209"/>
      <w:bookmarkStart w:id="36" w:name="_Toc15396607"/>
      <w:bookmarkStart w:id="37" w:name="_Toc11013"/>
      <w:r>
        <w:rPr>
          <w:rFonts w:hint="eastAsia" w:ascii="黑体" w:hAnsi="黑体" w:eastAsia="黑体"/>
          <w:sz w:val="32"/>
          <w:szCs w:val="32"/>
        </w:rPr>
        <w:t>五、</w:t>
      </w:r>
      <w:r>
        <w:rPr>
          <w:rFonts w:hint="eastAsia" w:ascii="黑体" w:hAnsi="黑体" w:eastAsia="黑体" w:cs="Times New Roman"/>
          <w:kern w:val="2"/>
          <w:sz w:val="32"/>
          <w:szCs w:val="32"/>
          <w:lang w:val="en-US" w:eastAsia="zh-CN" w:bidi="ar-SA"/>
        </w:rPr>
        <w:t>一般公共预算财政拨款支出决算情况说明</w:t>
      </w:r>
      <w:bookmarkEnd w:id="35"/>
      <w:bookmarkEnd w:id="36"/>
      <w:bookmarkEnd w:id="37"/>
    </w:p>
    <w:p>
      <w:pPr>
        <w:spacing w:line="600" w:lineRule="exact"/>
        <w:ind w:firstLine="643" w:firstLineChars="200"/>
        <w:outlineLvl w:val="2"/>
        <w:rPr>
          <w:rFonts w:ascii="仿宋" w:hAnsi="仿宋" w:eastAsia="仿宋"/>
          <w:b/>
          <w:sz w:val="32"/>
          <w:szCs w:val="32"/>
        </w:rPr>
      </w:pPr>
      <w:bookmarkStart w:id="38" w:name="_Toc15377210"/>
      <w:r>
        <w:rPr>
          <w:rFonts w:hint="eastAsia" w:ascii="仿宋" w:hAnsi="仿宋" w:eastAsia="仿宋"/>
          <w:b/>
          <w:sz w:val="32"/>
          <w:szCs w:val="32"/>
        </w:rPr>
        <w:t>（一）一般公共预算财政拨款支出决算总体情况</w:t>
      </w:r>
      <w:bookmarkEnd w:id="38"/>
    </w:p>
    <w:p>
      <w:pPr>
        <w:spacing w:line="600" w:lineRule="exact"/>
        <w:ind w:firstLine="640" w:firstLineChars="200"/>
        <w:rPr>
          <w:rFonts w:ascii="仿宋" w:hAnsi="仿宋" w:eastAsia="仿宋"/>
          <w:sz w:val="32"/>
          <w:szCs w:val="32"/>
        </w:rPr>
      </w:pP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419.79</w:t>
      </w:r>
      <w:r>
        <w:rPr>
          <w:rFonts w:hint="eastAsia" w:ascii="仿宋" w:hAnsi="仿宋" w:eastAsia="仿宋"/>
          <w:color w:val="000000"/>
          <w:sz w:val="32"/>
          <w:szCs w:val="32"/>
        </w:rPr>
        <w:t>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年相比，一般公共预算财政拨款增加</w:t>
      </w:r>
      <w:r>
        <w:rPr>
          <w:rFonts w:hint="eastAsia" w:ascii="仿宋" w:hAnsi="仿宋" w:eastAsia="仿宋"/>
          <w:color w:val="000000"/>
          <w:sz w:val="32"/>
          <w:szCs w:val="32"/>
          <w:lang w:val="en-US" w:eastAsia="zh-CN"/>
        </w:rPr>
        <w:t>49.73</w:t>
      </w:r>
      <w:r>
        <w:rPr>
          <w:rFonts w:hint="eastAsia" w:ascii="仿宋" w:hAnsi="仿宋" w:eastAsia="仿宋"/>
          <w:color w:val="000000"/>
          <w:sz w:val="32"/>
          <w:szCs w:val="32"/>
        </w:rPr>
        <w:t>万元，增加</w:t>
      </w:r>
      <w:r>
        <w:rPr>
          <w:rFonts w:hint="eastAsia" w:ascii="仿宋" w:hAnsi="仿宋" w:eastAsia="仿宋"/>
          <w:color w:val="000000"/>
          <w:sz w:val="32"/>
          <w:szCs w:val="32"/>
          <w:lang w:val="en-US" w:eastAsia="zh-CN"/>
        </w:rPr>
        <w:t>13.44</w:t>
      </w:r>
      <w:r>
        <w:rPr>
          <w:rFonts w:hint="eastAsia" w:ascii="仿宋" w:hAnsi="仿宋" w:eastAsia="仿宋"/>
          <w:color w:val="000000"/>
          <w:sz w:val="32"/>
          <w:szCs w:val="32"/>
        </w:rPr>
        <w:t>%。主要变动原因是：政策性调资，人员经费增加，教师退休等。</w:t>
      </w:r>
    </w:p>
    <w:p>
      <w:pPr>
        <w:spacing w:line="600" w:lineRule="exact"/>
        <w:ind w:firstLine="640" w:firstLineChars="200"/>
        <w:rPr>
          <w:rFonts w:ascii="仿宋" w:hAnsi="仿宋" w:eastAsia="仿宋"/>
          <w:sz w:val="32"/>
          <w:szCs w:val="32"/>
        </w:rPr>
      </w:pPr>
    </w:p>
    <w:p>
      <w:pPr>
        <w:pStyle w:val="9"/>
        <w:spacing w:before="93"/>
      </w:pPr>
      <w:r>
        <w:drawing>
          <wp:inline distT="0" distB="0" distL="0" distR="0">
            <wp:extent cx="5274310" cy="3076575"/>
            <wp:effectExtent l="0" t="0" r="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spacing w:line="600" w:lineRule="exact"/>
        <w:rPr>
          <w:rFonts w:ascii="仿宋" w:hAnsi="仿宋" w:eastAsia="仿宋"/>
          <w:sz w:val="32"/>
          <w:szCs w:val="32"/>
        </w:rPr>
      </w:pPr>
      <w:r>
        <w:rPr>
          <w:rFonts w:hint="eastAsia" w:ascii="仿宋" w:hAnsi="仿宋" w:eastAsia="仿宋"/>
          <w:sz w:val="28"/>
          <w:szCs w:val="28"/>
        </w:rPr>
        <w:t>（图5：一般公共预算财政拨款支出决算变动情况）（柱状图）</w:t>
      </w:r>
    </w:p>
    <w:p>
      <w:pPr>
        <w:spacing w:line="600" w:lineRule="exact"/>
        <w:ind w:firstLine="321" w:firstLineChars="100"/>
        <w:outlineLvl w:val="2"/>
        <w:rPr>
          <w:rFonts w:ascii="仿宋" w:hAnsi="仿宋" w:eastAsia="仿宋"/>
          <w:b/>
          <w:sz w:val="32"/>
          <w:szCs w:val="32"/>
        </w:rPr>
      </w:pPr>
      <w:bookmarkStart w:id="39" w:name="_Toc15377211"/>
      <w:r>
        <w:rPr>
          <w:rFonts w:hint="eastAsia" w:ascii="仿宋" w:hAnsi="仿宋" w:eastAsia="仿宋"/>
          <w:b/>
          <w:sz w:val="32"/>
          <w:szCs w:val="32"/>
        </w:rPr>
        <w:t>（二）一般公共预算财政拨款支出决算结构情况</w:t>
      </w:r>
      <w:bookmarkEnd w:id="39"/>
    </w:p>
    <w:p>
      <w:pPr>
        <w:spacing w:line="600" w:lineRule="exact"/>
        <w:ind w:firstLine="643" w:firstLineChars="200"/>
        <w:outlineLvl w:val="9"/>
        <w:rPr>
          <w:rFonts w:ascii="仿宋" w:hAnsi="仿宋" w:eastAsia="仿宋"/>
          <w:color w:val="000000"/>
          <w:sz w:val="32"/>
          <w:szCs w:val="32"/>
        </w:rPr>
      </w:pPr>
      <w:r>
        <w:rPr>
          <w:rFonts w:hint="eastAsia" w:ascii="仿宋" w:hAnsi="仿宋" w:eastAsia="仿宋"/>
          <w:b/>
          <w:sz w:val="32"/>
          <w:szCs w:val="32"/>
        </w:rPr>
        <w:drawing>
          <wp:anchor distT="0" distB="0" distL="114300" distR="114300" simplePos="0" relativeHeight="251662336" behindDoc="0" locked="0" layoutInCell="1" allowOverlap="1">
            <wp:simplePos x="0" y="0"/>
            <wp:positionH relativeFrom="column">
              <wp:posOffset>129540</wp:posOffset>
            </wp:positionH>
            <wp:positionV relativeFrom="paragraph">
              <wp:posOffset>1612900</wp:posOffset>
            </wp:positionV>
            <wp:extent cx="4875530" cy="2769870"/>
            <wp:effectExtent l="4445" t="4445" r="15875" b="698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419.79</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color w:val="000000"/>
          <w:sz w:val="32"/>
          <w:szCs w:val="32"/>
        </w:rPr>
        <w:t>教育支出</w:t>
      </w:r>
      <w:r>
        <w:rPr>
          <w:rFonts w:hint="eastAsia" w:ascii="仿宋" w:hAnsi="仿宋" w:eastAsia="仿宋"/>
          <w:color w:val="000000"/>
          <w:sz w:val="32"/>
          <w:szCs w:val="32"/>
          <w:lang w:val="en-US" w:eastAsia="zh-CN"/>
        </w:rPr>
        <w:t>328.03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78.14</w:t>
      </w:r>
      <w:r>
        <w:rPr>
          <w:rFonts w:ascii="仿宋" w:hAnsi="仿宋" w:eastAsia="仿宋"/>
          <w:color w:val="000000"/>
          <w:sz w:val="32"/>
          <w:szCs w:val="32"/>
        </w:rPr>
        <w:t>%</w:t>
      </w:r>
      <w:r>
        <w:rPr>
          <w:rFonts w:hint="eastAsia" w:ascii="仿宋" w:hAnsi="仿宋" w:eastAsia="仿宋"/>
          <w:color w:val="000000"/>
          <w:sz w:val="32"/>
          <w:szCs w:val="32"/>
        </w:rPr>
        <w:t>；社会保障和就业支出</w:t>
      </w:r>
      <w:r>
        <w:rPr>
          <w:rFonts w:hint="eastAsia" w:ascii="仿宋" w:hAnsi="仿宋" w:eastAsia="仿宋"/>
          <w:color w:val="000000"/>
          <w:sz w:val="32"/>
          <w:szCs w:val="32"/>
          <w:lang w:val="en-US" w:eastAsia="zh-CN"/>
        </w:rPr>
        <w:t>47.59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11.34</w:t>
      </w:r>
      <w:r>
        <w:rPr>
          <w:rFonts w:ascii="仿宋" w:hAnsi="仿宋" w:eastAsia="仿宋"/>
          <w:color w:val="000000"/>
          <w:sz w:val="32"/>
          <w:szCs w:val="32"/>
        </w:rPr>
        <w:t>%</w:t>
      </w:r>
      <w:r>
        <w:rPr>
          <w:rFonts w:hint="eastAsia" w:ascii="仿宋" w:hAnsi="仿宋" w:eastAsia="仿宋"/>
          <w:color w:val="000000"/>
          <w:sz w:val="32"/>
          <w:szCs w:val="32"/>
        </w:rPr>
        <w:t>；卫生健康支出</w:t>
      </w:r>
      <w:r>
        <w:rPr>
          <w:rFonts w:hint="eastAsia" w:ascii="仿宋" w:hAnsi="仿宋" w:eastAsia="仿宋"/>
          <w:color w:val="000000"/>
          <w:sz w:val="32"/>
          <w:szCs w:val="32"/>
          <w:lang w:val="en-US" w:eastAsia="zh-CN"/>
        </w:rPr>
        <w:t>16.54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3.94</w:t>
      </w:r>
      <w:r>
        <w:rPr>
          <w:rFonts w:ascii="仿宋" w:hAnsi="仿宋" w:eastAsia="仿宋"/>
          <w:color w:val="000000"/>
          <w:sz w:val="32"/>
          <w:szCs w:val="32"/>
        </w:rPr>
        <w:t>%</w:t>
      </w:r>
      <w:r>
        <w:rPr>
          <w:rFonts w:hint="eastAsia" w:ascii="仿宋" w:hAnsi="仿宋" w:eastAsia="仿宋"/>
          <w:color w:val="000000"/>
          <w:sz w:val="32"/>
          <w:szCs w:val="32"/>
        </w:rPr>
        <w:t>；住房保障支出</w:t>
      </w:r>
      <w:r>
        <w:rPr>
          <w:rFonts w:hint="eastAsia" w:ascii="仿宋" w:hAnsi="仿宋" w:eastAsia="仿宋"/>
          <w:color w:val="000000"/>
          <w:sz w:val="32"/>
          <w:szCs w:val="32"/>
          <w:lang w:val="en-US" w:eastAsia="zh-CN"/>
        </w:rPr>
        <w:t>27.63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6.58</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outlineLvl w:val="2"/>
        <w:rPr>
          <w:rFonts w:ascii="仿宋" w:hAnsi="仿宋" w:eastAsia="仿宋"/>
          <w:b/>
          <w:sz w:val="32"/>
          <w:szCs w:val="32"/>
        </w:rPr>
      </w:pPr>
      <w:bookmarkStart w:id="40" w:name="_Toc15377212"/>
      <w:r>
        <w:rPr>
          <w:rFonts w:hint="eastAsia" w:ascii="仿宋" w:hAnsi="仿宋" w:eastAsia="仿宋"/>
          <w:b/>
          <w:sz w:val="32"/>
          <w:szCs w:val="32"/>
        </w:rPr>
        <w:t>（三）一般公共预算财政拨款支出决算具体情况</w:t>
      </w:r>
      <w:bookmarkEnd w:id="40"/>
    </w:p>
    <w:p>
      <w:pPr>
        <w:spacing w:line="600" w:lineRule="exact"/>
        <w:ind w:firstLine="640" w:firstLineChars="200"/>
        <w:outlineLvl w:val="9"/>
        <w:rPr>
          <w:rFonts w:ascii="仿宋" w:hAnsi="仿宋" w:eastAsia="仿宋"/>
          <w:b w:val="0"/>
          <w:bCs/>
          <w:sz w:val="32"/>
          <w:szCs w:val="32"/>
        </w:rPr>
      </w:pPr>
      <w:bookmarkStart w:id="41" w:name="_Toc15378460"/>
      <w:bookmarkStart w:id="42" w:name="_Toc15377213"/>
      <w:bookmarkStart w:id="43" w:name="_Toc15377444"/>
      <w:r>
        <w:rPr>
          <w:rFonts w:hint="eastAsia" w:ascii="仿宋" w:hAnsi="仿宋" w:eastAsia="仿宋"/>
          <w:b w:val="0"/>
          <w:bCs/>
          <w:sz w:val="32"/>
          <w:szCs w:val="32"/>
        </w:rPr>
        <w:t>202</w:t>
      </w:r>
      <w:r>
        <w:rPr>
          <w:rFonts w:hint="eastAsia" w:ascii="仿宋" w:hAnsi="仿宋" w:eastAsia="仿宋"/>
          <w:b w:val="0"/>
          <w:bCs/>
          <w:sz w:val="32"/>
          <w:szCs w:val="32"/>
          <w:lang w:val="en-US" w:eastAsia="zh-CN"/>
        </w:rPr>
        <w:t>4</w:t>
      </w:r>
      <w:r>
        <w:rPr>
          <w:rFonts w:hint="eastAsia" w:ascii="仿宋" w:hAnsi="仿宋" w:eastAsia="仿宋"/>
          <w:b w:val="0"/>
          <w:bCs/>
          <w:sz w:val="32"/>
          <w:szCs w:val="32"/>
        </w:rPr>
        <w:t>年一般公共预算支出决算数为</w:t>
      </w:r>
      <w:r>
        <w:rPr>
          <w:rFonts w:hint="eastAsia" w:ascii="仿宋" w:hAnsi="仿宋" w:eastAsia="仿宋"/>
          <w:b w:val="0"/>
          <w:bCs/>
          <w:color w:val="000000"/>
          <w:sz w:val="32"/>
          <w:szCs w:val="32"/>
          <w:lang w:val="en-US" w:eastAsia="zh-CN"/>
        </w:rPr>
        <w:t>419.79</w:t>
      </w:r>
      <w:r>
        <w:rPr>
          <w:rFonts w:hint="eastAsia" w:ascii="仿宋" w:hAnsi="仿宋" w:eastAsia="仿宋"/>
          <w:b w:val="0"/>
          <w:bCs/>
          <w:color w:val="000000"/>
          <w:sz w:val="32"/>
          <w:szCs w:val="32"/>
        </w:rPr>
        <w:t>万元</w:t>
      </w:r>
      <w:r>
        <w:rPr>
          <w:rFonts w:hint="eastAsia" w:ascii="仿宋" w:hAnsi="仿宋" w:eastAsia="仿宋"/>
          <w:b w:val="0"/>
          <w:bCs/>
          <w:sz w:val="32"/>
          <w:szCs w:val="32"/>
        </w:rPr>
        <w:t>，</w:t>
      </w:r>
      <w:r>
        <w:rPr>
          <w:rStyle w:val="18"/>
          <w:rFonts w:hint="eastAsia" w:ascii="仿宋" w:hAnsi="仿宋" w:eastAsia="仿宋"/>
          <w:b w:val="0"/>
          <w:bCs/>
          <w:sz w:val="32"/>
          <w:szCs w:val="32"/>
        </w:rPr>
        <w:t>完成预算100</w:t>
      </w:r>
      <w:r>
        <w:rPr>
          <w:rStyle w:val="18"/>
          <w:rFonts w:ascii="仿宋" w:hAnsi="仿宋" w:eastAsia="仿宋"/>
          <w:b w:val="0"/>
          <w:bCs/>
          <w:sz w:val="32"/>
          <w:szCs w:val="32"/>
        </w:rPr>
        <w:t>%</w:t>
      </w:r>
      <w:r>
        <w:rPr>
          <w:rStyle w:val="18"/>
          <w:rFonts w:hint="eastAsia" w:ascii="仿宋" w:hAnsi="仿宋" w:eastAsia="仿宋"/>
          <w:b w:val="0"/>
          <w:bCs/>
          <w:sz w:val="32"/>
          <w:szCs w:val="32"/>
        </w:rPr>
        <w:t>。其中：</w:t>
      </w:r>
      <w:bookmarkEnd w:id="41"/>
      <w:bookmarkEnd w:id="42"/>
      <w:bookmarkEnd w:id="43"/>
    </w:p>
    <w:p>
      <w:pPr>
        <w:spacing w:line="600" w:lineRule="exact"/>
        <w:ind w:firstLine="640" w:firstLineChars="200"/>
        <w:rPr>
          <w:rStyle w:val="18"/>
          <w:rFonts w:ascii="仿宋" w:hAnsi="仿宋" w:eastAsia="仿宋"/>
          <w:b w:val="0"/>
          <w:bCs/>
          <w:sz w:val="32"/>
          <w:szCs w:val="32"/>
        </w:rPr>
      </w:pPr>
      <w:r>
        <w:rPr>
          <w:rStyle w:val="18"/>
          <w:rFonts w:hint="eastAsia" w:ascii="仿宋" w:hAnsi="仿宋" w:eastAsia="仿宋"/>
          <w:b w:val="0"/>
          <w:bCs/>
          <w:sz w:val="32"/>
          <w:szCs w:val="32"/>
        </w:rPr>
        <w:t>1</w:t>
      </w:r>
      <w:r>
        <w:rPr>
          <w:rStyle w:val="18"/>
          <w:rFonts w:ascii="仿宋" w:hAnsi="仿宋" w:eastAsia="仿宋"/>
          <w:b w:val="0"/>
          <w:bCs/>
          <w:sz w:val="32"/>
          <w:szCs w:val="32"/>
        </w:rPr>
        <w:t>.</w:t>
      </w:r>
      <w:r>
        <w:rPr>
          <w:rStyle w:val="18"/>
          <w:rFonts w:hint="eastAsia" w:ascii="仿宋" w:hAnsi="仿宋" w:eastAsia="仿宋"/>
          <w:b w:val="0"/>
          <w:bCs/>
          <w:sz w:val="32"/>
          <w:szCs w:val="32"/>
        </w:rPr>
        <w:t>教育（205类）普通教育（02款）学前教育（01项）</w:t>
      </w:r>
      <w:r>
        <w:rPr>
          <w:rStyle w:val="18"/>
          <w:rFonts w:ascii="仿宋" w:hAnsi="仿宋" w:eastAsia="仿宋"/>
          <w:b w:val="0"/>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328.03</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0" w:firstLineChars="200"/>
        <w:rPr>
          <w:rFonts w:ascii="仿宋" w:hAnsi="仿宋" w:eastAsia="仿宋"/>
          <w:b w:val="0"/>
          <w:bCs/>
          <w:sz w:val="32"/>
          <w:szCs w:val="32"/>
        </w:rPr>
      </w:pPr>
      <w:r>
        <w:rPr>
          <w:rStyle w:val="18"/>
          <w:rFonts w:hint="eastAsia" w:ascii="仿宋" w:hAnsi="仿宋" w:eastAsia="仿宋"/>
          <w:b w:val="0"/>
          <w:bCs/>
          <w:sz w:val="32"/>
          <w:szCs w:val="32"/>
        </w:rPr>
        <w:t>2</w:t>
      </w:r>
      <w:r>
        <w:rPr>
          <w:rStyle w:val="18"/>
          <w:rFonts w:ascii="仿宋" w:hAnsi="仿宋" w:eastAsia="仿宋"/>
          <w:b w:val="0"/>
          <w:bCs/>
          <w:sz w:val="32"/>
          <w:szCs w:val="32"/>
        </w:rPr>
        <w:t>.</w:t>
      </w:r>
      <w:r>
        <w:rPr>
          <w:rStyle w:val="18"/>
          <w:rFonts w:hint="eastAsia" w:ascii="仿宋" w:hAnsi="仿宋" w:eastAsia="仿宋"/>
          <w:b w:val="0"/>
          <w:bCs/>
          <w:sz w:val="32"/>
          <w:szCs w:val="32"/>
        </w:rPr>
        <w:t>社会保障和就业（208类）行政事业单位养老支出（05款）机关事业单位基本养老保险缴费支出（05项）</w:t>
      </w:r>
      <w:r>
        <w:rPr>
          <w:rStyle w:val="18"/>
          <w:rFonts w:ascii="仿宋" w:hAnsi="仿宋" w:eastAsia="仿宋"/>
          <w:b w:val="0"/>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47.59</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0" w:firstLineChars="200"/>
        <w:rPr>
          <w:rStyle w:val="18"/>
          <w:rFonts w:ascii="仿宋" w:hAnsi="仿宋" w:eastAsia="仿宋"/>
          <w:b w:val="0"/>
          <w:bCs/>
          <w:sz w:val="32"/>
          <w:szCs w:val="32"/>
        </w:rPr>
      </w:pPr>
      <w:r>
        <w:rPr>
          <w:rStyle w:val="18"/>
          <w:rFonts w:hint="eastAsia" w:ascii="仿宋" w:hAnsi="仿宋" w:eastAsia="仿宋"/>
          <w:b w:val="0"/>
          <w:bCs/>
          <w:sz w:val="32"/>
          <w:szCs w:val="32"/>
        </w:rPr>
        <w:t>3</w:t>
      </w:r>
      <w:r>
        <w:rPr>
          <w:rStyle w:val="18"/>
          <w:rFonts w:ascii="仿宋" w:hAnsi="仿宋" w:eastAsia="仿宋"/>
          <w:b w:val="0"/>
          <w:bCs/>
          <w:sz w:val="32"/>
          <w:szCs w:val="32"/>
        </w:rPr>
        <w:t>.</w:t>
      </w:r>
      <w:r>
        <w:rPr>
          <w:rFonts w:hint="eastAsia" w:ascii="仿宋" w:hAnsi="仿宋" w:eastAsia="仿宋"/>
          <w:b w:val="0"/>
          <w:bCs/>
          <w:sz w:val="32"/>
          <w:szCs w:val="32"/>
        </w:rPr>
        <w:t>卫生健康</w:t>
      </w:r>
      <w:r>
        <w:rPr>
          <w:rStyle w:val="18"/>
          <w:rFonts w:hint="eastAsia" w:ascii="仿宋" w:hAnsi="仿宋" w:eastAsia="仿宋"/>
          <w:b w:val="0"/>
          <w:bCs/>
          <w:sz w:val="32"/>
          <w:szCs w:val="32"/>
        </w:rPr>
        <w:t>（类210）行政事业单位医疗（11款）事业单位医疗（02项）</w:t>
      </w:r>
      <w:r>
        <w:rPr>
          <w:rStyle w:val="18"/>
          <w:rFonts w:ascii="仿宋" w:hAnsi="仿宋" w:eastAsia="仿宋"/>
          <w:b w:val="0"/>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16.54</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0" w:firstLineChars="200"/>
        <w:rPr>
          <w:rFonts w:ascii="仿宋" w:hAnsi="仿宋" w:eastAsia="仿宋"/>
          <w:b w:val="0"/>
          <w:bCs/>
          <w:sz w:val="32"/>
          <w:szCs w:val="32"/>
        </w:rPr>
      </w:pPr>
      <w:r>
        <w:rPr>
          <w:rStyle w:val="18"/>
          <w:rFonts w:hint="eastAsia" w:ascii="仿宋" w:hAnsi="仿宋" w:eastAsia="仿宋"/>
          <w:b w:val="0"/>
          <w:bCs/>
          <w:sz w:val="32"/>
          <w:szCs w:val="32"/>
        </w:rPr>
        <w:t>4</w:t>
      </w:r>
      <w:r>
        <w:rPr>
          <w:rStyle w:val="18"/>
          <w:rFonts w:ascii="仿宋" w:hAnsi="仿宋" w:eastAsia="仿宋"/>
          <w:b w:val="0"/>
          <w:bCs/>
          <w:sz w:val="32"/>
          <w:szCs w:val="32"/>
        </w:rPr>
        <w:t>.</w:t>
      </w:r>
      <w:r>
        <w:rPr>
          <w:rFonts w:hint="eastAsia" w:ascii="仿宋" w:hAnsi="仿宋" w:eastAsia="仿宋"/>
          <w:b w:val="0"/>
          <w:bCs/>
          <w:sz w:val="32"/>
          <w:szCs w:val="32"/>
        </w:rPr>
        <w:t>住房保障</w:t>
      </w:r>
      <w:r>
        <w:rPr>
          <w:rStyle w:val="18"/>
          <w:rFonts w:hint="eastAsia" w:ascii="仿宋" w:hAnsi="仿宋" w:eastAsia="仿宋"/>
          <w:b w:val="0"/>
          <w:bCs/>
          <w:sz w:val="32"/>
          <w:szCs w:val="32"/>
        </w:rPr>
        <w:t>（221类）住房改革支出（02款）住房公积金（01项）</w:t>
      </w:r>
      <w:r>
        <w:rPr>
          <w:rStyle w:val="18"/>
          <w:rFonts w:ascii="仿宋" w:hAnsi="仿宋" w:eastAsia="仿宋"/>
          <w:b w:val="0"/>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27.63</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tabs>
          <w:tab w:val="right" w:pos="8306"/>
        </w:tabs>
        <w:spacing w:line="600" w:lineRule="exact"/>
        <w:outlineLvl w:val="1"/>
        <w:rPr>
          <w:rStyle w:val="29"/>
        </w:rPr>
      </w:pPr>
      <w:bookmarkStart w:id="44" w:name="_Toc15878"/>
      <w:bookmarkStart w:id="45" w:name="_Toc15396608"/>
      <w:bookmarkStart w:id="46"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cs="Times New Roman"/>
          <w:kern w:val="2"/>
          <w:sz w:val="32"/>
          <w:szCs w:val="32"/>
          <w:lang w:val="en-US" w:eastAsia="zh-CN" w:bidi="ar-SA"/>
        </w:rPr>
        <w:t>一般公共预算财政拨款基本支出决算情况说明</w:t>
      </w:r>
      <w:bookmarkEnd w:id="44"/>
      <w:bookmarkEnd w:id="45"/>
      <w:bookmarkEnd w:id="46"/>
      <w:r>
        <w:rPr>
          <w:rStyle w:val="29"/>
          <w:rFonts w:ascii="黑体" w:hAnsi="黑体" w:eastAsia="黑体"/>
          <w:b w:val="0"/>
        </w:rPr>
        <w:tab/>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338.93</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329.55</w:t>
      </w:r>
      <w:r>
        <w:rPr>
          <w:rFonts w:hint="eastAsia" w:ascii="仿宋" w:hAnsi="仿宋" w:eastAsia="仿宋"/>
          <w:color w:val="000000"/>
          <w:sz w:val="32"/>
          <w:szCs w:val="32"/>
        </w:rPr>
        <w:t>万元，主要包括：基本工资、津贴补贴、绩效工资、机关事业单位基本养老保险缴费、职业年金缴费、其他社会保障缴费、其他工资福利支出、抚恤金、生活补助、医疗费补助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9.38</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outlineLvl w:val="1"/>
        <w:rPr>
          <w:rFonts w:ascii="黑体" w:hAnsi="黑体" w:eastAsia="黑体" w:cstheme="majorBidi"/>
          <w:bCs/>
          <w:sz w:val="32"/>
          <w:szCs w:val="32"/>
        </w:rPr>
      </w:pPr>
      <w:bookmarkStart w:id="47" w:name="_Toc15377215"/>
      <w:bookmarkStart w:id="48" w:name="_Toc15396609"/>
      <w:bookmarkStart w:id="49" w:name="_Toc10516"/>
      <w:r>
        <w:rPr>
          <w:rFonts w:hint="eastAsia" w:ascii="黑体" w:eastAsia="黑体"/>
          <w:sz w:val="32"/>
          <w:szCs w:val="32"/>
        </w:rPr>
        <w:t>七、</w:t>
      </w:r>
      <w:r>
        <w:rPr>
          <w:rFonts w:hint="eastAsia" w:ascii="黑体" w:hAnsi="黑体" w:eastAsia="黑体" w:cs="Times New Roman"/>
          <w:kern w:val="2"/>
          <w:sz w:val="32"/>
          <w:szCs w:val="32"/>
          <w:lang w:val="en-US" w:eastAsia="zh-CN" w:bidi="ar-SA"/>
        </w:rPr>
        <w:t>财政拨款“三公”经费支出决算情况说明</w:t>
      </w:r>
      <w:bookmarkEnd w:id="47"/>
      <w:bookmarkEnd w:id="48"/>
      <w:bookmarkEnd w:id="49"/>
    </w:p>
    <w:p>
      <w:pPr>
        <w:spacing w:line="600" w:lineRule="exact"/>
        <w:ind w:firstLine="640"/>
        <w:outlineLvl w:val="2"/>
        <w:rPr>
          <w:rFonts w:ascii="仿宋" w:hAnsi="仿宋" w:eastAsia="仿宋"/>
          <w:b/>
          <w:sz w:val="32"/>
          <w:szCs w:val="32"/>
        </w:rPr>
      </w:pPr>
      <w:bookmarkStart w:id="50" w:name="_Toc15377216"/>
      <w:r>
        <w:rPr>
          <w:rFonts w:hint="eastAsia" w:ascii="仿宋" w:hAnsi="仿宋" w:eastAsia="仿宋"/>
          <w:b/>
          <w:sz w:val="32"/>
          <w:szCs w:val="32"/>
        </w:rPr>
        <w:t>（一）“三公”经费财政拨款支出决算总体情况说明</w:t>
      </w:r>
      <w:bookmarkEnd w:id="50"/>
    </w:p>
    <w:p>
      <w:pPr>
        <w:spacing w:line="600" w:lineRule="exact"/>
        <w:ind w:firstLine="640"/>
        <w:outlineLvl w:val="9"/>
        <w:rPr>
          <w:rFonts w:ascii="仿宋" w:hAnsi="仿宋" w:eastAsia="仿宋"/>
          <w:sz w:val="32"/>
          <w:szCs w:val="32"/>
        </w:rPr>
      </w:pPr>
      <w:bookmarkStart w:id="51" w:name="_Toc15377217"/>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年度“三公”经费财政拨款支出决算为</w:t>
      </w:r>
      <w:r>
        <w:rPr>
          <w:sz w:val="32"/>
          <w:szCs w:val="32"/>
        </w:rPr>
        <w:t>0</w:t>
      </w:r>
      <w:r>
        <w:rPr>
          <w:rFonts w:hint="eastAsia" w:ascii="仿宋" w:hAnsi="仿宋" w:eastAsia="仿宋"/>
          <w:sz w:val="32"/>
          <w:szCs w:val="32"/>
        </w:rPr>
        <w:t>万元，完成预算1</w:t>
      </w:r>
      <w:r>
        <w:rPr>
          <w:rFonts w:ascii="仿宋" w:hAnsi="仿宋" w:eastAsia="仿宋"/>
          <w:sz w:val="32"/>
          <w:szCs w:val="32"/>
        </w:rPr>
        <w:t>0</w:t>
      </w:r>
      <w:r>
        <w:rPr>
          <w:sz w:val="32"/>
          <w:szCs w:val="32"/>
        </w:rPr>
        <w:t>0</w:t>
      </w:r>
      <w:r>
        <w:rPr>
          <w:rFonts w:hint="eastAsia" w:ascii="仿宋" w:hAnsi="仿宋" w:eastAsia="仿宋"/>
          <w:sz w:val="32"/>
          <w:szCs w:val="32"/>
        </w:rPr>
        <w:t>%，与上年度持平,决算数与预算数持平。</w:t>
      </w:r>
    </w:p>
    <w:p>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bookmarkEnd w:id="51"/>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4</w:t>
      </w:r>
      <w:r>
        <w:rPr>
          <w:rFonts w:hint="eastAsia" w:ascii="仿宋" w:hAnsi="仿宋" w:eastAsia="仿宋"/>
          <w:sz w:val="32"/>
          <w:szCs w:val="32"/>
        </w:rPr>
        <w:t>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_GB2312" w:eastAsia="仿宋_GB2312"/>
          <w:b/>
          <w:sz w:val="32"/>
          <w:szCs w:val="32"/>
        </w:rPr>
      </w:pPr>
      <w:r>
        <w:rPr>
          <w:rFonts w:hint="eastAsia" w:ascii="仿宋_GB2312" w:eastAsia="仿宋_GB2312"/>
          <w:b w:val="0"/>
          <w:bCs/>
          <w:sz w:val="32"/>
          <w:szCs w:val="32"/>
        </w:rPr>
        <w:t>1.因公出国（境）经费支出</w:t>
      </w:r>
      <w:r>
        <w:rPr>
          <w:b w:val="0"/>
          <w:bCs/>
          <w:sz w:val="32"/>
          <w:szCs w:val="32"/>
        </w:rPr>
        <w:t>0</w:t>
      </w:r>
      <w:r>
        <w:rPr>
          <w:rFonts w:hint="eastAsia" w:ascii="仿宋_GB2312" w:eastAsia="仿宋_GB2312"/>
          <w:b w:val="0"/>
          <w:bCs/>
          <w:sz w:val="32"/>
          <w:szCs w:val="32"/>
        </w:rPr>
        <w:t>万元，</w:t>
      </w:r>
      <w:r>
        <w:rPr>
          <w:rFonts w:hint="eastAsia" w:ascii="仿宋" w:hAnsi="仿宋" w:eastAsia="仿宋"/>
          <w:b w:val="0"/>
          <w:bCs/>
          <w:sz w:val="32"/>
          <w:szCs w:val="32"/>
        </w:rPr>
        <w:t>完成预算</w:t>
      </w:r>
      <w:r>
        <w:rPr>
          <w:rFonts w:hint="eastAsia" w:ascii="仿宋" w:hAnsi="仿宋" w:eastAsia="仿宋"/>
          <w:b w:val="0"/>
          <w:bCs/>
          <w:sz w:val="32"/>
          <w:szCs w:val="32"/>
          <w:lang w:val="en-US" w:eastAsia="zh-CN"/>
        </w:rPr>
        <w:t>10</w:t>
      </w:r>
      <w:r>
        <w:rPr>
          <w:b w:val="0"/>
          <w:bCs/>
          <w:sz w:val="32"/>
          <w:szCs w:val="32"/>
        </w:rPr>
        <w:t>0</w:t>
      </w:r>
      <w:r>
        <w:rPr>
          <w:rFonts w:hint="eastAsia" w:ascii="仿宋" w:hAnsi="仿宋" w:eastAsia="仿宋"/>
          <w:b w:val="0"/>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w:t>
      </w:r>
      <w:r>
        <w:rPr>
          <w:rFonts w:hint="eastAsia" w:ascii="仿宋_GB2312" w:eastAsia="仿宋_GB2312"/>
          <w:sz w:val="32"/>
          <w:szCs w:val="32"/>
          <w:lang w:val="en-US" w:eastAsia="zh-CN"/>
        </w:rPr>
        <w:t>3</w:t>
      </w:r>
      <w:r>
        <w:rPr>
          <w:rFonts w:hint="eastAsia" w:ascii="仿宋_GB2312" w:eastAsia="仿宋_GB2312"/>
          <w:sz w:val="32"/>
          <w:szCs w:val="32"/>
        </w:rPr>
        <w:t>年增加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hint="eastAsia" w:ascii="仿宋_GB2312" w:eastAsia="仿宋_GB2312"/>
          <w:b w:val="0"/>
          <w:bCs/>
          <w:sz w:val="32"/>
          <w:szCs w:val="32"/>
        </w:rPr>
        <w:t>2.公务用车购置及运行维护费支出</w:t>
      </w:r>
      <w:r>
        <w:rPr>
          <w:b w:val="0"/>
          <w:bCs/>
          <w:sz w:val="32"/>
          <w:szCs w:val="32"/>
        </w:rPr>
        <w:t>0</w:t>
      </w:r>
      <w:r>
        <w:rPr>
          <w:rFonts w:hint="eastAsia" w:ascii="仿宋_GB2312" w:eastAsia="仿宋_GB2312"/>
          <w:b w:val="0"/>
          <w:bCs/>
          <w:sz w:val="32"/>
          <w:szCs w:val="32"/>
        </w:rPr>
        <w:t>万元,</w:t>
      </w:r>
      <w:r>
        <w:rPr>
          <w:rFonts w:hint="eastAsia" w:ascii="仿宋" w:hAnsi="仿宋" w:eastAsia="仿宋"/>
          <w:b w:val="0"/>
          <w:bCs/>
          <w:sz w:val="32"/>
          <w:szCs w:val="32"/>
        </w:rPr>
        <w:t>完成预算</w:t>
      </w:r>
      <w:r>
        <w:rPr>
          <w:rFonts w:hint="eastAsia" w:ascii="仿宋" w:hAnsi="仿宋" w:eastAsia="仿宋"/>
          <w:b w:val="0"/>
          <w:bCs/>
          <w:sz w:val="32"/>
          <w:szCs w:val="32"/>
          <w:lang w:val="en-US" w:eastAsia="zh-CN"/>
        </w:rPr>
        <w:t>10</w:t>
      </w:r>
      <w:r>
        <w:rPr>
          <w:b w:val="0"/>
          <w:bCs/>
          <w:sz w:val="32"/>
          <w:szCs w:val="32"/>
        </w:rPr>
        <w:t>0</w:t>
      </w:r>
      <w:r>
        <w:rPr>
          <w:rFonts w:hint="eastAsia" w:ascii="仿宋" w:hAnsi="仿宋" w:eastAsia="仿宋"/>
          <w:b w:val="0"/>
          <w:bCs/>
          <w:sz w:val="32"/>
          <w:szCs w:val="32"/>
        </w:rPr>
        <w:t>%。</w:t>
      </w:r>
      <w:r>
        <w:rPr>
          <w:rFonts w:hint="eastAsia" w:ascii="仿宋_GB2312" w:eastAsia="仿宋_GB2312"/>
          <w:b w:val="0"/>
          <w:bCs/>
          <w:sz w:val="32"/>
          <w:szCs w:val="32"/>
        </w:rPr>
        <w:t>公务用车</w:t>
      </w:r>
      <w:r>
        <w:rPr>
          <w:rFonts w:hint="eastAsia" w:ascii="仿宋_GB2312" w:eastAsia="仿宋_GB2312"/>
          <w:sz w:val="32"/>
          <w:szCs w:val="32"/>
        </w:rPr>
        <w:t>购置及运行维护费支出决算比202</w:t>
      </w:r>
      <w:r>
        <w:rPr>
          <w:rFonts w:hint="eastAsia" w:ascii="仿宋_GB2312" w:eastAsia="仿宋_GB2312"/>
          <w:sz w:val="32"/>
          <w:szCs w:val="32"/>
          <w:lang w:val="en-US" w:eastAsia="zh-CN"/>
        </w:rPr>
        <w:t>3</w:t>
      </w:r>
      <w:r>
        <w:rPr>
          <w:rFonts w:hint="eastAsia" w:ascii="仿宋_GB2312" w:eastAsia="仿宋_GB2312"/>
          <w:sz w:val="32"/>
          <w:szCs w:val="32"/>
        </w:rPr>
        <w:t>年度增加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万元。截至202</w:t>
      </w:r>
      <w:r>
        <w:rPr>
          <w:rFonts w:hint="eastAsia" w:ascii="仿宋_GB2312" w:eastAsia="仿宋_GB2312"/>
          <w:sz w:val="32"/>
          <w:szCs w:val="32"/>
          <w:lang w:val="en-US" w:eastAsia="zh-CN"/>
        </w:rPr>
        <w:t>4</w:t>
      </w:r>
      <w:r>
        <w:rPr>
          <w:rFonts w:hint="eastAsia" w:ascii="仿宋_GB2312" w:eastAsia="仿宋_GB2312"/>
          <w:sz w:val="32"/>
          <w:szCs w:val="32"/>
        </w:rPr>
        <w:t>年12月31日，单位共有公务用车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pPr>
        <w:spacing w:line="600" w:lineRule="exact"/>
        <w:ind w:firstLine="640"/>
        <w:rPr>
          <w:rFonts w:ascii="仿宋_GB2312" w:eastAsia="仿宋_GB2312"/>
          <w:b w:val="0"/>
          <w:bCs/>
          <w:sz w:val="32"/>
          <w:szCs w:val="32"/>
        </w:rPr>
      </w:pPr>
      <w:r>
        <w:rPr>
          <w:rFonts w:hint="eastAsia" w:ascii="仿宋_GB2312" w:eastAsia="仿宋_GB2312"/>
          <w:b w:val="0"/>
          <w:bCs/>
          <w:sz w:val="32"/>
          <w:szCs w:val="32"/>
        </w:rPr>
        <w:t>公务用车运行维护费支出</w:t>
      </w:r>
      <w:r>
        <w:rPr>
          <w:b w:val="0"/>
          <w:bCs/>
          <w:sz w:val="32"/>
          <w:szCs w:val="32"/>
        </w:rPr>
        <w:t>0</w:t>
      </w:r>
      <w:r>
        <w:rPr>
          <w:rFonts w:hint="eastAsia" w:ascii="仿宋_GB2312" w:eastAsia="仿宋_GB2312"/>
          <w:b w:val="0"/>
          <w:bCs/>
          <w:sz w:val="32"/>
          <w:szCs w:val="32"/>
        </w:rPr>
        <w:t>万元。</w:t>
      </w:r>
    </w:p>
    <w:p>
      <w:pPr>
        <w:numPr>
          <w:ilvl w:val="0"/>
          <w:numId w:val="0"/>
        </w:numPr>
        <w:spacing w:line="600" w:lineRule="exact"/>
        <w:ind w:firstLine="640" w:firstLineChars="200"/>
        <w:rPr>
          <w:rFonts w:ascii="仿宋_GB2312" w:eastAsia="仿宋_GB2312"/>
          <w:b w:val="0"/>
          <w:bCs/>
          <w:sz w:val="32"/>
          <w:szCs w:val="32"/>
        </w:rPr>
      </w:pPr>
      <w:r>
        <w:rPr>
          <w:rFonts w:hint="eastAsia" w:ascii="仿宋_GB2312" w:eastAsia="仿宋_GB2312"/>
          <w:b w:val="0"/>
          <w:bCs/>
          <w:sz w:val="32"/>
          <w:szCs w:val="32"/>
          <w:lang w:val="en-US" w:eastAsia="zh-CN"/>
        </w:rPr>
        <w:t>3.</w:t>
      </w:r>
      <w:r>
        <w:rPr>
          <w:rFonts w:hint="eastAsia" w:ascii="仿宋_GB2312" w:eastAsia="仿宋_GB2312"/>
          <w:b w:val="0"/>
          <w:bCs/>
          <w:sz w:val="32"/>
          <w:szCs w:val="32"/>
        </w:rPr>
        <w:t>公务接待费支出</w:t>
      </w:r>
      <w:r>
        <w:rPr>
          <w:b w:val="0"/>
          <w:bCs/>
          <w:sz w:val="32"/>
          <w:szCs w:val="32"/>
        </w:rPr>
        <w:t>0</w:t>
      </w:r>
      <w:r>
        <w:rPr>
          <w:rFonts w:hint="eastAsia" w:ascii="仿宋_GB2312" w:eastAsia="仿宋_GB2312"/>
          <w:b w:val="0"/>
          <w:bCs/>
          <w:sz w:val="32"/>
          <w:szCs w:val="32"/>
        </w:rPr>
        <w:t>万元，完成预算100%。公务接待费支出决算与202</w:t>
      </w:r>
      <w:r>
        <w:rPr>
          <w:rFonts w:hint="eastAsia" w:ascii="仿宋_GB2312" w:eastAsia="仿宋_GB2312"/>
          <w:b w:val="0"/>
          <w:bCs/>
          <w:sz w:val="32"/>
          <w:szCs w:val="32"/>
          <w:lang w:val="en-US" w:eastAsia="zh-CN"/>
        </w:rPr>
        <w:t>3</w:t>
      </w:r>
      <w:r>
        <w:rPr>
          <w:rFonts w:hint="eastAsia" w:ascii="仿宋_GB2312" w:eastAsia="仿宋_GB2312"/>
          <w:b w:val="0"/>
          <w:bCs/>
          <w:sz w:val="32"/>
          <w:szCs w:val="32"/>
        </w:rPr>
        <w:t>年度持平。其中：</w:t>
      </w:r>
    </w:p>
    <w:p>
      <w:pPr>
        <w:spacing w:line="600" w:lineRule="exact"/>
        <w:ind w:firstLine="640" w:firstLineChars="200"/>
        <w:rPr>
          <w:rFonts w:ascii="仿宋_GB2312" w:eastAsia="仿宋_GB2312"/>
          <w:b w:val="0"/>
          <w:bCs/>
          <w:sz w:val="32"/>
          <w:szCs w:val="32"/>
        </w:rPr>
      </w:pPr>
      <w:r>
        <w:rPr>
          <w:rFonts w:hint="eastAsia" w:ascii="仿宋_GB2312" w:eastAsia="仿宋_GB2312"/>
          <w:b w:val="0"/>
          <w:bCs/>
          <w:sz w:val="32"/>
          <w:szCs w:val="32"/>
        </w:rPr>
        <w:t>国内公务接待支出0万元。国内公务接待0批次，0人次（不包括陪同人员），共计支出0万元。</w:t>
      </w:r>
      <w:r>
        <w:rPr>
          <w:rFonts w:hint="eastAsia" w:ascii="仿宋_GB2312" w:eastAsia="仿宋_GB2312"/>
          <w:b w:val="0"/>
          <w:bCs/>
          <w:sz w:val="32"/>
          <w:szCs w:val="32"/>
        </w:rPr>
        <w:br w:type="textWrapping"/>
      </w:r>
      <w:r>
        <w:rPr>
          <w:rFonts w:hint="eastAsia" w:ascii="仿宋_GB2312" w:eastAsia="仿宋_GB2312"/>
          <w:b w:val="0"/>
          <w:bCs/>
          <w:sz w:val="32"/>
          <w:szCs w:val="32"/>
        </w:rPr>
        <w:t xml:space="preserve">   外事接待支出0万元。外事接待0批次，0人次（不包括陪同人员），共计支出0万元。</w:t>
      </w:r>
    </w:p>
    <w:p>
      <w:pPr>
        <w:spacing w:line="600" w:lineRule="exact"/>
        <w:outlineLvl w:val="1"/>
        <w:rPr>
          <w:rFonts w:ascii="黑体" w:hAnsi="黑体" w:eastAsia="黑体" w:cstheme="majorBidi"/>
          <w:b/>
          <w:bCs/>
          <w:sz w:val="32"/>
          <w:szCs w:val="32"/>
        </w:rPr>
      </w:pPr>
      <w:bookmarkStart w:id="52" w:name="_Toc15377218"/>
      <w:bookmarkStart w:id="53" w:name="_Toc24678"/>
      <w:bookmarkStart w:id="54" w:name="_Toc15396610"/>
      <w:r>
        <w:rPr>
          <w:rFonts w:hint="eastAsia" w:ascii="黑体" w:eastAsia="黑体"/>
          <w:sz w:val="32"/>
          <w:szCs w:val="32"/>
        </w:rPr>
        <w:t>八、</w:t>
      </w:r>
      <w:r>
        <w:rPr>
          <w:rFonts w:hint="eastAsia" w:ascii="黑体" w:hAnsi="黑体" w:eastAsia="黑体" w:cs="Times New Roman"/>
          <w:kern w:val="2"/>
          <w:sz w:val="32"/>
          <w:szCs w:val="32"/>
          <w:lang w:val="en-US" w:eastAsia="zh-CN" w:bidi="ar-SA"/>
        </w:rPr>
        <w:t>政府性基金预算支出决算情况说明</w:t>
      </w:r>
      <w:bookmarkEnd w:id="52"/>
      <w:bookmarkEnd w:id="53"/>
      <w:bookmarkEnd w:id="5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年政府性基金预算财政拨款支出</w:t>
      </w:r>
      <w:r>
        <w:rPr>
          <w:rFonts w:ascii="仿宋_GB2312" w:eastAsia="仿宋_GB2312"/>
          <w:sz w:val="32"/>
          <w:szCs w:val="32"/>
        </w:rPr>
        <w:t>0</w:t>
      </w:r>
      <w:r>
        <w:rPr>
          <w:rFonts w:hint="eastAsia" w:ascii="仿宋_GB2312" w:eastAsia="仿宋_GB2312"/>
          <w:sz w:val="32"/>
          <w:szCs w:val="32"/>
        </w:rPr>
        <w:t>万元</w:t>
      </w:r>
    </w:p>
    <w:p>
      <w:pPr>
        <w:numPr>
          <w:ilvl w:val="0"/>
          <w:numId w:val="3"/>
        </w:numPr>
        <w:spacing w:line="600" w:lineRule="exact"/>
        <w:ind w:left="0" w:leftChars="0" w:firstLine="0" w:firstLineChars="0"/>
        <w:outlineLvl w:val="1"/>
        <w:rPr>
          <w:rFonts w:ascii="黑体" w:hAnsi="黑体" w:eastAsia="黑体" w:cstheme="majorBidi"/>
          <w:bCs/>
          <w:sz w:val="32"/>
          <w:szCs w:val="32"/>
        </w:rPr>
      </w:pPr>
      <w:bookmarkStart w:id="55" w:name="_Toc25326"/>
      <w:bookmarkStart w:id="56" w:name="_Toc15377219"/>
      <w:bookmarkStart w:id="57" w:name="_Toc15396611"/>
      <w:r>
        <w:rPr>
          <w:rFonts w:hint="eastAsia" w:ascii="黑体" w:hAnsi="黑体" w:eastAsia="黑体" w:cstheme="majorBidi"/>
          <w:bCs/>
          <w:sz w:val="32"/>
          <w:szCs w:val="32"/>
        </w:rPr>
        <w:t>国有资本经营预算支出决算情况说明</w:t>
      </w:r>
      <w:bookmarkEnd w:id="55"/>
      <w:bookmarkEnd w:id="56"/>
      <w:bookmarkEnd w:id="5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年国有资本经营预算财政拨款支出0万元。</w:t>
      </w:r>
    </w:p>
    <w:p>
      <w:pPr>
        <w:spacing w:line="600" w:lineRule="exact"/>
        <w:outlineLvl w:val="1"/>
        <w:rPr>
          <w:rFonts w:ascii="黑体" w:hAnsi="黑体" w:eastAsia="黑体" w:cstheme="majorBidi"/>
          <w:bCs/>
          <w:sz w:val="32"/>
          <w:szCs w:val="32"/>
        </w:rPr>
      </w:pPr>
      <w:bookmarkStart w:id="58" w:name="_Toc15396612"/>
      <w:bookmarkStart w:id="59" w:name="_Toc27663"/>
      <w:bookmarkStart w:id="60" w:name="_Toc15377221"/>
      <w:r>
        <w:rPr>
          <w:rFonts w:hint="eastAsia" w:ascii="黑体" w:hAnsi="黑体" w:eastAsia="黑体" w:cstheme="majorBidi"/>
          <w:b/>
          <w:bCs/>
          <w:sz w:val="32"/>
          <w:szCs w:val="32"/>
        </w:rPr>
        <w:t>十</w:t>
      </w:r>
      <w:r>
        <w:rPr>
          <w:rFonts w:ascii="黑体" w:hAnsi="黑体" w:eastAsia="黑体" w:cstheme="majorBidi"/>
          <w:b/>
          <w:bCs/>
          <w:sz w:val="32"/>
          <w:szCs w:val="32"/>
        </w:rPr>
        <w:t>、</w:t>
      </w:r>
      <w:r>
        <w:rPr>
          <w:rFonts w:hint="eastAsia" w:ascii="黑体" w:hAnsi="黑体" w:eastAsia="黑体" w:cstheme="majorBidi"/>
          <w:bCs/>
          <w:sz w:val="32"/>
          <w:szCs w:val="32"/>
        </w:rPr>
        <w:t>其他重要事项的情况说明</w:t>
      </w:r>
      <w:bookmarkEnd w:id="58"/>
      <w:bookmarkEnd w:id="59"/>
      <w:bookmarkEnd w:id="60"/>
    </w:p>
    <w:p>
      <w:pPr>
        <w:spacing w:line="600" w:lineRule="exact"/>
        <w:ind w:firstLine="643" w:firstLineChars="200"/>
        <w:outlineLvl w:val="2"/>
        <w:rPr>
          <w:rFonts w:ascii="仿宋" w:hAnsi="仿宋" w:eastAsia="仿宋"/>
          <w:sz w:val="32"/>
          <w:szCs w:val="32"/>
        </w:rPr>
      </w:pPr>
      <w:bookmarkStart w:id="61" w:name="_Toc15377222"/>
      <w:r>
        <w:rPr>
          <w:rFonts w:hint="eastAsia" w:ascii="仿宋" w:hAnsi="仿宋" w:eastAsia="仿宋"/>
          <w:b/>
          <w:sz w:val="32"/>
          <w:szCs w:val="32"/>
        </w:rPr>
        <w:t>（一）机关运行经费支出情况</w:t>
      </w:r>
      <w:bookmarkEnd w:id="61"/>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年，学校机关运行经费支出0万元。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62" w:name="_Toc15377223"/>
      <w:r>
        <w:rPr>
          <w:rFonts w:hint="eastAsia" w:ascii="仿宋" w:hAnsi="仿宋" w:eastAsia="仿宋"/>
          <w:b/>
          <w:sz w:val="32"/>
          <w:szCs w:val="32"/>
        </w:rPr>
        <w:t>（二）政府采购支出情况</w:t>
      </w:r>
      <w:bookmarkEnd w:id="62"/>
    </w:p>
    <w:p>
      <w:pPr>
        <w:autoSpaceDE w:val="0"/>
        <w:autoSpaceDN w:val="0"/>
        <w:adjustRightInd w:val="0"/>
        <w:spacing w:line="600" w:lineRule="exact"/>
        <w:ind w:firstLine="640" w:firstLineChars="200"/>
        <w:jc w:val="left"/>
        <w:outlineLvl w:val="9"/>
        <w:rPr>
          <w:rFonts w:ascii="仿宋_GB2312" w:eastAsia="仿宋_GB2312"/>
          <w:sz w:val="32"/>
          <w:szCs w:val="32"/>
        </w:rPr>
      </w:pPr>
      <w:bookmarkStart w:id="63" w:name="_Toc15377224"/>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年度，遂宁市安居区横山镇</w:t>
      </w:r>
      <w:r>
        <w:rPr>
          <w:rFonts w:ascii="仿宋_GB2312" w:eastAsia="仿宋_GB2312"/>
          <w:sz w:val="32"/>
          <w:szCs w:val="32"/>
        </w:rPr>
        <w:t>中心幼儿园</w:t>
      </w:r>
      <w:r>
        <w:rPr>
          <w:rFonts w:hint="eastAsia" w:ascii="仿宋_GB2312" w:eastAsia="仿宋_GB2312"/>
          <w:sz w:val="32"/>
          <w:szCs w:val="32"/>
        </w:rPr>
        <w:t>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bookmarkEnd w:id="63"/>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w:t>
      </w:r>
      <w:r>
        <w:rPr>
          <w:rFonts w:hint="eastAsia" w:ascii="仿宋_GB2312" w:eastAsia="仿宋_GB2312"/>
          <w:sz w:val="32"/>
          <w:szCs w:val="32"/>
          <w:lang w:val="en-US" w:eastAsia="zh-CN"/>
        </w:rPr>
        <w:t>4</w:t>
      </w:r>
      <w:r>
        <w:rPr>
          <w:rFonts w:hint="eastAsia" w:ascii="仿宋_GB2312" w:eastAsia="仿宋_GB2312"/>
          <w:sz w:val="32"/>
          <w:szCs w:val="32"/>
        </w:rPr>
        <w:t>年12月31日，遂宁市安居区横山镇</w:t>
      </w:r>
      <w:r>
        <w:rPr>
          <w:rFonts w:ascii="仿宋_GB2312" w:eastAsia="仿宋_GB2312"/>
          <w:sz w:val="32"/>
          <w:szCs w:val="32"/>
        </w:rPr>
        <w:t>中心幼儿园</w:t>
      </w:r>
      <w:r>
        <w:rPr>
          <w:rFonts w:hint="eastAsia" w:ascii="仿宋_GB2312" w:eastAsia="仿宋_GB2312"/>
          <w:sz w:val="32"/>
          <w:szCs w:val="32"/>
        </w:rPr>
        <w:t>共有车辆0辆，其中：主要领导干部用车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辆。单价100万元以上设备（不含车辆）</w:t>
      </w:r>
      <w:r>
        <w:rPr>
          <w:sz w:val="32"/>
          <w:szCs w:val="32"/>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autoSpaceDE w:val="0"/>
        <w:autoSpaceDN w:val="0"/>
        <w:adjustRightInd w:val="0"/>
        <w:spacing w:line="600" w:lineRule="exact"/>
        <w:ind w:firstLine="640" w:firstLineChars="200"/>
        <w:jc w:val="left"/>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根据预算绩效管理要求，本单位在2024年度预算编制阶段，组织对幼儿保教费、幼儿资助及幼儿发展资金、学前教育发展专项资金等3个项目开展了预算事前绩效评估，对3个项目编制了绩效目标，预算执行过程中，选取3个项目开展绩效监控。</w:t>
      </w:r>
    </w:p>
    <w:p>
      <w:pPr>
        <w:autoSpaceDE w:val="0"/>
        <w:autoSpaceDN w:val="0"/>
        <w:adjustRightInd w:val="0"/>
        <w:spacing w:line="600" w:lineRule="exact"/>
        <w:ind w:firstLine="640" w:firstLineChars="200"/>
        <w:jc w:val="left"/>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组织对2024年度一般公共预算、政府性基金预算、国有资本经营预算、社会保险基金预算以及资本资产、债券资金等全面开展绩效自评，形成2024年横山幼儿园部门整体（含部门预算项目）绩效自评报告、幼儿保教费、幼儿资助及幼儿发展资金、学前教育发展专项资金等专项预算项目绩效自评报告，其中，2024年横山幼儿园部门整体（含部门预算项目）绩效自评得分为100分，绩效自评综述严格执行相关政策，保障工资及时发放、足额发放，预算编制科学合理，减少结余资金</w:t>
      </w:r>
      <w:r>
        <w:rPr>
          <w:rFonts w:hint="eastAsia" w:ascii="仿宋_GB2312" w:eastAsia="仿宋_GB2312"/>
          <w:sz w:val="32"/>
          <w:szCs w:val="32"/>
          <w:lang w:val="zh-CN"/>
        </w:rPr>
        <w:t>，</w:t>
      </w:r>
      <w:r>
        <w:rPr>
          <w:rFonts w:hint="eastAsia" w:ascii="仿宋_GB2312" w:eastAsia="仿宋_GB2312"/>
          <w:sz w:val="32"/>
          <w:szCs w:val="32"/>
        </w:rPr>
        <w:t>广泛听取意见，认真总结分析,搜集完善各类资料。进</w:t>
      </w:r>
      <w:r>
        <w:rPr>
          <w:rFonts w:hint="eastAsia" w:ascii="仿宋_GB2312" w:eastAsia="仿宋_GB2312"/>
          <w:sz w:val="32"/>
          <w:szCs w:val="32"/>
          <w:lang w:eastAsia="zh-CN"/>
        </w:rPr>
        <w:t>一</w:t>
      </w:r>
      <w:r>
        <w:rPr>
          <w:rFonts w:hint="eastAsia" w:ascii="仿宋_GB2312" w:eastAsia="仿宋_GB2312"/>
          <w:sz w:val="32"/>
          <w:szCs w:val="32"/>
        </w:rPr>
        <w:t>步深化课程改革，提高教育质量</w:t>
      </w:r>
      <w:r>
        <w:rPr>
          <w:rFonts w:hint="eastAsia" w:ascii="仿宋_GB2312" w:eastAsia="仿宋_GB2312"/>
          <w:sz w:val="32"/>
          <w:szCs w:val="32"/>
          <w:lang w:eastAsia="zh-CN"/>
        </w:rPr>
        <w:t>，</w:t>
      </w:r>
      <w:r>
        <w:rPr>
          <w:rFonts w:hint="eastAsia" w:ascii="仿宋_GB2312" w:eastAsia="仿宋_GB2312"/>
          <w:sz w:val="32"/>
          <w:szCs w:val="32"/>
        </w:rPr>
        <w:t>努力改善办学条件,促进教育均衡发展</w:t>
      </w:r>
      <w:r>
        <w:rPr>
          <w:rFonts w:hint="eastAsia" w:ascii="仿宋_GB2312" w:eastAsia="仿宋_GB2312"/>
          <w:sz w:val="32"/>
          <w:szCs w:val="32"/>
          <w:lang w:eastAsia="zh-CN"/>
        </w:rPr>
        <w:t>。</w:t>
      </w:r>
      <w:r>
        <w:rPr>
          <w:rFonts w:hint="eastAsia" w:ascii="仿宋_GB2312" w:eastAsia="仿宋_GB2312"/>
          <w:sz w:val="32"/>
          <w:szCs w:val="32"/>
          <w:lang w:val="en-US" w:eastAsia="zh-CN"/>
        </w:rPr>
        <w:t>幼儿保教费预算项目绩效自评得分为100分，绩效自评综述加强民生资金专项管理，提高民生资金使用效益，确保专款专用，按程序及时兑现给学生（或监护人）。幼儿资助及幼儿发展资金预算项目绩效自评得分为100分，绩效自评综述加强民生资金专项管理，提高民生资金使用效益，确保专款专用，按程序及时兑现给学生（或监护人），及时申报经费，促进附设幼儿园健康发展。学前教育发展专项资金预算项目绩效自评得分为100分，绩效自评综述加强民生资金专项管理，提高民生资金使用效益，确保专款专用。</w:t>
      </w:r>
    </w:p>
    <w:p>
      <w:pPr>
        <w:autoSpaceDE w:val="0"/>
        <w:autoSpaceDN w:val="0"/>
        <w:adjustRightInd w:val="0"/>
        <w:spacing w:line="600" w:lineRule="exact"/>
        <w:ind w:firstLine="640" w:firstLineChars="200"/>
        <w:jc w:val="left"/>
        <w:outlineLvl w:val="9"/>
        <w:rPr>
          <w:rFonts w:hint="eastAsia" w:ascii="仿宋_GB2312" w:eastAsia="仿宋_GB2312"/>
          <w:sz w:val="32"/>
          <w:szCs w:val="32"/>
        </w:rPr>
      </w:pPr>
      <w:r>
        <w:rPr>
          <w:rFonts w:hint="eastAsia" w:ascii="仿宋_GB2312" w:eastAsia="仿宋_GB2312"/>
          <w:sz w:val="32"/>
          <w:szCs w:val="32"/>
        </w:rPr>
        <w:t>绩效自评表详见</w:t>
      </w:r>
      <w:r>
        <w:rPr>
          <w:rFonts w:hint="eastAsia" w:ascii="仿宋_GB2312" w:eastAsia="仿宋_GB2312"/>
          <w:sz w:val="32"/>
          <w:szCs w:val="32"/>
          <w:lang w:eastAsia="zh-CN"/>
        </w:rPr>
        <w:t>第四部分</w:t>
      </w:r>
      <w:r>
        <w:rPr>
          <w:rFonts w:hint="eastAsia" w:ascii="仿宋_GB2312" w:eastAsia="仿宋_GB2312"/>
          <w:sz w:val="32"/>
          <w:szCs w:val="32"/>
        </w:rPr>
        <w:t>附件。</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widowControl/>
        <w:jc w:val="left"/>
        <w:rPr>
          <w:rFonts w:ascii="仿宋_GB2312" w:eastAsia="仿宋_GB2312"/>
          <w:b/>
          <w:sz w:val="32"/>
          <w:szCs w:val="32"/>
        </w:rPr>
      </w:pPr>
      <w:r>
        <w:rPr>
          <w:rFonts w:ascii="仿宋_GB2312" w:eastAsia="仿宋_GB2312"/>
          <w:b/>
          <w:sz w:val="32"/>
          <w:szCs w:val="32"/>
        </w:rPr>
        <w:br w:type="page"/>
      </w:r>
    </w:p>
    <w:p>
      <w:pPr>
        <w:keepNext w:val="0"/>
        <w:keepLines w:val="0"/>
        <w:pageBreakBefore w:val="0"/>
        <w:widowControl w:val="0"/>
        <w:numPr>
          <w:ilvl w:val="0"/>
          <w:numId w:val="4"/>
        </w:numPr>
        <w:kinsoku/>
        <w:wordWrap/>
        <w:overflowPunct/>
        <w:topLinePunct w:val="0"/>
        <w:bidi w:val="0"/>
        <w:snapToGrid/>
        <w:spacing w:line="600" w:lineRule="exact"/>
        <w:ind w:firstLine="660" w:firstLineChars="150"/>
        <w:jc w:val="center"/>
        <w:textAlignment w:val="auto"/>
        <w:outlineLvl w:val="0"/>
        <w:rPr>
          <w:rFonts w:ascii="宋体"/>
          <w:b/>
          <w:sz w:val="44"/>
          <w:szCs w:val="44"/>
        </w:rPr>
      </w:pPr>
      <w:bookmarkStart w:id="64" w:name="_Toc16368"/>
      <w:bookmarkStart w:id="65" w:name="_Toc15377225"/>
      <w:bookmarkStart w:id="66" w:name="_Toc15396613"/>
      <w:bookmarkStart w:id="67" w:name="_Toc15396614"/>
      <w:bookmarkStart w:id="68" w:name="_Toc15377226"/>
      <w:r>
        <w:rPr>
          <w:rFonts w:hint="eastAsia" w:ascii="黑体" w:hAnsi="黑体" w:eastAsia="黑体"/>
          <w:sz w:val="44"/>
          <w:szCs w:val="44"/>
        </w:rPr>
        <w:t>名</w:t>
      </w:r>
      <w:r>
        <w:rPr>
          <w:rStyle w:val="28"/>
          <w:rFonts w:hint="eastAsia" w:ascii="黑体" w:hAnsi="黑体" w:eastAsia="黑体"/>
          <w:b w:val="0"/>
        </w:rPr>
        <w:t>词解释</w:t>
      </w:r>
      <w:bookmarkEnd w:id="64"/>
      <w:bookmarkEnd w:id="65"/>
      <w:bookmarkEnd w:id="66"/>
    </w:p>
    <w:p>
      <w:pPr>
        <w:pStyle w:val="26"/>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6"/>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教育（205类）普通教育（02款）初中教育（03项）</w:t>
      </w:r>
      <w:r>
        <w:rPr>
          <w:rFonts w:ascii="仿宋" w:hAnsi="仿宋" w:eastAsia="仿宋"/>
          <w:sz w:val="32"/>
          <w:szCs w:val="32"/>
        </w:rPr>
        <w:t xml:space="preserve">: </w:t>
      </w:r>
      <w:r>
        <w:rPr>
          <w:rFonts w:hint="eastAsia" w:ascii="仿宋" w:hAnsi="仿宋" w:eastAsia="仿宋"/>
          <w:sz w:val="32"/>
          <w:szCs w:val="32"/>
        </w:rPr>
        <w:t>反映各部门举办的初中教育支出。政府各部门对社会中介组织等举办的初中教育的资助，如各类捐赠、补贴等，也在本科目中反映。</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社会保障和就业（208类）行政事业单位离退休（05款）机关事业单位基本养老保险缴费支出（05项）</w:t>
      </w:r>
      <w:r>
        <w:rPr>
          <w:rFonts w:ascii="仿宋" w:hAnsi="仿宋" w:eastAsia="仿宋"/>
          <w:sz w:val="32"/>
          <w:szCs w:val="32"/>
        </w:rPr>
        <w:t xml:space="preserve">: </w:t>
      </w:r>
      <w:r>
        <w:rPr>
          <w:rFonts w:hint="eastAsia" w:ascii="仿宋" w:hAnsi="仿宋" w:eastAsia="仿宋"/>
          <w:sz w:val="32"/>
          <w:szCs w:val="32"/>
        </w:rPr>
        <w:t>反映机关事业单位实施养老保险制度由单位缴纳的基本养老保险费支出。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w:t>
      </w:r>
      <w:r>
        <w:rPr>
          <w:rFonts w:hint="eastAsia" w:ascii="仿宋" w:hAnsi="仿宋" w:eastAsia="仿宋"/>
          <w:sz w:val="32"/>
          <w:szCs w:val="32"/>
        </w:rPr>
        <w:t>社会保障和就业（208类）抚恤（08款）死亡抚恤（01项）</w:t>
      </w:r>
      <w:r>
        <w:rPr>
          <w:rFonts w:ascii="仿宋" w:hAnsi="仿宋" w:eastAsia="仿宋"/>
          <w:sz w:val="32"/>
          <w:szCs w:val="32"/>
        </w:rPr>
        <w:t xml:space="preserve">: </w:t>
      </w:r>
      <w:r>
        <w:rPr>
          <w:rFonts w:hint="eastAsia" w:ascii="仿宋" w:hAnsi="仿宋" w:eastAsia="仿宋"/>
          <w:sz w:val="32"/>
          <w:szCs w:val="32"/>
        </w:rPr>
        <w:t>反映按规定用于烈士和牺牲、病故人员家属的一次性和定期抚恤金以及丧葬补助费。</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w:t>
      </w:r>
      <w:r>
        <w:rPr>
          <w:rFonts w:hint="eastAsia" w:ascii="仿宋" w:hAnsi="仿宋" w:eastAsia="仿宋"/>
          <w:sz w:val="32"/>
          <w:szCs w:val="32"/>
        </w:rPr>
        <w:t>社会保障和就业（208类）其他社会保障和就业支出（99款）其他社会保障和就业支出（01项）</w:t>
      </w:r>
      <w:r>
        <w:rPr>
          <w:rFonts w:ascii="仿宋" w:hAnsi="仿宋" w:eastAsia="仿宋"/>
          <w:sz w:val="32"/>
          <w:szCs w:val="32"/>
        </w:rPr>
        <w:t xml:space="preserve">: </w:t>
      </w:r>
      <w:r>
        <w:rPr>
          <w:rFonts w:hint="eastAsia" w:ascii="仿宋" w:hAnsi="仿宋" w:eastAsia="仿宋"/>
          <w:sz w:val="32"/>
          <w:szCs w:val="32"/>
        </w:rPr>
        <w:t>反映上述项目以外其他用于社会保障和就业方面的支出。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w:t>
      </w:r>
      <w:r>
        <w:rPr>
          <w:rFonts w:hint="eastAsia" w:ascii="仿宋" w:hAnsi="仿宋" w:eastAsia="仿宋"/>
          <w:sz w:val="32"/>
          <w:szCs w:val="32"/>
        </w:rPr>
        <w:t>医疗卫生与计划生育（210类）行政事业单位医疗（11款）行政单位医疗（01项）</w:t>
      </w:r>
      <w:r>
        <w:rPr>
          <w:rFonts w:ascii="仿宋" w:hAnsi="仿宋" w:eastAsia="仿宋"/>
          <w:sz w:val="32"/>
          <w:szCs w:val="32"/>
        </w:rPr>
        <w:t>:</w:t>
      </w:r>
      <w:r>
        <w:rPr>
          <w:rFonts w:hint="eastAsia" w:ascii="仿宋" w:hAnsi="仿宋" w:eastAsia="仿宋"/>
          <w:sz w:val="32"/>
          <w:szCs w:val="32"/>
        </w:rPr>
        <w:t>反映财政部门集中安排的行政单位基本医疗保险缴费经费，未参加医疗保险的行政单位的公费医疗经费，按国家规定享受离休人员、红军老战士待遇人员的医疗经费。</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8</w:t>
      </w:r>
      <w:r>
        <w:rPr>
          <w:rFonts w:ascii="仿宋" w:hAnsi="仿宋" w:eastAsia="仿宋"/>
          <w:sz w:val="32"/>
          <w:szCs w:val="32"/>
        </w:rPr>
        <w:t>.</w:t>
      </w:r>
      <w:r>
        <w:rPr>
          <w:rFonts w:hint="eastAsia" w:ascii="仿宋" w:hAnsi="仿宋" w:eastAsia="仿宋"/>
          <w:sz w:val="32"/>
          <w:szCs w:val="32"/>
        </w:rPr>
        <w:t>医疗卫生与计划生育（210类）行政事业单位医疗（11款）事业单位医疗（02项）</w:t>
      </w:r>
      <w:r>
        <w:rPr>
          <w:rFonts w:ascii="仿宋" w:hAnsi="仿宋" w:eastAsia="仿宋"/>
          <w:sz w:val="32"/>
          <w:szCs w:val="32"/>
        </w:rPr>
        <w:t>:</w:t>
      </w:r>
      <w:r>
        <w:rPr>
          <w:rFonts w:hint="eastAsia" w:ascii="仿宋" w:hAnsi="仿宋" w:eastAsia="仿宋"/>
          <w:sz w:val="32"/>
          <w:szCs w:val="32"/>
        </w:rPr>
        <w:t>反映财政部门集中安排的事业单位基本医疗保险缴费经费，未参加医疗保险的事业单位的公费医疗经费，按国家规定享受离休人员待遇的医疗经费。</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w:t>
      </w:r>
      <w:r>
        <w:rPr>
          <w:rFonts w:hint="eastAsia" w:ascii="仿宋" w:hAnsi="仿宋" w:eastAsia="仿宋"/>
          <w:sz w:val="32"/>
          <w:szCs w:val="32"/>
        </w:rPr>
        <w:t>医疗卫生与计划生育（210类）行政事业单位医疗（11款）公务员医疗补助（03项）</w:t>
      </w:r>
      <w:r>
        <w:rPr>
          <w:rFonts w:ascii="仿宋" w:hAnsi="仿宋" w:eastAsia="仿宋"/>
          <w:sz w:val="32"/>
          <w:szCs w:val="32"/>
        </w:rPr>
        <w:t>:</w:t>
      </w:r>
      <w:r>
        <w:rPr>
          <w:rFonts w:hint="eastAsia" w:ascii="仿宋" w:hAnsi="仿宋" w:eastAsia="仿宋"/>
          <w:sz w:val="32"/>
          <w:szCs w:val="32"/>
        </w:rPr>
        <w:t>反映财政部门集中安排的公务员医疗补助经费。</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10</w:t>
      </w:r>
      <w:r>
        <w:rPr>
          <w:rFonts w:ascii="仿宋" w:hAnsi="仿宋" w:eastAsia="仿宋"/>
          <w:sz w:val="32"/>
          <w:szCs w:val="32"/>
        </w:rPr>
        <w:t>.</w:t>
      </w:r>
      <w:r>
        <w:rPr>
          <w:rFonts w:hint="eastAsia" w:ascii="仿宋" w:hAnsi="仿宋" w:eastAsia="仿宋"/>
          <w:sz w:val="32"/>
          <w:szCs w:val="32"/>
        </w:rPr>
        <w:t>住房保障支出（221类）住房改革支出（02款）住房公积金（01项）</w:t>
      </w:r>
      <w:r>
        <w:rPr>
          <w:rFonts w:ascii="仿宋" w:hAnsi="仿宋" w:eastAsia="仿宋"/>
          <w:sz w:val="32"/>
          <w:szCs w:val="32"/>
        </w:rPr>
        <w:t>:</w:t>
      </w:r>
      <w:r>
        <w:rPr>
          <w:rFonts w:hint="eastAsia" w:ascii="仿宋" w:hAnsi="仿宋" w:eastAsia="仿宋"/>
          <w:sz w:val="32"/>
          <w:szCs w:val="32"/>
        </w:rPr>
        <w:t>反映行政事业单位按人力资源和社会保障部、财政部规定的基本工资和津贴补贴以及规定比例为职工缴纳的住房公积金。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11</w:t>
      </w:r>
      <w:r>
        <w:rPr>
          <w:rFonts w:ascii="仿宋" w:hAnsi="仿宋" w:eastAsia="仿宋"/>
          <w:sz w:val="32"/>
          <w:szCs w:val="32"/>
        </w:rPr>
        <w:t>.</w:t>
      </w:r>
      <w:r>
        <w:rPr>
          <w:rFonts w:hint="eastAsia" w:ascii="仿宋" w:hAnsi="仿宋" w:eastAsia="仿宋"/>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w:t>
      </w:r>
      <w:r>
        <w:rPr>
          <w:rFonts w:hint="eastAsia" w:ascii="仿宋" w:hAnsi="仿宋" w:eastAsia="仿宋"/>
          <w:sz w:val="32"/>
          <w:szCs w:val="32"/>
        </w:rPr>
        <w:t>项目支出：指在基本支出之外为完成特定行政任务和事业发展目标所发生的支出。</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13</w:t>
      </w:r>
      <w:r>
        <w:rPr>
          <w:rFonts w:ascii="仿宋" w:hAnsi="仿宋" w:eastAsia="仿宋"/>
          <w:sz w:val="32"/>
          <w:szCs w:val="32"/>
        </w:rPr>
        <w:t>.</w:t>
      </w:r>
      <w:r>
        <w:rPr>
          <w:rFonts w:hint="eastAsia" w:ascii="仿宋" w:hAnsi="仿宋" w:eastAsia="仿宋"/>
          <w:sz w:val="32"/>
          <w:szCs w:val="32"/>
        </w:rPr>
        <w:t>“三公”经费：指部门用财政拨款安排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支出。</w:t>
      </w:r>
    </w:p>
    <w:p>
      <w:pPr>
        <w:spacing w:line="600" w:lineRule="exact"/>
        <w:jc w:val="center"/>
        <w:outlineLvl w:val="0"/>
        <w:rPr>
          <w:rStyle w:val="28"/>
          <w:rFonts w:ascii="黑体" w:hAnsi="黑体" w:eastAsia="黑体"/>
          <w:b w:val="0"/>
        </w:rPr>
      </w:pPr>
      <w:bookmarkStart w:id="69" w:name="_Toc21043"/>
      <w:r>
        <w:rPr>
          <w:rFonts w:hint="eastAsia" w:ascii="黑体" w:hAnsi="黑体" w:eastAsia="黑体"/>
          <w:sz w:val="44"/>
          <w:szCs w:val="44"/>
        </w:rPr>
        <w:t>第</w:t>
      </w:r>
      <w:r>
        <w:rPr>
          <w:rStyle w:val="28"/>
          <w:rFonts w:hint="eastAsia" w:ascii="黑体" w:hAnsi="黑体" w:eastAsia="黑体"/>
          <w:b w:val="0"/>
        </w:rPr>
        <w:t>四部分 附件</w:t>
      </w:r>
      <w:bookmarkEnd w:id="67"/>
      <w:bookmarkEnd w:id="69"/>
    </w:p>
    <w:p>
      <w:pPr>
        <w:widowControl/>
        <w:spacing w:line="360" w:lineRule="auto"/>
        <w:contextualSpacing/>
        <w:jc w:val="center"/>
        <w:rPr>
          <w:rFonts w:hint="eastAsia" w:ascii="仿宋" w:hAnsi="仿宋" w:eastAsia="仿宋" w:cs="仿宋"/>
          <w:b/>
          <w:bCs w:val="0"/>
          <w:color w:val="000000"/>
          <w:kern w:val="0"/>
          <w:sz w:val="32"/>
          <w:szCs w:val="32"/>
          <w:shd w:val="clear" w:color="auto" w:fill="FFFFFF"/>
        </w:rPr>
      </w:pPr>
      <w:bookmarkStart w:id="70" w:name="_Toc15396618"/>
      <w:r>
        <w:rPr>
          <w:rFonts w:hint="eastAsia" w:ascii="仿宋" w:hAnsi="仿宋" w:eastAsia="仿宋" w:cs="仿宋"/>
          <w:b/>
          <w:bCs w:val="0"/>
          <w:sz w:val="44"/>
          <w:szCs w:val="44"/>
          <w:shd w:val="clear" w:color="auto" w:fill="FFFFFF"/>
        </w:rPr>
        <w:t>部门预算绩效评价报告</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一、部门（单位）概况</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（一）机构组成</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1．行政办公室</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2．财务室</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3．教导处</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4．德育处</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遂宁市安居区横山镇中心幼儿园共设有4个内设部门。</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（二）机构职能</w:t>
      </w:r>
    </w:p>
    <w:p>
      <w:pPr>
        <w:keepNext w:val="0"/>
        <w:keepLines w:val="0"/>
        <w:pageBreakBefore w:val="0"/>
        <w:kinsoku/>
        <w:wordWrap/>
        <w:overflowPunct/>
        <w:topLinePunct w:val="0"/>
        <w:bidi w:val="0"/>
        <w:spacing w:line="600" w:lineRule="exact"/>
        <w:ind w:firstLine="640" w:firstLineChars="200"/>
        <w:jc w:val="left"/>
        <w:textAlignment w:val="auto"/>
        <w:rPr>
          <w:rFonts w:ascii="仿宋" w:hAnsi="仿宋" w:eastAsia="仿宋"/>
          <w:sz w:val="32"/>
          <w:szCs w:val="32"/>
        </w:rPr>
      </w:pPr>
      <w:r>
        <w:rPr>
          <w:rFonts w:ascii="仿宋" w:hAnsi="仿宋" w:eastAsia="仿宋"/>
          <w:sz w:val="32"/>
          <w:szCs w:val="32"/>
        </w:rPr>
        <w:t>行政办公室工作职责</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行政办公室是在校长的直接领导下做好学校日常工作的部门，协助校长制订、贯彻和落实学校改革方案、工作计划；经常检查执行情况，严格执行催办制度。其职责是：</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负责掌管校印、校领导印章；做好学校介绍信的管理和使用。</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负责召集学校行政会议，教工大会；督促、检查、执行会议决议。做好校内会议，特别是临时性会议的准备工作。负责学校各种会议的记录工作。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协助校领导搞好与各有关单位的联络工作。协调各处室、年级的关系，保证学校各处室工作协调运转。</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负责学校意识形态工作</w:t>
      </w:r>
      <w:r>
        <w:rPr>
          <w:rFonts w:hint="eastAsia" w:ascii="仿宋" w:hAnsi="仿宋" w:eastAsia="仿宋"/>
          <w:sz w:val="32"/>
          <w:szCs w:val="32"/>
        </w:rPr>
        <w:t>，</w:t>
      </w:r>
      <w:r>
        <w:rPr>
          <w:rFonts w:ascii="仿宋" w:hAnsi="仿宋" w:eastAsia="仿宋"/>
          <w:sz w:val="32"/>
          <w:szCs w:val="32"/>
        </w:rPr>
        <w:t>承办校长及办公室的重要文字材料等各项文字工作。如：学校的工作计划，年度总结及各类经验、检查等文字材料。负责校内发文的各种报告、请示等的起草、核稿。负责学校大事记的记录、整理工作。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负责学校教师档案</w:t>
      </w:r>
      <w:r>
        <w:rPr>
          <w:rFonts w:hint="eastAsia" w:ascii="仿宋" w:hAnsi="仿宋" w:eastAsia="仿宋"/>
          <w:sz w:val="32"/>
          <w:szCs w:val="32"/>
        </w:rPr>
        <w:t>、</w:t>
      </w:r>
      <w:r>
        <w:rPr>
          <w:rFonts w:ascii="仿宋" w:hAnsi="仿宋" w:eastAsia="仿宋"/>
          <w:sz w:val="32"/>
          <w:szCs w:val="32"/>
        </w:rPr>
        <w:t>年度考核、职称评聘、转正、晋级增资</w:t>
      </w:r>
      <w:r>
        <w:rPr>
          <w:rFonts w:hint="eastAsia" w:ascii="仿宋" w:hAnsi="仿宋" w:eastAsia="仿宋"/>
          <w:sz w:val="32"/>
          <w:szCs w:val="32"/>
        </w:rPr>
        <w:t>、</w:t>
      </w:r>
      <w:r>
        <w:rPr>
          <w:rFonts w:ascii="仿宋" w:hAnsi="仿宋" w:eastAsia="仿宋"/>
          <w:sz w:val="32"/>
          <w:szCs w:val="32"/>
        </w:rPr>
        <w:t>调进调出、离退休等工作。收集各级先进工作者的推选及评审等工作。做好阶段性迎检工作</w:t>
      </w:r>
      <w:r>
        <w:rPr>
          <w:rFonts w:hint="eastAsia" w:ascii="仿宋" w:hAnsi="仿宋" w:eastAsia="仿宋"/>
          <w:sz w:val="32"/>
          <w:szCs w:val="32"/>
        </w:rPr>
        <w:t>、</w:t>
      </w:r>
      <w:r>
        <w:rPr>
          <w:rFonts w:ascii="仿宋" w:hAnsi="仿宋" w:eastAsia="仿宋"/>
          <w:sz w:val="32"/>
          <w:szCs w:val="32"/>
        </w:rPr>
        <w:t>上级考核</w:t>
      </w:r>
      <w:r>
        <w:rPr>
          <w:rFonts w:hint="eastAsia" w:ascii="仿宋" w:hAnsi="仿宋" w:eastAsia="仿宋"/>
          <w:sz w:val="32"/>
          <w:szCs w:val="32"/>
        </w:rPr>
        <w:t>、</w:t>
      </w:r>
      <w:r>
        <w:rPr>
          <w:rFonts w:ascii="仿宋" w:hAnsi="仿宋" w:eastAsia="仿宋"/>
          <w:sz w:val="32"/>
          <w:szCs w:val="32"/>
        </w:rPr>
        <w:t>教师评价与考核工作</w:t>
      </w:r>
      <w:r>
        <w:rPr>
          <w:rFonts w:hint="eastAsia" w:ascii="仿宋" w:hAnsi="仿宋" w:eastAsia="仿宋"/>
          <w:sz w:val="32"/>
          <w:szCs w:val="32"/>
        </w:rPr>
        <w:t>。</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对全校的文书档案进行管理，负责全校文书档案和各种专门档案的收集、整理、保管和提供利用工作，做好各级文件的收发和保管、保密工作。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7.负责学校统计工作，确保重要数据准确、真实、有效。</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8.负责学生学籍管理，协助教务室做好教务考务管理工作。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9.负责招生工作，妥善保管招生资料。具体工作如下：</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①</w:t>
      </w:r>
      <w:r>
        <w:rPr>
          <w:rFonts w:ascii="仿宋" w:hAnsi="仿宋" w:eastAsia="仿宋"/>
          <w:sz w:val="32"/>
          <w:szCs w:val="32"/>
        </w:rPr>
        <w:t>执行教育部和省教育厅有关招生工作的政策和法规，落实省、市招生委员会相关工作方案和实施细则。</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深入研究学校招生工作规律和特点，制定切实可行的学校招生工作规程和年度工作计划。在充分调研论证的基础上，为学校制定年度招生计划提供工作预案。</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具体负责学校招生组织网络的构建，并负责实施相关人员的岗前培训等。</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充分利用现代媒体，拓展招生宣传渠道，负责编印、寄发相关宣传材料，举办招生宣传专题活动。</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⑤</w:t>
      </w:r>
      <w:r>
        <w:rPr>
          <w:rFonts w:ascii="仿宋" w:hAnsi="仿宋" w:eastAsia="仿宋"/>
          <w:sz w:val="32"/>
          <w:szCs w:val="32"/>
        </w:rPr>
        <w:t>做好日常接待和招生咨询工作，采取积极有效的方式，为学生、家长及基层学校提供高效优质的招生服务。</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⑥</w:t>
      </w:r>
      <w:r>
        <w:rPr>
          <w:rFonts w:ascii="仿宋" w:hAnsi="仿宋" w:eastAsia="仿宋"/>
          <w:sz w:val="32"/>
          <w:szCs w:val="32"/>
        </w:rPr>
        <w:t>具体负责新生的资格审查、报名注册和分类造册等工作，协助教务处做好新生入学进班工作。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10.负责学校资产管理、绿化管理、校园网络建设及管理等，做好如下后勤保障工作：</w:t>
      </w:r>
    </w:p>
    <w:p>
      <w:pPr>
        <w:keepNext w:val="0"/>
        <w:keepLines w:val="0"/>
        <w:pageBreakBefore w:val="0"/>
        <w:kinsoku/>
        <w:wordWrap/>
        <w:overflowPunct/>
        <w:topLinePunct w:val="0"/>
        <w:bidi w:val="0"/>
        <w:spacing w:line="600" w:lineRule="exact"/>
        <w:ind w:firstLine="480" w:firstLineChars="150"/>
        <w:textAlignment w:val="auto"/>
        <w:rPr>
          <w:rFonts w:ascii="仿宋" w:hAnsi="仿宋" w:eastAsia="仿宋"/>
          <w:sz w:val="32"/>
          <w:szCs w:val="32"/>
        </w:rPr>
      </w:pPr>
      <w:r>
        <w:rPr>
          <w:rFonts w:hint="eastAsia" w:ascii="仿宋" w:hAnsi="仿宋" w:eastAsia="仿宋"/>
          <w:sz w:val="32"/>
          <w:szCs w:val="32"/>
        </w:rPr>
        <w:t>①根</w:t>
      </w:r>
      <w:r>
        <w:rPr>
          <w:rFonts w:ascii="仿宋" w:hAnsi="仿宋" w:eastAsia="仿宋"/>
          <w:sz w:val="32"/>
          <w:szCs w:val="32"/>
        </w:rPr>
        <w:t>据学校教育、教学需要，做好提供各种教学设备和办公用品等服务性工作；积极参与学校现代化教学设施设备的建设工作</w:t>
      </w:r>
      <w:r>
        <w:rPr>
          <w:rFonts w:hint="eastAsia" w:ascii="仿宋" w:hAnsi="仿宋" w:eastAsia="仿宋"/>
          <w:sz w:val="32"/>
          <w:szCs w:val="32"/>
        </w:rPr>
        <w:t>；</w:t>
      </w:r>
      <w:r>
        <w:rPr>
          <w:rFonts w:ascii="仿宋" w:hAnsi="仿宋" w:eastAsia="仿宋"/>
          <w:sz w:val="32"/>
          <w:szCs w:val="32"/>
        </w:rPr>
        <w:t>负责学校网络建设运行工作。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做好供水、供电、卫生医疗工作，努力创造良好的生活环境，方便师生生活；定期进行卫生检查，预防事故发生，不断提高服务质量。</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负责校舍、校园的建设和管理，做好</w:t>
      </w:r>
      <w:r>
        <w:rPr>
          <w:rFonts w:hint="eastAsia" w:ascii="仿宋" w:hAnsi="仿宋" w:eastAsia="仿宋"/>
          <w:sz w:val="32"/>
          <w:szCs w:val="32"/>
        </w:rPr>
        <w:t>学校</w:t>
      </w:r>
      <w:r>
        <w:rPr>
          <w:rFonts w:ascii="仿宋" w:hAnsi="仿宋" w:eastAsia="仿宋"/>
          <w:sz w:val="32"/>
          <w:szCs w:val="32"/>
        </w:rPr>
        <w:t>功能室建设</w:t>
      </w:r>
      <w:r>
        <w:rPr>
          <w:rFonts w:hint="eastAsia" w:ascii="仿宋" w:hAnsi="仿宋" w:eastAsia="仿宋"/>
          <w:sz w:val="32"/>
          <w:szCs w:val="32"/>
        </w:rPr>
        <w:t>、</w:t>
      </w:r>
      <w:r>
        <w:rPr>
          <w:rFonts w:ascii="仿宋" w:hAnsi="仿宋" w:eastAsia="仿宋"/>
          <w:sz w:val="32"/>
          <w:szCs w:val="32"/>
        </w:rPr>
        <w:t>运用和管理工作。协助学校领导制订并实施校园整体建设规划，做好校舍维修以及校园净化、绿化和美化等工作。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加强学校固定资产管理工作，建立健全固定资产账目，严格执行国家有关财产物资管理制度</w:t>
      </w:r>
      <w:r>
        <w:rPr>
          <w:rFonts w:hint="eastAsia" w:ascii="仿宋" w:hAnsi="仿宋" w:eastAsia="仿宋"/>
          <w:sz w:val="32"/>
          <w:szCs w:val="32"/>
        </w:rPr>
        <w:t>。</w:t>
      </w:r>
    </w:p>
    <w:p>
      <w:pPr>
        <w:keepNext w:val="0"/>
        <w:keepLines w:val="0"/>
        <w:pageBreakBefore w:val="0"/>
        <w:kinsoku/>
        <w:wordWrap/>
        <w:overflowPunct/>
        <w:topLinePunct w:val="0"/>
        <w:bidi w:val="0"/>
        <w:spacing w:line="600" w:lineRule="exact"/>
        <w:ind w:firstLine="640" w:firstLineChars="200"/>
        <w:jc w:val="left"/>
        <w:textAlignment w:val="auto"/>
        <w:rPr>
          <w:rFonts w:ascii="仿宋" w:hAnsi="仿宋" w:eastAsia="仿宋"/>
          <w:sz w:val="32"/>
          <w:szCs w:val="32"/>
        </w:rPr>
      </w:pPr>
      <w:r>
        <w:rPr>
          <w:rFonts w:ascii="仿宋" w:hAnsi="仿宋" w:eastAsia="仿宋"/>
          <w:sz w:val="32"/>
          <w:szCs w:val="32"/>
        </w:rPr>
        <w:t>财务室工作职责</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在校长的领导和上级财务部门的指导下，遵守国家财经法纪和财务制度，组织全校财务管理与会计核算工作。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负责组织制订、完善学校内部财务会计规章制度，并监督各部门贯彻执行。</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积极筹集资金，广开筹资渠道，保证学校各项收入足额收缴，各项拨款及其他资金及时到位。</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负责组织编制学校各项财务收支计划、经费预决算，监督检查计划、预算的执行情况。</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根据审核后的学校财务预算，负责合理安排财务支出和财务核算，保证学校各项工作顺利进行。</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负责组织开展学校财产清查的具体工作和会计核算工作。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负责组织开展财务分析，及时查找并改进财务工作的漏洞与不足，努力提高资金使用效益。</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8.负责学校日常收支具体业务工作，组织收入，合理支出，做好相关收支票据审核工作，保障学校一切工作正常运行。</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参与学校工作人员绩效考核</w:t>
      </w:r>
      <w:r>
        <w:rPr>
          <w:rFonts w:hint="eastAsia" w:ascii="仿宋" w:hAnsi="仿宋" w:eastAsia="仿宋"/>
          <w:sz w:val="32"/>
          <w:szCs w:val="32"/>
        </w:rPr>
        <w:t>、</w:t>
      </w:r>
      <w:r>
        <w:rPr>
          <w:rFonts w:ascii="仿宋" w:hAnsi="仿宋" w:eastAsia="仿宋"/>
          <w:sz w:val="32"/>
          <w:szCs w:val="32"/>
        </w:rPr>
        <w:t>教育教学质量考核</w:t>
      </w:r>
      <w:r>
        <w:rPr>
          <w:rFonts w:hint="eastAsia" w:ascii="仿宋" w:hAnsi="仿宋" w:eastAsia="仿宋"/>
          <w:sz w:val="32"/>
          <w:szCs w:val="32"/>
        </w:rPr>
        <w:t>、</w:t>
      </w:r>
      <w:r>
        <w:rPr>
          <w:rFonts w:ascii="仿宋" w:hAnsi="仿宋" w:eastAsia="仿宋"/>
          <w:sz w:val="32"/>
          <w:szCs w:val="32"/>
        </w:rPr>
        <w:t>课后服务考核岗位系数的调整、论证工作</w:t>
      </w:r>
      <w:r>
        <w:rPr>
          <w:rFonts w:hint="eastAsia" w:ascii="仿宋" w:hAnsi="仿宋" w:eastAsia="仿宋"/>
          <w:sz w:val="32"/>
          <w:szCs w:val="32"/>
        </w:rPr>
        <w:t>，协助教学管理部和办公室做好考核档案归档管理工作，组织发放相关待遇。</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10.负责学校教职工工资发放等一切福利待遇保障工作。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11.参与学校重要收支事项的会议研讨工作，提出财务制度要求范围内的合理实施建议和意见。</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负责组织会计人员进行政治学习与业务学习，检查协调各岗位的工作，不断提高财务人员的业务水平与服务质量。</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积极完成校领导交办的其他工作。</w:t>
      </w:r>
    </w:p>
    <w:p>
      <w:pPr>
        <w:keepNext w:val="0"/>
        <w:keepLines w:val="0"/>
        <w:pageBreakBefore w:val="0"/>
        <w:kinsoku/>
        <w:wordWrap/>
        <w:overflowPunct/>
        <w:topLinePunct w:val="0"/>
        <w:bidi w:val="0"/>
        <w:spacing w:line="60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教导处</w:t>
      </w:r>
      <w:r>
        <w:rPr>
          <w:rFonts w:ascii="仿宋" w:hAnsi="仿宋" w:eastAsia="仿宋"/>
          <w:sz w:val="32"/>
          <w:szCs w:val="32"/>
        </w:rPr>
        <w:t>工作职责</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认真完成上级及校长下达的各项工作任务；根据学校工作计划制定教务工作计划并组织实施；提出各学科教学、教辅人员工作安排方案，经校长办公会议审定后具体组织落实。</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.健</w:t>
      </w:r>
      <w:r>
        <w:rPr>
          <w:rFonts w:ascii="仿宋" w:hAnsi="仿宋" w:eastAsia="仿宋"/>
          <w:sz w:val="32"/>
          <w:szCs w:val="32"/>
        </w:rPr>
        <w:t>全教师业务档案、学生档案，教务、考务、考勤、成绩统计等管理工作；编班、排课、调课、安排代课，编制课程表、作息时间表以及其他教学用表；积累教学资料，并整理归档；对教务处工作人员进行考核评估。</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做好学生课外活动和学科竞赛活动的指导、组织和检查工作；组织落实各级教育行政部门举行的各类学科竞赛。</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协助校长制定教师进修规划并组织实施，努力发挥老教师的作用，加强对教学骨干和新生力量的培养。</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注重培养青年教师，搞好青年教师的拜师结对工作和举行青年教师的教学大奖赛活动。</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完成校长会议布置的其它工作。</w:t>
      </w:r>
    </w:p>
    <w:p>
      <w:pPr>
        <w:keepNext w:val="0"/>
        <w:keepLines w:val="0"/>
        <w:pageBreakBefore w:val="0"/>
        <w:kinsoku/>
        <w:wordWrap/>
        <w:overflowPunct/>
        <w:topLinePunct w:val="0"/>
        <w:bidi w:val="0"/>
        <w:spacing w:line="60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德育处</w:t>
      </w:r>
      <w:r>
        <w:rPr>
          <w:rFonts w:ascii="仿宋" w:hAnsi="仿宋" w:eastAsia="仿宋"/>
          <w:sz w:val="32"/>
          <w:szCs w:val="32"/>
        </w:rPr>
        <w:t>工作职责</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德育处是具体组织学校德育实施的职能部门，其常规工作及职责如下：</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一、负责全校德育工作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在分管德育工作的校长领导下，组织全校德育工作，努力树立良好的校风和学风。</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协助校长制定全校德育工作计划。</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研究德育工作的要求、内容、方法，努力探索新时期德育工作规律，努力做好德育工作。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不断改进和完善德育管理制度，加强德育管理。</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组织开展全校性的学生思想教育活动，加强对学生的思想品德教育和文明行为常规训练。</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指导共青团、少先队、</w:t>
      </w:r>
      <w:r>
        <w:rPr>
          <w:rFonts w:hint="eastAsia" w:ascii="仿宋" w:hAnsi="仿宋" w:eastAsia="仿宋"/>
          <w:sz w:val="32"/>
          <w:szCs w:val="32"/>
        </w:rPr>
        <w:t>少代</w:t>
      </w:r>
      <w:r>
        <w:rPr>
          <w:rFonts w:ascii="仿宋" w:hAnsi="仿宋" w:eastAsia="仿宋"/>
          <w:sz w:val="32"/>
          <w:szCs w:val="32"/>
        </w:rPr>
        <w:t>会开展工作</w:t>
      </w:r>
      <w:r>
        <w:rPr>
          <w:rFonts w:hint="eastAsia" w:ascii="仿宋" w:hAnsi="仿宋" w:eastAsia="仿宋"/>
          <w:sz w:val="32"/>
          <w:szCs w:val="32"/>
        </w:rPr>
        <w:t>，</w:t>
      </w:r>
      <w:r>
        <w:rPr>
          <w:rFonts w:ascii="仿宋" w:hAnsi="仿宋" w:eastAsia="仿宋"/>
          <w:sz w:val="32"/>
          <w:szCs w:val="32"/>
        </w:rPr>
        <w:t>做好健康教育</w:t>
      </w:r>
      <w:r>
        <w:rPr>
          <w:rFonts w:hint="eastAsia" w:ascii="仿宋" w:hAnsi="仿宋" w:eastAsia="仿宋"/>
          <w:sz w:val="32"/>
          <w:szCs w:val="32"/>
        </w:rPr>
        <w:t>、</w:t>
      </w:r>
      <w:r>
        <w:rPr>
          <w:rFonts w:ascii="仿宋" w:hAnsi="仿宋" w:eastAsia="仿宋"/>
          <w:sz w:val="32"/>
          <w:szCs w:val="32"/>
        </w:rPr>
        <w:t>国防教育</w:t>
      </w:r>
      <w:r>
        <w:rPr>
          <w:rFonts w:hint="eastAsia" w:ascii="仿宋" w:hAnsi="仿宋" w:eastAsia="仿宋"/>
          <w:sz w:val="32"/>
          <w:szCs w:val="32"/>
        </w:rPr>
        <w:t>、</w:t>
      </w:r>
      <w:r>
        <w:rPr>
          <w:rFonts w:ascii="仿宋" w:hAnsi="仿宋" w:eastAsia="仿宋"/>
          <w:sz w:val="32"/>
          <w:szCs w:val="32"/>
        </w:rPr>
        <w:t>班级文化建设等工作。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加强与教务处联系，作为共同教育学生的协调工作。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注意收集和交流德育工作信息。</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主持每周一的升旗仪式，对学生进行爱国主义教育</w:t>
      </w:r>
      <w:r>
        <w:rPr>
          <w:rFonts w:hint="eastAsia" w:ascii="仿宋" w:hAnsi="仿宋" w:eastAsia="仿宋"/>
          <w:sz w:val="32"/>
          <w:szCs w:val="32"/>
        </w:rPr>
        <w:t>、</w:t>
      </w:r>
      <w:r>
        <w:rPr>
          <w:rFonts w:ascii="仿宋" w:hAnsi="仿宋" w:eastAsia="仿宋"/>
          <w:sz w:val="32"/>
          <w:szCs w:val="32"/>
        </w:rPr>
        <w:t>行为习惯养成教育</w:t>
      </w:r>
      <w:r>
        <w:rPr>
          <w:rFonts w:hint="eastAsia" w:ascii="仿宋" w:hAnsi="仿宋" w:eastAsia="仿宋"/>
          <w:sz w:val="32"/>
          <w:szCs w:val="32"/>
        </w:rPr>
        <w:t>，指导中队辅导员完成</w:t>
      </w:r>
      <w:r>
        <w:rPr>
          <w:rFonts w:ascii="仿宋" w:hAnsi="仿宋" w:eastAsia="仿宋"/>
          <w:sz w:val="32"/>
          <w:szCs w:val="32"/>
        </w:rPr>
        <w:t>学生个性评价</w:t>
      </w:r>
      <w:r>
        <w:rPr>
          <w:rFonts w:hint="eastAsia" w:ascii="仿宋" w:hAnsi="仿宋" w:eastAsia="仿宋"/>
          <w:sz w:val="32"/>
          <w:szCs w:val="32"/>
        </w:rPr>
        <w:t>，</w:t>
      </w:r>
      <w:r>
        <w:rPr>
          <w:rFonts w:ascii="仿宋" w:hAnsi="仿宋" w:eastAsia="仿宋"/>
          <w:sz w:val="32"/>
          <w:szCs w:val="32"/>
        </w:rPr>
        <w:t>对各中队德育工作开展情况进行考核</w:t>
      </w:r>
      <w:r>
        <w:rPr>
          <w:rFonts w:hint="eastAsia" w:ascii="仿宋" w:hAnsi="仿宋" w:eastAsia="仿宋"/>
          <w:sz w:val="32"/>
          <w:szCs w:val="32"/>
        </w:rPr>
        <w:t>、</w:t>
      </w:r>
      <w:r>
        <w:rPr>
          <w:rFonts w:ascii="仿宋" w:hAnsi="仿宋" w:eastAsia="仿宋"/>
          <w:sz w:val="32"/>
          <w:szCs w:val="32"/>
        </w:rPr>
        <w:t>评价。</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二、领导年级组长，安排年级组长、班主任工作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协助校长选定、安排年级组长、班主任。</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指导年级组、班级制定工作计划并实施工作计划，检查、考评年级组、班级工作。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协助校长和班主任召开家长会、定期举办家长学校、办好家庭教育讲座，努力把学校、家庭、社会教育结合起来。</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召开年级组长、班主任工作会议，组织学习、总结、交流班主任工作经验。努力提高班主任工作水平。</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协助年级组长、班主任处理年级、班级中的重大问题和偶发事件。</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做好青年班主任的培养工作。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指导班主任探索学生思想品德考评的科学化方法。</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三、其它工作</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1.对我校德育工作实施情况进行研究。</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建立学生奖惩制度并严格执行。</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（三）人员情况</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遂宁市安居区横山镇中心幼儿园年初在职教师19</w:t>
      </w:r>
      <w:r>
        <w:rPr>
          <w:rFonts w:ascii="仿宋" w:hAnsi="仿宋" w:eastAsia="仿宋"/>
          <w:sz w:val="32"/>
          <w:szCs w:val="32"/>
        </w:rPr>
        <w:t>人，</w:t>
      </w:r>
      <w:r>
        <w:rPr>
          <w:rFonts w:hint="eastAsia" w:ascii="仿宋" w:hAnsi="仿宋" w:eastAsia="仿宋"/>
          <w:sz w:val="32"/>
          <w:szCs w:val="32"/>
        </w:rPr>
        <w:t>年末在职教师21</w:t>
      </w:r>
      <w:r>
        <w:rPr>
          <w:rFonts w:ascii="仿宋" w:hAnsi="仿宋" w:eastAsia="仿宋"/>
          <w:sz w:val="32"/>
          <w:szCs w:val="32"/>
        </w:rPr>
        <w:t>人</w:t>
      </w:r>
      <w:r>
        <w:rPr>
          <w:rFonts w:hint="eastAsia" w:ascii="仿宋" w:hAnsi="仿宋" w:eastAsia="仿宋"/>
          <w:sz w:val="32"/>
          <w:szCs w:val="32"/>
        </w:rPr>
        <w:t>。年末退休教师2人</w:t>
      </w:r>
      <w:r>
        <w:rPr>
          <w:rFonts w:ascii="仿宋" w:hAnsi="仿宋" w:eastAsia="仿宋"/>
          <w:sz w:val="32"/>
          <w:szCs w:val="32"/>
        </w:rPr>
        <w:t>。</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二、部门财政资金收支情况</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（一）部门财政资金收入情况。</w:t>
      </w:r>
    </w:p>
    <w:p>
      <w:pPr>
        <w:keepNext w:val="0"/>
        <w:keepLines w:val="0"/>
        <w:pageBreakBefore w:val="0"/>
        <w:kinsoku/>
        <w:wordWrap/>
        <w:overflowPunct/>
        <w:topLinePunct w:val="0"/>
        <w:bidi w:val="0"/>
        <w:spacing w:line="600" w:lineRule="exact"/>
        <w:ind w:firstLine="640" w:firstLineChars="200"/>
        <w:textAlignment w:val="auto"/>
        <w:outlineLvl w:val="9"/>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419.79</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419.79</w:t>
      </w:r>
      <w:r>
        <w:rPr>
          <w:rFonts w:hint="eastAsia" w:ascii="仿宋" w:hAnsi="仿宋" w:eastAsia="仿宋"/>
          <w:color w:val="000000"/>
          <w:sz w:val="32"/>
          <w:szCs w:val="32"/>
        </w:rPr>
        <w:t>万元，占100</w:t>
      </w:r>
      <w:r>
        <w:rPr>
          <w:rFonts w:ascii="仿宋" w:hAnsi="仿宋" w:eastAsia="仿宋"/>
          <w:color w:val="000000"/>
          <w:sz w:val="32"/>
          <w:szCs w:val="32"/>
        </w:rPr>
        <w:t>%</w:t>
      </w:r>
      <w:r>
        <w:rPr>
          <w:rFonts w:hint="eastAsia" w:ascii="仿宋" w:hAnsi="仿宋" w:eastAsia="仿宋"/>
          <w:color w:val="000000"/>
          <w:sz w:val="32"/>
          <w:szCs w:val="32"/>
        </w:rPr>
        <w:t>。</w:t>
      </w:r>
    </w:p>
    <w:p>
      <w:pPr>
        <w:keepNext w:val="0"/>
        <w:keepLines w:val="0"/>
        <w:pageBreakBefore w:val="0"/>
        <w:widowControl/>
        <w:numPr>
          <w:ilvl w:val="0"/>
          <w:numId w:val="5"/>
        </w:numPr>
        <w:kinsoku/>
        <w:wordWrap/>
        <w:overflowPunct/>
        <w:topLinePunct w:val="0"/>
        <w:bidi w:val="0"/>
        <w:adjustRightInd w:val="0"/>
        <w:snapToGrid w:val="0"/>
        <w:spacing w:line="600" w:lineRule="exact"/>
        <w:ind w:firstLine="640" w:firstLineChars="200"/>
        <w:contextualSpacing/>
        <w:jc w:val="left"/>
        <w:textAlignment w:val="auto"/>
        <w:outlineLvl w:val="2"/>
        <w:rPr>
          <w:rFonts w:ascii="仿宋" w:hAnsi="仿宋" w:eastAsia="仿宋"/>
          <w:sz w:val="32"/>
          <w:szCs w:val="32"/>
        </w:rPr>
      </w:pPr>
      <w:r>
        <w:rPr>
          <w:rFonts w:hint="eastAsia" w:ascii="仿宋" w:hAnsi="仿宋" w:eastAsia="仿宋"/>
          <w:sz w:val="32"/>
          <w:szCs w:val="32"/>
        </w:rPr>
        <w:t>部门财政资金支出情况。</w:t>
      </w:r>
    </w:p>
    <w:p>
      <w:pPr>
        <w:keepNext w:val="0"/>
        <w:keepLines w:val="0"/>
        <w:pageBreakBefore w:val="0"/>
        <w:kinsoku/>
        <w:wordWrap/>
        <w:overflowPunct/>
        <w:topLinePunct w:val="0"/>
        <w:bidi w:val="0"/>
        <w:spacing w:line="600" w:lineRule="exact"/>
        <w:ind w:firstLine="640" w:firstLineChars="200"/>
        <w:textAlignment w:val="auto"/>
        <w:outlineLvl w:val="9"/>
        <w:rPr>
          <w:rFonts w:ascii="仿宋" w:hAnsi="仿宋" w:eastAsia="仿宋"/>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419.79</w:t>
      </w:r>
      <w:r>
        <w:rPr>
          <w:rFonts w:hint="eastAsia" w:ascii="仿宋" w:hAnsi="仿宋" w:eastAsia="仿宋"/>
          <w:color w:val="000000"/>
          <w:sz w:val="32"/>
          <w:szCs w:val="32"/>
        </w:rPr>
        <w:t>万元，其中：教育支出</w:t>
      </w:r>
      <w:r>
        <w:rPr>
          <w:rFonts w:hint="eastAsia" w:ascii="仿宋" w:hAnsi="仿宋" w:eastAsia="仿宋"/>
          <w:color w:val="000000"/>
          <w:sz w:val="32"/>
          <w:szCs w:val="32"/>
          <w:lang w:val="en-US" w:eastAsia="zh-CN"/>
        </w:rPr>
        <w:t>328.03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78.14</w:t>
      </w:r>
      <w:r>
        <w:rPr>
          <w:rFonts w:ascii="仿宋" w:hAnsi="仿宋" w:eastAsia="仿宋"/>
          <w:color w:val="000000"/>
          <w:sz w:val="32"/>
          <w:szCs w:val="32"/>
        </w:rPr>
        <w:t>%</w:t>
      </w:r>
      <w:r>
        <w:rPr>
          <w:rFonts w:hint="eastAsia" w:ascii="仿宋" w:hAnsi="仿宋" w:eastAsia="仿宋"/>
          <w:color w:val="000000"/>
          <w:sz w:val="32"/>
          <w:szCs w:val="32"/>
        </w:rPr>
        <w:t>；社会保障和就业支出</w:t>
      </w:r>
      <w:r>
        <w:rPr>
          <w:rFonts w:hint="eastAsia" w:ascii="仿宋" w:hAnsi="仿宋" w:eastAsia="仿宋"/>
          <w:color w:val="000000"/>
          <w:sz w:val="32"/>
          <w:szCs w:val="32"/>
          <w:lang w:val="en-US" w:eastAsia="zh-CN"/>
        </w:rPr>
        <w:t>47.59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11.34</w:t>
      </w:r>
      <w:r>
        <w:rPr>
          <w:rFonts w:ascii="仿宋" w:hAnsi="仿宋" w:eastAsia="仿宋"/>
          <w:color w:val="000000"/>
          <w:sz w:val="32"/>
          <w:szCs w:val="32"/>
        </w:rPr>
        <w:t>%</w:t>
      </w:r>
      <w:r>
        <w:rPr>
          <w:rFonts w:hint="eastAsia" w:ascii="仿宋" w:hAnsi="仿宋" w:eastAsia="仿宋"/>
          <w:color w:val="000000"/>
          <w:sz w:val="32"/>
          <w:szCs w:val="32"/>
        </w:rPr>
        <w:t>；卫生健康支出</w:t>
      </w:r>
      <w:r>
        <w:rPr>
          <w:rFonts w:hint="eastAsia" w:ascii="仿宋" w:hAnsi="仿宋" w:eastAsia="仿宋"/>
          <w:color w:val="000000"/>
          <w:sz w:val="32"/>
          <w:szCs w:val="32"/>
          <w:lang w:val="en-US" w:eastAsia="zh-CN"/>
        </w:rPr>
        <w:t>16.54</w:t>
      </w:r>
      <w:r>
        <w:rPr>
          <w:rFonts w:hint="eastAsia" w:ascii="仿宋" w:hAnsi="仿宋" w:eastAsia="仿宋"/>
          <w:color w:val="000000"/>
          <w:sz w:val="32"/>
          <w:szCs w:val="32"/>
        </w:rPr>
        <w:t>万元，占3.</w:t>
      </w:r>
      <w:r>
        <w:rPr>
          <w:rFonts w:hint="eastAsia" w:ascii="仿宋" w:hAnsi="仿宋" w:eastAsia="仿宋"/>
          <w:color w:val="000000"/>
          <w:sz w:val="32"/>
          <w:szCs w:val="32"/>
          <w:lang w:val="en-US" w:eastAsia="zh-CN"/>
        </w:rPr>
        <w:t>94</w:t>
      </w:r>
      <w:r>
        <w:rPr>
          <w:rFonts w:ascii="仿宋" w:hAnsi="仿宋" w:eastAsia="仿宋"/>
          <w:color w:val="000000"/>
          <w:sz w:val="32"/>
          <w:szCs w:val="32"/>
        </w:rPr>
        <w:t>%</w:t>
      </w:r>
      <w:r>
        <w:rPr>
          <w:rFonts w:hint="eastAsia" w:ascii="仿宋" w:hAnsi="仿宋" w:eastAsia="仿宋"/>
          <w:color w:val="000000"/>
          <w:sz w:val="32"/>
          <w:szCs w:val="32"/>
        </w:rPr>
        <w:t>；住房保障支出</w:t>
      </w:r>
      <w:r>
        <w:rPr>
          <w:rFonts w:hint="eastAsia" w:ascii="仿宋" w:hAnsi="仿宋" w:eastAsia="仿宋"/>
          <w:color w:val="000000"/>
          <w:sz w:val="32"/>
          <w:szCs w:val="32"/>
          <w:lang w:val="en-US" w:eastAsia="zh-CN"/>
        </w:rPr>
        <w:t>27.63</w:t>
      </w:r>
      <w:r>
        <w:rPr>
          <w:rFonts w:hint="eastAsia" w:ascii="仿宋" w:hAnsi="仿宋" w:eastAsia="仿宋"/>
          <w:color w:val="000000"/>
          <w:sz w:val="32"/>
          <w:szCs w:val="32"/>
        </w:rPr>
        <w:t>万元，占6.</w:t>
      </w:r>
      <w:r>
        <w:rPr>
          <w:rFonts w:hint="eastAsia" w:ascii="仿宋" w:hAnsi="仿宋" w:eastAsia="仿宋"/>
          <w:color w:val="000000"/>
          <w:sz w:val="32"/>
          <w:szCs w:val="32"/>
          <w:lang w:val="en-US" w:eastAsia="zh-CN"/>
        </w:rPr>
        <w:t>58</w:t>
      </w:r>
      <w:r>
        <w:rPr>
          <w:rFonts w:ascii="仿宋" w:hAnsi="仿宋" w:eastAsia="仿宋"/>
          <w:color w:val="000000"/>
          <w:sz w:val="32"/>
          <w:szCs w:val="32"/>
        </w:rPr>
        <w:t>%</w:t>
      </w:r>
      <w:r>
        <w:rPr>
          <w:rFonts w:hint="eastAsia" w:ascii="仿宋" w:hAnsi="仿宋" w:eastAsia="仿宋"/>
          <w:color w:val="000000"/>
          <w:sz w:val="32"/>
          <w:szCs w:val="32"/>
        </w:rPr>
        <w:t>。</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outlineLvl w:val="2"/>
        <w:rPr>
          <w:rFonts w:ascii="仿宋" w:hAnsi="仿宋" w:eastAsia="仿宋"/>
          <w:sz w:val="32"/>
          <w:szCs w:val="32"/>
        </w:rPr>
      </w:pPr>
      <w:r>
        <w:rPr>
          <w:rFonts w:hint="eastAsia" w:ascii="仿宋" w:hAnsi="仿宋" w:eastAsia="仿宋"/>
          <w:sz w:val="32"/>
          <w:szCs w:val="32"/>
        </w:rPr>
        <w:t>三、部门整体预算绩效管理情况</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（一）部门预算管理。</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遂宁市安居区横山镇中心幼儿园202</w:t>
      </w:r>
      <w:r>
        <w:rPr>
          <w:rFonts w:hint="eastAsia" w:ascii="仿宋" w:hAnsi="仿宋" w:eastAsia="仿宋"/>
          <w:sz w:val="32"/>
          <w:szCs w:val="32"/>
          <w:lang w:val="en-US" w:eastAsia="zh-CN"/>
        </w:rPr>
        <w:t>4</w:t>
      </w:r>
      <w:r>
        <w:rPr>
          <w:rFonts w:hint="eastAsia" w:ascii="仿宋" w:hAnsi="仿宋" w:eastAsia="仿宋"/>
          <w:sz w:val="32"/>
          <w:szCs w:val="32"/>
        </w:rPr>
        <w:t>年度预算编制，是根据安居区财政局的安排，在区财政局教科文卫股、预算股的指导下，组织财务方面的相关工作人员，进行预算编制，预算编制质量好，受到区财政局的好评。绩效目标按照区财政要求进行填报。</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（二）结果应用情况。</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outlineLvl w:val="9"/>
        <w:rPr>
          <w:rFonts w:ascii="仿宋" w:hAnsi="仿宋" w:eastAsia="仿宋"/>
          <w:sz w:val="32"/>
          <w:szCs w:val="32"/>
        </w:rPr>
      </w:pPr>
      <w:r>
        <w:rPr>
          <w:rFonts w:hint="eastAsia" w:ascii="仿宋" w:hAnsi="仿宋" w:eastAsia="仿宋"/>
          <w:sz w:val="32"/>
          <w:szCs w:val="32"/>
        </w:rPr>
        <w:t>遂宁市安居区横山镇中心幼儿园认真履职尽责，认真完成项目任务，所有项目均开展绩效评价，评价效果良好，对于财政预算资金多次接受省、市、区的检查，所有资金的支出，接受财政部门的监督管理，圆满完成202</w:t>
      </w:r>
      <w:r>
        <w:rPr>
          <w:rFonts w:hint="eastAsia" w:ascii="仿宋" w:hAnsi="仿宋" w:eastAsia="仿宋"/>
          <w:sz w:val="32"/>
          <w:szCs w:val="32"/>
          <w:lang w:val="en-US" w:eastAsia="zh-CN"/>
        </w:rPr>
        <w:t>4</w:t>
      </w:r>
      <w:r>
        <w:rPr>
          <w:rFonts w:hint="eastAsia" w:ascii="仿宋" w:hAnsi="仿宋" w:eastAsia="仿宋"/>
          <w:sz w:val="32"/>
          <w:szCs w:val="32"/>
        </w:rPr>
        <w:t>年的目标任务。</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outlineLvl w:val="9"/>
        <w:rPr>
          <w:rFonts w:ascii="仿宋" w:hAnsi="仿宋" w:eastAsia="仿宋"/>
          <w:sz w:val="32"/>
          <w:szCs w:val="32"/>
        </w:rPr>
      </w:pPr>
      <w:r>
        <w:rPr>
          <w:rFonts w:hint="eastAsia" w:ascii="仿宋" w:hAnsi="仿宋" w:eastAsia="仿宋"/>
          <w:sz w:val="32"/>
          <w:szCs w:val="32"/>
        </w:rPr>
        <w:t>四、评价结论及建议</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（一）评价结论。</w:t>
      </w:r>
    </w:p>
    <w:p>
      <w:pPr>
        <w:pStyle w:val="26"/>
        <w:keepNext w:val="0"/>
        <w:keepLines w:val="0"/>
        <w:pageBreakBefore w:val="0"/>
        <w:kinsoku/>
        <w:wordWrap/>
        <w:overflowPunct/>
        <w:topLinePunct w:val="0"/>
        <w:bidi w:val="0"/>
        <w:spacing w:line="600" w:lineRule="exact"/>
        <w:ind w:firstLine="640" w:firstLineChars="200"/>
        <w:textAlignment w:val="auto"/>
        <w:rPr>
          <w:rFonts w:hAnsi="仿宋"/>
          <w:sz w:val="32"/>
          <w:szCs w:val="32"/>
        </w:rPr>
      </w:pPr>
      <w:r>
        <w:rPr>
          <w:rFonts w:hint="eastAsia" w:hAnsi="仿宋"/>
          <w:sz w:val="32"/>
          <w:szCs w:val="32"/>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w:t>
      </w:r>
      <w:r>
        <w:rPr>
          <w:rFonts w:hAnsi="仿宋"/>
          <w:sz w:val="32"/>
          <w:szCs w:val="32"/>
        </w:rPr>
        <w:t>部门整体支出绩效自评得分</w:t>
      </w:r>
      <w:r>
        <w:rPr>
          <w:rFonts w:hint="eastAsia" w:hAnsi="仿宋"/>
          <w:sz w:val="32"/>
          <w:szCs w:val="32"/>
        </w:rPr>
        <w:t>100分</w:t>
      </w:r>
      <w:r>
        <w:rPr>
          <w:rFonts w:hAnsi="仿宋"/>
          <w:sz w:val="32"/>
          <w:szCs w:val="32"/>
        </w:rPr>
        <w:t xml:space="preserve"> 。</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（二）存在问题。</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学校地处农村，生源少。</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仿宋" w:hAnsi="仿宋" w:eastAsia="仿宋"/>
          <w:sz w:val="32"/>
          <w:szCs w:val="32"/>
        </w:rPr>
      </w:pPr>
      <w:r>
        <w:rPr>
          <w:rFonts w:hint="eastAsia" w:ascii="仿宋" w:hAnsi="仿宋" w:eastAsia="仿宋"/>
          <w:sz w:val="32"/>
          <w:szCs w:val="32"/>
        </w:rPr>
        <w:t>（三）改进建议。</w:t>
      </w:r>
    </w:p>
    <w:p>
      <w:pPr>
        <w:pStyle w:val="9"/>
        <w:keepNext w:val="0"/>
        <w:keepLines w:val="0"/>
        <w:pageBreakBefore w:val="0"/>
        <w:kinsoku/>
        <w:wordWrap/>
        <w:overflowPunct/>
        <w:topLinePunct w:val="0"/>
        <w:bidi w:val="0"/>
        <w:spacing w:beforeLines="0" w:line="600" w:lineRule="exact"/>
        <w:textAlignment w:val="auto"/>
        <w:rPr>
          <w:rFonts w:ascii="仿宋" w:hAnsi="仿宋" w:eastAsia="仿宋"/>
          <w:sz w:val="32"/>
          <w:szCs w:val="32"/>
        </w:rPr>
      </w:pPr>
      <w:r>
        <w:rPr>
          <w:rFonts w:hint="eastAsia" w:ascii="仿宋" w:hAnsi="仿宋" w:eastAsia="仿宋"/>
          <w:sz w:val="32"/>
          <w:szCs w:val="32"/>
        </w:rPr>
        <w:t>向主管部门汇报情况，争取上级或本级资金，加快校园建设，完善教学基础设施，更新教学理念。提高学生的竞争力</w:t>
      </w:r>
      <w:r>
        <w:rPr>
          <w:rFonts w:ascii="仿宋" w:hAnsi="仿宋" w:eastAsia="仿宋"/>
          <w:sz w:val="32"/>
          <w:szCs w:val="32"/>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313" w:beforeLines="100"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w:t>
      </w:r>
      <w:r>
        <w:rPr>
          <w:rFonts w:hint="eastAsia" w:ascii="Times New Roman" w:hAnsi="Times New Roman" w:eastAsia="仿宋_GB2312" w:cs="Times New Roman"/>
          <w:kern w:val="2"/>
          <w:sz w:val="32"/>
          <w:szCs w:val="32"/>
          <w:u w:val="none"/>
          <w:lang w:val="en-US" w:eastAsia="zh-CN" w:bidi="ar"/>
        </w:rPr>
        <w:t>件</w:t>
      </w:r>
      <w:r>
        <w:rPr>
          <w:rFonts w:hint="eastAsia" w:ascii="Times New Roman" w:hAnsi="Times New Roman" w:eastAsia="仿宋_GB2312" w:cs="Times New Roman"/>
          <w:kern w:val="2"/>
          <w:sz w:val="32"/>
          <w:szCs w:val="32"/>
          <w:u w:val="none"/>
          <w:lang w:val="zh-CN" w:eastAsia="zh-CN" w:bidi="ar"/>
        </w:rPr>
        <w:t>：</w:t>
      </w:r>
      <w:r>
        <w:rPr>
          <w:rFonts w:hint="eastAsia" w:ascii="Times New Roman" w:hAnsi="Times New Roman" w:eastAsia="仿宋_GB2312" w:cs="Times New Roman"/>
          <w:kern w:val="2"/>
          <w:sz w:val="32"/>
          <w:szCs w:val="32"/>
          <w:u w:val="none"/>
          <w:lang w:val="en-US" w:eastAsia="zh-CN" w:bidi="ar"/>
        </w:rPr>
        <w:t>1.</w:t>
      </w:r>
      <w:r>
        <w:rPr>
          <w:rFonts w:hint="default" w:ascii="Times New Roman" w:hAnsi="Times New Roman" w:eastAsia="仿宋_GB2312" w:cs="Times New Roman"/>
          <w:kern w:val="2"/>
          <w:sz w:val="32"/>
          <w:szCs w:val="32"/>
          <w:u w:val="none"/>
          <w:lang w:val="en-US" w:eastAsia="zh-CN" w:bidi="ar"/>
        </w:rPr>
        <w:t>部门整体支出绩效自评表</w:t>
      </w:r>
    </w:p>
    <w:p>
      <w:pPr>
        <w:pStyle w:val="3"/>
        <w:keepNext w:val="0"/>
        <w:keepLines w:val="0"/>
        <w:pageBreakBefore w:val="0"/>
        <w:numPr>
          <w:ilvl w:val="0"/>
          <w:numId w:val="0"/>
        </w:numPr>
        <w:kinsoku/>
        <w:wordWrap/>
        <w:overflowPunct/>
        <w:topLinePunct w:val="0"/>
        <w:autoSpaceDE/>
        <w:autoSpaceDN/>
        <w:bidi w:val="0"/>
        <w:spacing w:line="560" w:lineRule="exact"/>
        <w:ind w:firstLine="1600" w:firstLineChars="500"/>
        <w:textAlignment w:val="auto"/>
        <w:rPr>
          <w:rFonts w:hint="eastAsia"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en-US" w:eastAsia="zh-CN" w:bidi="ar"/>
        </w:rPr>
        <w:t>2.部门预算项目支出绩效自评表（2024年度）</w:t>
      </w:r>
    </w:p>
    <w:tbl>
      <w:tblPr>
        <w:tblStyle w:val="16"/>
        <w:tblW w:w="5000" w:type="pct"/>
        <w:jc w:val="center"/>
        <w:tblLayout w:type="autofit"/>
        <w:tblCellMar>
          <w:top w:w="0" w:type="dxa"/>
          <w:left w:w="108" w:type="dxa"/>
          <w:bottom w:w="0" w:type="dxa"/>
          <w:right w:w="108" w:type="dxa"/>
        </w:tblCellMar>
      </w:tblPr>
      <w:tblGrid>
        <w:gridCol w:w="699"/>
        <w:gridCol w:w="710"/>
        <w:gridCol w:w="1125"/>
        <w:gridCol w:w="457"/>
        <w:gridCol w:w="1345"/>
        <w:gridCol w:w="3061"/>
        <w:gridCol w:w="585"/>
        <w:gridCol w:w="540"/>
      </w:tblGrid>
      <w:tr>
        <w:tblPrEx>
          <w:tblCellMar>
            <w:top w:w="0" w:type="dxa"/>
            <w:left w:w="108" w:type="dxa"/>
            <w:bottom w:w="0" w:type="dxa"/>
            <w:right w:w="108" w:type="dxa"/>
          </w:tblCellMar>
        </w:tblPrEx>
        <w:trPr>
          <w:trHeight w:val="519"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eastAsia="黑体" w:cs="黑体"/>
                <w:kern w:val="0"/>
                <w:sz w:val="32"/>
                <w:szCs w:val="32"/>
                <w:shd w:val="clear" w:color="auto" w:fill="FFFFFF"/>
                <w:lang w:val="zh-CN"/>
              </w:rPr>
              <w:br w:type="page"/>
            </w:r>
            <w:r>
              <w:rPr>
                <w:rFonts w:eastAsia="黑体" w:cs="黑体"/>
                <w:kern w:val="0"/>
                <w:sz w:val="32"/>
                <w:szCs w:val="32"/>
                <w:shd w:val="clear" w:color="auto" w:fill="FFFFFF"/>
                <w:lang w:val="zh-CN"/>
              </w:rPr>
              <w:br w:type="page"/>
            </w:r>
            <w:r>
              <w:rPr>
                <w:rFonts w:hint="eastAsia" w:ascii="方正小标宋简体" w:hAnsi="方正小标宋简体" w:eastAsia="方正小标宋简体" w:cs="宋体"/>
                <w:kern w:val="0"/>
                <w:sz w:val="48"/>
                <w:szCs w:val="48"/>
              </w:rPr>
              <w:t>部门整体支出绩效自评表</w:t>
            </w:r>
          </w:p>
        </w:tc>
      </w:tr>
      <w:tr>
        <w:tblPrEx>
          <w:tblCellMar>
            <w:top w:w="0" w:type="dxa"/>
            <w:left w:w="108" w:type="dxa"/>
            <w:bottom w:w="0" w:type="dxa"/>
            <w:right w:w="108" w:type="dxa"/>
          </w:tblCellMar>
        </w:tblPrEx>
        <w:trPr>
          <w:trHeight w:val="519" w:hRule="atLeast"/>
          <w:jc w:val="center"/>
        </w:trPr>
        <w:tc>
          <w:tcPr>
            <w:tcW w:w="1755" w:type="pct"/>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绩效指标</w:t>
            </w:r>
          </w:p>
        </w:tc>
        <w:tc>
          <w:tcPr>
            <w:tcW w:w="789"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指标解释</w:t>
            </w:r>
          </w:p>
        </w:tc>
        <w:tc>
          <w:tcPr>
            <w:tcW w:w="1796"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评分说明</w:t>
            </w:r>
          </w:p>
        </w:tc>
        <w:tc>
          <w:tcPr>
            <w:tcW w:w="343" w:type="pct"/>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自评得分</w:t>
            </w:r>
          </w:p>
        </w:tc>
        <w:tc>
          <w:tcPr>
            <w:tcW w:w="315" w:type="pct"/>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备注</w:t>
            </w:r>
          </w:p>
        </w:tc>
      </w:tr>
      <w:tr>
        <w:tblPrEx>
          <w:tblCellMar>
            <w:top w:w="0" w:type="dxa"/>
            <w:left w:w="108" w:type="dxa"/>
            <w:bottom w:w="0" w:type="dxa"/>
            <w:right w:w="108" w:type="dxa"/>
          </w:tblCellMar>
        </w:tblPrEx>
        <w:trPr>
          <w:trHeight w:val="1248" w:hRule="atLeast"/>
          <w:jc w:val="center"/>
        </w:trPr>
        <w:tc>
          <w:tcPr>
            <w:tcW w:w="410" w:type="pct"/>
            <w:tcBorders>
              <w:top w:val="nil"/>
              <w:left w:val="single" w:color="auto" w:sz="4" w:space="0"/>
              <w:bottom w:val="single" w:color="auto" w:sz="4" w:space="0"/>
              <w:right w:val="nil"/>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一级指标</w:t>
            </w:r>
          </w:p>
        </w:tc>
        <w:tc>
          <w:tcPr>
            <w:tcW w:w="417" w:type="pct"/>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二级指标</w:t>
            </w:r>
          </w:p>
        </w:tc>
        <w:tc>
          <w:tcPr>
            <w:tcW w:w="660" w:type="pct"/>
            <w:tcBorders>
              <w:top w:val="nil"/>
              <w:left w:val="nil"/>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三级指标</w:t>
            </w:r>
          </w:p>
        </w:tc>
        <w:tc>
          <w:tcPr>
            <w:tcW w:w="267" w:type="pct"/>
            <w:tcBorders>
              <w:top w:val="nil"/>
              <w:left w:val="nil"/>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指标分值</w:t>
            </w:r>
          </w:p>
        </w:tc>
        <w:tc>
          <w:tcPr>
            <w:tcW w:w="78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kern w:val="0"/>
                <w:sz w:val="24"/>
              </w:rPr>
            </w:pPr>
          </w:p>
        </w:tc>
        <w:tc>
          <w:tcPr>
            <w:tcW w:w="179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kern w:val="0"/>
                <w:sz w:val="24"/>
              </w:rPr>
            </w:pPr>
          </w:p>
        </w:tc>
        <w:tc>
          <w:tcPr>
            <w:tcW w:w="343" w:type="pct"/>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kern w:val="0"/>
                <w:sz w:val="24"/>
              </w:rPr>
            </w:pPr>
          </w:p>
        </w:tc>
        <w:tc>
          <w:tcPr>
            <w:tcW w:w="315" w:type="pct"/>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kern w:val="0"/>
                <w:sz w:val="24"/>
              </w:rPr>
            </w:pPr>
          </w:p>
        </w:tc>
      </w:tr>
      <w:tr>
        <w:tblPrEx>
          <w:tblCellMar>
            <w:top w:w="0" w:type="dxa"/>
            <w:left w:w="108" w:type="dxa"/>
            <w:bottom w:w="0" w:type="dxa"/>
            <w:right w:w="108" w:type="dxa"/>
          </w:tblCellMar>
        </w:tblPrEx>
        <w:trPr>
          <w:trHeight w:val="468" w:hRule="atLeast"/>
          <w:jc w:val="center"/>
        </w:trPr>
        <w:tc>
          <w:tcPr>
            <w:tcW w:w="410"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17" w:type="pct"/>
            <w:vMerge w:val="restart"/>
            <w:tcBorders>
              <w:top w:val="nil"/>
              <w:left w:val="single" w:color="auto" w:sz="4" w:space="0"/>
              <w:bottom w:val="nil"/>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履职效能</w:t>
            </w:r>
            <w:r>
              <w:rPr>
                <w:rFonts w:hint="eastAsia" w:ascii="宋体" w:hAnsi="宋体" w:cs="宋体"/>
                <w:b/>
                <w:bCs/>
                <w:kern w:val="0"/>
                <w:sz w:val="24"/>
              </w:rPr>
              <w:br w:type="textWrapping"/>
            </w:r>
            <w:r>
              <w:rPr>
                <w:rFonts w:hint="eastAsia" w:ascii="宋体" w:hAnsi="宋体" w:cs="宋体"/>
                <w:b/>
                <w:bCs/>
                <w:kern w:val="0"/>
                <w:sz w:val="24"/>
              </w:rPr>
              <w:t>（19分）</w:t>
            </w:r>
          </w:p>
        </w:tc>
        <w:tc>
          <w:tcPr>
            <w:tcW w:w="660"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人才培养</w:t>
            </w:r>
          </w:p>
        </w:tc>
        <w:tc>
          <w:tcPr>
            <w:tcW w:w="267" w:type="pct"/>
            <w:vMerge w:val="restart"/>
            <w:tcBorders>
              <w:top w:val="nil"/>
              <w:left w:val="single" w:color="auto" w:sz="4" w:space="0"/>
              <w:bottom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789" w:type="pct"/>
            <w:vMerge w:val="restart"/>
            <w:tcBorders>
              <w:top w:val="nil"/>
              <w:left w:val="single" w:color="auto" w:sz="4" w:space="0"/>
              <w:bottom w:val="nil"/>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评价学校在人才培养、科学研究、社会服务、文化传承等核心职能方面的效果。</w:t>
            </w:r>
          </w:p>
        </w:tc>
        <w:tc>
          <w:tcPr>
            <w:tcW w:w="1796" w:type="pct"/>
            <w:vMerge w:val="restart"/>
            <w:tcBorders>
              <w:top w:val="nil"/>
              <w:left w:val="single" w:color="auto" w:sz="4" w:space="0"/>
              <w:bottom w:val="nil"/>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人才方面：完成学前教育及小学阶段招送生；教学质量方面：课程建设成果，教研成果，师生满意度等；科学研究方面：教研经费的保障，教学论文的发表等。</w:t>
            </w:r>
          </w:p>
        </w:tc>
        <w:tc>
          <w:tcPr>
            <w:tcW w:w="343" w:type="pct"/>
            <w:vMerge w:val="restart"/>
            <w:tcBorders>
              <w:top w:val="nil"/>
              <w:left w:val="single" w:color="auto" w:sz="4" w:space="0"/>
              <w:bottom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315" w:type="pct"/>
            <w:vMerge w:val="restart"/>
            <w:tcBorders>
              <w:top w:val="nil"/>
              <w:left w:val="single" w:color="auto" w:sz="4" w:space="0"/>
              <w:bottom w:val="nil"/>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68"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教学质量</w:t>
            </w:r>
          </w:p>
        </w:tc>
        <w:tc>
          <w:tcPr>
            <w:tcW w:w="267"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789"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1796"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343" w:type="pct"/>
            <w:vMerge w:val="continue"/>
            <w:tcBorders>
              <w:top w:val="nil"/>
              <w:left w:val="single" w:color="auto" w:sz="4" w:space="0"/>
              <w:bottom w:val="nil"/>
              <w:right w:val="single" w:color="auto" w:sz="4" w:space="0"/>
            </w:tcBorders>
            <w:noWrap w:val="0"/>
            <w:vAlign w:val="center"/>
          </w:tcPr>
          <w:p>
            <w:pPr>
              <w:widowControl/>
              <w:jc w:val="left"/>
              <w:rPr>
                <w:rFonts w:hint="eastAsia" w:ascii="宋体" w:hAnsi="宋体" w:cs="宋体"/>
                <w:color w:val="000000"/>
                <w:kern w:val="0"/>
                <w:sz w:val="18"/>
                <w:szCs w:val="18"/>
              </w:rPr>
            </w:pPr>
          </w:p>
        </w:tc>
        <w:tc>
          <w:tcPr>
            <w:tcW w:w="315"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68"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科学研究</w:t>
            </w:r>
          </w:p>
        </w:tc>
        <w:tc>
          <w:tcPr>
            <w:tcW w:w="267"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789"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1796"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343" w:type="pct"/>
            <w:vMerge w:val="continue"/>
            <w:tcBorders>
              <w:top w:val="nil"/>
              <w:left w:val="single" w:color="auto" w:sz="4" w:space="0"/>
              <w:bottom w:val="nil"/>
              <w:right w:val="single" w:color="auto" w:sz="4" w:space="0"/>
            </w:tcBorders>
            <w:noWrap w:val="0"/>
            <w:vAlign w:val="center"/>
          </w:tcPr>
          <w:p>
            <w:pPr>
              <w:widowControl/>
              <w:jc w:val="left"/>
              <w:rPr>
                <w:rFonts w:hint="eastAsia" w:ascii="宋体" w:hAnsi="宋体" w:cs="宋体"/>
                <w:color w:val="000000"/>
                <w:kern w:val="0"/>
                <w:sz w:val="18"/>
                <w:szCs w:val="18"/>
              </w:rPr>
            </w:pPr>
          </w:p>
        </w:tc>
        <w:tc>
          <w:tcPr>
            <w:tcW w:w="315"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68"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社会服务</w:t>
            </w:r>
          </w:p>
        </w:tc>
        <w:tc>
          <w:tcPr>
            <w:tcW w:w="267"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789"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1796"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343" w:type="pct"/>
            <w:vMerge w:val="continue"/>
            <w:tcBorders>
              <w:top w:val="nil"/>
              <w:left w:val="single" w:color="auto" w:sz="4" w:space="0"/>
              <w:bottom w:val="nil"/>
              <w:right w:val="single" w:color="auto" w:sz="4" w:space="0"/>
            </w:tcBorders>
            <w:noWrap w:val="0"/>
            <w:vAlign w:val="center"/>
          </w:tcPr>
          <w:p>
            <w:pPr>
              <w:widowControl/>
              <w:jc w:val="left"/>
              <w:rPr>
                <w:rFonts w:hint="eastAsia" w:ascii="宋体" w:hAnsi="宋体" w:cs="宋体"/>
                <w:color w:val="000000"/>
                <w:kern w:val="0"/>
                <w:sz w:val="18"/>
                <w:szCs w:val="18"/>
              </w:rPr>
            </w:pPr>
          </w:p>
        </w:tc>
        <w:tc>
          <w:tcPr>
            <w:tcW w:w="315"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68"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267"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789"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1796"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343" w:type="pct"/>
            <w:vMerge w:val="continue"/>
            <w:tcBorders>
              <w:top w:val="nil"/>
              <w:left w:val="single" w:color="auto" w:sz="4" w:space="0"/>
              <w:bottom w:val="nil"/>
              <w:right w:val="single" w:color="auto" w:sz="4" w:space="0"/>
            </w:tcBorders>
            <w:noWrap w:val="0"/>
            <w:vAlign w:val="center"/>
          </w:tcPr>
          <w:p>
            <w:pPr>
              <w:widowControl/>
              <w:jc w:val="left"/>
              <w:rPr>
                <w:rFonts w:hint="eastAsia" w:ascii="宋体" w:hAnsi="宋体" w:cs="宋体"/>
                <w:color w:val="000000"/>
                <w:kern w:val="0"/>
                <w:sz w:val="18"/>
                <w:szCs w:val="18"/>
              </w:rPr>
            </w:pPr>
          </w:p>
        </w:tc>
        <w:tc>
          <w:tcPr>
            <w:tcW w:w="315"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36"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预算管理</w:t>
            </w:r>
            <w:r>
              <w:rPr>
                <w:rFonts w:hint="eastAsia" w:ascii="宋体" w:hAnsi="宋体" w:cs="宋体"/>
                <w:b/>
                <w:bCs/>
                <w:kern w:val="0"/>
                <w:sz w:val="24"/>
              </w:rPr>
              <w:br w:type="textWrapping"/>
            </w:r>
            <w:r>
              <w:rPr>
                <w:rFonts w:hint="eastAsia" w:ascii="宋体" w:hAnsi="宋体" w:cs="宋体"/>
                <w:b/>
                <w:bCs/>
                <w:kern w:val="0"/>
                <w:sz w:val="24"/>
              </w:rPr>
              <w:t>（21分）</w:t>
            </w: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预算编制质量</w:t>
            </w:r>
          </w:p>
        </w:tc>
        <w:tc>
          <w:tcPr>
            <w:tcW w:w="267"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789" w:type="pct"/>
            <w:tcBorders>
              <w:top w:val="single" w:color="auto" w:sz="4" w:space="0"/>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证明预算编制科学、精准。</w:t>
            </w:r>
          </w:p>
        </w:tc>
        <w:tc>
          <w:tcPr>
            <w:tcW w:w="1796" w:type="pct"/>
            <w:tcBorders>
              <w:top w:val="single" w:color="auto" w:sz="4" w:space="0"/>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预算编制充分征求各部门意见，经过两上两下程序，预算项目均经过事前绩效评估，与学校年度工作计划紧密相连。</w:t>
            </w:r>
          </w:p>
        </w:tc>
        <w:tc>
          <w:tcPr>
            <w:tcW w:w="343"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315"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680"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支出执行进度</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9</w:t>
            </w:r>
          </w:p>
        </w:tc>
        <w:tc>
          <w:tcPr>
            <w:tcW w:w="78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预算执行的及时性</w:t>
            </w:r>
          </w:p>
        </w:tc>
        <w:tc>
          <w:tcPr>
            <w:tcW w:w="1796"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全年的预算执行率数据1-6月执行率50%，1-9月执行率75%，全年执行率</w:t>
            </w:r>
            <w:r>
              <w:rPr>
                <w:rFonts w:hint="eastAsia" w:ascii="宋体" w:hAnsi="宋体" w:cs="宋体"/>
                <w:color w:val="000000"/>
                <w:kern w:val="0"/>
                <w:sz w:val="18"/>
                <w:szCs w:val="18"/>
                <w:lang w:val="en-US" w:eastAsia="zh-CN"/>
              </w:rPr>
              <w:t>100</w:t>
            </w:r>
            <w:r>
              <w:rPr>
                <w:rFonts w:hint="eastAsia" w:ascii="宋体" w:hAnsi="宋体" w:cs="宋体"/>
                <w:color w:val="000000"/>
                <w:kern w:val="0"/>
                <w:sz w:val="18"/>
                <w:szCs w:val="18"/>
              </w:rPr>
              <w:t>%）。</w:t>
            </w:r>
          </w:p>
        </w:tc>
        <w:tc>
          <w:tcPr>
            <w:tcW w:w="343"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8.85</w:t>
            </w:r>
          </w:p>
        </w:tc>
        <w:tc>
          <w:tcPr>
            <w:tcW w:w="315"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119"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预算年终结余</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78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年终无结余</w:t>
            </w:r>
          </w:p>
        </w:tc>
        <w:tc>
          <w:tcPr>
            <w:tcW w:w="1796"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年终无结余</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8</w:t>
            </w:r>
          </w:p>
        </w:tc>
        <w:tc>
          <w:tcPr>
            <w:tcW w:w="315"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266"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严控一般性支出</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78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对三公经费的严控度</w:t>
            </w:r>
          </w:p>
        </w:tc>
        <w:tc>
          <w:tcPr>
            <w:tcW w:w="1796"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“严格执行‘过紧日子’要求，202</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rPr>
              <w:t>年‘三公’经费零支出。</w:t>
            </w:r>
            <w:r>
              <w:rPr>
                <w:rFonts w:hint="eastAsia" w:ascii="宋体" w:hAnsi="宋体" w:cs="宋体"/>
                <w:color w:val="000000"/>
                <w:kern w:val="0"/>
                <w:sz w:val="18"/>
                <w:szCs w:val="18"/>
                <w:lang w:val="en-US" w:eastAsia="zh-CN"/>
              </w:rPr>
              <w:t>与2023年持平。</w:t>
            </w:r>
            <w:r>
              <w:rPr>
                <w:rFonts w:hint="eastAsia" w:ascii="宋体" w:hAnsi="宋体" w:cs="宋体"/>
                <w:color w:val="000000"/>
                <w:kern w:val="0"/>
                <w:sz w:val="18"/>
                <w:szCs w:val="18"/>
              </w:rPr>
              <w:t>”</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15"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304"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人均资产变化率</w:t>
            </w:r>
          </w:p>
        </w:tc>
        <w:tc>
          <w:tcPr>
            <w:tcW w:w="267" w:type="pct"/>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89" w:type="pct"/>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反映资产配置效率。</w:t>
            </w:r>
          </w:p>
        </w:tc>
        <w:tc>
          <w:tcPr>
            <w:tcW w:w="1796" w:type="pct"/>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计算总资产 / 教职工人数，与上年对比，合理增</w:t>
            </w:r>
            <w:r>
              <w:rPr>
                <w:rFonts w:hint="eastAsia" w:ascii="宋体" w:hAnsi="宋体" w:cs="宋体"/>
                <w:color w:val="000000"/>
                <w:kern w:val="0"/>
                <w:sz w:val="18"/>
                <w:szCs w:val="18"/>
                <w:lang w:val="en-US" w:eastAsia="zh-CN"/>
              </w:rPr>
              <w:t>长。</w:t>
            </w:r>
          </w:p>
        </w:tc>
        <w:tc>
          <w:tcPr>
            <w:tcW w:w="343"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15"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936"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资产利用率</w:t>
            </w:r>
          </w:p>
        </w:tc>
        <w:tc>
          <w:tcPr>
            <w:tcW w:w="267" w:type="pct"/>
            <w:tcBorders>
              <w:top w:val="nil"/>
              <w:left w:val="nil"/>
              <w:bottom w:val="single" w:color="000000" w:sz="4" w:space="0"/>
              <w:right w:val="single" w:color="000000"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89" w:type="pct"/>
            <w:tcBorders>
              <w:top w:val="nil"/>
              <w:left w:val="nil"/>
              <w:bottom w:val="single" w:color="000000" w:sz="4" w:space="0"/>
              <w:right w:val="single" w:color="000000"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反映资产的使用情况</w:t>
            </w:r>
          </w:p>
        </w:tc>
        <w:tc>
          <w:tcPr>
            <w:tcW w:w="1796" w:type="pct"/>
            <w:tcBorders>
              <w:top w:val="nil"/>
              <w:left w:val="nil"/>
              <w:bottom w:val="single" w:color="000000" w:sz="4" w:space="0"/>
              <w:right w:val="single" w:color="000000"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学校对教学设备的使用情况及周期合理</w:t>
            </w:r>
          </w:p>
        </w:tc>
        <w:tc>
          <w:tcPr>
            <w:tcW w:w="343"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15"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281" w:hRule="atLeast"/>
          <w:jc w:val="center"/>
        </w:trPr>
        <w:tc>
          <w:tcPr>
            <w:tcW w:w="410"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17"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660"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资产盘活率</w:t>
            </w:r>
          </w:p>
        </w:tc>
        <w:tc>
          <w:tcPr>
            <w:tcW w:w="267"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89" w:type="pct"/>
            <w:tcBorders>
              <w:top w:val="single" w:color="auto" w:sz="4" w:space="0"/>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无闲置资产</w:t>
            </w:r>
          </w:p>
        </w:tc>
        <w:tc>
          <w:tcPr>
            <w:tcW w:w="1796" w:type="pct"/>
            <w:tcBorders>
              <w:top w:val="single" w:color="auto" w:sz="4" w:space="0"/>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无闲置资产</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15"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01"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采购管理</w:t>
            </w:r>
            <w:r>
              <w:rPr>
                <w:rFonts w:hint="eastAsia" w:ascii="宋体" w:hAnsi="宋体" w:cs="宋体"/>
                <w:b/>
                <w:bCs/>
                <w:kern w:val="0"/>
                <w:sz w:val="24"/>
              </w:rPr>
              <w:br w:type="textWrapping"/>
            </w:r>
            <w:r>
              <w:rPr>
                <w:rFonts w:hint="eastAsia" w:ascii="宋体" w:hAnsi="宋体" w:cs="宋体"/>
                <w:b/>
                <w:bCs/>
                <w:kern w:val="0"/>
                <w:sz w:val="24"/>
              </w:rPr>
              <w:t>（6分）</w:t>
            </w: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支持中小企业发展</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8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采购中专门对中小企业的扶持</w:t>
            </w:r>
          </w:p>
        </w:tc>
        <w:tc>
          <w:tcPr>
            <w:tcW w:w="1796"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2024年在832平台支持中小企业购物达标</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15"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20"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采购执行率</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8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无采购</w:t>
            </w:r>
          </w:p>
        </w:tc>
        <w:tc>
          <w:tcPr>
            <w:tcW w:w="1796"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无政府采购</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15"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320" w:hRule="atLeast"/>
          <w:jc w:val="center"/>
        </w:trPr>
        <w:tc>
          <w:tcPr>
            <w:tcW w:w="410"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项目绩效</w:t>
            </w:r>
            <w:r>
              <w:rPr>
                <w:rFonts w:hint="eastAsia" w:ascii="宋体" w:hAnsi="宋体" w:cs="宋体"/>
                <w:b/>
                <w:bCs/>
                <w:kern w:val="0"/>
                <w:sz w:val="24"/>
              </w:rPr>
              <w:br w:type="textWrapping"/>
            </w:r>
            <w:r>
              <w:rPr>
                <w:rFonts w:hint="eastAsia" w:ascii="宋体" w:hAnsi="宋体" w:cs="宋体"/>
                <w:b/>
                <w:bCs/>
                <w:kern w:val="0"/>
                <w:sz w:val="24"/>
              </w:rPr>
              <w:t>（35分）</w:t>
            </w:r>
          </w:p>
        </w:tc>
        <w:tc>
          <w:tcPr>
            <w:tcW w:w="417" w:type="pct"/>
            <w:vMerge w:val="restart"/>
            <w:tcBorders>
              <w:top w:val="nil"/>
              <w:left w:val="single" w:color="auto" w:sz="4" w:space="0"/>
              <w:bottom w:val="nil"/>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项目决策</w:t>
            </w:r>
            <w:r>
              <w:rPr>
                <w:rFonts w:hint="eastAsia" w:ascii="宋体" w:hAnsi="宋体" w:cs="宋体"/>
                <w:b/>
                <w:bCs/>
                <w:kern w:val="0"/>
                <w:sz w:val="24"/>
              </w:rPr>
              <w:br w:type="textWrapping"/>
            </w:r>
            <w:r>
              <w:rPr>
                <w:rFonts w:hint="eastAsia" w:ascii="宋体" w:hAnsi="宋体" w:cs="宋体"/>
                <w:b/>
                <w:bCs/>
                <w:kern w:val="0"/>
                <w:sz w:val="24"/>
              </w:rPr>
              <w:t>（12分）</w:t>
            </w: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决策程序</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796"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所有项目均经过</w:t>
            </w:r>
            <w:r>
              <w:rPr>
                <w:rFonts w:hint="eastAsia" w:ascii="宋体" w:hAnsi="宋体" w:cs="宋体"/>
                <w:color w:val="000000"/>
                <w:kern w:val="0"/>
                <w:sz w:val="18"/>
                <w:szCs w:val="18"/>
                <w:lang w:val="en-US" w:eastAsia="zh-CN"/>
              </w:rPr>
              <w:t>支部</w:t>
            </w:r>
            <w:r>
              <w:rPr>
                <w:rFonts w:hint="eastAsia" w:ascii="宋体" w:hAnsi="宋体" w:cs="宋体"/>
                <w:color w:val="000000"/>
                <w:kern w:val="0"/>
                <w:sz w:val="18"/>
                <w:szCs w:val="18"/>
              </w:rPr>
              <w:t>会审议</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15"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200"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目标设置</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796"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项目申报书均设置了清晰、量化、可衡量的绩效目标</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15"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041"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项目入库</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796"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项目均已纳入学校项目库管理，实行常态化申报和滚动管理</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15"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项目执行</w:t>
            </w:r>
            <w:r>
              <w:rPr>
                <w:rFonts w:hint="eastAsia" w:ascii="宋体" w:hAnsi="宋体" w:cs="宋体"/>
                <w:b/>
                <w:bCs/>
                <w:kern w:val="0"/>
                <w:sz w:val="24"/>
              </w:rPr>
              <w:br w:type="textWrapping"/>
            </w:r>
            <w:r>
              <w:rPr>
                <w:rFonts w:hint="eastAsia" w:ascii="宋体" w:hAnsi="宋体" w:cs="宋体"/>
                <w:b/>
                <w:bCs/>
                <w:kern w:val="0"/>
                <w:sz w:val="24"/>
              </w:rPr>
              <w:t>（12分）</w:t>
            </w: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执行同向</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1796"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315"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020"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项目调整</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如需调整，是否履行了规范的内部审批和报备程序</w:t>
            </w:r>
          </w:p>
        </w:tc>
        <w:tc>
          <w:tcPr>
            <w:tcW w:w="1796"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如需调整，</w:t>
            </w:r>
            <w:r>
              <w:rPr>
                <w:rFonts w:hint="eastAsia" w:ascii="宋体" w:hAnsi="宋体" w:cs="宋体"/>
                <w:color w:val="000000"/>
                <w:kern w:val="0"/>
                <w:sz w:val="18"/>
                <w:szCs w:val="18"/>
                <w:lang w:val="en-US" w:eastAsia="zh-CN"/>
              </w:rPr>
              <w:t>均</w:t>
            </w:r>
            <w:r>
              <w:rPr>
                <w:rFonts w:hint="eastAsia" w:ascii="宋体" w:hAnsi="宋体" w:cs="宋体"/>
                <w:color w:val="000000"/>
                <w:kern w:val="0"/>
                <w:sz w:val="18"/>
                <w:szCs w:val="18"/>
              </w:rPr>
              <w:t>履行了规范的内部审批和报备程序</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15"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79"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执行结果</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78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项目执行率</w:t>
            </w:r>
          </w:p>
        </w:tc>
        <w:tc>
          <w:tcPr>
            <w:tcW w:w="1796"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项目执行率达</w:t>
            </w:r>
            <w:r>
              <w:rPr>
                <w:rFonts w:hint="eastAsia" w:ascii="宋体" w:hAnsi="宋体" w:cs="宋体"/>
                <w:color w:val="000000"/>
                <w:kern w:val="0"/>
                <w:sz w:val="18"/>
                <w:szCs w:val="18"/>
                <w:lang w:val="en-US" w:eastAsia="zh-CN"/>
              </w:rPr>
              <w:t>到</w:t>
            </w:r>
            <w:r>
              <w:rPr>
                <w:rFonts w:hint="eastAsia" w:ascii="宋体" w:hAnsi="宋体" w:cs="宋体"/>
                <w:color w:val="000000"/>
                <w:kern w:val="0"/>
                <w:sz w:val="18"/>
                <w:szCs w:val="18"/>
              </w:rPr>
              <w:t>100%</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3.58</w:t>
            </w:r>
          </w:p>
        </w:tc>
        <w:tc>
          <w:tcPr>
            <w:tcW w:w="315"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40"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目标实现</w:t>
            </w:r>
            <w:r>
              <w:rPr>
                <w:rFonts w:hint="eastAsia" w:ascii="宋体" w:hAnsi="宋体" w:cs="宋体"/>
                <w:b/>
                <w:bCs/>
                <w:kern w:val="0"/>
                <w:sz w:val="24"/>
              </w:rPr>
              <w:br w:type="textWrapping"/>
            </w:r>
            <w:r>
              <w:rPr>
                <w:rFonts w:hint="eastAsia" w:ascii="宋体" w:hAnsi="宋体" w:cs="宋体"/>
                <w:b/>
                <w:bCs/>
                <w:kern w:val="0"/>
                <w:sz w:val="24"/>
              </w:rPr>
              <w:t>（11分）</w:t>
            </w:r>
          </w:p>
        </w:tc>
        <w:tc>
          <w:tcPr>
            <w:tcW w:w="660"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目标完成</w:t>
            </w:r>
          </w:p>
        </w:tc>
        <w:tc>
          <w:tcPr>
            <w:tcW w:w="267"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789" w:type="pct"/>
            <w:tcBorders>
              <w:top w:val="single" w:color="auto" w:sz="4" w:space="0"/>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目标完成率</w:t>
            </w:r>
          </w:p>
        </w:tc>
        <w:tc>
          <w:tcPr>
            <w:tcW w:w="1796"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基建项目：按时完工、验收合格。设备采购项目：按时采购安装到位、设备运行良好。科研项目：</w:t>
            </w:r>
            <w:r>
              <w:rPr>
                <w:rFonts w:hint="eastAsia" w:ascii="宋体" w:hAnsi="宋体" w:cs="宋体"/>
                <w:color w:val="000000"/>
                <w:kern w:val="0"/>
                <w:sz w:val="18"/>
                <w:szCs w:val="18"/>
                <w:lang w:val="en-US" w:eastAsia="zh-CN"/>
              </w:rPr>
              <w:t>教师</w:t>
            </w:r>
            <w:r>
              <w:rPr>
                <w:rFonts w:hint="eastAsia" w:ascii="宋体" w:hAnsi="宋体" w:cs="宋体"/>
                <w:color w:val="000000"/>
                <w:kern w:val="0"/>
                <w:sz w:val="18"/>
                <w:szCs w:val="18"/>
              </w:rPr>
              <w:t>发表了论文。培训项目：完成了计划培训人次、学员满意度</w:t>
            </w:r>
            <w:r>
              <w:rPr>
                <w:rFonts w:hint="eastAsia" w:ascii="宋体" w:hAnsi="宋体" w:cs="宋体"/>
                <w:color w:val="000000"/>
                <w:kern w:val="0"/>
                <w:sz w:val="18"/>
                <w:szCs w:val="18"/>
                <w:lang w:eastAsia="zh-CN"/>
              </w:rPr>
              <w:t>高</w:t>
            </w:r>
            <w:r>
              <w:rPr>
                <w:rFonts w:hint="eastAsia" w:ascii="宋体" w:hAnsi="宋体" w:cs="宋体"/>
                <w:color w:val="000000"/>
                <w:kern w:val="0"/>
                <w:sz w:val="18"/>
                <w:szCs w:val="18"/>
              </w:rPr>
              <w:t>。</w:t>
            </w:r>
          </w:p>
        </w:tc>
        <w:tc>
          <w:tcPr>
            <w:tcW w:w="343"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5.56</w:t>
            </w:r>
          </w:p>
        </w:tc>
        <w:tc>
          <w:tcPr>
            <w:tcW w:w="315"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179"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目标偏离</w:t>
            </w:r>
          </w:p>
        </w:tc>
        <w:tc>
          <w:tcPr>
            <w:tcW w:w="267"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789"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项目结果与预期目标有无重大偏差</w:t>
            </w:r>
          </w:p>
        </w:tc>
        <w:tc>
          <w:tcPr>
            <w:tcW w:w="1796"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项目结果与预期目标无重大偏差</w:t>
            </w:r>
            <w:r>
              <w:rPr>
                <w:rFonts w:hint="eastAsia" w:ascii="宋体" w:hAnsi="宋体" w:cs="宋体"/>
                <w:color w:val="000000"/>
                <w:kern w:val="0"/>
                <w:sz w:val="18"/>
                <w:szCs w:val="18"/>
                <w:lang w:eastAsia="zh-CN"/>
              </w:rPr>
              <w:t>。</w:t>
            </w:r>
          </w:p>
        </w:tc>
        <w:tc>
          <w:tcPr>
            <w:tcW w:w="343"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15"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实现效果</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带来的长远效益</w:t>
            </w:r>
          </w:p>
        </w:tc>
        <w:tc>
          <w:tcPr>
            <w:tcW w:w="1796"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项目带来的长远效益。</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315"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410"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扣分项</w:t>
            </w:r>
          </w:p>
        </w:tc>
        <w:tc>
          <w:tcPr>
            <w:tcW w:w="417"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财务管理</w:t>
            </w: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财务管理制度</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学校</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有健全的财务制度</w:t>
            </w:r>
          </w:p>
        </w:tc>
        <w:tc>
          <w:tcPr>
            <w:tcW w:w="1796"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学校有健全的财务制度</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15"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财务岗位设置</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岗位设置</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合理</w:t>
            </w:r>
          </w:p>
        </w:tc>
        <w:tc>
          <w:tcPr>
            <w:tcW w:w="1796"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岗位设置合理</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15"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规范</w:t>
            </w:r>
          </w:p>
        </w:tc>
        <w:tc>
          <w:tcPr>
            <w:tcW w:w="1796"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343"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315"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161"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1077" w:type="pct"/>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预算绩效存在问题</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c>
          <w:tcPr>
            <w:tcW w:w="1796" w:type="pct"/>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c>
          <w:tcPr>
            <w:tcW w:w="343"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315"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40"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1077" w:type="pct"/>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被评价部门配合度</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8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是否配合财政部门评价</w:t>
            </w:r>
          </w:p>
        </w:tc>
        <w:tc>
          <w:tcPr>
            <w:tcW w:w="1796"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在财政重点绩效评价中，学校提供材料及时、配合调研。</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15"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39" w:hRule="atLeast"/>
          <w:jc w:val="center"/>
        </w:trPr>
        <w:tc>
          <w:tcPr>
            <w:tcW w:w="1487" w:type="pct"/>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分值</w:t>
            </w:r>
          </w:p>
        </w:tc>
        <w:tc>
          <w:tcPr>
            <w:tcW w:w="267" w:type="pct"/>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89" w:type="pct"/>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796" w:type="pct"/>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43" w:type="pct"/>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98.9</w:t>
            </w:r>
          </w:p>
        </w:tc>
        <w:tc>
          <w:tcPr>
            <w:tcW w:w="315" w:type="pct"/>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bl>
    <w:p>
      <w:pPr>
        <w:pStyle w:val="9"/>
        <w:spacing w:before="93"/>
        <w:rPr>
          <w:rFonts w:ascii="仿宋" w:hAnsi="仿宋" w:eastAsia="仿宋"/>
          <w:sz w:val="32"/>
          <w:szCs w:val="32"/>
        </w:rPr>
      </w:pPr>
    </w:p>
    <w:p>
      <w:pPr>
        <w:pStyle w:val="9"/>
        <w:spacing w:before="93"/>
        <w:rPr>
          <w:rFonts w:ascii="仿宋" w:hAnsi="仿宋" w:eastAsia="仿宋"/>
          <w:sz w:val="32"/>
          <w:szCs w:val="32"/>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59"/>
        <w:gridCol w:w="891"/>
        <w:gridCol w:w="1186"/>
        <w:gridCol w:w="396"/>
        <w:gridCol w:w="831"/>
        <w:gridCol w:w="396"/>
        <w:gridCol w:w="846"/>
        <w:gridCol w:w="487"/>
        <w:gridCol w:w="48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51090422T000006631660-幼儿保教费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遂宁市安居区横山镇中心幼儿园部门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遂宁市安居区横山镇中心幼儿园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保障了学校家庭经济困难学生正常入学，减轻其家庭经济负担。</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保障了学校家庭经济困难学生正常入学，减轻其家庭经济负担。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加强民生资金专项管理，提高民生资金使用效益，确保专款专用，按程序及时兑现给学生（或监护人），及时报送资助政策落实情况及相关资料。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26.18</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26.18</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26.18</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26.18</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审核贫困学生情况</w:t>
            </w:r>
          </w:p>
        </w:tc>
        <w:tc>
          <w:tcPr>
            <w:tcW w:w="184"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5"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6"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8"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1"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2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及时支付资金</w:t>
            </w:r>
          </w:p>
        </w:tc>
        <w:tc>
          <w:tcPr>
            <w:tcW w:w="18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7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2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8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社会及学生满意率</w:t>
            </w:r>
          </w:p>
        </w:tc>
        <w:tc>
          <w:tcPr>
            <w:tcW w:w="18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8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4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绩效目标实现指标自评得分100.00分，自评等次为：优，严格执行相关政策，按要求支付，切实提高扶贫成效。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5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项目负责人：张玲</w:t>
            </w:r>
          </w:p>
        </w:tc>
        <w:tc>
          <w:tcPr>
            <w:tcW w:w="241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51090422T000006818424-幼儿资助及幼儿发展资金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遂宁市安居区横山镇中心幼儿园部门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遂宁市安居区横山镇中心幼儿园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促进附设幼儿园健康发展，提高预算编制质量，严格执行预算，减少结余资金。</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严格执行预算，及时申请支付资金，促进附设幼儿园健康发展。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及时申报经费，促进附设幼儿园健康发展。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50.60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26.60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52.57%</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50.60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26.60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52.57%</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审核贫困学生情况</w:t>
            </w:r>
          </w:p>
        </w:tc>
        <w:tc>
          <w:tcPr>
            <w:tcW w:w="184"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5"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6"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8"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1"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04"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2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及时支付资金</w:t>
            </w:r>
          </w:p>
        </w:tc>
        <w:tc>
          <w:tcPr>
            <w:tcW w:w="18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7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0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2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8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社会及学生满意率</w:t>
            </w:r>
          </w:p>
        </w:tc>
        <w:tc>
          <w:tcPr>
            <w:tcW w:w="18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8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04" w:type="pct"/>
            <w:tcBorders>
              <w:top w:val="nil"/>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绩效目标实现指标自评得分100.00分，自评等次为：优，严格执行相关政策，按要求支付，促进附设幼儿园健康发展。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5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项目负责人：张玲</w:t>
            </w:r>
          </w:p>
        </w:tc>
        <w:tc>
          <w:tcPr>
            <w:tcW w:w="241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51090422T000007414494-2021年支持学前教育发展专项资金（激励奖补）第二批（中央）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遂宁市安居区横山镇中心幼儿园部门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遂宁市安居区横山镇中心幼儿园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促进附设幼儿园健康发展，提高预算编制质量，严格执行预算，减少结余资金。</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严格执行预算，及时申请支付资金，促进附设幼儿园健康发展。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及时申报经费，促进附设幼儿园健康发展。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15.22</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15.22</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15.22</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15.22</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审核贫困学生情况</w:t>
            </w:r>
          </w:p>
        </w:tc>
        <w:tc>
          <w:tcPr>
            <w:tcW w:w="184"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5"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6"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8"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1"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04"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2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及时支付资金</w:t>
            </w:r>
          </w:p>
        </w:tc>
        <w:tc>
          <w:tcPr>
            <w:tcW w:w="18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7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04"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2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8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社会及学生满意率</w:t>
            </w:r>
          </w:p>
        </w:tc>
        <w:tc>
          <w:tcPr>
            <w:tcW w:w="18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8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04" w:type="pct"/>
            <w:tcBorders>
              <w:top w:val="nil"/>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绩效目标实现指标自评得分100.00分，自评等次为：优，严格执行相关政策，按要求支付，促进附设幼儿园健康发展。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5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项目负责人：张玲</w:t>
            </w:r>
          </w:p>
        </w:tc>
        <w:tc>
          <w:tcPr>
            <w:tcW w:w="241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财务负责人：张玲</w:t>
            </w:r>
          </w:p>
        </w:tc>
      </w:tr>
    </w:tbl>
    <w:p>
      <w:pPr>
        <w:spacing w:line="600" w:lineRule="exact"/>
        <w:jc w:val="center"/>
        <w:outlineLvl w:val="0"/>
        <w:rPr>
          <w:rFonts w:hint="eastAsia" w:ascii="黑体" w:hAnsi="黑体" w:eastAsia="黑体"/>
          <w:sz w:val="44"/>
          <w:szCs w:val="44"/>
        </w:rPr>
      </w:pPr>
      <w:bookmarkStart w:id="71" w:name="_Toc7845"/>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8"/>
          <w:rFonts w:hint="eastAsia" w:ascii="黑体" w:hAnsi="黑体" w:eastAsia="黑体"/>
          <w:b w:val="0"/>
        </w:rPr>
        <w:t>五部分 附表</w:t>
      </w:r>
      <w:bookmarkEnd w:id="68"/>
      <w:bookmarkEnd w:id="70"/>
      <w:bookmarkEnd w:id="71"/>
      <w:bookmarkStart w:id="72" w:name="_Toc15396619"/>
    </w:p>
    <w:p>
      <w:pPr>
        <w:pStyle w:val="6"/>
        <w:keepNext/>
        <w:keepLines/>
        <w:pageBreakBefore w:val="0"/>
        <w:widowControl w:val="0"/>
        <w:kinsoku/>
        <w:wordWrap/>
        <w:overflowPunct/>
        <w:topLinePunct w:val="0"/>
        <w:autoSpaceDE/>
        <w:autoSpaceDN/>
        <w:bidi w:val="0"/>
        <w:adjustRightInd/>
        <w:snapToGrid/>
        <w:spacing w:before="313" w:beforeLines="100" w:after="0" w:line="600" w:lineRule="exact"/>
        <w:textAlignment w:val="auto"/>
        <w:rPr>
          <w:rFonts w:ascii="仿宋" w:hAnsi="仿宋" w:eastAsia="仿宋"/>
        </w:rPr>
      </w:pPr>
      <w:bookmarkStart w:id="73" w:name="_Toc26827"/>
      <w:r>
        <w:rPr>
          <w:rFonts w:hint="eastAsia" w:ascii="仿宋" w:hAnsi="仿宋" w:eastAsia="仿宋"/>
          <w:b w:val="0"/>
        </w:rPr>
        <w:t>一、收</w:t>
      </w:r>
      <w:r>
        <w:rPr>
          <w:rStyle w:val="29"/>
          <w:rFonts w:hint="eastAsia" w:ascii="仿宋" w:hAnsi="仿宋" w:eastAsia="仿宋"/>
          <w:b w:val="0"/>
          <w:bCs w:val="0"/>
        </w:rPr>
        <w:t>入支出决算总表</w:t>
      </w:r>
      <w:bookmarkEnd w:id="72"/>
      <w:bookmarkEnd w:id="73"/>
    </w:p>
    <w:p>
      <w:pPr>
        <w:pStyle w:val="6"/>
        <w:keepNext/>
        <w:keepLines/>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rPr>
      </w:pPr>
      <w:bookmarkStart w:id="74" w:name="_Toc15396620"/>
      <w:bookmarkStart w:id="75" w:name="_Toc4186"/>
      <w:r>
        <w:rPr>
          <w:rFonts w:hint="eastAsia" w:ascii="仿宋" w:hAnsi="仿宋" w:eastAsia="仿宋"/>
          <w:b w:val="0"/>
        </w:rPr>
        <w:t>二、收</w:t>
      </w:r>
      <w:r>
        <w:rPr>
          <w:rStyle w:val="29"/>
          <w:rFonts w:hint="eastAsia" w:ascii="仿宋" w:hAnsi="仿宋" w:eastAsia="仿宋"/>
          <w:b w:val="0"/>
          <w:bCs w:val="0"/>
        </w:rPr>
        <w:t>入决算表</w:t>
      </w:r>
      <w:bookmarkEnd w:id="74"/>
      <w:bookmarkEnd w:id="75"/>
    </w:p>
    <w:p>
      <w:pPr>
        <w:pStyle w:val="6"/>
        <w:keepNext/>
        <w:keepLines/>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rPr>
      </w:pPr>
      <w:bookmarkStart w:id="76" w:name="_Toc2649"/>
      <w:bookmarkStart w:id="77"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76"/>
      <w:bookmarkEnd w:id="77"/>
    </w:p>
    <w:p>
      <w:pPr>
        <w:pStyle w:val="6"/>
        <w:keepNext/>
        <w:keepLines/>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b w:val="0"/>
        </w:rPr>
      </w:pPr>
      <w:bookmarkStart w:id="78" w:name="_Toc15396622"/>
      <w:bookmarkStart w:id="79" w:name="_Toc581"/>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78"/>
      <w:bookmarkEnd w:id="79"/>
    </w:p>
    <w:p>
      <w:pPr>
        <w:pStyle w:val="6"/>
        <w:keepNext/>
        <w:keepLines/>
        <w:pageBreakBefore w:val="0"/>
        <w:widowControl w:val="0"/>
        <w:kinsoku/>
        <w:wordWrap/>
        <w:overflowPunct/>
        <w:topLinePunct w:val="0"/>
        <w:autoSpaceDE/>
        <w:autoSpaceDN/>
        <w:bidi w:val="0"/>
        <w:adjustRightInd/>
        <w:snapToGrid/>
        <w:spacing w:before="0" w:after="0" w:line="600" w:lineRule="exact"/>
        <w:textAlignment w:val="auto"/>
        <w:rPr>
          <w:rStyle w:val="29"/>
          <w:rFonts w:ascii="仿宋" w:hAnsi="仿宋" w:eastAsia="仿宋"/>
          <w:b w:val="0"/>
          <w:bCs w:val="0"/>
        </w:rPr>
      </w:pPr>
      <w:bookmarkStart w:id="80" w:name="_Toc249"/>
      <w:bookmarkStart w:id="81"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80"/>
      <w:bookmarkEnd w:id="81"/>
      <w:bookmarkStart w:id="82" w:name="_Toc15396624"/>
    </w:p>
    <w:p>
      <w:pPr>
        <w:pStyle w:val="6"/>
        <w:keepNext/>
        <w:keepLines/>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rPr>
      </w:pPr>
      <w:bookmarkStart w:id="83" w:name="_Toc18663"/>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82"/>
      <w:bookmarkEnd w:id="83"/>
    </w:p>
    <w:p>
      <w:pPr>
        <w:pStyle w:val="6"/>
        <w:keepNext/>
        <w:keepLines/>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rPr>
      </w:pPr>
      <w:bookmarkStart w:id="84" w:name="_Toc32429"/>
      <w:bookmarkStart w:id="85"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84"/>
      <w:bookmarkEnd w:id="85"/>
    </w:p>
    <w:p>
      <w:pPr>
        <w:pStyle w:val="6"/>
        <w:keepNext/>
        <w:keepLines/>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rPr>
      </w:pPr>
      <w:bookmarkStart w:id="86" w:name="_Toc26522"/>
      <w:bookmarkStart w:id="87"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86"/>
      <w:bookmarkEnd w:id="87"/>
    </w:p>
    <w:p>
      <w:pPr>
        <w:pStyle w:val="6"/>
        <w:keepNext/>
        <w:keepLines/>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rPr>
      </w:pPr>
      <w:bookmarkStart w:id="88" w:name="_Toc15396627"/>
      <w:bookmarkStart w:id="89" w:name="_Toc1363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88"/>
      <w:bookmarkEnd w:id="89"/>
    </w:p>
    <w:p>
      <w:pPr>
        <w:pStyle w:val="6"/>
        <w:keepNext/>
        <w:keepLines/>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rPr>
      </w:pPr>
      <w:bookmarkStart w:id="90" w:name="_Toc15396628"/>
      <w:bookmarkStart w:id="91" w:name="_Toc32100"/>
      <w:r>
        <w:rPr>
          <w:rStyle w:val="29"/>
          <w:rFonts w:hint="eastAsia" w:ascii="仿宋" w:hAnsi="仿宋" w:eastAsia="仿宋"/>
          <w:b w:val="0"/>
          <w:bCs w:val="0"/>
        </w:rPr>
        <w:t>十、</w:t>
      </w:r>
      <w:bookmarkEnd w:id="90"/>
      <w:r>
        <w:rPr>
          <w:rFonts w:hint="eastAsia" w:ascii="仿宋" w:hAnsi="仿宋" w:eastAsia="仿宋"/>
          <w:b w:val="0"/>
        </w:rPr>
        <w:t>政</w:t>
      </w:r>
      <w:r>
        <w:rPr>
          <w:rStyle w:val="29"/>
          <w:rFonts w:hint="eastAsia" w:ascii="仿宋" w:hAnsi="仿宋" w:eastAsia="仿宋"/>
          <w:b w:val="0"/>
          <w:bCs w:val="0"/>
        </w:rPr>
        <w:t>府性基金预算财政拨款收入支出决算表</w:t>
      </w:r>
      <w:bookmarkEnd w:id="91"/>
    </w:p>
    <w:p>
      <w:pPr>
        <w:pStyle w:val="6"/>
        <w:keepNext/>
        <w:keepLines/>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rPr>
      </w:pPr>
      <w:bookmarkStart w:id="92" w:name="_Toc15396629"/>
      <w:bookmarkStart w:id="93" w:name="_Toc29269"/>
      <w:r>
        <w:rPr>
          <w:rStyle w:val="29"/>
          <w:rFonts w:hint="eastAsia" w:ascii="仿宋" w:hAnsi="仿宋" w:eastAsia="仿宋"/>
          <w:b w:val="0"/>
          <w:bCs w:val="0"/>
        </w:rPr>
        <w:t>十一、</w:t>
      </w:r>
      <w:bookmarkEnd w:id="92"/>
      <w:r>
        <w:rPr>
          <w:rFonts w:hint="eastAsia" w:ascii="仿宋" w:hAnsi="仿宋" w:eastAsia="仿宋"/>
          <w:b w:val="0"/>
        </w:rPr>
        <w:t>国</w:t>
      </w:r>
      <w:r>
        <w:rPr>
          <w:rStyle w:val="29"/>
          <w:rFonts w:hint="eastAsia" w:ascii="仿宋" w:hAnsi="仿宋" w:eastAsia="仿宋"/>
          <w:b w:val="0"/>
          <w:bCs w:val="0"/>
        </w:rPr>
        <w:t>有资本经营预算财政拨款收入支出决算表</w:t>
      </w:r>
      <w:bookmarkEnd w:id="93"/>
    </w:p>
    <w:p>
      <w:pPr>
        <w:pStyle w:val="6"/>
        <w:keepNext/>
        <w:keepLines/>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rPr>
      </w:pPr>
      <w:bookmarkStart w:id="94" w:name="_Toc15396630"/>
      <w:bookmarkStart w:id="95" w:name="_Toc18821"/>
      <w:r>
        <w:rPr>
          <w:rStyle w:val="29"/>
          <w:rFonts w:hint="eastAsia" w:ascii="仿宋" w:hAnsi="仿宋" w:eastAsia="仿宋"/>
          <w:b w:val="0"/>
          <w:bCs w:val="0"/>
        </w:rPr>
        <w:t>十二、</w:t>
      </w:r>
      <w:bookmarkEnd w:id="94"/>
      <w:r>
        <w:rPr>
          <w:rStyle w:val="29"/>
          <w:rFonts w:hint="eastAsia" w:ascii="仿宋" w:hAnsi="仿宋" w:eastAsia="仿宋"/>
          <w:b w:val="0"/>
          <w:bCs w:val="0"/>
        </w:rPr>
        <w:t>国有资本经营预算财政拨款支出决算表</w:t>
      </w:r>
      <w:bookmarkEnd w:id="95"/>
    </w:p>
    <w:p>
      <w:pPr>
        <w:pStyle w:val="6"/>
        <w:keepNext/>
        <w:keepLines/>
        <w:pageBreakBefore w:val="0"/>
        <w:widowControl w:val="0"/>
        <w:kinsoku/>
        <w:wordWrap/>
        <w:overflowPunct/>
        <w:topLinePunct w:val="0"/>
        <w:autoSpaceDE/>
        <w:autoSpaceDN/>
        <w:bidi w:val="0"/>
        <w:adjustRightInd/>
        <w:snapToGrid/>
        <w:spacing w:before="0" w:after="0" w:line="600" w:lineRule="exact"/>
        <w:textAlignment w:val="auto"/>
        <w:rPr>
          <w:rFonts w:eastAsia="仿宋"/>
        </w:rPr>
      </w:pPr>
      <w:bookmarkStart w:id="96" w:name="_Toc15396631"/>
      <w:bookmarkStart w:id="97" w:name="_Toc2073"/>
      <w:r>
        <w:rPr>
          <w:rStyle w:val="29"/>
          <w:rFonts w:hint="eastAsia" w:ascii="仿宋" w:hAnsi="仿宋" w:eastAsia="仿宋"/>
          <w:b w:val="0"/>
          <w:bCs w:val="0"/>
        </w:rPr>
        <w:t>十三、</w:t>
      </w:r>
      <w:bookmarkEnd w:id="96"/>
      <w:r>
        <w:rPr>
          <w:rStyle w:val="29"/>
          <w:rFonts w:hint="eastAsia" w:ascii="仿宋" w:hAnsi="仿宋" w:eastAsia="仿宋"/>
          <w:b w:val="0"/>
          <w:bCs w:val="0"/>
        </w:rPr>
        <w:t>财政拨款“三公”经费支出决算表</w:t>
      </w:r>
      <w:bookmarkEnd w:id="97"/>
    </w:p>
    <w:sectPr>
      <w:footerReference r:id="rId11" w:type="first"/>
      <w:footerReference r:id="rId10" w:type="default"/>
      <w:pgSz w:w="11906" w:h="16838"/>
      <w:pgMar w:top="1440" w:right="1800" w:bottom="1440" w:left="1800" w:header="851" w:footer="992" w:gutter="0"/>
      <w:pgNumType w:start="4"/>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0" w:usb1="00000000" w:usb2="00000000" w:usb3="00000000" w:csb0="00000000" w:csb1="00000000"/>
  </w:font>
  <w:font w:name="方正小标宋简体">
    <w:panose1 w:val="02010600010101010101"/>
    <w:charset w:val="86"/>
    <w:family w:val="script"/>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2055" o:spid="_x0000_s2055"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sdt>
      <w:sdtPr>
        <w:id w:val="-1994781956"/>
        <w:showingPlcHdr/>
      </w:sdtPr>
      <w:sdtContent>
        <w:r>
          <w:rPr>
            <w:rFonts w:hint="eastAsia"/>
            <w:lang w:eastAsia="zh-CN"/>
          </w:rPr>
          <w:t xml:space="preserve">     </w:t>
        </w:r>
      </w:sdtContent>
    </w:sdt>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2056" o:spid="_x0000_s2056"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2059" o:spid="_x0000_s2059"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sdt>
      <w:sdtPr>
        <w:id w:val="147464566"/>
        <w:showingPlcHdr/>
      </w:sdtPr>
      <w:sdtContent>
        <w:r>
          <w:rPr>
            <w:rFonts w:hint="eastAsia"/>
            <w:lang w:eastAsia="zh-CN"/>
          </w:rPr>
          <w:t xml:space="preserve">     </w:t>
        </w:r>
      </w:sdtContent>
    </w:sdt>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2060" o:spid="_x0000_s2060"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2057" o:spid="_x0000_s2057"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sdt>
      <w:sdtPr>
        <w:id w:val="147451271"/>
        <w:showingPlcHdr/>
      </w:sdtPr>
      <w:sdtContent>
        <w:r>
          <w:rPr>
            <w:rFonts w:hint="eastAsia"/>
            <w:lang w:eastAsia="zh-CN"/>
          </w:rPr>
          <w:t xml:space="preserve">     </w:t>
        </w:r>
      </w:sdtContent>
    </w:sdt>
  </w:p>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2058" o:spid="_x0000_s2058"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2053" o:spid="_x0000_s205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w:r>
    <w:sdt>
      <w:sdtPr>
        <w:id w:val="147466712"/>
        <w:showingPlcHdr/>
      </w:sdtPr>
      <w:sdtContent>
        <w:r>
          <w:rPr>
            <w:rFonts w:hint="eastAsia"/>
            <w:lang w:eastAsia="zh-CN"/>
          </w:rPr>
          <w:t xml:space="preserve">     </w:t>
        </w:r>
      </w:sdtContent>
    </w:sdt>
  </w:p>
  <w:p>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2054" o:spid="_x0000_s2054"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121E1"/>
    <w:multiLevelType w:val="singleLevel"/>
    <w:tmpl w:val="829121E1"/>
    <w:lvl w:ilvl="0" w:tentative="0">
      <w:start w:val="2"/>
      <w:numFmt w:val="chineseCounting"/>
      <w:suff w:val="nothing"/>
      <w:lvlText w:val="（%1）"/>
      <w:lvlJc w:val="left"/>
      <w:rPr>
        <w:rFonts w:hint="eastAsia"/>
      </w:rPr>
    </w:lvl>
  </w:abstractNum>
  <w:abstractNum w:abstractNumId="1">
    <w:nsid w:val="BF9446D1"/>
    <w:multiLevelType w:val="multilevel"/>
    <w:tmpl w:val="BF9446D1"/>
    <w:lvl w:ilvl="0" w:tentative="0">
      <w:start w:val="1"/>
      <w:numFmt w:val="japaneseCounting"/>
      <w:suff w:val="nothing"/>
      <w:lvlText w:val="%1、"/>
      <w:lvlJc w:val="left"/>
      <w:pPr>
        <w:ind w:left="0" w:leftChars="0" w:firstLine="0" w:firstLineChars="0"/>
      </w:pPr>
      <w:rPr>
        <w:rFonts w:hint="eastAsia"/>
        <w:b w:val="0"/>
        <w:lang w:val="en-US"/>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3818A09A"/>
    <w:multiLevelType w:val="singleLevel"/>
    <w:tmpl w:val="3818A09A"/>
    <w:lvl w:ilvl="0" w:tentative="0">
      <w:start w:val="1"/>
      <w:numFmt w:val="chineseCounting"/>
      <w:suff w:val="nothing"/>
      <w:lvlText w:val="%1、"/>
      <w:lvlJc w:val="left"/>
      <w:rPr>
        <w:rFonts w:hint="eastAsia"/>
        <w:lang w:val="en-US"/>
      </w:rPr>
    </w:lvl>
  </w:abstractNum>
  <w:abstractNum w:abstractNumId="4">
    <w:nsid w:val="55B5829A"/>
    <w:multiLevelType w:val="singleLevel"/>
    <w:tmpl w:val="55B5829A"/>
    <w:lvl w:ilvl="0" w:tentative="0">
      <w:start w:val="9"/>
      <w:numFmt w:val="chineseCounting"/>
      <w:suff w:val="nothing"/>
      <w:lvlText w:val="%1、"/>
      <w:lvlJc w:val="left"/>
      <w:pPr>
        <w:ind w:left="0" w:firstLine="0"/>
      </w:pPr>
      <w:rPr>
        <w:rFonts w:hint="eastAsia"/>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GU5YTk2NWU3OTRhNTU0YjZlNWE0ODExMjY4YzM0MTgifQ=="/>
  </w:docVars>
  <w:rsids>
    <w:rsidRoot w:val="00F1361C"/>
    <w:rsid w:val="00000197"/>
    <w:rsid w:val="0000085C"/>
    <w:rsid w:val="000129AF"/>
    <w:rsid w:val="000222C6"/>
    <w:rsid w:val="0002549F"/>
    <w:rsid w:val="0004091D"/>
    <w:rsid w:val="000468DB"/>
    <w:rsid w:val="000568C4"/>
    <w:rsid w:val="000601DE"/>
    <w:rsid w:val="0006487A"/>
    <w:rsid w:val="00065F8F"/>
    <w:rsid w:val="00070994"/>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0F4E"/>
    <w:rsid w:val="00114E9B"/>
    <w:rsid w:val="00126AB5"/>
    <w:rsid w:val="00142216"/>
    <w:rsid w:val="0014234F"/>
    <w:rsid w:val="00144D6A"/>
    <w:rsid w:val="0014729F"/>
    <w:rsid w:val="00157BAB"/>
    <w:rsid w:val="001654D1"/>
    <w:rsid w:val="00171D59"/>
    <w:rsid w:val="00174518"/>
    <w:rsid w:val="0018106D"/>
    <w:rsid w:val="001869F9"/>
    <w:rsid w:val="001877A7"/>
    <w:rsid w:val="00191536"/>
    <w:rsid w:val="00196687"/>
    <w:rsid w:val="001C0962"/>
    <w:rsid w:val="001D1A70"/>
    <w:rsid w:val="001D7409"/>
    <w:rsid w:val="001D7531"/>
    <w:rsid w:val="001E737D"/>
    <w:rsid w:val="001F0592"/>
    <w:rsid w:val="001F7506"/>
    <w:rsid w:val="002006CD"/>
    <w:rsid w:val="00202B36"/>
    <w:rsid w:val="00204B7A"/>
    <w:rsid w:val="00204CDE"/>
    <w:rsid w:val="0021101A"/>
    <w:rsid w:val="00220536"/>
    <w:rsid w:val="00235629"/>
    <w:rsid w:val="00251158"/>
    <w:rsid w:val="00260C38"/>
    <w:rsid w:val="002616C0"/>
    <w:rsid w:val="002627A9"/>
    <w:rsid w:val="00265372"/>
    <w:rsid w:val="00265C0C"/>
    <w:rsid w:val="002662AA"/>
    <w:rsid w:val="00276C67"/>
    <w:rsid w:val="00280496"/>
    <w:rsid w:val="00294DC9"/>
    <w:rsid w:val="00295495"/>
    <w:rsid w:val="002A31DE"/>
    <w:rsid w:val="002B2613"/>
    <w:rsid w:val="002D6D05"/>
    <w:rsid w:val="002F1818"/>
    <w:rsid w:val="002F567B"/>
    <w:rsid w:val="00301FF9"/>
    <w:rsid w:val="003076DA"/>
    <w:rsid w:val="00317A03"/>
    <w:rsid w:val="003216A9"/>
    <w:rsid w:val="00332CAB"/>
    <w:rsid w:val="00335A74"/>
    <w:rsid w:val="00343BD4"/>
    <w:rsid w:val="00353EDF"/>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0AA4"/>
    <w:rsid w:val="003E1310"/>
    <w:rsid w:val="003E6F55"/>
    <w:rsid w:val="003F49C1"/>
    <w:rsid w:val="00406254"/>
    <w:rsid w:val="00412CCA"/>
    <w:rsid w:val="004223DE"/>
    <w:rsid w:val="00434489"/>
    <w:rsid w:val="00437085"/>
    <w:rsid w:val="00443880"/>
    <w:rsid w:val="004464F4"/>
    <w:rsid w:val="00452CA2"/>
    <w:rsid w:val="00471283"/>
    <w:rsid w:val="00471401"/>
    <w:rsid w:val="00473F31"/>
    <w:rsid w:val="0048263A"/>
    <w:rsid w:val="00487E5D"/>
    <w:rsid w:val="00497761"/>
    <w:rsid w:val="004A711F"/>
    <w:rsid w:val="004B199D"/>
    <w:rsid w:val="004B4690"/>
    <w:rsid w:val="004C4109"/>
    <w:rsid w:val="004E0A2D"/>
    <w:rsid w:val="004E206B"/>
    <w:rsid w:val="004E6DF7"/>
    <w:rsid w:val="004F0FBD"/>
    <w:rsid w:val="0050531D"/>
    <w:rsid w:val="00505A47"/>
    <w:rsid w:val="00507B72"/>
    <w:rsid w:val="00512FDA"/>
    <w:rsid w:val="00514409"/>
    <w:rsid w:val="00520DA0"/>
    <w:rsid w:val="00563096"/>
    <w:rsid w:val="005664BB"/>
    <w:rsid w:val="00566FFA"/>
    <w:rsid w:val="0057481D"/>
    <w:rsid w:val="00582D72"/>
    <w:rsid w:val="0058486E"/>
    <w:rsid w:val="00585B33"/>
    <w:rsid w:val="0059014D"/>
    <w:rsid w:val="005A106F"/>
    <w:rsid w:val="005B5587"/>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66520"/>
    <w:rsid w:val="006748A4"/>
    <w:rsid w:val="00681A31"/>
    <w:rsid w:val="00683E73"/>
    <w:rsid w:val="006A3141"/>
    <w:rsid w:val="006A5E34"/>
    <w:rsid w:val="006B2422"/>
    <w:rsid w:val="006B2B9A"/>
    <w:rsid w:val="006B643F"/>
    <w:rsid w:val="006C1937"/>
    <w:rsid w:val="006C62FC"/>
    <w:rsid w:val="006D2ADA"/>
    <w:rsid w:val="006E33CD"/>
    <w:rsid w:val="006F020C"/>
    <w:rsid w:val="007127B7"/>
    <w:rsid w:val="0071798E"/>
    <w:rsid w:val="007416B6"/>
    <w:rsid w:val="00746F48"/>
    <w:rsid w:val="0075404D"/>
    <w:rsid w:val="0076182A"/>
    <w:rsid w:val="00767B7E"/>
    <w:rsid w:val="007770C3"/>
    <w:rsid w:val="00784D24"/>
    <w:rsid w:val="00785FBA"/>
    <w:rsid w:val="00786E4A"/>
    <w:rsid w:val="007875EB"/>
    <w:rsid w:val="00792BB4"/>
    <w:rsid w:val="0079426B"/>
    <w:rsid w:val="007A07C5"/>
    <w:rsid w:val="007A5833"/>
    <w:rsid w:val="007C01C7"/>
    <w:rsid w:val="007D1682"/>
    <w:rsid w:val="007D312A"/>
    <w:rsid w:val="007D3F19"/>
    <w:rsid w:val="007E23B0"/>
    <w:rsid w:val="007E23E5"/>
    <w:rsid w:val="007F1991"/>
    <w:rsid w:val="007F2C2F"/>
    <w:rsid w:val="007F55FC"/>
    <w:rsid w:val="007F5665"/>
    <w:rsid w:val="00800112"/>
    <w:rsid w:val="00813348"/>
    <w:rsid w:val="008253BB"/>
    <w:rsid w:val="00834E7C"/>
    <w:rsid w:val="0083706E"/>
    <w:rsid w:val="008408F6"/>
    <w:rsid w:val="008423A5"/>
    <w:rsid w:val="00847977"/>
    <w:rsid w:val="00850625"/>
    <w:rsid w:val="00853718"/>
    <w:rsid w:val="00855221"/>
    <w:rsid w:val="00860645"/>
    <w:rsid w:val="00871716"/>
    <w:rsid w:val="00871F71"/>
    <w:rsid w:val="00872FD8"/>
    <w:rsid w:val="00885AF4"/>
    <w:rsid w:val="008939CD"/>
    <w:rsid w:val="00893D5D"/>
    <w:rsid w:val="008A4EC0"/>
    <w:rsid w:val="008B768C"/>
    <w:rsid w:val="008C4DB1"/>
    <w:rsid w:val="008C4EAF"/>
    <w:rsid w:val="008C5176"/>
    <w:rsid w:val="008C7FD0"/>
    <w:rsid w:val="008E1DE7"/>
    <w:rsid w:val="008E707C"/>
    <w:rsid w:val="00900B08"/>
    <w:rsid w:val="00902155"/>
    <w:rsid w:val="00902FA3"/>
    <w:rsid w:val="009039BE"/>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58FE"/>
    <w:rsid w:val="009B7573"/>
    <w:rsid w:val="009C22F4"/>
    <w:rsid w:val="009C2A4B"/>
    <w:rsid w:val="009C2E98"/>
    <w:rsid w:val="009D3447"/>
    <w:rsid w:val="009D4711"/>
    <w:rsid w:val="009F1185"/>
    <w:rsid w:val="009F18CD"/>
    <w:rsid w:val="009F2A13"/>
    <w:rsid w:val="009F7527"/>
    <w:rsid w:val="00A01AF7"/>
    <w:rsid w:val="00A04EB0"/>
    <w:rsid w:val="00A13CC1"/>
    <w:rsid w:val="00A16847"/>
    <w:rsid w:val="00A237D8"/>
    <w:rsid w:val="00A268C4"/>
    <w:rsid w:val="00A307CD"/>
    <w:rsid w:val="00A331C8"/>
    <w:rsid w:val="00A3433E"/>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CCE"/>
    <w:rsid w:val="00AD5620"/>
    <w:rsid w:val="00AD656B"/>
    <w:rsid w:val="00AD7C1B"/>
    <w:rsid w:val="00AE16BA"/>
    <w:rsid w:val="00AE1EBE"/>
    <w:rsid w:val="00B03C9D"/>
    <w:rsid w:val="00B03D10"/>
    <w:rsid w:val="00B060AE"/>
    <w:rsid w:val="00B10517"/>
    <w:rsid w:val="00B14E76"/>
    <w:rsid w:val="00B161B8"/>
    <w:rsid w:val="00B2048C"/>
    <w:rsid w:val="00B27B09"/>
    <w:rsid w:val="00B310B9"/>
    <w:rsid w:val="00B35F3F"/>
    <w:rsid w:val="00B36CBB"/>
    <w:rsid w:val="00B425E0"/>
    <w:rsid w:val="00B440AA"/>
    <w:rsid w:val="00B44B70"/>
    <w:rsid w:val="00B4590A"/>
    <w:rsid w:val="00B53C56"/>
    <w:rsid w:val="00B57DAF"/>
    <w:rsid w:val="00B77EA6"/>
    <w:rsid w:val="00B81598"/>
    <w:rsid w:val="00B841F1"/>
    <w:rsid w:val="00B944D6"/>
    <w:rsid w:val="00BB4DF0"/>
    <w:rsid w:val="00BC289F"/>
    <w:rsid w:val="00BC2D50"/>
    <w:rsid w:val="00BC5361"/>
    <w:rsid w:val="00BC5460"/>
    <w:rsid w:val="00BC6B50"/>
    <w:rsid w:val="00BD0E25"/>
    <w:rsid w:val="00BD2D4F"/>
    <w:rsid w:val="00BF176B"/>
    <w:rsid w:val="00BF5BD6"/>
    <w:rsid w:val="00C03E31"/>
    <w:rsid w:val="00C12F14"/>
    <w:rsid w:val="00C33E72"/>
    <w:rsid w:val="00C354B2"/>
    <w:rsid w:val="00C35554"/>
    <w:rsid w:val="00C35C3C"/>
    <w:rsid w:val="00C42709"/>
    <w:rsid w:val="00C45138"/>
    <w:rsid w:val="00C533CC"/>
    <w:rsid w:val="00C54619"/>
    <w:rsid w:val="00C5751C"/>
    <w:rsid w:val="00C61BFC"/>
    <w:rsid w:val="00C62B85"/>
    <w:rsid w:val="00C65438"/>
    <w:rsid w:val="00C811F6"/>
    <w:rsid w:val="00C87FD8"/>
    <w:rsid w:val="00C91381"/>
    <w:rsid w:val="00C91CBB"/>
    <w:rsid w:val="00CB4E70"/>
    <w:rsid w:val="00CC09B6"/>
    <w:rsid w:val="00CC666F"/>
    <w:rsid w:val="00CD1E3F"/>
    <w:rsid w:val="00CE44F6"/>
    <w:rsid w:val="00CE49DA"/>
    <w:rsid w:val="00CE7B61"/>
    <w:rsid w:val="00CF0538"/>
    <w:rsid w:val="00CF15C1"/>
    <w:rsid w:val="00D00095"/>
    <w:rsid w:val="00D032AE"/>
    <w:rsid w:val="00D114F0"/>
    <w:rsid w:val="00D20620"/>
    <w:rsid w:val="00D21F62"/>
    <w:rsid w:val="00D254F7"/>
    <w:rsid w:val="00D26091"/>
    <w:rsid w:val="00D2685C"/>
    <w:rsid w:val="00D34E7C"/>
    <w:rsid w:val="00D35489"/>
    <w:rsid w:val="00D36AFE"/>
    <w:rsid w:val="00D51276"/>
    <w:rsid w:val="00D554B1"/>
    <w:rsid w:val="00D7035F"/>
    <w:rsid w:val="00DA634F"/>
    <w:rsid w:val="00DA65AC"/>
    <w:rsid w:val="00DB1913"/>
    <w:rsid w:val="00DB5184"/>
    <w:rsid w:val="00DC410D"/>
    <w:rsid w:val="00DC5A81"/>
    <w:rsid w:val="00DC68CA"/>
    <w:rsid w:val="00DC7CBA"/>
    <w:rsid w:val="00DD73B7"/>
    <w:rsid w:val="00DF28BC"/>
    <w:rsid w:val="00DF34B9"/>
    <w:rsid w:val="00E01053"/>
    <w:rsid w:val="00E07ACF"/>
    <w:rsid w:val="00E13F5C"/>
    <w:rsid w:val="00E22AB8"/>
    <w:rsid w:val="00E331A1"/>
    <w:rsid w:val="00E33202"/>
    <w:rsid w:val="00E336A9"/>
    <w:rsid w:val="00E472B1"/>
    <w:rsid w:val="00E50624"/>
    <w:rsid w:val="00E568DF"/>
    <w:rsid w:val="00E6053E"/>
    <w:rsid w:val="00E64269"/>
    <w:rsid w:val="00E64C86"/>
    <w:rsid w:val="00E67D93"/>
    <w:rsid w:val="00E82267"/>
    <w:rsid w:val="00E853CE"/>
    <w:rsid w:val="00E867B6"/>
    <w:rsid w:val="00EA010F"/>
    <w:rsid w:val="00EA59DB"/>
    <w:rsid w:val="00EB5BA2"/>
    <w:rsid w:val="00ED1B63"/>
    <w:rsid w:val="00ED3C1F"/>
    <w:rsid w:val="00ED4085"/>
    <w:rsid w:val="00ED420E"/>
    <w:rsid w:val="00ED4693"/>
    <w:rsid w:val="00ED6FBE"/>
    <w:rsid w:val="00EE2F57"/>
    <w:rsid w:val="00EF4C34"/>
    <w:rsid w:val="00EF77C6"/>
    <w:rsid w:val="00F05438"/>
    <w:rsid w:val="00F1361C"/>
    <w:rsid w:val="00F156F0"/>
    <w:rsid w:val="00F160C7"/>
    <w:rsid w:val="00F2408F"/>
    <w:rsid w:val="00F240E9"/>
    <w:rsid w:val="00F31E25"/>
    <w:rsid w:val="00F36D8F"/>
    <w:rsid w:val="00F417B1"/>
    <w:rsid w:val="00F45853"/>
    <w:rsid w:val="00F602DF"/>
    <w:rsid w:val="00F61A20"/>
    <w:rsid w:val="00F65502"/>
    <w:rsid w:val="00F754A1"/>
    <w:rsid w:val="00F81FD9"/>
    <w:rsid w:val="00F841AA"/>
    <w:rsid w:val="00F84A94"/>
    <w:rsid w:val="00F87E96"/>
    <w:rsid w:val="00FA0DC1"/>
    <w:rsid w:val="00FA19EB"/>
    <w:rsid w:val="00FA23E8"/>
    <w:rsid w:val="00FD3A02"/>
    <w:rsid w:val="00FD3CC1"/>
    <w:rsid w:val="00FF1E02"/>
    <w:rsid w:val="00FF30B4"/>
    <w:rsid w:val="00FF4449"/>
    <w:rsid w:val="01FF3BC3"/>
    <w:rsid w:val="030C4889"/>
    <w:rsid w:val="051C2E67"/>
    <w:rsid w:val="053A62B5"/>
    <w:rsid w:val="05DB04A3"/>
    <w:rsid w:val="05F20179"/>
    <w:rsid w:val="0A2032A3"/>
    <w:rsid w:val="0A4D5D26"/>
    <w:rsid w:val="0A951569"/>
    <w:rsid w:val="0B136931"/>
    <w:rsid w:val="0B846FA1"/>
    <w:rsid w:val="0B8A37D8"/>
    <w:rsid w:val="0DF26CD2"/>
    <w:rsid w:val="10C055FF"/>
    <w:rsid w:val="118107EC"/>
    <w:rsid w:val="11DD6519"/>
    <w:rsid w:val="154F455D"/>
    <w:rsid w:val="16BB723D"/>
    <w:rsid w:val="18015F3F"/>
    <w:rsid w:val="18E941B3"/>
    <w:rsid w:val="19345141"/>
    <w:rsid w:val="1BE8440E"/>
    <w:rsid w:val="1D155CEE"/>
    <w:rsid w:val="1FDE78E5"/>
    <w:rsid w:val="20F57F95"/>
    <w:rsid w:val="22FD46E0"/>
    <w:rsid w:val="240371BF"/>
    <w:rsid w:val="25711CC6"/>
    <w:rsid w:val="25C741E6"/>
    <w:rsid w:val="27842671"/>
    <w:rsid w:val="29516CBA"/>
    <w:rsid w:val="29FD04D3"/>
    <w:rsid w:val="2A090701"/>
    <w:rsid w:val="2ABE7A3E"/>
    <w:rsid w:val="2BE27D7B"/>
    <w:rsid w:val="2CA234A8"/>
    <w:rsid w:val="2D6107C8"/>
    <w:rsid w:val="2EFA178C"/>
    <w:rsid w:val="2F2779BE"/>
    <w:rsid w:val="30B46D73"/>
    <w:rsid w:val="319F7F4E"/>
    <w:rsid w:val="33E15DC7"/>
    <w:rsid w:val="383D272C"/>
    <w:rsid w:val="39AE70AB"/>
    <w:rsid w:val="3AD14EB6"/>
    <w:rsid w:val="3BA73AE0"/>
    <w:rsid w:val="3BDD426E"/>
    <w:rsid w:val="3C0C0783"/>
    <w:rsid w:val="3F9F3A96"/>
    <w:rsid w:val="40E60539"/>
    <w:rsid w:val="426A106D"/>
    <w:rsid w:val="473A07C7"/>
    <w:rsid w:val="48BF60AB"/>
    <w:rsid w:val="493C27E9"/>
    <w:rsid w:val="496F39ED"/>
    <w:rsid w:val="49FF41D3"/>
    <w:rsid w:val="4BE068DB"/>
    <w:rsid w:val="4BF6002B"/>
    <w:rsid w:val="4ECE2238"/>
    <w:rsid w:val="4F9366B7"/>
    <w:rsid w:val="50472944"/>
    <w:rsid w:val="518F1B3F"/>
    <w:rsid w:val="51DB4B86"/>
    <w:rsid w:val="522B58DB"/>
    <w:rsid w:val="534A7FE3"/>
    <w:rsid w:val="53A62F24"/>
    <w:rsid w:val="53F03B81"/>
    <w:rsid w:val="545804DE"/>
    <w:rsid w:val="55333C3E"/>
    <w:rsid w:val="558D23E6"/>
    <w:rsid w:val="56FD753C"/>
    <w:rsid w:val="5A0174AA"/>
    <w:rsid w:val="5A7024AF"/>
    <w:rsid w:val="64CA39A1"/>
    <w:rsid w:val="652753C3"/>
    <w:rsid w:val="65947F96"/>
    <w:rsid w:val="66DB7BF9"/>
    <w:rsid w:val="68DC28D0"/>
    <w:rsid w:val="69630ADE"/>
    <w:rsid w:val="6C4A05C8"/>
    <w:rsid w:val="6CF07E74"/>
    <w:rsid w:val="6D3B1A89"/>
    <w:rsid w:val="6E256FBB"/>
    <w:rsid w:val="6FA67EF8"/>
    <w:rsid w:val="70473489"/>
    <w:rsid w:val="71BF4EC2"/>
    <w:rsid w:val="72734D90"/>
    <w:rsid w:val="72AD5DB9"/>
    <w:rsid w:val="731772EA"/>
    <w:rsid w:val="7412278C"/>
    <w:rsid w:val="75B86CFD"/>
    <w:rsid w:val="773A5BF3"/>
    <w:rsid w:val="77CF6343"/>
    <w:rsid w:val="79E7B28D"/>
    <w:rsid w:val="7B9F23CB"/>
    <w:rsid w:val="7BC87BF1"/>
    <w:rsid w:val="7E1C6D3B"/>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unhideWhenUsed/>
    <w:qFormat/>
    <w:uiPriority w:val="99"/>
    <w:pPr>
      <w:snapToGrid w:val="0"/>
      <w:jc w:val="left"/>
    </w:pPr>
    <w:rPr>
      <w:sz w:val="18"/>
      <w:szCs w:val="18"/>
    </w:rPr>
  </w:style>
  <w:style w:type="paragraph" w:styleId="3">
    <w:name w:val="Body Text First Indent 2"/>
    <w:basedOn w:val="4"/>
    <w:semiHidden/>
    <w:unhideWhenUsed/>
    <w:qFormat/>
    <w:uiPriority w:val="99"/>
    <w:pPr>
      <w:ind w:firstLine="420" w:firstLineChars="200"/>
    </w:pPr>
  </w:style>
  <w:style w:type="paragraph" w:styleId="4">
    <w:name w:val="Body Text Indent"/>
    <w:basedOn w:val="1"/>
    <w:next w:val="3"/>
    <w:semiHidden/>
    <w:unhideWhenUsed/>
    <w:qFormat/>
    <w:uiPriority w:val="99"/>
    <w:pPr>
      <w:spacing w:after="120"/>
      <w:ind w:leftChars="200"/>
    </w:pPr>
    <w:rPr>
      <w:rFonts w:ascii="仿宋_GB2312"/>
      <w:szCs w:val="32"/>
    </w:rPr>
  </w:style>
  <w:style w:type="paragraph" w:styleId="8">
    <w:name w:val="annotation text"/>
    <w:basedOn w:val="1"/>
    <w:link w:val="34"/>
    <w:semiHidden/>
    <w:unhideWhenUsed/>
    <w:qFormat/>
    <w:uiPriority w:val="99"/>
    <w:pPr>
      <w:jc w:val="left"/>
    </w:pPr>
  </w:style>
  <w:style w:type="paragraph" w:styleId="9">
    <w:name w:val="Body Text"/>
    <w:basedOn w:val="1"/>
    <w:link w:val="25"/>
    <w:semiHidden/>
    <w:unhideWhenUsed/>
    <w:qFormat/>
    <w:uiPriority w:val="99"/>
    <w:pPr>
      <w:spacing w:beforeLines="30"/>
    </w:pPr>
    <w:rPr>
      <w:rFonts w:ascii="仿宋_GB2312" w:eastAsia="仿宋_GB2312"/>
      <w:kern w:val="0"/>
      <w:sz w:val="30"/>
    </w:rPr>
  </w:style>
  <w:style w:type="paragraph" w:styleId="10">
    <w:name w:val="toc 3"/>
    <w:basedOn w:val="1"/>
    <w:next w:val="1"/>
    <w:semiHidden/>
    <w:unhideWhenUsed/>
    <w:qFormat/>
    <w:uiPriority w:val="39"/>
    <w:pPr>
      <w:tabs>
        <w:tab w:val="right" w:leader="dot" w:pos="8296"/>
      </w:tabs>
      <w:ind w:left="840" w:leftChars="400"/>
    </w:pPr>
  </w:style>
  <w:style w:type="paragraph" w:styleId="11">
    <w:name w:val="Balloon Text"/>
    <w:basedOn w:val="1"/>
    <w:link w:val="31"/>
    <w:semiHidden/>
    <w:unhideWhenUsed/>
    <w:qFormat/>
    <w:uiPriority w:val="99"/>
    <w:rPr>
      <w:sz w:val="18"/>
      <w:szCs w:val="18"/>
    </w:rPr>
  </w:style>
  <w:style w:type="paragraph" w:styleId="12">
    <w:name w:val="footer"/>
    <w:basedOn w:val="1"/>
    <w:link w:val="23"/>
    <w:semiHidden/>
    <w:unhideWhenUsed/>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1"/>
    <w:semiHidden/>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semiHidden/>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semiHidden/>
    <w:unhideWhenUsed/>
    <w:qFormat/>
    <w:uiPriority w:val="39"/>
    <w:pPr>
      <w:tabs>
        <w:tab w:val="right" w:leader="dot" w:pos="8296"/>
      </w:tabs>
      <w:ind w:left="420" w:leftChars="200"/>
    </w:pPr>
  </w:style>
  <w:style w:type="character" w:styleId="18">
    <w:name w:val="Strong"/>
    <w:basedOn w:val="17"/>
    <w:qFormat/>
    <w:uiPriority w:val="22"/>
    <w:rPr>
      <w:b/>
    </w:rPr>
  </w:style>
  <w:style w:type="character" w:styleId="19">
    <w:name w:val="Hyperlink"/>
    <w:basedOn w:val="17"/>
    <w:semiHidden/>
    <w:unhideWhenUsed/>
    <w:qFormat/>
    <w:uiPriority w:val="99"/>
    <w:rPr>
      <w:color w:val="0000FF" w:themeColor="hyperlink"/>
      <w:u w:val="single"/>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字符"/>
    <w:link w:val="13"/>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字符"/>
    <w:link w:val="12"/>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字符"/>
    <w:link w:val="9"/>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7"/>
    <w:link w:val="5"/>
    <w:qFormat/>
    <w:uiPriority w:val="9"/>
    <w:rPr>
      <w:rFonts w:ascii="Times New Roman" w:hAnsi="Times New Roman"/>
      <w:b/>
      <w:bCs/>
      <w:kern w:val="44"/>
      <w:sz w:val="44"/>
      <w:szCs w:val="44"/>
    </w:rPr>
  </w:style>
  <w:style w:type="character" w:customStyle="1" w:styleId="29">
    <w:name w:val="标题 2 字符"/>
    <w:basedOn w:val="17"/>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字符"/>
    <w:basedOn w:val="17"/>
    <w:link w:val="11"/>
    <w:semiHidden/>
    <w:qFormat/>
    <w:uiPriority w:val="99"/>
    <w:rPr>
      <w:rFonts w:ascii="Times New Roman" w:hAnsi="Times New Roman"/>
      <w:kern w:val="2"/>
      <w:sz w:val="18"/>
      <w:szCs w:val="18"/>
    </w:rPr>
  </w:style>
  <w:style w:type="character" w:customStyle="1" w:styleId="32">
    <w:name w:val="标题 3 字符"/>
    <w:basedOn w:val="17"/>
    <w:link w:val="7"/>
    <w:qFormat/>
    <w:uiPriority w:val="9"/>
    <w:rPr>
      <w:rFonts w:ascii="Times New Roman" w:hAnsi="Times New Roman"/>
      <w:b/>
      <w:bCs/>
      <w:kern w:val="2"/>
      <w:sz w:val="32"/>
      <w:szCs w:val="32"/>
    </w:rPr>
  </w:style>
  <w:style w:type="paragraph" w:customStyle="1" w:styleId="33">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批注文字 字符"/>
    <w:basedOn w:val="17"/>
    <w:link w:val="8"/>
    <w:semiHidden/>
    <w:qFormat/>
    <w:uiPriority w:val="99"/>
    <w:rPr>
      <w:rFonts w:ascii="Times New Roman" w:hAnsi="Times New Roman" w:eastAsia="宋体" w:cs="Times New Roman"/>
      <w:kern w:val="2"/>
      <w:sz w:val="21"/>
      <w:szCs w:val="24"/>
    </w:rPr>
  </w:style>
  <w:style w:type="paragraph" w:customStyle="1" w:styleId="35">
    <w:name w:val="分类号"/>
    <w:basedOn w:val="1"/>
    <w:qFormat/>
    <w:uiPriority w:val="0"/>
    <w:rPr>
      <w:rFonts w:ascii="仿宋_GB2312" w:eastAsia="仿宋_GB2312"/>
      <w:sz w:val="28"/>
      <w:szCs w:val="28"/>
    </w:rPr>
  </w:style>
  <w:style w:type="paragraph" w:customStyle="1" w:styleId="36">
    <w:name w:val="封面日期"/>
    <w:basedOn w:val="1"/>
    <w:qFormat/>
    <w:uiPriority w:val="0"/>
    <w:pPr>
      <w:jc w:val="center"/>
    </w:pPr>
    <w:rPr>
      <w:rFonts w:ascii="黑体" w:eastAsia="黑体"/>
      <w:sz w:val="32"/>
      <w:szCs w:val="32"/>
    </w:rPr>
  </w:style>
  <w:style w:type="paragraph" w:customStyle="1" w:styleId="37">
    <w:name w:val="论文标题"/>
    <w:basedOn w:val="1"/>
    <w:qFormat/>
    <w:uiPriority w:val="0"/>
    <w:pPr>
      <w:jc w:val="center"/>
    </w:pPr>
    <w:rPr>
      <w:rFonts w:eastAsia="楷体_GB2312"/>
      <w:b/>
      <w:kern w:val="36"/>
      <w:sz w:val="52"/>
      <w:szCs w:val="52"/>
    </w:rPr>
  </w:style>
  <w:style w:type="paragraph" w:customStyle="1" w:styleId="38">
    <w:name w:val="硕士学位论文"/>
    <w:basedOn w:val="1"/>
    <w:qFormat/>
    <w:uiPriority w:val="0"/>
    <w:pPr>
      <w:spacing w:before="240"/>
      <w:jc w:val="center"/>
    </w:pPr>
    <w:rPr>
      <w:sz w:val="44"/>
      <w:szCs w:val="44"/>
    </w:rPr>
  </w:style>
  <w:style w:type="paragraph" w:customStyle="1" w:styleId="39">
    <w:name w:val="研究生姓名"/>
    <w:basedOn w:val="1"/>
    <w:qFormat/>
    <w:uiPriority w:val="0"/>
    <w:pPr>
      <w:ind w:firstLine="700" w:firstLineChars="700"/>
    </w:pPr>
    <w:rPr>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年收支决算总计变动图</a:t>
            </a:r>
            <a:endParaRPr lang="zh-CN" altLang="en-US"/>
          </a:p>
        </c:rich>
      </c:tx>
      <c:layout/>
      <c:overlay val="0"/>
      <c:spPr>
        <a:noFill/>
        <a:ln>
          <a:noFill/>
        </a:ln>
        <a:effectLst/>
      </c:spPr>
    </c:title>
    <c:autoTitleDeleted val="0"/>
    <c:plotArea>
      <c:layout>
        <c:manualLayout>
          <c:layoutTarget val="inner"/>
          <c:xMode val="edge"/>
          <c:yMode val="edge"/>
          <c:x val="0.0648446905851192"/>
          <c:y val="0.155417956656347"/>
          <c:w val="0.908668432458464"/>
          <c:h val="0.562930856553148"/>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c:v>
                </c:pt>
                <c:pt idx="1">
                  <c:v>支出</c:v>
                </c:pt>
              </c:strCache>
            </c:strRef>
          </c:cat>
          <c:val>
            <c:numRef>
              <c:f>Sheet1!$B$2:$B$5</c:f>
              <c:numCache>
                <c:formatCode>General</c:formatCode>
                <c:ptCount val="4"/>
                <c:pt idx="0">
                  <c:v>370.06</c:v>
                </c:pt>
                <c:pt idx="1">
                  <c:v>370.06</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c:v>
                </c:pt>
                <c:pt idx="1">
                  <c:v>支出</c:v>
                </c:pt>
              </c:strCache>
            </c:strRef>
          </c:cat>
          <c:val>
            <c:numRef>
              <c:f>Sheet1!$C$2:$C$5</c:f>
              <c:numCache>
                <c:formatCode>General</c:formatCode>
                <c:ptCount val="4"/>
                <c:pt idx="0">
                  <c:v>419.79</c:v>
                </c:pt>
                <c:pt idx="1">
                  <c:v>419.79</c:v>
                </c:pt>
              </c:numCache>
            </c:numRef>
          </c:val>
        </c:ser>
        <c:dLbls>
          <c:showLegendKey val="0"/>
          <c:showVal val="0"/>
          <c:showCatName val="0"/>
          <c:showSerName val="0"/>
          <c:showPercent val="0"/>
          <c:showBubbleSize val="0"/>
        </c:dLbls>
        <c:gapWidth val="219"/>
        <c:overlap val="-27"/>
        <c:axId val="520181976"/>
        <c:axId val="520183288"/>
      </c:barChart>
      <c:catAx>
        <c:axId val="520181976"/>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764301870766034"/>
              <c:y val="0.88493243298148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0183288"/>
        <c:crosses val="autoZero"/>
        <c:auto val="1"/>
        <c:lblAlgn val="ctr"/>
        <c:lblOffset val="100"/>
        <c:noMultiLvlLbl val="0"/>
      </c:catAx>
      <c:valAx>
        <c:axId val="520183288"/>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0181976"/>
        <c:crosses val="autoZero"/>
        <c:crossBetween val="between"/>
        <c:majorUnit val="1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202</a:t>
            </a:r>
            <a:r>
              <a:rPr lang="en-US" altLang="zh-CN"/>
              <a:t>4</a:t>
            </a:r>
            <a:r>
              <a:t>年收入决算结构图</a:t>
            </a:r>
          </a:p>
        </c:rich>
      </c:tx>
      <c:layout/>
      <c:overlay val="0"/>
      <c:spPr>
        <a:noFill/>
        <a:ln>
          <a:noFill/>
        </a:ln>
        <a:effectLst/>
      </c:spPr>
    </c:title>
    <c:autoTitleDeleted val="0"/>
    <c:plotArea>
      <c:layout/>
      <c:pieChart>
        <c:varyColors val="1"/>
        <c:ser>
          <c:idx val="0"/>
          <c:order val="0"/>
          <c:tx>
            <c:strRef>
              <c:f>Sheet1!$B$1</c:f>
              <c:strCache>
                <c:ptCount val="1"/>
                <c:pt idx="0">
                  <c:v>2024年收入决算结构图</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c:v>
                </c:pt>
              </c:strCache>
            </c:strRef>
          </c:cat>
          <c:val>
            <c:numRef>
              <c:f>Sheet1!$B$2</c:f>
              <c:numCache>
                <c:formatCode>General</c:formatCode>
                <c:ptCount val="1"/>
                <c:pt idx="0">
                  <c:v>419.79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04310516446701"/>
          <c:y val="0.797212159625558"/>
          <c:w val="0.78656298169808"/>
          <c:h val="0.202787840374442"/>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202</a:t>
            </a:r>
            <a:r>
              <a:rPr lang="en-US" altLang="zh-CN"/>
              <a:t>4</a:t>
            </a:r>
            <a:r>
              <a:t>年支出决算结构图</a:t>
            </a:r>
          </a:p>
        </c:rich>
      </c:tx>
      <c:layout>
        <c:manualLayout>
          <c:xMode val="edge"/>
          <c:yMode val="edge"/>
          <c:x val="0.332059447983015"/>
          <c:y val="0.0550550550550551"/>
        </c:manualLayout>
      </c:layout>
      <c:overlay val="0"/>
      <c:spPr>
        <a:noFill/>
        <a:ln>
          <a:noFill/>
        </a:ln>
        <a:effectLst/>
      </c:spPr>
    </c:title>
    <c:autoTitleDeleted val="0"/>
    <c:plotArea>
      <c:layout/>
      <c:pieChart>
        <c:varyColors val="1"/>
        <c:ser>
          <c:idx val="0"/>
          <c:order val="0"/>
          <c:tx>
            <c:strRef>
              <c:f>Sheet1!$B$1</c:f>
              <c:strCache>
                <c:ptCount val="1"/>
                <c:pt idx="0">
                  <c:v>2024年支出决算结构图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338.93</c:v>
                </c:pt>
                <c:pt idx="1">
                  <c:v>80.86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年财政拨款收支决算总计变动图</a:t>
            </a:r>
            <a:endParaRPr lang="zh-CN" altLang="en-US"/>
          </a:p>
        </c:rich>
      </c:tx>
      <c:layout>
        <c:manualLayout>
          <c:xMode val="edge"/>
          <c:yMode val="edge"/>
          <c:x val="0.189111896320477"/>
          <c:y val="0.053039796181058"/>
        </c:manualLayout>
      </c:layout>
      <c:overlay val="0"/>
      <c:spPr>
        <a:noFill/>
        <a:ln>
          <a:noFill/>
        </a:ln>
        <a:effectLst/>
      </c:spPr>
    </c:title>
    <c:autoTitleDeleted val="0"/>
    <c:plotArea>
      <c:layout>
        <c:manualLayout>
          <c:layoutTarget val="inner"/>
          <c:xMode val="edge"/>
          <c:yMode val="edge"/>
          <c:x val="0.0696763701803789"/>
          <c:y val="0.212852311161218"/>
          <c:w val="0.899951572112711"/>
          <c:h val="0.51752718621559"/>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370.06</c:v>
                </c:pt>
                <c:pt idx="1">
                  <c:v>370.06</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419.79</c:v>
                </c:pt>
                <c:pt idx="1">
                  <c:v>419.79</c:v>
                </c:pt>
              </c:numCache>
            </c:numRef>
          </c:val>
        </c:ser>
        <c:dLbls>
          <c:showLegendKey val="0"/>
          <c:showVal val="0"/>
          <c:showCatName val="0"/>
          <c:showSerName val="0"/>
          <c:showPercent val="0"/>
          <c:showBubbleSize val="0"/>
        </c:dLbls>
        <c:gapWidth val="219"/>
        <c:overlap val="-27"/>
        <c:axId val="674904896"/>
        <c:axId val="674906536"/>
      </c:barChart>
      <c:catAx>
        <c:axId val="674904896"/>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2590373811474"/>
              <c:y val="0.90135234223117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4906536"/>
        <c:crosses val="autoZero"/>
        <c:auto val="1"/>
        <c:lblAlgn val="ctr"/>
        <c:lblOffset val="100"/>
        <c:noMultiLvlLbl val="0"/>
      </c:catAx>
      <c:valAx>
        <c:axId val="674906536"/>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4904896"/>
        <c:crosses val="autoZero"/>
        <c:crossBetween val="between"/>
        <c:majorUnit val="1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年一般公共预算财政拨款支出决算变动图</a:t>
            </a:r>
            <a:endParaRPr lang="zh-CN" altLang="en-US"/>
          </a:p>
        </c:rich>
      </c:tx>
      <c:layout>
        <c:manualLayout>
          <c:xMode val="edge"/>
          <c:yMode val="edge"/>
          <c:x val="0.10243197688418"/>
          <c:y val="0.0288957688338493"/>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支出</c:v>
                </c:pt>
              </c:strCache>
            </c:strRef>
          </c:cat>
          <c:val>
            <c:numRef>
              <c:f>Sheet1!$B$2:$B$3</c:f>
              <c:numCache>
                <c:formatCode>General</c:formatCode>
                <c:ptCount val="2"/>
                <c:pt idx="0">
                  <c:v>370.06</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支出</c:v>
                </c:pt>
              </c:strCache>
            </c:strRef>
          </c:cat>
          <c:val>
            <c:numRef>
              <c:f>Sheet1!$C$2:$C$3</c:f>
              <c:numCache>
                <c:formatCode>General</c:formatCode>
                <c:ptCount val="2"/>
                <c:pt idx="0">
                  <c:v>419.79</c:v>
                </c:pt>
              </c:numCache>
            </c:numRef>
          </c:val>
        </c:ser>
        <c:dLbls>
          <c:showLegendKey val="0"/>
          <c:showVal val="0"/>
          <c:showCatName val="0"/>
          <c:showSerName val="0"/>
          <c:showPercent val="0"/>
          <c:showBubbleSize val="0"/>
        </c:dLbls>
        <c:gapWidth val="219"/>
        <c:overlap val="-27"/>
        <c:axId val="674900960"/>
        <c:axId val="674901616"/>
      </c:barChart>
      <c:catAx>
        <c:axId val="674900960"/>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778749258196807"/>
              <c:y val="0.76934935764608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4901616"/>
        <c:crosses val="autoZero"/>
        <c:auto val="1"/>
        <c:lblAlgn val="ctr"/>
        <c:lblOffset val="100"/>
        <c:noMultiLvlLbl val="0"/>
      </c:catAx>
      <c:valAx>
        <c:axId val="674901616"/>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4900960"/>
        <c:crosses val="autoZero"/>
        <c:crossBetween val="between"/>
        <c:majorUnit val="1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年一般公共预算财政拨款支出决算结构图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328.03</c:v>
                </c:pt>
                <c:pt idx="1">
                  <c:v>47.59</c:v>
                </c:pt>
                <c:pt idx="2">
                  <c:v>16.54</c:v>
                </c:pt>
                <c:pt idx="3">
                  <c:v>27.63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0686017061384611"/>
          <c:y val="0.865430791938133"/>
          <c:w val="0.788513050995302"/>
          <c:h val="0.0673522973866942"/>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lengthwise1"/>
      <sectRole val="1"/>
    </customSectPr>
    <customSectPr/>
    <customSectPr/>
    <customSectPr/>
  </customSectProps>
  <customShpExts>
    <customShpInfo spid="_x0000_s2055" textRotate="1"/>
    <customShpInfo spid="_x0000_s2056" textRotate="1"/>
    <customShpInfo spid="_x0000_s2059" textRotate="1"/>
    <customShpInfo spid="_x0000_s2060" textRotate="1"/>
    <customShpInfo spid="_x0000_s2057" textRotate="1"/>
    <customShpInfo spid="_x0000_s2058" textRotate="1"/>
    <customShpInfo spid="_x0000_s2053" textRotate="1"/>
    <customShpInfo spid="_x0000_s205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30</Pages>
  <Words>8130</Words>
  <Characters>8679</Characters>
  <Lines>14</Lines>
  <Paragraphs>21</Paragraphs>
  <TotalTime>0</TotalTime>
  <ScaleCrop>false</ScaleCrop>
  <LinksUpToDate>false</LinksUpToDate>
  <CharactersWithSpaces>8732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2024-08-24T02:14:00Z</dcterms:created>
  <dc:creator>曹颖</dc:creator>
  <cp:lastModifiedBy>Lenovo</cp:lastModifiedBy>
  <cp:lastPrinted>2023-07-31T02:35:00Z</cp:lastPrinted>
  <dcterms:modified xsi:type="dcterms:W3CDTF">2025-08-27T01:39:57Z</dcterms:modified>
  <dc:title>四川省***</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7E3BD630AD704617AC88F38CE5D9033A_12</vt:lpwstr>
  </property>
  <property fmtid="{D5CDD505-2E9C-101B-9397-08002B2CF9AE}" pid="4" name="KSOTemplateDocerSaveRecord">
    <vt:lpwstr>eyJoZGlkIjoiMDAxNDAxODlmZDk0ZWVhNjVhMDYyNGMyYTA0MTY1ZWIiLCJ1c2VySWQiOiI0NDE0OTc5MTEifQ==</vt:lpwstr>
  </property>
</Properties>
</file>