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charts/colors1.xml" ContentType="application/vnd.ms-office.chartcolorstyle+xml"/>
  <Override PartName="/word/charts/colors2.xml" ContentType="application/vnd.ms-office.chartcolorstyle+xml"/>
  <Override PartName="/word/charts/colors3.xml" ContentType="application/vnd.ms-office.chartcolorstyle+xml"/>
  <Override PartName="/word/charts/style1.xml" ContentType="application/vnd.ms-office.chartstyle+xml"/>
  <Override PartName="/word/charts/style2.xml" ContentType="application/vnd.ms-office.chartstyle+xml"/>
  <Override PartName="/word/charts/style3.xml" ContentType="application/vnd.ms-office.chartstyle+xml"/>
  <Override PartName="/word/document.xml" ContentType="application/vnd.openxmlformats-officedocument.wordprocessingml.document.main+xml"/>
  <Override PartName="/word/drawings/drawing1.xml" ContentType="application/vnd.openxmlformats-officedocument.drawingml.chartshapes+xml"/>
  <Override PartName="/word/drawings/drawing2.xml" ContentType="application/vnd.openxmlformats-officedocument.drawingml.chartshapes+xml"/>
  <Override PartName="/word/drawings/drawing3.xml" ContentType="application/vnd.openxmlformats-officedocument.drawingml.chartshap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9"/>
        <w:spacing w:before="93"/>
        <w:rPr>
          <w:rFonts w:ascii="Times New Roman" w:eastAsia="方正小标宋简体"/>
          <w:kern w:val="2"/>
          <w:sz w:val="72"/>
          <w:szCs w:val="72"/>
        </w:rPr>
      </w:pPr>
      <w:bookmarkStart w:id="0" w:name="_Toc15396475"/>
      <w:bookmarkStart w:id="1" w:name="_Toc15396597"/>
      <w:bookmarkStart w:id="2" w:name="_Toc15306267"/>
      <w:bookmarkStart w:id="3" w:name="_Toc15378441"/>
      <w:bookmarkStart w:id="4" w:name="_Toc15377425"/>
      <w:bookmarkStart w:id="5" w:name="_Toc15377193"/>
    </w:p>
    <w:p>
      <w:pPr>
        <w:pStyle w:val="9"/>
        <w:spacing w:before="93"/>
        <w:rPr>
          <w:rFonts w:ascii="Times New Roman" w:eastAsia="方正小标宋简体"/>
          <w:kern w:val="2"/>
          <w:sz w:val="72"/>
          <w:szCs w:val="72"/>
        </w:rPr>
      </w:pPr>
    </w:p>
    <w:p>
      <w:pPr>
        <w:pStyle w:val="9"/>
        <w:spacing w:before="93"/>
        <w:rPr>
          <w:rFonts w:ascii="Times New Roman" w:eastAsia="方正小标宋简体"/>
          <w:kern w:val="2"/>
          <w:sz w:val="52"/>
          <w:szCs w:val="52"/>
        </w:rPr>
      </w:pPr>
    </w:p>
    <w:p>
      <w:pPr>
        <w:adjustRightInd w:val="0"/>
        <w:snapToGrid w:val="0"/>
        <w:spacing w:line="360" w:lineRule="auto"/>
        <w:jc w:val="center"/>
        <w:outlineLvl w:val="0"/>
        <w:rPr>
          <w:rFonts w:hint="eastAsia" w:ascii="方正小标宋简体" w:hAnsi="方正小标宋简体" w:eastAsia="方正小标宋简体" w:cs="方正小标宋简体"/>
          <w:sz w:val="52"/>
          <w:szCs w:val="52"/>
        </w:rPr>
      </w:pPr>
      <w:r>
        <w:rPr>
          <w:rFonts w:hint="eastAsia" w:ascii="方正小标宋简体" w:hAnsi="方正小标宋简体" w:eastAsia="方正小标宋简体" w:cs="方正小标宋简体"/>
          <w:sz w:val="52"/>
          <w:szCs w:val="52"/>
        </w:rPr>
        <w:t>202</w:t>
      </w:r>
      <w:r>
        <w:rPr>
          <w:rFonts w:hint="eastAsia" w:ascii="方正小标宋简体" w:hAnsi="方正小标宋简体" w:eastAsia="方正小标宋简体" w:cs="方正小标宋简体"/>
          <w:sz w:val="52"/>
          <w:szCs w:val="52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sz w:val="52"/>
          <w:szCs w:val="52"/>
        </w:rPr>
        <w:t>年度</w:t>
      </w:r>
    </w:p>
    <w:p>
      <w:pPr>
        <w:adjustRightInd w:val="0"/>
        <w:snapToGrid w:val="0"/>
        <w:spacing w:line="360" w:lineRule="auto"/>
        <w:jc w:val="center"/>
        <w:outlineLvl w:val="0"/>
        <w:rPr>
          <w:rFonts w:hint="eastAsia" w:ascii="方正小标宋简体" w:hAnsi="方正小标宋简体" w:eastAsia="方正小标宋简体" w:cs="方正小标宋简体"/>
          <w:sz w:val="52"/>
          <w:szCs w:val="5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52"/>
          <w:szCs w:val="52"/>
        </w:rPr>
        <w:t>遂宁市安居区</w:t>
      </w:r>
      <w:r>
        <w:rPr>
          <w:rFonts w:hint="eastAsia" w:ascii="方正小标宋简体" w:hAnsi="方正小标宋简体" w:eastAsia="方正小标宋简体" w:cs="方正小标宋简体"/>
          <w:sz w:val="52"/>
          <w:szCs w:val="52"/>
          <w:lang w:val="en-US" w:eastAsia="zh-CN"/>
        </w:rPr>
        <w:t>常理镇中心小学校</w:t>
      </w:r>
    </w:p>
    <w:p>
      <w:pPr>
        <w:adjustRightInd w:val="0"/>
        <w:snapToGrid w:val="0"/>
        <w:spacing w:line="360" w:lineRule="auto"/>
        <w:jc w:val="center"/>
        <w:outlineLvl w:val="0"/>
        <w:rPr>
          <w:rFonts w:hint="eastAsia" w:ascii="方正小标宋简体" w:hAnsi="方正小标宋简体" w:eastAsia="方正小标宋简体" w:cs="方正小标宋简体"/>
          <w:sz w:val="52"/>
          <w:szCs w:val="52"/>
        </w:rPr>
      </w:pPr>
      <w:r>
        <w:rPr>
          <w:rFonts w:hint="eastAsia" w:ascii="方正小标宋简体" w:hAnsi="方正小标宋简体" w:eastAsia="方正小标宋简体" w:cs="方正小标宋简体"/>
          <w:sz w:val="52"/>
          <w:szCs w:val="52"/>
          <w:lang w:val="en-US" w:eastAsia="zh-CN"/>
        </w:rPr>
        <w:t>部门</w:t>
      </w:r>
      <w:r>
        <w:rPr>
          <w:rFonts w:hint="eastAsia" w:ascii="方正小标宋简体" w:hAnsi="方正小标宋简体" w:eastAsia="方正小标宋简体" w:cs="方正小标宋简体"/>
          <w:sz w:val="52"/>
          <w:szCs w:val="52"/>
        </w:rPr>
        <w:t>决算</w:t>
      </w:r>
    </w:p>
    <w:p>
      <w:pPr>
        <w:pStyle w:val="9"/>
        <w:spacing w:before="93"/>
        <w:jc w:val="center"/>
        <w:rPr>
          <w:rFonts w:ascii="Times New Roman" w:eastAsia="方正小标宋简体"/>
          <w:kern w:val="2"/>
          <w:sz w:val="44"/>
          <w:szCs w:val="44"/>
        </w:rPr>
      </w:pPr>
    </w:p>
    <w:p>
      <w:pPr>
        <w:pStyle w:val="21"/>
        <w:rPr>
          <w:rFonts w:ascii="Times New Roman" w:hAnsi="Times New Roman"/>
        </w:rPr>
        <w:sectPr>
          <w:headerReference r:id="rId3" w:type="default"/>
          <w:footerReference r:id="rId4" w:type="default"/>
          <w:pgSz w:w="11906" w:h="16838"/>
          <w:pgMar w:top="1440" w:right="1800" w:bottom="1440" w:left="1800" w:header="851" w:footer="992" w:gutter="0"/>
          <w:pgNumType w:fmt="numberInDash" w:start="1"/>
          <w:cols w:space="425" w:num="1"/>
          <w:titlePg/>
          <w:docGrid w:type="lines" w:linePitch="312" w:charSpace="0"/>
        </w:sectPr>
      </w:pPr>
    </w:p>
    <w:bookmarkEnd w:id="0"/>
    <w:bookmarkEnd w:id="1"/>
    <w:bookmarkEnd w:id="2"/>
    <w:bookmarkEnd w:id="3"/>
    <w:bookmarkEnd w:id="4"/>
    <w:bookmarkEnd w:id="5"/>
    <w:p>
      <w:pPr>
        <w:widowControl/>
        <w:jc w:val="center"/>
        <w:rPr>
          <w:rFonts w:hint="eastAsia" w:ascii="仿宋" w:hAnsi="仿宋" w:eastAsia="仿宋" w:cs="仿宋"/>
          <w:sz w:val="48"/>
          <w:szCs w:val="48"/>
        </w:rPr>
      </w:pPr>
      <w:r>
        <w:rPr>
          <w:rFonts w:hint="eastAsia" w:ascii="仿宋" w:hAnsi="仿宋" w:eastAsia="仿宋" w:cs="仿宋"/>
          <w:sz w:val="48"/>
          <w:szCs w:val="48"/>
        </w:rPr>
        <w:t>目录</w:t>
      </w:r>
    </w:p>
    <w:p>
      <w:pPr>
        <w:widowControl/>
        <w:jc w:val="center"/>
        <w:rPr>
          <w:rFonts w:hint="eastAsia" w:ascii="仿宋" w:hAnsi="仿宋" w:eastAsia="仿宋" w:cs="仿宋"/>
          <w:sz w:val="28"/>
          <w:szCs w:val="28"/>
        </w:rPr>
      </w:pPr>
    </w:p>
    <w:p>
      <w:pPr>
        <w:pStyle w:val="14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公开时间：202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4</w:t>
      </w:r>
      <w:r>
        <w:rPr>
          <w:rFonts w:hint="eastAsia" w:ascii="仿宋" w:hAnsi="仿宋" w:eastAsia="仿宋" w:cs="仿宋"/>
          <w:sz w:val="30"/>
          <w:szCs w:val="30"/>
        </w:rPr>
        <w:t>年8月</w:t>
      </w:r>
      <w:r>
        <w:rPr>
          <w:rFonts w:hint="eastAsia" w:cs="仿宋"/>
          <w:sz w:val="30"/>
          <w:szCs w:val="30"/>
          <w:lang w:val="en-US" w:eastAsia="zh-CN"/>
        </w:rPr>
        <w:t>28</w:t>
      </w:r>
      <w:r>
        <w:rPr>
          <w:rFonts w:hint="eastAsia" w:ascii="仿宋" w:hAnsi="仿宋" w:eastAsia="仿宋" w:cs="仿宋"/>
          <w:sz w:val="30"/>
          <w:szCs w:val="30"/>
        </w:rPr>
        <w:t>日</w:t>
      </w:r>
    </w:p>
    <w:p>
      <w:pPr>
        <w:rPr>
          <w:rFonts w:hint="eastAsia" w:ascii="仿宋" w:hAnsi="仿宋" w:eastAsia="仿宋" w:cs="仿宋"/>
        </w:rPr>
      </w:pPr>
    </w:p>
    <w:p>
      <w:pPr>
        <w:pStyle w:val="14"/>
        <w:adjustRightInd w:val="0"/>
        <w:snapToGrid w:val="0"/>
        <w:spacing w:before="0" w:line="440" w:lineRule="exact"/>
        <w:jc w:val="left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第一部分单位概况</w:t>
      </w:r>
      <w:r>
        <w:rPr>
          <w:rFonts w:hint="eastAsia" w:ascii="仿宋" w:hAnsi="仿宋" w:eastAsia="仿宋" w:cs="仿宋"/>
          <w:sz w:val="28"/>
          <w:szCs w:val="28"/>
        </w:rPr>
        <w:tab/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</w:t>
      </w:r>
    </w:p>
    <w:p>
      <w:pPr>
        <w:pStyle w:val="15"/>
        <w:adjustRightInd w:val="0"/>
        <w:snapToGrid w:val="0"/>
        <w:spacing w:line="440" w:lineRule="exact"/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一、主要职责</w:t>
      </w:r>
      <w:r>
        <w:rPr>
          <w:rFonts w:hint="eastAsia" w:ascii="仿宋" w:hAnsi="仿宋" w:eastAsia="仿宋" w:cs="仿宋"/>
          <w:sz w:val="28"/>
          <w:szCs w:val="28"/>
        </w:rPr>
        <w:tab/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</w:t>
      </w:r>
    </w:p>
    <w:p>
      <w:pPr>
        <w:pStyle w:val="15"/>
        <w:adjustRightInd w:val="0"/>
        <w:snapToGrid w:val="0"/>
        <w:spacing w:line="440" w:lineRule="exact"/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二、机构设置</w:t>
      </w:r>
      <w:r>
        <w:rPr>
          <w:rFonts w:hint="eastAsia" w:ascii="仿宋" w:hAnsi="仿宋" w:eastAsia="仿宋" w:cs="仿宋"/>
          <w:sz w:val="28"/>
          <w:szCs w:val="28"/>
        </w:rPr>
        <w:tab/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</w:t>
      </w:r>
    </w:p>
    <w:p>
      <w:pPr>
        <w:pStyle w:val="14"/>
        <w:adjustRightInd w:val="0"/>
        <w:snapToGrid w:val="0"/>
        <w:spacing w:before="0" w:line="440" w:lineRule="exact"/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第二部分 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2024</w:t>
      </w:r>
      <w:r>
        <w:rPr>
          <w:rFonts w:hint="eastAsia" w:ascii="仿宋" w:hAnsi="仿宋" w:eastAsia="仿宋" w:cs="仿宋"/>
          <w:sz w:val="28"/>
          <w:szCs w:val="28"/>
        </w:rPr>
        <w:t>年度单位决算情况说明</w:t>
      </w:r>
      <w:r>
        <w:rPr>
          <w:rFonts w:hint="eastAsia" w:ascii="仿宋" w:hAnsi="仿宋" w:eastAsia="仿宋" w:cs="仿宋"/>
          <w:sz w:val="28"/>
          <w:szCs w:val="28"/>
        </w:rPr>
        <w:tab/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</w:t>
      </w:r>
    </w:p>
    <w:p>
      <w:pPr>
        <w:pStyle w:val="15"/>
        <w:adjustRightInd w:val="0"/>
        <w:snapToGrid w:val="0"/>
        <w:spacing w:line="440" w:lineRule="exact"/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一、收入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支出</w:t>
      </w:r>
      <w:r>
        <w:rPr>
          <w:rFonts w:hint="eastAsia" w:ascii="仿宋" w:hAnsi="仿宋" w:eastAsia="仿宋" w:cs="仿宋"/>
          <w:sz w:val="28"/>
          <w:szCs w:val="28"/>
        </w:rPr>
        <w:t>决算总体情况说明</w:t>
      </w:r>
      <w:r>
        <w:rPr>
          <w:rFonts w:hint="eastAsia" w:ascii="仿宋" w:hAnsi="仿宋" w:eastAsia="仿宋" w:cs="仿宋"/>
          <w:sz w:val="28"/>
          <w:szCs w:val="28"/>
        </w:rPr>
        <w:tab/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</w:t>
      </w:r>
    </w:p>
    <w:p>
      <w:pPr>
        <w:pStyle w:val="15"/>
        <w:adjustRightInd w:val="0"/>
        <w:snapToGrid w:val="0"/>
        <w:spacing w:line="440" w:lineRule="exact"/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二、收入决算情况说明</w:t>
      </w:r>
      <w:r>
        <w:rPr>
          <w:rFonts w:hint="eastAsia" w:ascii="仿宋" w:hAnsi="仿宋" w:eastAsia="仿宋" w:cs="仿宋"/>
          <w:sz w:val="28"/>
          <w:szCs w:val="28"/>
        </w:rPr>
        <w:tab/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</w:t>
      </w:r>
    </w:p>
    <w:p>
      <w:pPr>
        <w:pStyle w:val="15"/>
        <w:adjustRightInd w:val="0"/>
        <w:snapToGrid w:val="0"/>
        <w:spacing w:line="440" w:lineRule="exact"/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三、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支出</w:t>
      </w:r>
      <w:r>
        <w:rPr>
          <w:rFonts w:hint="eastAsia" w:ascii="仿宋" w:hAnsi="仿宋" w:eastAsia="仿宋" w:cs="仿宋"/>
          <w:sz w:val="28"/>
          <w:szCs w:val="28"/>
        </w:rPr>
        <w:t>决算情况说明</w:t>
      </w:r>
      <w:r>
        <w:rPr>
          <w:rFonts w:hint="eastAsia" w:ascii="仿宋" w:hAnsi="仿宋" w:eastAsia="仿宋" w:cs="仿宋"/>
          <w:sz w:val="28"/>
          <w:szCs w:val="28"/>
        </w:rPr>
        <w:tab/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</w:t>
      </w:r>
    </w:p>
    <w:p>
      <w:pPr>
        <w:pStyle w:val="15"/>
        <w:adjustRightInd w:val="0"/>
        <w:snapToGrid w:val="0"/>
        <w:spacing w:line="440" w:lineRule="exact"/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四、财政拨款收入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支出</w:t>
      </w:r>
      <w:r>
        <w:rPr>
          <w:rFonts w:hint="eastAsia" w:ascii="仿宋" w:hAnsi="仿宋" w:eastAsia="仿宋" w:cs="仿宋"/>
          <w:sz w:val="28"/>
          <w:szCs w:val="28"/>
        </w:rPr>
        <w:t>决算总体情况说明</w:t>
      </w:r>
      <w:r>
        <w:rPr>
          <w:rFonts w:hint="eastAsia" w:ascii="仿宋" w:hAnsi="仿宋" w:eastAsia="仿宋" w:cs="仿宋"/>
          <w:sz w:val="28"/>
          <w:szCs w:val="28"/>
        </w:rPr>
        <w:tab/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</w:t>
      </w:r>
    </w:p>
    <w:p>
      <w:pPr>
        <w:pStyle w:val="15"/>
        <w:adjustRightInd w:val="0"/>
        <w:snapToGrid w:val="0"/>
        <w:spacing w:line="440" w:lineRule="exact"/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五、一般公共预算财政拨款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支出</w:t>
      </w:r>
      <w:r>
        <w:rPr>
          <w:rFonts w:hint="eastAsia" w:ascii="仿宋" w:hAnsi="仿宋" w:eastAsia="仿宋" w:cs="仿宋"/>
          <w:sz w:val="28"/>
          <w:szCs w:val="28"/>
        </w:rPr>
        <w:t>决算情况说明</w:t>
      </w:r>
      <w:r>
        <w:rPr>
          <w:rFonts w:hint="eastAsia" w:ascii="仿宋" w:hAnsi="仿宋" w:eastAsia="仿宋" w:cs="仿宋"/>
          <w:sz w:val="28"/>
          <w:szCs w:val="28"/>
        </w:rPr>
        <w:tab/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4</w:t>
      </w:r>
    </w:p>
    <w:p>
      <w:pPr>
        <w:pStyle w:val="15"/>
        <w:adjustRightInd w:val="0"/>
        <w:snapToGrid w:val="0"/>
        <w:spacing w:line="440" w:lineRule="exact"/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六、一般公共预算财政拨款基本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支出</w:t>
      </w:r>
      <w:r>
        <w:rPr>
          <w:rFonts w:hint="eastAsia" w:ascii="仿宋" w:hAnsi="仿宋" w:eastAsia="仿宋" w:cs="仿宋"/>
          <w:sz w:val="28"/>
          <w:szCs w:val="28"/>
        </w:rPr>
        <w:t>决算情况说明</w:t>
      </w:r>
      <w:r>
        <w:rPr>
          <w:rFonts w:hint="eastAsia" w:ascii="仿宋" w:hAnsi="仿宋" w:eastAsia="仿宋" w:cs="仿宋"/>
          <w:sz w:val="28"/>
          <w:szCs w:val="28"/>
        </w:rPr>
        <w:tab/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7</w:t>
      </w:r>
    </w:p>
    <w:p>
      <w:pPr>
        <w:pStyle w:val="15"/>
        <w:adjustRightInd w:val="0"/>
        <w:snapToGrid w:val="0"/>
        <w:spacing w:line="440" w:lineRule="exact"/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七、财政拨款“三公”经费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支出</w:t>
      </w:r>
      <w:r>
        <w:rPr>
          <w:rFonts w:hint="eastAsia" w:ascii="仿宋" w:hAnsi="仿宋" w:eastAsia="仿宋" w:cs="仿宋"/>
          <w:sz w:val="28"/>
          <w:szCs w:val="28"/>
        </w:rPr>
        <w:t>决算情况说明</w:t>
      </w:r>
      <w:r>
        <w:rPr>
          <w:rFonts w:hint="eastAsia" w:ascii="仿宋" w:hAnsi="仿宋" w:eastAsia="仿宋" w:cs="仿宋"/>
          <w:sz w:val="28"/>
          <w:szCs w:val="28"/>
        </w:rPr>
        <w:tab/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8</w:t>
      </w:r>
    </w:p>
    <w:p>
      <w:pPr>
        <w:pStyle w:val="15"/>
        <w:adjustRightInd w:val="0"/>
        <w:snapToGrid w:val="0"/>
        <w:spacing w:line="440" w:lineRule="exact"/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八、政府性基金预算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支出</w:t>
      </w:r>
      <w:r>
        <w:rPr>
          <w:rFonts w:hint="eastAsia" w:ascii="仿宋" w:hAnsi="仿宋" w:eastAsia="仿宋" w:cs="仿宋"/>
          <w:sz w:val="28"/>
          <w:szCs w:val="28"/>
        </w:rPr>
        <w:t>决算情况说明</w:t>
      </w:r>
      <w:r>
        <w:rPr>
          <w:rFonts w:hint="eastAsia" w:ascii="仿宋" w:hAnsi="仿宋" w:eastAsia="仿宋" w:cs="仿宋"/>
          <w:sz w:val="28"/>
          <w:szCs w:val="28"/>
        </w:rPr>
        <w:tab/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9</w:t>
      </w:r>
    </w:p>
    <w:p>
      <w:pPr>
        <w:pStyle w:val="15"/>
        <w:adjustRightInd w:val="0"/>
        <w:snapToGrid w:val="0"/>
        <w:spacing w:line="440" w:lineRule="exact"/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九、国有资本经营预算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支出</w:t>
      </w:r>
      <w:r>
        <w:rPr>
          <w:rFonts w:hint="eastAsia" w:ascii="仿宋" w:hAnsi="仿宋" w:eastAsia="仿宋" w:cs="仿宋"/>
          <w:sz w:val="28"/>
          <w:szCs w:val="28"/>
        </w:rPr>
        <w:t>决算情况说明</w:t>
      </w:r>
      <w:r>
        <w:rPr>
          <w:rFonts w:hint="eastAsia" w:ascii="仿宋" w:hAnsi="仿宋" w:eastAsia="仿宋" w:cs="仿宋"/>
          <w:sz w:val="28"/>
          <w:szCs w:val="28"/>
        </w:rPr>
        <w:tab/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9</w:t>
      </w:r>
    </w:p>
    <w:p>
      <w:pPr>
        <w:pStyle w:val="15"/>
        <w:adjustRightInd w:val="0"/>
        <w:snapToGrid w:val="0"/>
        <w:spacing w:line="440" w:lineRule="exact"/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十、其他重要事项的情况说明</w:t>
      </w:r>
      <w:r>
        <w:rPr>
          <w:rFonts w:hint="eastAsia" w:ascii="仿宋" w:hAnsi="仿宋" w:eastAsia="仿宋" w:cs="仿宋"/>
          <w:sz w:val="28"/>
          <w:szCs w:val="28"/>
        </w:rPr>
        <w:tab/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9</w:t>
      </w:r>
    </w:p>
    <w:p>
      <w:pPr>
        <w:pStyle w:val="14"/>
        <w:adjustRightInd w:val="0"/>
        <w:snapToGrid w:val="0"/>
        <w:spacing w:before="0" w:line="440" w:lineRule="exact"/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第三部分名词解释</w:t>
      </w:r>
      <w:r>
        <w:rPr>
          <w:rFonts w:hint="eastAsia" w:ascii="仿宋" w:hAnsi="仿宋" w:eastAsia="仿宋" w:cs="仿宋"/>
          <w:sz w:val="28"/>
          <w:szCs w:val="28"/>
        </w:rPr>
        <w:tab/>
      </w:r>
      <w:r>
        <w:rPr>
          <w:rFonts w:hint="eastAsia" w:ascii="仿宋" w:hAnsi="仿宋" w:eastAsia="仿宋" w:cs="仿宋"/>
          <w:sz w:val="28"/>
          <w:szCs w:val="28"/>
        </w:rPr>
        <w:t>1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</w:t>
      </w:r>
    </w:p>
    <w:p>
      <w:pPr>
        <w:pStyle w:val="14"/>
        <w:adjustRightInd w:val="0"/>
        <w:snapToGrid w:val="0"/>
        <w:spacing w:before="0" w:line="440" w:lineRule="exact"/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第四部分附件</w:t>
      </w:r>
      <w:r>
        <w:rPr>
          <w:rFonts w:hint="eastAsia" w:ascii="仿宋" w:hAnsi="仿宋" w:eastAsia="仿宋" w:cs="仿宋"/>
          <w:sz w:val="28"/>
          <w:szCs w:val="28"/>
        </w:rPr>
        <w:tab/>
      </w:r>
      <w:r>
        <w:rPr>
          <w:rFonts w:hint="eastAsia" w:ascii="仿宋" w:hAnsi="仿宋" w:eastAsia="仿宋" w:cs="仿宋"/>
          <w:sz w:val="28"/>
          <w:szCs w:val="28"/>
        </w:rPr>
        <w:t>1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4</w:t>
      </w:r>
    </w:p>
    <w:p>
      <w:pPr>
        <w:pStyle w:val="14"/>
        <w:adjustRightInd w:val="0"/>
        <w:snapToGrid w:val="0"/>
        <w:spacing w:before="0" w:line="440" w:lineRule="exact"/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第五部分附表</w:t>
      </w:r>
      <w:r>
        <w:rPr>
          <w:rFonts w:hint="eastAsia" w:ascii="仿宋" w:hAnsi="仿宋" w:eastAsia="仿宋" w:cs="仿宋"/>
          <w:sz w:val="28"/>
          <w:szCs w:val="28"/>
        </w:rPr>
        <w:tab/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</w:t>
      </w:r>
      <w:r>
        <w:rPr>
          <w:rFonts w:hint="eastAsia" w:cs="仿宋"/>
          <w:sz w:val="28"/>
          <w:szCs w:val="28"/>
          <w:lang w:val="en-US" w:eastAsia="zh-CN"/>
        </w:rPr>
        <w:t>4</w:t>
      </w:r>
    </w:p>
    <w:p>
      <w:pPr>
        <w:pStyle w:val="15"/>
        <w:adjustRightInd w:val="0"/>
        <w:snapToGrid w:val="0"/>
        <w:spacing w:line="440" w:lineRule="exact"/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一、收入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支出</w:t>
      </w:r>
      <w:r>
        <w:rPr>
          <w:rFonts w:hint="eastAsia" w:ascii="仿宋" w:hAnsi="仿宋" w:eastAsia="仿宋" w:cs="仿宋"/>
          <w:sz w:val="28"/>
          <w:szCs w:val="28"/>
        </w:rPr>
        <w:t>决算总表</w:t>
      </w:r>
      <w:r>
        <w:rPr>
          <w:rFonts w:hint="eastAsia" w:ascii="仿宋" w:hAnsi="仿宋" w:eastAsia="仿宋" w:cs="仿宋"/>
          <w:sz w:val="28"/>
          <w:szCs w:val="28"/>
        </w:rPr>
        <w:tab/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24</w:t>
      </w:r>
    </w:p>
    <w:p>
      <w:pPr>
        <w:pStyle w:val="15"/>
        <w:adjustRightInd w:val="0"/>
        <w:snapToGrid w:val="0"/>
        <w:spacing w:line="440" w:lineRule="exact"/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二、收入决算表</w:t>
      </w:r>
      <w:r>
        <w:rPr>
          <w:rFonts w:hint="eastAsia" w:ascii="仿宋" w:hAnsi="仿宋" w:eastAsia="仿宋" w:cs="仿宋"/>
          <w:sz w:val="28"/>
          <w:szCs w:val="28"/>
        </w:rPr>
        <w:tab/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24</w:t>
      </w:r>
    </w:p>
    <w:p>
      <w:pPr>
        <w:pStyle w:val="15"/>
        <w:adjustRightInd w:val="0"/>
        <w:snapToGrid w:val="0"/>
        <w:spacing w:line="440" w:lineRule="exact"/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三、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支出</w:t>
      </w:r>
      <w:r>
        <w:rPr>
          <w:rFonts w:hint="eastAsia" w:ascii="仿宋" w:hAnsi="仿宋" w:eastAsia="仿宋" w:cs="仿宋"/>
          <w:sz w:val="28"/>
          <w:szCs w:val="28"/>
        </w:rPr>
        <w:t>决算表</w:t>
      </w:r>
      <w:r>
        <w:rPr>
          <w:rFonts w:hint="eastAsia" w:ascii="仿宋" w:hAnsi="仿宋" w:eastAsia="仿宋" w:cs="仿宋"/>
          <w:sz w:val="28"/>
          <w:szCs w:val="28"/>
        </w:rPr>
        <w:tab/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24</w:t>
      </w:r>
    </w:p>
    <w:p>
      <w:pPr>
        <w:pStyle w:val="15"/>
        <w:adjustRightInd w:val="0"/>
        <w:snapToGrid w:val="0"/>
        <w:spacing w:line="440" w:lineRule="exact"/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四、财政拨款收入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支出</w:t>
      </w:r>
      <w:r>
        <w:rPr>
          <w:rFonts w:hint="eastAsia" w:ascii="仿宋" w:hAnsi="仿宋" w:eastAsia="仿宋" w:cs="仿宋"/>
          <w:sz w:val="28"/>
          <w:szCs w:val="28"/>
        </w:rPr>
        <w:t>决算总表</w:t>
      </w:r>
      <w:r>
        <w:rPr>
          <w:rFonts w:hint="eastAsia" w:ascii="仿宋" w:hAnsi="仿宋" w:eastAsia="仿宋" w:cs="仿宋"/>
          <w:sz w:val="28"/>
          <w:szCs w:val="28"/>
        </w:rPr>
        <w:tab/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24</w:t>
      </w:r>
    </w:p>
    <w:p>
      <w:pPr>
        <w:pStyle w:val="15"/>
        <w:adjustRightInd w:val="0"/>
        <w:snapToGrid w:val="0"/>
        <w:spacing w:line="440" w:lineRule="exact"/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五、财政拨款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支出</w:t>
      </w:r>
      <w:r>
        <w:rPr>
          <w:rFonts w:hint="eastAsia" w:ascii="仿宋" w:hAnsi="仿宋" w:eastAsia="仿宋" w:cs="仿宋"/>
          <w:sz w:val="28"/>
          <w:szCs w:val="28"/>
        </w:rPr>
        <w:t>决算明细表</w:t>
      </w:r>
      <w:r>
        <w:rPr>
          <w:rFonts w:hint="eastAsia" w:ascii="仿宋" w:hAnsi="仿宋" w:eastAsia="仿宋" w:cs="仿宋"/>
          <w:sz w:val="28"/>
          <w:szCs w:val="28"/>
        </w:rPr>
        <w:tab/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24</w:t>
      </w:r>
    </w:p>
    <w:p>
      <w:pPr>
        <w:pStyle w:val="15"/>
        <w:adjustRightInd w:val="0"/>
        <w:snapToGrid w:val="0"/>
        <w:spacing w:line="440" w:lineRule="exact"/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六、一般公共预算财政拨款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支出</w:t>
      </w:r>
      <w:r>
        <w:rPr>
          <w:rFonts w:hint="eastAsia" w:ascii="仿宋" w:hAnsi="仿宋" w:eastAsia="仿宋" w:cs="仿宋"/>
          <w:sz w:val="28"/>
          <w:szCs w:val="28"/>
        </w:rPr>
        <w:t>决算表</w:t>
      </w:r>
      <w:r>
        <w:rPr>
          <w:rFonts w:hint="eastAsia" w:ascii="仿宋" w:hAnsi="仿宋" w:eastAsia="仿宋" w:cs="仿宋"/>
          <w:sz w:val="28"/>
          <w:szCs w:val="28"/>
        </w:rPr>
        <w:tab/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24</w:t>
      </w:r>
    </w:p>
    <w:p>
      <w:pPr>
        <w:pStyle w:val="15"/>
        <w:adjustRightInd w:val="0"/>
        <w:snapToGrid w:val="0"/>
        <w:spacing w:line="440" w:lineRule="exact"/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七、一般公共预算财政拨款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支出</w:t>
      </w:r>
      <w:r>
        <w:rPr>
          <w:rFonts w:hint="eastAsia" w:ascii="仿宋" w:hAnsi="仿宋" w:eastAsia="仿宋" w:cs="仿宋"/>
          <w:sz w:val="28"/>
          <w:szCs w:val="28"/>
        </w:rPr>
        <w:t>决算明细表</w:t>
      </w:r>
      <w:r>
        <w:rPr>
          <w:rFonts w:hint="eastAsia" w:ascii="仿宋" w:hAnsi="仿宋" w:eastAsia="仿宋" w:cs="仿宋"/>
          <w:sz w:val="28"/>
          <w:szCs w:val="28"/>
        </w:rPr>
        <w:tab/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24</w:t>
      </w:r>
    </w:p>
    <w:p>
      <w:pPr>
        <w:pStyle w:val="15"/>
        <w:adjustRightInd w:val="0"/>
        <w:snapToGrid w:val="0"/>
        <w:spacing w:line="440" w:lineRule="exact"/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八、一般公共预算财政拨款基本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支出</w:t>
      </w:r>
      <w:r>
        <w:rPr>
          <w:rFonts w:hint="eastAsia" w:ascii="仿宋" w:hAnsi="仿宋" w:eastAsia="仿宋" w:cs="仿宋"/>
          <w:sz w:val="28"/>
          <w:szCs w:val="28"/>
        </w:rPr>
        <w:t>决算明细表</w:t>
      </w:r>
      <w:r>
        <w:rPr>
          <w:rFonts w:hint="eastAsia" w:ascii="仿宋" w:hAnsi="仿宋" w:eastAsia="仿宋" w:cs="仿宋"/>
          <w:sz w:val="28"/>
          <w:szCs w:val="28"/>
        </w:rPr>
        <w:tab/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24</w:t>
      </w:r>
    </w:p>
    <w:p>
      <w:pPr>
        <w:pStyle w:val="15"/>
        <w:adjustRightInd w:val="0"/>
        <w:snapToGrid w:val="0"/>
        <w:spacing w:line="440" w:lineRule="exact"/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九、一般公共预算财政拨款项目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支出</w:t>
      </w:r>
      <w:r>
        <w:rPr>
          <w:rFonts w:hint="eastAsia" w:ascii="仿宋" w:hAnsi="仿宋" w:eastAsia="仿宋" w:cs="仿宋"/>
          <w:sz w:val="28"/>
          <w:szCs w:val="28"/>
        </w:rPr>
        <w:t>决算表</w:t>
      </w:r>
      <w:r>
        <w:rPr>
          <w:rFonts w:hint="eastAsia" w:ascii="仿宋" w:hAnsi="仿宋" w:eastAsia="仿宋" w:cs="仿宋"/>
          <w:sz w:val="28"/>
          <w:szCs w:val="28"/>
        </w:rPr>
        <w:tab/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.24</w:t>
      </w:r>
    </w:p>
    <w:p>
      <w:pPr>
        <w:pStyle w:val="15"/>
        <w:adjustRightInd w:val="0"/>
        <w:snapToGrid w:val="0"/>
        <w:spacing w:line="440" w:lineRule="exact"/>
        <w:jc w:val="left"/>
        <w:rPr>
          <w:rFonts w:hint="eastAsia" w:ascii="仿宋" w:hAnsi="仿宋" w:eastAsia="仿宋" w:cs="仿宋"/>
          <w:sz w:val="28"/>
          <w:szCs w:val="28"/>
        </w:rPr>
        <w:sectPr>
          <w:footerReference r:id="rId6" w:type="first"/>
          <w:footerReference r:id="rId5" w:type="default"/>
          <w:pgSz w:w="11906" w:h="16838"/>
          <w:pgMar w:top="1440" w:right="1800" w:bottom="1440" w:left="1800" w:header="851" w:footer="992" w:gutter="0"/>
          <w:pgNumType w:fmt="numberInDash" w:start="1"/>
          <w:cols w:space="425" w:num="1"/>
          <w:titlePg/>
          <w:docGrid w:type="lines" w:linePitch="312" w:charSpace="0"/>
        </w:sectPr>
      </w:pPr>
    </w:p>
    <w:p>
      <w:pPr>
        <w:pStyle w:val="15"/>
        <w:adjustRightInd w:val="0"/>
        <w:snapToGrid w:val="0"/>
        <w:spacing w:line="440" w:lineRule="exact"/>
        <w:jc w:val="left"/>
        <w:rPr>
          <w:rFonts w:hint="eastAsia" w:ascii="仿宋" w:hAnsi="仿宋" w:eastAsia="仿宋" w:cs="仿宋"/>
          <w:sz w:val="28"/>
          <w:szCs w:val="28"/>
          <w:lang w:val="en-US"/>
        </w:rPr>
      </w:pPr>
      <w:r>
        <w:rPr>
          <w:rFonts w:hint="eastAsia" w:ascii="仿宋" w:hAnsi="仿宋" w:eastAsia="仿宋" w:cs="仿宋"/>
          <w:sz w:val="28"/>
          <w:szCs w:val="28"/>
        </w:rPr>
        <w:t>十、政府性基金预算财政拨款收入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支出</w:t>
      </w:r>
      <w:r>
        <w:rPr>
          <w:rFonts w:hint="eastAsia" w:ascii="仿宋" w:hAnsi="仿宋" w:eastAsia="仿宋" w:cs="仿宋"/>
          <w:sz w:val="28"/>
          <w:szCs w:val="28"/>
        </w:rPr>
        <w:t>决算表</w:t>
      </w:r>
      <w:r>
        <w:rPr>
          <w:rFonts w:hint="eastAsia" w:ascii="仿宋" w:hAnsi="仿宋" w:eastAsia="仿宋" w:cs="仿宋"/>
          <w:sz w:val="28"/>
          <w:szCs w:val="28"/>
        </w:rPr>
        <w:tab/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.24</w:t>
      </w:r>
    </w:p>
    <w:p>
      <w:pPr>
        <w:pStyle w:val="15"/>
        <w:adjustRightInd w:val="0"/>
        <w:snapToGrid w:val="0"/>
        <w:spacing w:line="440" w:lineRule="exact"/>
        <w:jc w:val="left"/>
        <w:rPr>
          <w:rFonts w:hint="default" w:ascii="仿宋" w:hAnsi="仿宋" w:eastAsia="仿宋" w:cs="仿宋"/>
          <w:sz w:val="28"/>
          <w:szCs w:val="28"/>
          <w:lang w:val="en-US"/>
        </w:rPr>
      </w:pPr>
      <w:r>
        <w:rPr>
          <w:rFonts w:hint="eastAsia" w:ascii="仿宋" w:hAnsi="仿宋" w:eastAsia="仿宋" w:cs="仿宋"/>
          <w:sz w:val="28"/>
          <w:szCs w:val="28"/>
        </w:rPr>
        <w:t>十一、国有资本经营预算财政拨款收入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支出</w:t>
      </w:r>
      <w:r>
        <w:rPr>
          <w:rFonts w:hint="eastAsia" w:ascii="仿宋" w:hAnsi="仿宋" w:eastAsia="仿宋" w:cs="仿宋"/>
          <w:sz w:val="28"/>
          <w:szCs w:val="28"/>
        </w:rPr>
        <w:t>决算表</w:t>
      </w:r>
      <w:r>
        <w:rPr>
          <w:rFonts w:hint="eastAsia" w:ascii="仿宋" w:hAnsi="仿宋" w:eastAsia="仿宋" w:cs="仿宋"/>
          <w:sz w:val="28"/>
          <w:szCs w:val="28"/>
        </w:rPr>
        <w:tab/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.24</w:t>
      </w:r>
    </w:p>
    <w:p>
      <w:pPr>
        <w:pStyle w:val="15"/>
        <w:adjustRightInd w:val="0"/>
        <w:snapToGrid w:val="0"/>
        <w:spacing w:line="440" w:lineRule="exact"/>
        <w:jc w:val="left"/>
        <w:rPr>
          <w:rFonts w:hint="default" w:ascii="仿宋" w:hAnsi="仿宋" w:eastAsia="仿宋" w:cs="仿宋"/>
          <w:sz w:val="28"/>
          <w:szCs w:val="28"/>
          <w:lang w:val="en-US"/>
        </w:rPr>
      </w:pPr>
      <w:r>
        <w:rPr>
          <w:rFonts w:hint="eastAsia" w:ascii="仿宋" w:hAnsi="仿宋" w:eastAsia="仿宋" w:cs="仿宋"/>
          <w:sz w:val="28"/>
          <w:szCs w:val="28"/>
        </w:rPr>
        <w:t>十二、国有资本经营预算财政拨款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支出</w:t>
      </w:r>
      <w:r>
        <w:rPr>
          <w:rFonts w:hint="eastAsia" w:ascii="仿宋" w:hAnsi="仿宋" w:eastAsia="仿宋" w:cs="仿宋"/>
          <w:sz w:val="28"/>
          <w:szCs w:val="28"/>
        </w:rPr>
        <w:t>决算表</w:t>
      </w:r>
      <w:r>
        <w:rPr>
          <w:rFonts w:hint="eastAsia" w:ascii="仿宋" w:hAnsi="仿宋" w:eastAsia="仿宋" w:cs="仿宋"/>
          <w:sz w:val="28"/>
          <w:szCs w:val="28"/>
        </w:rPr>
        <w:tab/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.24</w:t>
      </w:r>
    </w:p>
    <w:p>
      <w:pPr>
        <w:pStyle w:val="15"/>
        <w:adjustRightInd w:val="0"/>
        <w:snapToGrid w:val="0"/>
        <w:spacing w:line="440" w:lineRule="exact"/>
        <w:jc w:val="left"/>
        <w:rPr>
          <w:rFonts w:hint="default" w:ascii="仿宋" w:hAnsi="仿宋" w:eastAsia="仿宋" w:cs="仿宋"/>
          <w:sz w:val="28"/>
          <w:szCs w:val="28"/>
          <w:lang w:val="en-US"/>
        </w:rPr>
        <w:sectPr>
          <w:footerReference r:id="rId8" w:type="first"/>
          <w:footerReference r:id="rId7" w:type="default"/>
          <w:pgSz w:w="11906" w:h="16838"/>
          <w:pgMar w:top="1440" w:right="1800" w:bottom="1440" w:left="1800" w:header="851" w:footer="992" w:gutter="0"/>
          <w:pgNumType w:fmt="numberInDash" w:start="1"/>
          <w:cols w:space="425" w:num="1"/>
          <w:titlePg/>
          <w:docGrid w:type="lines" w:linePitch="312" w:charSpace="0"/>
        </w:sectPr>
      </w:pPr>
      <w:r>
        <w:rPr>
          <w:rFonts w:hint="eastAsia" w:ascii="仿宋" w:hAnsi="仿宋" w:eastAsia="仿宋" w:cs="仿宋"/>
          <w:sz w:val="28"/>
          <w:szCs w:val="28"/>
        </w:rPr>
        <w:t>十三、财政拨款“三公”经费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支出</w:t>
      </w:r>
      <w:r>
        <w:rPr>
          <w:rFonts w:hint="eastAsia" w:ascii="仿宋" w:hAnsi="仿宋" w:eastAsia="仿宋" w:cs="仿宋"/>
          <w:sz w:val="28"/>
          <w:szCs w:val="28"/>
        </w:rPr>
        <w:t>决算表</w:t>
      </w:r>
      <w:r>
        <w:rPr>
          <w:rFonts w:hint="eastAsia" w:ascii="仿宋" w:hAnsi="仿宋" w:eastAsia="仿宋" w:cs="仿宋"/>
          <w:sz w:val="28"/>
          <w:szCs w:val="28"/>
        </w:rPr>
        <w:tab/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.24</w:t>
      </w:r>
    </w:p>
    <w:p>
      <w:pPr>
        <w:pStyle w:val="2"/>
      </w:pPr>
    </w:p>
    <w:p>
      <w:pPr>
        <w:pStyle w:val="14"/>
        <w:adjustRightInd w:val="0"/>
        <w:snapToGrid w:val="0"/>
        <w:spacing w:before="0" w:line="560" w:lineRule="exact"/>
        <w:jc w:val="center"/>
        <w:rPr>
          <w:rFonts w:ascii="Times New Roman" w:hAnsi="Times New Roman" w:eastAsia="黑体" w:cs="黑体"/>
          <w:sz w:val="32"/>
          <w:szCs w:val="32"/>
        </w:rPr>
      </w:pPr>
      <w:r>
        <w:rPr>
          <w:rFonts w:hint="eastAsia" w:ascii="Times New Roman" w:hAnsi="Times New Roman" w:eastAsia="黑体" w:cs="黑体"/>
          <w:sz w:val="32"/>
          <w:szCs w:val="32"/>
        </w:rPr>
        <w:t>第一部分 部门概况</w:t>
      </w:r>
    </w:p>
    <w:p>
      <w:pPr>
        <w:pStyle w:val="6"/>
        <w:rPr>
          <w:rStyle w:val="31"/>
          <w:rFonts w:hint="eastAsia" w:ascii="黑体" w:hAnsi="黑体" w:eastAsia="黑体" w:cs="黑体"/>
          <w:b w:val="0"/>
          <w:bCs w:val="0"/>
        </w:rPr>
      </w:pPr>
      <w:bookmarkStart w:id="6" w:name="_Toc15396600"/>
      <w:bookmarkStart w:id="7" w:name="_Toc15377197"/>
      <w:r>
        <w:rPr>
          <w:rFonts w:hint="eastAsia" w:ascii="黑体" w:hAnsi="黑体" w:eastAsia="黑体" w:cs="黑体"/>
          <w:b w:val="0"/>
        </w:rPr>
        <w:t>一、</w:t>
      </w:r>
      <w:r>
        <w:rPr>
          <w:rStyle w:val="31"/>
          <w:rFonts w:hint="eastAsia" w:ascii="黑体" w:hAnsi="黑体" w:eastAsia="黑体" w:cs="黑体"/>
          <w:b w:val="0"/>
          <w:bCs w:val="0"/>
        </w:rPr>
        <w:t>部门职责及主要工作</w:t>
      </w:r>
      <w:bookmarkEnd w:id="6"/>
      <w:bookmarkEnd w:id="7"/>
    </w:p>
    <w:p>
      <w:pPr>
        <w:ind w:firstLine="800" w:firstLineChars="250"/>
      </w:pPr>
      <w:r>
        <w:rPr>
          <w:rFonts w:hint="eastAsia" w:ascii="仿宋_GB2312" w:hAnsi="仿宋_GB2312" w:eastAsia="仿宋_GB2312" w:cs="仿宋_GB2312"/>
          <w:sz w:val="32"/>
          <w:szCs w:val="32"/>
        </w:rPr>
        <w:t>遂宁市安居区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常理镇中心小学校</w:t>
      </w:r>
      <w:r>
        <w:rPr>
          <w:rFonts w:hint="eastAsia" w:ascii="仿宋_GB2312" w:hAnsi="仿宋_GB2312" w:eastAsia="仿宋_GB2312" w:cs="仿宋_GB2312"/>
          <w:sz w:val="32"/>
          <w:szCs w:val="32"/>
        </w:rPr>
        <w:t>地处遂宁市安居区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常理镇常乐街125</w:t>
      </w:r>
      <w:r>
        <w:rPr>
          <w:rFonts w:hint="eastAsia" w:ascii="仿宋_GB2312" w:hAnsi="仿宋_GB2312" w:eastAsia="仿宋_GB2312" w:cs="仿宋_GB2312"/>
          <w:sz w:val="32"/>
          <w:szCs w:val="32"/>
        </w:rPr>
        <w:t>号，我校主要服务区域为遂宁市安居区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常理镇社区</w:t>
      </w:r>
      <w:r>
        <w:rPr>
          <w:rFonts w:hint="eastAsia" w:ascii="仿宋_GB2312" w:hAnsi="仿宋_GB2312" w:eastAsia="仿宋_GB2312" w:cs="仿宋_GB2312"/>
          <w:sz w:val="32"/>
          <w:szCs w:val="32"/>
        </w:rPr>
        <w:t>及附近区域。我校正确贯彻执行党和国家的教育方针、政策、法规；积极实施小学教育，促进小学教育发展，负责小学教育及相关社会服务；维护学校的教学秩序，为学生创造良好的学习环境；积极稳妥地推进教育改革，按教育规律办事，不断提高教育质量；坚持教书育人，服务育人，环境育人方针，加强对学生的思想品德教育，使学生的德智体美劳全面发展。做好安全防范，保证学生的人身安全。</w:t>
      </w:r>
    </w:p>
    <w:p>
      <w:pPr>
        <w:pStyle w:val="15"/>
        <w:numPr>
          <w:ilvl w:val="0"/>
          <w:numId w:val="0"/>
        </w:numPr>
        <w:adjustRightInd w:val="0"/>
        <w:snapToGrid w:val="0"/>
        <w:spacing w:line="560" w:lineRule="exact"/>
        <w:jc w:val="left"/>
        <w:rPr>
          <w:rFonts w:hint="eastAsia" w:eastAsia="仿宋_GB2312" w:cs="仿宋_GB2312"/>
          <w:b/>
          <w:bCs/>
          <w:sz w:val="32"/>
          <w:szCs w:val="32"/>
        </w:rPr>
      </w:pPr>
      <w:r>
        <w:rPr>
          <w:rFonts w:hint="eastAsia" w:eastAsia="仿宋_GB2312" w:cs="仿宋_GB2312"/>
          <w:b/>
          <w:bCs/>
          <w:sz w:val="32"/>
          <w:szCs w:val="32"/>
          <w:lang w:val="en-US" w:eastAsia="zh-CN"/>
        </w:rPr>
        <w:t>二、</w:t>
      </w:r>
      <w:r>
        <w:rPr>
          <w:rFonts w:hint="eastAsia" w:eastAsia="仿宋_GB2312" w:cs="仿宋_GB2312"/>
          <w:b/>
          <w:bCs/>
          <w:sz w:val="32"/>
          <w:szCs w:val="32"/>
        </w:rPr>
        <w:t>机构设置</w:t>
      </w:r>
    </w:p>
    <w:p>
      <w:pPr>
        <w:snapToGrid w:val="0"/>
        <w:spacing w:line="52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我校为独立编制机构1个，独立核算机构1个。</w:t>
      </w:r>
    </w:p>
    <w:p>
      <w:pPr>
        <w:snapToGrid w:val="0"/>
        <w:spacing w:line="52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我校现有在编教师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34</w:t>
      </w:r>
      <w:r>
        <w:rPr>
          <w:rFonts w:hint="eastAsia" w:ascii="仿宋_GB2312" w:hAnsi="仿宋" w:eastAsia="仿宋_GB2312"/>
          <w:sz w:val="32"/>
          <w:szCs w:val="32"/>
        </w:rPr>
        <w:t>人,遗属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25</w:t>
      </w:r>
      <w:r>
        <w:rPr>
          <w:rFonts w:hint="eastAsia" w:ascii="仿宋_GB2312" w:hAnsi="仿宋" w:eastAsia="仿宋_GB2312"/>
          <w:sz w:val="32"/>
          <w:szCs w:val="32"/>
        </w:rPr>
        <w:t>人，退休职工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94</w:t>
      </w:r>
      <w:r>
        <w:rPr>
          <w:rFonts w:hint="eastAsia" w:ascii="仿宋_GB2312" w:hAnsi="仿宋" w:eastAsia="仿宋_GB2312"/>
          <w:sz w:val="32"/>
          <w:szCs w:val="32"/>
        </w:rPr>
        <w:t>人，在校学生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104</w:t>
      </w:r>
      <w:r>
        <w:rPr>
          <w:rFonts w:hint="eastAsia" w:ascii="仿宋_GB2312" w:hAnsi="仿宋" w:eastAsia="仿宋_GB2312"/>
          <w:sz w:val="32"/>
          <w:szCs w:val="32"/>
        </w:rPr>
        <w:t>人。学校现设有行政办、德育处、教导处、后勤处等部门。</w:t>
      </w:r>
    </w:p>
    <w:p>
      <w:pPr>
        <w:pStyle w:val="14"/>
        <w:numPr>
          <w:ilvl w:val="0"/>
          <w:numId w:val="1"/>
        </w:numPr>
        <w:adjustRightInd w:val="0"/>
        <w:snapToGrid w:val="0"/>
        <w:spacing w:before="0" w:line="560" w:lineRule="exact"/>
        <w:jc w:val="center"/>
        <w:rPr>
          <w:rFonts w:hint="eastAsia" w:ascii="Times New Roman" w:hAnsi="Times New Roman" w:eastAsia="黑体" w:cs="黑体"/>
          <w:sz w:val="32"/>
          <w:szCs w:val="32"/>
        </w:rPr>
      </w:pPr>
      <w:r>
        <w:rPr>
          <w:rFonts w:hint="eastAsia" w:ascii="Times New Roman" w:hAnsi="Times New Roman" w:eastAsia="黑体" w:cs="黑体"/>
          <w:sz w:val="32"/>
          <w:szCs w:val="32"/>
        </w:rPr>
        <w:t>2024年度部门决算情况说明</w:t>
      </w:r>
    </w:p>
    <w:p>
      <w:pPr>
        <w:pStyle w:val="15"/>
        <w:adjustRightInd w:val="0"/>
        <w:snapToGrid w:val="0"/>
        <w:spacing w:line="560" w:lineRule="exact"/>
        <w:ind w:left="0" w:leftChars="0" w:firstLine="0" w:firstLineChars="0"/>
        <w:jc w:val="left"/>
        <w:rPr>
          <w:rFonts w:hint="eastAsia" w:eastAsia="仿宋_GB2312" w:cs="仿宋_GB2312"/>
          <w:b/>
          <w:bCs/>
          <w:sz w:val="32"/>
          <w:szCs w:val="32"/>
        </w:rPr>
      </w:pPr>
    </w:p>
    <w:p>
      <w:pPr>
        <w:pStyle w:val="15"/>
        <w:adjustRightInd w:val="0"/>
        <w:snapToGrid w:val="0"/>
        <w:spacing w:line="560" w:lineRule="exact"/>
        <w:ind w:left="0" w:leftChars="0" w:firstLine="643" w:firstLineChars="200"/>
        <w:jc w:val="left"/>
        <w:rPr>
          <w:rFonts w:hint="eastAsia" w:eastAsia="仿宋_GB2312" w:cs="仿宋_GB2312"/>
          <w:b/>
          <w:bCs/>
          <w:sz w:val="32"/>
          <w:szCs w:val="32"/>
        </w:rPr>
      </w:pPr>
      <w:r>
        <w:rPr>
          <w:rFonts w:hint="eastAsia" w:eastAsia="仿宋_GB2312" w:cs="仿宋_GB2312"/>
          <w:b/>
          <w:bCs/>
          <w:sz w:val="32"/>
          <w:szCs w:val="32"/>
        </w:rPr>
        <w:t>一、收入</w:t>
      </w:r>
      <w:r>
        <w:rPr>
          <w:rFonts w:hint="eastAsia" w:eastAsia="仿宋_GB2312" w:cs="仿宋_GB2312"/>
          <w:b/>
          <w:bCs/>
          <w:sz w:val="32"/>
          <w:szCs w:val="32"/>
          <w:lang w:eastAsia="zh-CN"/>
        </w:rPr>
        <w:t>支出</w:t>
      </w:r>
      <w:r>
        <w:rPr>
          <w:rFonts w:hint="eastAsia" w:eastAsia="仿宋_GB2312" w:cs="仿宋_GB2312"/>
          <w:b/>
          <w:bCs/>
          <w:sz w:val="32"/>
          <w:szCs w:val="32"/>
        </w:rPr>
        <w:t>决算总体情况说明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2024年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度收入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977.74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万元，与202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年相比，较上年收入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增加97.23</w:t>
      </w:r>
      <w:r>
        <w:rPr>
          <w:rFonts w:hint="eastAsia" w:ascii="仿宋" w:hAnsi="仿宋" w:eastAsia="仿宋" w:cs="仿宋"/>
          <w:sz w:val="32"/>
          <w:szCs w:val="32"/>
        </w:rPr>
        <w:t>万元，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增</w:t>
      </w:r>
      <w:r>
        <w:rPr>
          <w:rFonts w:hint="eastAsia" w:ascii="仿宋" w:hAnsi="仿宋" w:eastAsia="仿宋" w:cs="仿宋"/>
          <w:sz w:val="32"/>
          <w:szCs w:val="32"/>
        </w:rPr>
        <w:t>幅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11.04</w:t>
      </w:r>
      <w:r>
        <w:rPr>
          <w:rFonts w:hint="eastAsia" w:ascii="仿宋" w:hAnsi="仿宋" w:eastAsia="仿宋" w:cs="仿宋"/>
          <w:sz w:val="32"/>
          <w:szCs w:val="32"/>
        </w:rPr>
        <w:t>%；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2024年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度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支出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总计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977.74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万元，较上年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支出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增加97.23</w:t>
      </w:r>
      <w:r>
        <w:rPr>
          <w:rFonts w:hint="eastAsia" w:ascii="仿宋" w:hAnsi="仿宋" w:eastAsia="仿宋" w:cs="仿宋"/>
          <w:sz w:val="32"/>
          <w:szCs w:val="32"/>
        </w:rPr>
        <w:t>万元，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增</w:t>
      </w:r>
      <w:r>
        <w:rPr>
          <w:rFonts w:hint="eastAsia" w:ascii="仿宋" w:hAnsi="仿宋" w:eastAsia="仿宋" w:cs="仿宋"/>
          <w:sz w:val="32"/>
          <w:szCs w:val="32"/>
        </w:rPr>
        <w:t>幅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11.04</w:t>
      </w:r>
      <w:r>
        <w:rPr>
          <w:rFonts w:hint="eastAsia" w:ascii="仿宋" w:hAnsi="仿宋" w:eastAsia="仿宋" w:cs="仿宋"/>
          <w:sz w:val="32"/>
          <w:szCs w:val="32"/>
        </w:rPr>
        <w:t>%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。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主要变动原因是：政策性调资，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人员经费增加，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本年统计了课后服务费及学生伙食费等。</w:t>
      </w:r>
    </w:p>
    <w:p>
      <w:pPr>
        <w:pStyle w:val="9"/>
        <w:spacing w:before="93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lang w:val="en-US" w:eastAsia="zh-CN"/>
        </w:rPr>
        <w:t xml:space="preserve">  </w:t>
      </w:r>
      <w:bookmarkStart w:id="34" w:name="_GoBack"/>
      <w:r>
        <w:drawing>
          <wp:inline distT="0" distB="0" distL="114300" distR="114300">
            <wp:extent cx="4567555" cy="3596005"/>
            <wp:effectExtent l="4445" t="4445" r="19050" b="19050"/>
            <wp:docPr id="7" name="图表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  <w:bookmarkEnd w:id="34"/>
    </w:p>
    <w:p>
      <w:r>
        <w:rPr>
          <w:rFonts w:hint="eastAsia" w:ascii="仿宋" w:hAnsi="仿宋" w:eastAsia="仿宋" w:cs="仿宋"/>
          <w:sz w:val="32"/>
          <w:szCs w:val="32"/>
        </w:rPr>
        <w:t>（图1：收、支决算总计变动情况图）（柱状图）</w:t>
      </w:r>
    </w:p>
    <w:p>
      <w:pPr>
        <w:pStyle w:val="15"/>
        <w:numPr>
          <w:ilvl w:val="0"/>
          <w:numId w:val="0"/>
        </w:numPr>
        <w:adjustRightInd w:val="0"/>
        <w:snapToGrid w:val="0"/>
        <w:spacing w:line="560" w:lineRule="exact"/>
        <w:jc w:val="left"/>
        <w:rPr>
          <w:rFonts w:hint="eastAsia" w:eastAsia="仿宋_GB2312" w:cs="仿宋_GB2312"/>
          <w:b/>
          <w:bCs/>
          <w:sz w:val="32"/>
          <w:szCs w:val="32"/>
          <w:lang w:val="en-US" w:eastAsia="zh-CN"/>
        </w:rPr>
      </w:pPr>
    </w:p>
    <w:p>
      <w:pPr>
        <w:pStyle w:val="15"/>
        <w:numPr>
          <w:ilvl w:val="0"/>
          <w:numId w:val="0"/>
        </w:numPr>
        <w:adjustRightInd w:val="0"/>
        <w:snapToGrid w:val="0"/>
        <w:spacing w:line="560" w:lineRule="exact"/>
        <w:ind w:firstLine="643" w:firstLineChars="200"/>
        <w:jc w:val="left"/>
        <w:rPr>
          <w:rFonts w:hint="eastAsia" w:eastAsia="仿宋_GB2312" w:cs="仿宋_GB2312"/>
          <w:b/>
          <w:bCs/>
          <w:sz w:val="32"/>
          <w:szCs w:val="32"/>
        </w:rPr>
      </w:pPr>
      <w:r>
        <w:rPr>
          <w:rFonts w:hint="eastAsia" w:eastAsia="仿宋_GB2312" w:cs="仿宋_GB2312"/>
          <w:b/>
          <w:bCs/>
          <w:sz w:val="32"/>
          <w:szCs w:val="32"/>
          <w:lang w:val="en-US" w:eastAsia="zh-CN"/>
        </w:rPr>
        <w:t>二、</w:t>
      </w:r>
      <w:r>
        <w:rPr>
          <w:rFonts w:hint="eastAsia" w:eastAsia="仿宋_GB2312" w:cs="仿宋_GB2312"/>
          <w:b/>
          <w:bCs/>
          <w:sz w:val="32"/>
          <w:szCs w:val="32"/>
        </w:rPr>
        <w:t>收入决算情况说明</w:t>
      </w:r>
    </w:p>
    <w:p>
      <w:pPr>
        <w:spacing w:line="600" w:lineRule="exact"/>
        <w:ind w:firstLine="640" w:firstLineChars="200"/>
        <w:outlineLvl w:val="1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2024年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本年收入合计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977.74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万元，其中：一般公共预算财政拨款收入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956.14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万元，占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97.79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%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，</w:t>
      </w:r>
      <w:r>
        <w:rPr>
          <w:rFonts w:hint="eastAsia" w:ascii="仿宋" w:hAnsi="仿宋" w:eastAsia="仿宋"/>
          <w:color w:val="000000"/>
          <w:sz w:val="32"/>
          <w:szCs w:val="32"/>
        </w:rPr>
        <w:t>其他收入</w:t>
      </w: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21.60</w:t>
      </w:r>
      <w:r>
        <w:rPr>
          <w:rFonts w:hint="eastAsia" w:ascii="仿宋" w:hAnsi="仿宋" w:eastAsia="仿宋"/>
          <w:color w:val="000000"/>
          <w:sz w:val="32"/>
          <w:szCs w:val="32"/>
        </w:rPr>
        <w:t>万元，占</w:t>
      </w: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2.21</w:t>
      </w:r>
      <w:r>
        <w:rPr>
          <w:rFonts w:ascii="仿宋" w:hAnsi="仿宋" w:eastAsia="仿宋"/>
          <w:color w:val="000000"/>
          <w:sz w:val="32"/>
          <w:szCs w:val="32"/>
        </w:rPr>
        <w:t>%</w:t>
      </w:r>
      <w:r>
        <w:rPr>
          <w:rFonts w:hint="eastAsia" w:ascii="仿宋" w:hAnsi="仿宋" w:eastAsia="仿宋"/>
          <w:color w:val="000000"/>
          <w:sz w:val="32"/>
          <w:szCs w:val="32"/>
        </w:rPr>
        <w:t>。</w:t>
      </w:r>
    </w:p>
    <w:p>
      <w:pPr>
        <w:pStyle w:val="9"/>
        <w:spacing w:before="93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lang w:val="en-US" w:eastAsia="zh-CN"/>
        </w:rPr>
        <w:t xml:space="preserve">   </w:t>
      </w:r>
      <w:r>
        <w:drawing>
          <wp:inline distT="0" distB="0" distL="114300" distR="114300">
            <wp:extent cx="4697730" cy="2497455"/>
            <wp:effectExtent l="4445" t="4445" r="22225" b="12700"/>
            <wp:docPr id="13" name="图表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>
      <w:pPr>
        <w:spacing w:line="600" w:lineRule="exact"/>
        <w:ind w:firstLine="1920" w:firstLineChars="600"/>
        <w:rPr>
          <w:rFonts w:hint="eastAsia"/>
        </w:rPr>
      </w:pPr>
      <w:r>
        <w:rPr>
          <w:rFonts w:hint="eastAsia" w:ascii="仿宋" w:hAnsi="仿宋" w:eastAsia="仿宋" w:cs="仿宋"/>
          <w:sz w:val="32"/>
          <w:szCs w:val="32"/>
        </w:rPr>
        <w:t>（图2：收入决算结构图）（饼状图）</w:t>
      </w:r>
    </w:p>
    <w:p>
      <w:pPr>
        <w:numPr>
          <w:ilvl w:val="0"/>
          <w:numId w:val="0"/>
        </w:numPr>
        <w:ind w:leftChars="200"/>
      </w:pPr>
    </w:p>
    <w:p>
      <w:pPr>
        <w:pStyle w:val="15"/>
        <w:numPr>
          <w:ilvl w:val="0"/>
          <w:numId w:val="0"/>
        </w:numPr>
        <w:adjustRightInd w:val="0"/>
        <w:snapToGrid w:val="0"/>
        <w:spacing w:line="560" w:lineRule="exact"/>
        <w:ind w:firstLine="643" w:firstLineChars="200"/>
        <w:jc w:val="left"/>
        <w:rPr>
          <w:rFonts w:hint="eastAsia" w:eastAsia="仿宋_GB2312" w:cs="仿宋_GB2312"/>
          <w:b/>
          <w:bCs/>
          <w:sz w:val="32"/>
          <w:szCs w:val="32"/>
        </w:rPr>
      </w:pPr>
      <w:r>
        <w:rPr>
          <w:rFonts w:hint="eastAsia" w:eastAsia="仿宋_GB2312" w:cs="仿宋_GB2312"/>
          <w:b/>
          <w:bCs/>
          <w:sz w:val="32"/>
          <w:szCs w:val="32"/>
          <w:lang w:val="en-US" w:eastAsia="zh-CN"/>
        </w:rPr>
        <w:t>三、</w:t>
      </w:r>
      <w:r>
        <w:rPr>
          <w:rFonts w:hint="eastAsia" w:eastAsia="仿宋_GB2312" w:cs="仿宋_GB2312"/>
          <w:b/>
          <w:bCs/>
          <w:sz w:val="32"/>
          <w:szCs w:val="32"/>
          <w:lang w:eastAsia="zh-CN"/>
        </w:rPr>
        <w:t>支出</w:t>
      </w:r>
      <w:r>
        <w:rPr>
          <w:rFonts w:hint="eastAsia" w:eastAsia="仿宋_GB2312" w:cs="仿宋_GB2312"/>
          <w:b/>
          <w:bCs/>
          <w:sz w:val="32"/>
          <w:szCs w:val="32"/>
        </w:rPr>
        <w:t>决算情况说明</w:t>
      </w:r>
    </w:p>
    <w:p>
      <w:pPr>
        <w:spacing w:line="600" w:lineRule="exact"/>
        <w:ind w:firstLine="640" w:firstLineChars="200"/>
        <w:outlineLvl w:val="1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2024年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本年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支出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合计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977.74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万元，其中：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基本支出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val="en-US" w:eastAsia="zh-CN"/>
        </w:rPr>
        <w:t>946.65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万元，占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96.80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%；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项目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支出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31.29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万元，占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3.20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%。</w:t>
      </w:r>
    </w:p>
    <w:p>
      <w:pPr>
        <w:pStyle w:val="9"/>
        <w:spacing w:before="93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lang w:val="en-US" w:eastAsia="zh-CN"/>
        </w:rPr>
        <w:t xml:space="preserve">        </w:t>
      </w:r>
      <w:r>
        <w:drawing>
          <wp:inline distT="0" distB="0" distL="114300" distR="114300">
            <wp:extent cx="4311650" cy="2620645"/>
            <wp:effectExtent l="4445" t="4445" r="8255" b="22860"/>
            <wp:docPr id="5" name="图表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>
      <w:pPr>
        <w:numPr>
          <w:ilvl w:val="0"/>
          <w:numId w:val="0"/>
        </w:numPr>
        <w:ind w:left="640" w:leftChars="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   </w:t>
      </w:r>
      <w:r>
        <w:rPr>
          <w:rFonts w:hint="eastAsia" w:ascii="仿宋" w:hAnsi="仿宋" w:eastAsia="仿宋" w:cs="仿宋"/>
          <w:sz w:val="28"/>
          <w:szCs w:val="28"/>
        </w:rPr>
        <w:t>图3：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支出</w:t>
      </w:r>
      <w:r>
        <w:rPr>
          <w:rFonts w:hint="eastAsia" w:ascii="仿宋" w:hAnsi="仿宋" w:eastAsia="仿宋" w:cs="仿宋"/>
          <w:sz w:val="28"/>
          <w:szCs w:val="28"/>
        </w:rPr>
        <w:t>决算结构图）（饼状图）</w:t>
      </w:r>
    </w:p>
    <w:p>
      <w:pPr>
        <w:numPr>
          <w:ilvl w:val="0"/>
          <w:numId w:val="0"/>
        </w:numPr>
        <w:ind w:left="640" w:leftChars="0"/>
        <w:rPr>
          <w:rStyle w:val="31"/>
          <w:rFonts w:hint="eastAsia" w:ascii="仿宋" w:hAnsi="仿宋" w:eastAsia="仿宋" w:cs="仿宋"/>
          <w:b/>
          <w:bCs/>
        </w:rPr>
      </w:pPr>
      <w:r>
        <w:rPr>
          <w:rFonts w:hint="eastAsia" w:eastAsia="仿宋_GB2312" w:cs="仿宋_GB2312"/>
          <w:b/>
          <w:bCs/>
          <w:sz w:val="32"/>
          <w:szCs w:val="32"/>
          <w:lang w:val="en-US" w:eastAsia="zh-CN"/>
        </w:rPr>
        <w:t>四、</w:t>
      </w:r>
      <w:r>
        <w:rPr>
          <w:rFonts w:hint="eastAsia" w:eastAsia="仿宋_GB2312" w:cs="仿宋_GB2312"/>
          <w:b/>
          <w:bCs/>
          <w:sz w:val="32"/>
          <w:szCs w:val="32"/>
        </w:rPr>
        <w:t>财政拨款收入</w:t>
      </w:r>
      <w:r>
        <w:rPr>
          <w:rFonts w:hint="eastAsia" w:eastAsia="仿宋_GB2312" w:cs="仿宋_GB2312"/>
          <w:b/>
          <w:bCs/>
          <w:sz w:val="32"/>
          <w:szCs w:val="32"/>
          <w:lang w:eastAsia="zh-CN"/>
        </w:rPr>
        <w:t>支出</w:t>
      </w:r>
      <w:r>
        <w:rPr>
          <w:rFonts w:hint="eastAsia" w:eastAsia="仿宋_GB2312" w:cs="仿宋_GB2312"/>
          <w:b/>
          <w:bCs/>
          <w:sz w:val="32"/>
          <w:szCs w:val="32"/>
        </w:rPr>
        <w:t>决算总体情况说明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2024年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财政拨款收入合计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977.74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万元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与20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23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年相比，财政拨款收入总计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增加97.23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万元、收入总计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增</w:t>
      </w:r>
      <w:r>
        <w:rPr>
          <w:rFonts w:hint="eastAsia" w:ascii="仿宋" w:hAnsi="仿宋" w:eastAsia="仿宋" w:cs="仿宋"/>
          <w:sz w:val="32"/>
          <w:szCs w:val="32"/>
        </w:rPr>
        <w:t>幅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11.04</w:t>
      </w:r>
      <w:r>
        <w:rPr>
          <w:rFonts w:hint="eastAsia" w:ascii="仿宋" w:hAnsi="仿宋" w:eastAsia="仿宋" w:cs="仿宋"/>
          <w:sz w:val="32"/>
          <w:szCs w:val="32"/>
        </w:rPr>
        <w:t>%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。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主要变动原因是：政策性调资，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人员经费增加，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本年统计了课后服务费及学生伙食费等。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2024年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财政拨款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支出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合计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977.74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万元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，支出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总计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增加97.23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万元，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支出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总计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增</w:t>
      </w:r>
      <w:r>
        <w:rPr>
          <w:rFonts w:hint="eastAsia" w:ascii="仿宋" w:hAnsi="仿宋" w:eastAsia="仿宋" w:cs="仿宋"/>
          <w:sz w:val="32"/>
          <w:szCs w:val="32"/>
        </w:rPr>
        <w:t>幅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11.04</w:t>
      </w:r>
      <w:r>
        <w:rPr>
          <w:rFonts w:hint="eastAsia" w:ascii="仿宋" w:hAnsi="仿宋" w:eastAsia="仿宋" w:cs="仿宋"/>
          <w:sz w:val="32"/>
          <w:szCs w:val="32"/>
        </w:rPr>
        <w:t>%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要变动原因是：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政策性调资，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人员经费增加，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本年统计了课后服务费及学生伙食费等。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</w:p>
    <w:p>
      <w:pPr>
        <w:spacing w:line="600" w:lineRule="exact"/>
        <w:ind w:firstLine="480" w:firstLineChars="150"/>
        <w:rPr>
          <w:rFonts w:hint="eastAsia" w:ascii="仿宋" w:hAnsi="仿宋" w:eastAsia="仿宋" w:cs="仿宋"/>
          <w:sz w:val="32"/>
          <w:szCs w:val="32"/>
        </w:rPr>
      </w:pPr>
    </w:p>
    <w:p>
      <w:pPr>
        <w:pStyle w:val="9"/>
        <w:rPr>
          <w:rFonts w:hint="eastAsia" w:ascii="仿宋" w:hAnsi="仿宋" w:eastAsia="仿宋" w:cs="仿宋"/>
        </w:rPr>
      </w:pPr>
    </w:p>
    <w:p>
      <w:pPr>
        <w:spacing w:line="600" w:lineRule="exact"/>
        <w:ind w:firstLine="480" w:firstLineChars="15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</w:t>
      </w:r>
    </w:p>
    <w:p>
      <w:pPr>
        <w:spacing w:line="600" w:lineRule="exac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</w:t>
      </w:r>
    </w:p>
    <w:p>
      <w:pPr>
        <w:spacing w:line="600" w:lineRule="exact"/>
        <w:ind w:firstLine="480" w:firstLineChars="150"/>
        <w:rPr>
          <w:rFonts w:hint="eastAsia" w:ascii="仿宋" w:hAnsi="仿宋" w:eastAsia="仿宋" w:cs="仿宋"/>
          <w:sz w:val="32"/>
          <w:szCs w:val="32"/>
        </w:rPr>
      </w:pPr>
    </w:p>
    <w:p>
      <w:pPr>
        <w:spacing w:line="600" w:lineRule="exact"/>
        <w:ind w:firstLine="480" w:firstLineChars="150"/>
        <w:rPr>
          <w:rFonts w:hint="eastAsia" w:ascii="仿宋" w:hAnsi="仿宋" w:eastAsia="仿宋" w:cs="仿宋"/>
          <w:sz w:val="32"/>
          <w:szCs w:val="32"/>
        </w:rPr>
      </w:pPr>
    </w:p>
    <w:p>
      <w:pPr>
        <w:spacing w:line="60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</w:p>
    <w:p>
      <w:pPr>
        <w:spacing w:line="600" w:lineRule="exact"/>
        <w:ind w:firstLine="210" w:firstLineChars="100"/>
        <w:rPr>
          <w:rFonts w:hint="eastAsia" w:ascii="仿宋" w:hAnsi="仿宋" w:eastAsia="仿宋" w:cs="仿宋"/>
          <w:sz w:val="32"/>
          <w:szCs w:val="32"/>
        </w:rPr>
      </w:pPr>
      <w: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137795</wp:posOffset>
            </wp:positionH>
            <wp:positionV relativeFrom="paragraph">
              <wp:posOffset>-2662555</wp:posOffset>
            </wp:positionV>
            <wp:extent cx="4717415" cy="2955290"/>
            <wp:effectExtent l="4445" t="4445" r="21590" b="12065"/>
            <wp:wrapNone/>
            <wp:docPr id="6" name="图表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anchor>
        </w:drawing>
      </w:r>
    </w:p>
    <w:p>
      <w:pPr>
        <w:spacing w:line="600" w:lineRule="exact"/>
        <w:ind w:left="639" w:leftChars="152" w:hanging="320" w:hangingChars="100"/>
        <w:rPr>
          <w:rStyle w:val="31"/>
          <w:rFonts w:hint="eastAsia" w:ascii="仿宋" w:hAnsi="仿宋" w:eastAsia="仿宋" w:cs="仿宋"/>
          <w:b w:val="0"/>
        </w:rPr>
      </w:pPr>
      <w:r>
        <w:rPr>
          <w:rFonts w:hint="eastAsia" w:ascii="仿宋" w:hAnsi="仿宋" w:eastAsia="仿宋" w:cs="仿宋"/>
          <w:sz w:val="32"/>
          <w:szCs w:val="32"/>
        </w:rPr>
        <w:t>（图4：财政拨款收、支决算总计变动情况）（柱状图）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五、一</w:t>
      </w:r>
      <w:r>
        <w:rPr>
          <w:rStyle w:val="31"/>
          <w:rFonts w:hint="eastAsia" w:ascii="仿宋" w:hAnsi="仿宋" w:eastAsia="仿宋" w:cs="仿宋"/>
          <w:b/>
          <w:bCs/>
        </w:rPr>
        <w:t>般公共预算财政拨款</w:t>
      </w:r>
      <w:r>
        <w:rPr>
          <w:rStyle w:val="31"/>
          <w:rFonts w:hint="eastAsia" w:ascii="仿宋" w:hAnsi="仿宋" w:eastAsia="仿宋" w:cs="仿宋"/>
          <w:b/>
          <w:bCs/>
          <w:lang w:eastAsia="zh-CN"/>
        </w:rPr>
        <w:t>支出</w:t>
      </w:r>
      <w:r>
        <w:rPr>
          <w:rStyle w:val="31"/>
          <w:rFonts w:hint="eastAsia" w:ascii="仿宋" w:hAnsi="仿宋" w:eastAsia="仿宋" w:cs="仿宋"/>
          <w:b/>
          <w:bCs/>
        </w:rPr>
        <w:t>决算情况说明</w:t>
      </w:r>
    </w:p>
    <w:p>
      <w:pPr>
        <w:spacing w:line="600" w:lineRule="exact"/>
        <w:ind w:firstLine="643" w:firstLineChars="200"/>
        <w:outlineLvl w:val="2"/>
        <w:rPr>
          <w:rFonts w:hint="eastAsia"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>（一）一般公共预算财政拨款</w:t>
      </w:r>
      <w:r>
        <w:rPr>
          <w:rFonts w:hint="eastAsia" w:ascii="仿宋" w:hAnsi="仿宋" w:eastAsia="仿宋" w:cs="仿宋"/>
          <w:b/>
          <w:sz w:val="32"/>
          <w:szCs w:val="32"/>
          <w:lang w:eastAsia="zh-CN"/>
        </w:rPr>
        <w:t>支出</w:t>
      </w:r>
      <w:r>
        <w:rPr>
          <w:rFonts w:hint="eastAsia" w:ascii="仿宋" w:hAnsi="仿宋" w:eastAsia="仿宋" w:cs="仿宋"/>
          <w:b/>
          <w:sz w:val="32"/>
          <w:szCs w:val="32"/>
        </w:rPr>
        <w:t>决算总体情况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2024年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一般公共预算财政拨款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支出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956.14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万元，占本年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支出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合计的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97.79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%。与202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年相比，一般公共预算财政拨款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增加75.62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万元，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增</w:t>
      </w:r>
      <w:r>
        <w:rPr>
          <w:rFonts w:hint="eastAsia" w:ascii="仿宋" w:hAnsi="仿宋" w:eastAsia="仿宋" w:cs="仿宋"/>
          <w:sz w:val="32"/>
          <w:szCs w:val="32"/>
        </w:rPr>
        <w:t>幅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8.59</w:t>
      </w:r>
      <w:r>
        <w:rPr>
          <w:rFonts w:hint="eastAsia" w:ascii="仿宋" w:hAnsi="仿宋" w:eastAsia="仿宋" w:cs="仿宋"/>
          <w:sz w:val="32"/>
          <w:szCs w:val="32"/>
        </w:rPr>
        <w:t>%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。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增加原因：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政策性调资，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人员经费增加，教师退休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经费等。</w:t>
      </w:r>
    </w:p>
    <w:p>
      <w:pPr>
        <w:pStyle w:val="9"/>
        <w:spacing w:before="93"/>
        <w:rPr>
          <w:rFonts w:hint="eastAsia" w:ascii="仿宋" w:hAnsi="仿宋" w:eastAsia="仿宋" w:cs="仿宋"/>
          <w:kern w:val="0"/>
          <w:sz w:val="30"/>
        </w:rPr>
      </w:pPr>
      <w:r>
        <w:rPr>
          <w:rFonts w:hint="eastAsia" w:ascii="仿宋" w:hAnsi="仿宋" w:eastAsia="仿宋" w:cs="仿宋"/>
          <w:lang w:val="en-US" w:eastAsia="zh-CN"/>
        </w:rPr>
        <w:t xml:space="preserve">      </w:t>
      </w:r>
      <w:r>
        <w:drawing>
          <wp:inline distT="0" distB="0" distL="114300" distR="114300">
            <wp:extent cx="4826000" cy="2743200"/>
            <wp:effectExtent l="4445" t="4445" r="8255" b="14605"/>
            <wp:docPr id="14" name="图表 1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>
      <w:pPr>
        <w:spacing w:line="600" w:lineRule="exac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（图5：一般公共预算财政拨款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支出</w:t>
      </w:r>
      <w:r>
        <w:rPr>
          <w:rFonts w:hint="eastAsia" w:ascii="仿宋" w:hAnsi="仿宋" w:eastAsia="仿宋" w:cs="仿宋"/>
          <w:sz w:val="32"/>
          <w:szCs w:val="32"/>
        </w:rPr>
        <w:t>决算变动情况）（柱状图）</w:t>
      </w:r>
    </w:p>
    <w:p>
      <w:pPr>
        <w:spacing w:line="600" w:lineRule="exact"/>
        <w:ind w:firstLine="643" w:firstLineChars="200"/>
        <w:outlineLvl w:val="2"/>
        <w:rPr>
          <w:rFonts w:hint="eastAsia"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>（二）一般公共预算财政拨款</w:t>
      </w:r>
      <w:r>
        <w:rPr>
          <w:rFonts w:hint="eastAsia" w:ascii="仿宋" w:hAnsi="仿宋" w:eastAsia="仿宋" w:cs="仿宋"/>
          <w:b/>
          <w:sz w:val="32"/>
          <w:szCs w:val="32"/>
          <w:lang w:eastAsia="zh-CN"/>
        </w:rPr>
        <w:t>支出</w:t>
      </w:r>
      <w:r>
        <w:rPr>
          <w:rFonts w:hint="eastAsia" w:ascii="仿宋" w:hAnsi="仿宋" w:eastAsia="仿宋" w:cs="仿宋"/>
          <w:b/>
          <w:sz w:val="32"/>
          <w:szCs w:val="32"/>
        </w:rPr>
        <w:t>决算结构情况</w:t>
      </w:r>
    </w:p>
    <w:p>
      <w:pPr>
        <w:spacing w:line="600" w:lineRule="exact"/>
        <w:ind w:firstLine="640" w:firstLineChars="200"/>
        <w:outlineLvl w:val="1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2024年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一般公共预算财政拨款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支出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956.14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万元，主要用于以下方面:教育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支出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val="en-US" w:eastAsia="zh-CN"/>
        </w:rPr>
        <w:t>727.96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万元，占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76.14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%；社会保障和就业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支出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133.46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万元，占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13.96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%；卫生健康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支出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35.99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万元，占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3.76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%；住房保障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支出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58.72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万元，占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6.14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%。</w:t>
      </w:r>
    </w:p>
    <w:p>
      <w:pPr>
        <w:spacing w:line="600" w:lineRule="exact"/>
        <w:ind w:left="640" w:leftChars="305" w:firstLine="315" w:firstLineChars="150"/>
        <w:outlineLvl w:val="1"/>
        <w:rPr>
          <w:rFonts w:hint="eastAsia" w:ascii="仿宋" w:hAnsi="仿宋" w:eastAsia="仿宋" w:cs="仿宋"/>
        </w:rPr>
      </w:pPr>
    </w:p>
    <w:p>
      <w:pPr>
        <w:pStyle w:val="9"/>
        <w:spacing w:before="93"/>
        <w:rPr>
          <w:rFonts w:hint="eastAsia" w:ascii="仿宋" w:hAnsi="仿宋" w:eastAsia="仿宋" w:cs="仿宋"/>
          <w:kern w:val="0"/>
          <w:sz w:val="30"/>
        </w:rPr>
      </w:pPr>
      <w:r>
        <w:rPr>
          <w:rFonts w:hint="eastAsia" w:ascii="仿宋" w:hAnsi="仿宋" w:eastAsia="仿宋" w:cs="仿宋"/>
          <w:lang w:val="en-US" w:eastAsia="zh-CN"/>
        </w:rPr>
        <w:t xml:space="preserve">         </w:t>
      </w:r>
      <w:r>
        <w:drawing>
          <wp:inline distT="0" distB="0" distL="114300" distR="114300">
            <wp:extent cx="4898390" cy="3573780"/>
            <wp:effectExtent l="10795" t="10795" r="24765" b="15875"/>
            <wp:docPr id="3" name="图表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>
      <w:pPr>
        <w:numPr>
          <w:ilvl w:val="0"/>
          <w:numId w:val="0"/>
        </w:numPr>
        <w:ind w:leftChars="200"/>
        <w:rPr>
          <w:rFonts w:hint="eastAsia"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（图6：一般公共预算财政拨款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支出</w:t>
      </w:r>
      <w:r>
        <w:rPr>
          <w:rFonts w:hint="eastAsia" w:ascii="仿宋" w:hAnsi="仿宋" w:eastAsia="仿宋" w:cs="仿宋"/>
          <w:sz w:val="32"/>
          <w:szCs w:val="32"/>
        </w:rPr>
        <w:t>决算结构）（饼状图）</w:t>
      </w:r>
      <w:r>
        <w:rPr>
          <w:rFonts w:hint="eastAsia" w:ascii="仿宋" w:hAnsi="仿宋" w:eastAsia="仿宋" w:cs="仿宋"/>
          <w:b/>
          <w:sz w:val="32"/>
          <w:szCs w:val="32"/>
        </w:rPr>
        <w:t>（三）一般公共预算财政拨款</w:t>
      </w:r>
      <w:r>
        <w:rPr>
          <w:rFonts w:hint="eastAsia" w:ascii="仿宋" w:hAnsi="仿宋" w:eastAsia="仿宋" w:cs="仿宋"/>
          <w:b/>
          <w:sz w:val="32"/>
          <w:szCs w:val="32"/>
          <w:lang w:eastAsia="zh-CN"/>
        </w:rPr>
        <w:t>支出</w:t>
      </w:r>
      <w:r>
        <w:rPr>
          <w:rFonts w:hint="eastAsia" w:ascii="仿宋" w:hAnsi="仿宋" w:eastAsia="仿宋" w:cs="仿宋"/>
          <w:b/>
          <w:sz w:val="32"/>
          <w:szCs w:val="32"/>
        </w:rPr>
        <w:t>决算具体情况</w:t>
      </w:r>
    </w:p>
    <w:p>
      <w:pPr>
        <w:spacing w:line="600" w:lineRule="exact"/>
        <w:ind w:firstLine="643" w:firstLineChars="200"/>
        <w:outlineLvl w:val="2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  <w:lang w:eastAsia="zh-CN"/>
        </w:rPr>
        <w:t>2024年</w:t>
      </w:r>
      <w:r>
        <w:rPr>
          <w:rFonts w:hint="eastAsia" w:ascii="仿宋" w:hAnsi="仿宋" w:eastAsia="仿宋" w:cs="仿宋"/>
          <w:b/>
          <w:sz w:val="32"/>
          <w:szCs w:val="32"/>
        </w:rPr>
        <w:t>一般公共预算</w:t>
      </w:r>
      <w:r>
        <w:rPr>
          <w:rFonts w:hint="eastAsia" w:ascii="仿宋" w:hAnsi="仿宋" w:eastAsia="仿宋" w:cs="仿宋"/>
          <w:b/>
          <w:sz w:val="32"/>
          <w:szCs w:val="32"/>
          <w:lang w:eastAsia="zh-CN"/>
        </w:rPr>
        <w:t>支出</w:t>
      </w:r>
      <w:r>
        <w:rPr>
          <w:rFonts w:hint="eastAsia" w:ascii="仿宋" w:hAnsi="仿宋" w:eastAsia="仿宋" w:cs="仿宋"/>
          <w:b/>
          <w:sz w:val="32"/>
          <w:szCs w:val="32"/>
        </w:rPr>
        <w:t>决算数为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956.14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万元</w:t>
      </w:r>
      <w:r>
        <w:rPr>
          <w:rFonts w:hint="eastAsia" w:ascii="仿宋" w:hAnsi="仿宋" w:eastAsia="仿宋" w:cs="仿宋"/>
          <w:sz w:val="32"/>
          <w:szCs w:val="32"/>
        </w:rPr>
        <w:t>，</w:t>
      </w:r>
      <w:r>
        <w:rPr>
          <w:rStyle w:val="19"/>
          <w:rFonts w:hint="eastAsia" w:ascii="仿宋" w:hAnsi="仿宋" w:eastAsia="仿宋" w:cs="仿宋"/>
          <w:bCs/>
          <w:sz w:val="32"/>
          <w:szCs w:val="32"/>
        </w:rPr>
        <w:t>完成预算100%。其中：</w:t>
      </w:r>
    </w:p>
    <w:p>
      <w:pPr>
        <w:spacing w:line="600" w:lineRule="exact"/>
        <w:ind w:firstLine="643" w:firstLineChars="200"/>
        <w:rPr>
          <w:rStyle w:val="19"/>
          <w:rFonts w:hint="eastAsia" w:ascii="宋体" w:hAnsi="宋体" w:cs="宋体"/>
          <w:b w:val="0"/>
          <w:bCs/>
          <w:sz w:val="32"/>
          <w:szCs w:val="32"/>
        </w:rPr>
      </w:pPr>
      <w:r>
        <w:rPr>
          <w:rStyle w:val="19"/>
          <w:rFonts w:hint="eastAsia" w:ascii="宋体" w:hAnsi="宋体" w:cs="宋体"/>
          <w:bCs/>
          <w:sz w:val="32"/>
          <w:szCs w:val="32"/>
        </w:rPr>
        <w:t xml:space="preserve">1.教育（类）普通教育（款）学前教育（项）: </w:t>
      </w:r>
      <w:r>
        <w:rPr>
          <w:rFonts w:hint="eastAsia" w:eastAsia="仿宋_GB2312" w:cs="仿宋_GB2312"/>
          <w:color w:val="auto"/>
          <w:kern w:val="2"/>
          <w:sz w:val="32"/>
          <w:szCs w:val="32"/>
          <w:highlight w:val="none"/>
          <w:lang w:val="zh-CN" w:eastAsia="zh-CN" w:bidi="ar-SA"/>
        </w:rPr>
        <w:t>支出</w:t>
      </w:r>
      <w:r>
        <w:rPr>
          <w:rFonts w:hint="eastAsia" w:ascii="Times New Roman" w:hAnsi="Times New Roman" w:eastAsia="仿宋_GB2312" w:cs="仿宋_GB2312"/>
          <w:color w:val="auto"/>
          <w:kern w:val="2"/>
          <w:sz w:val="32"/>
          <w:szCs w:val="32"/>
          <w:highlight w:val="none"/>
          <w:lang w:val="zh-CN" w:eastAsia="zh-CN" w:bidi="ar-SA"/>
        </w:rPr>
        <w:t>决算为</w:t>
      </w:r>
      <w:r>
        <w:rPr>
          <w:rFonts w:hint="eastAsia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4.64</w:t>
      </w:r>
      <w:r>
        <w:rPr>
          <w:rFonts w:hint="eastAsia" w:ascii="Times New Roman" w:hAnsi="Times New Roman" w:eastAsia="仿宋_GB2312" w:cs="仿宋_GB2312"/>
          <w:color w:val="auto"/>
          <w:kern w:val="2"/>
          <w:sz w:val="32"/>
          <w:szCs w:val="32"/>
          <w:highlight w:val="none"/>
          <w:lang w:val="zh-CN" w:eastAsia="zh-CN" w:bidi="ar-SA"/>
        </w:rPr>
        <w:t>万元，完成预算100%，决算数与预算数持平。</w:t>
      </w:r>
    </w:p>
    <w:p>
      <w:pPr>
        <w:spacing w:line="600" w:lineRule="exact"/>
        <w:ind w:firstLine="643" w:firstLineChars="200"/>
        <w:rPr>
          <w:rStyle w:val="19"/>
          <w:rFonts w:hint="eastAsia" w:ascii="宋体" w:hAnsi="宋体" w:cs="宋体"/>
          <w:b w:val="0"/>
          <w:bCs/>
          <w:sz w:val="32"/>
          <w:szCs w:val="32"/>
        </w:rPr>
      </w:pPr>
      <w:r>
        <w:rPr>
          <w:rStyle w:val="19"/>
          <w:rFonts w:hint="eastAsia" w:ascii="宋体" w:hAnsi="宋体" w:cs="宋体"/>
          <w:bCs/>
          <w:sz w:val="32"/>
          <w:szCs w:val="32"/>
        </w:rPr>
        <w:t xml:space="preserve">2.教育（类）普通教育（款）小学教育（项）: </w:t>
      </w:r>
      <w:r>
        <w:rPr>
          <w:rFonts w:hint="eastAsia" w:eastAsia="仿宋_GB2312" w:cs="仿宋_GB2312"/>
          <w:color w:val="auto"/>
          <w:kern w:val="2"/>
          <w:sz w:val="32"/>
          <w:szCs w:val="32"/>
          <w:highlight w:val="none"/>
          <w:lang w:val="zh-CN" w:eastAsia="zh-CN" w:bidi="ar-SA"/>
        </w:rPr>
        <w:t>支出</w:t>
      </w:r>
      <w:r>
        <w:rPr>
          <w:rFonts w:hint="eastAsia" w:ascii="Times New Roman" w:hAnsi="Times New Roman" w:eastAsia="仿宋_GB2312" w:cs="仿宋_GB2312"/>
          <w:color w:val="auto"/>
          <w:kern w:val="2"/>
          <w:sz w:val="32"/>
          <w:szCs w:val="32"/>
          <w:highlight w:val="none"/>
          <w:lang w:val="zh-CN" w:eastAsia="zh-CN" w:bidi="ar-SA"/>
        </w:rPr>
        <w:t>决算为</w:t>
      </w:r>
      <w:r>
        <w:rPr>
          <w:rFonts w:hint="eastAsia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712.41</w:t>
      </w:r>
      <w:r>
        <w:rPr>
          <w:rFonts w:hint="eastAsia" w:ascii="Times New Roman" w:hAnsi="Times New Roman" w:eastAsia="仿宋_GB2312" w:cs="仿宋_GB2312"/>
          <w:color w:val="auto"/>
          <w:kern w:val="2"/>
          <w:sz w:val="32"/>
          <w:szCs w:val="32"/>
          <w:highlight w:val="none"/>
          <w:lang w:val="zh-CN" w:eastAsia="zh-CN" w:bidi="ar-SA"/>
        </w:rPr>
        <w:t>万元，完成预算100%，决算数与预算数持平。</w:t>
      </w:r>
    </w:p>
    <w:p>
      <w:pPr>
        <w:spacing w:line="600" w:lineRule="exact"/>
        <w:ind w:firstLine="643" w:firstLineChars="200"/>
        <w:rPr>
          <w:rStyle w:val="19"/>
          <w:rFonts w:hint="eastAsia" w:ascii="宋体" w:hAnsi="宋体" w:cs="宋体"/>
          <w:b w:val="0"/>
          <w:bCs/>
          <w:sz w:val="32"/>
          <w:szCs w:val="32"/>
        </w:rPr>
      </w:pPr>
      <w:r>
        <w:rPr>
          <w:rStyle w:val="19"/>
          <w:rFonts w:hint="eastAsia" w:ascii="宋体" w:hAnsi="宋体" w:cs="宋体"/>
          <w:bCs/>
          <w:sz w:val="32"/>
          <w:szCs w:val="32"/>
        </w:rPr>
        <w:t>3.教育（类）普通教育（款）其他普通教育</w:t>
      </w:r>
      <w:r>
        <w:rPr>
          <w:rStyle w:val="19"/>
          <w:rFonts w:hint="eastAsia" w:ascii="宋体" w:hAnsi="宋体" w:cs="宋体"/>
          <w:bCs/>
          <w:sz w:val="32"/>
          <w:szCs w:val="32"/>
          <w:lang w:eastAsia="zh-CN"/>
        </w:rPr>
        <w:t>支出</w:t>
      </w:r>
      <w:r>
        <w:rPr>
          <w:rStyle w:val="19"/>
          <w:rFonts w:hint="eastAsia" w:ascii="宋体" w:hAnsi="宋体" w:cs="宋体"/>
          <w:bCs/>
          <w:sz w:val="32"/>
          <w:szCs w:val="32"/>
        </w:rPr>
        <w:t xml:space="preserve">（项）: </w:t>
      </w:r>
      <w:r>
        <w:rPr>
          <w:rFonts w:hint="eastAsia" w:eastAsia="仿宋_GB2312" w:cs="仿宋_GB2312"/>
          <w:color w:val="auto"/>
          <w:kern w:val="2"/>
          <w:sz w:val="32"/>
          <w:szCs w:val="32"/>
          <w:highlight w:val="none"/>
          <w:lang w:val="zh-CN" w:eastAsia="zh-CN" w:bidi="ar-SA"/>
        </w:rPr>
        <w:t>支出</w:t>
      </w:r>
      <w:r>
        <w:rPr>
          <w:rFonts w:hint="eastAsia" w:ascii="Times New Roman" w:hAnsi="Times New Roman" w:eastAsia="仿宋_GB2312" w:cs="仿宋_GB2312"/>
          <w:color w:val="auto"/>
          <w:kern w:val="2"/>
          <w:sz w:val="32"/>
          <w:szCs w:val="32"/>
          <w:highlight w:val="none"/>
          <w:lang w:val="zh-CN" w:eastAsia="zh-CN" w:bidi="ar-SA"/>
        </w:rPr>
        <w:t>决算为0.1</w:t>
      </w:r>
      <w:r>
        <w:rPr>
          <w:rFonts w:hint="eastAsia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3</w:t>
      </w:r>
      <w:r>
        <w:rPr>
          <w:rFonts w:hint="eastAsia" w:ascii="Times New Roman" w:hAnsi="Times New Roman" w:eastAsia="仿宋_GB2312" w:cs="仿宋_GB2312"/>
          <w:color w:val="auto"/>
          <w:kern w:val="2"/>
          <w:sz w:val="32"/>
          <w:szCs w:val="32"/>
          <w:highlight w:val="none"/>
          <w:lang w:val="zh-CN" w:eastAsia="zh-CN" w:bidi="ar-SA"/>
        </w:rPr>
        <w:t>万元，完成预算100%，决算数与预算数持平。</w:t>
      </w:r>
    </w:p>
    <w:p>
      <w:pPr>
        <w:spacing w:line="600" w:lineRule="exact"/>
        <w:ind w:firstLine="643" w:firstLineChars="200"/>
        <w:rPr>
          <w:rStyle w:val="19"/>
          <w:rFonts w:hint="eastAsia" w:ascii="宋体" w:hAnsi="宋体" w:cs="宋体"/>
          <w:b w:val="0"/>
          <w:bCs/>
          <w:sz w:val="32"/>
          <w:szCs w:val="32"/>
        </w:rPr>
      </w:pPr>
      <w:r>
        <w:rPr>
          <w:rStyle w:val="19"/>
          <w:rFonts w:hint="eastAsia" w:ascii="宋体" w:hAnsi="宋体" w:cs="宋体"/>
          <w:bCs/>
          <w:sz w:val="32"/>
          <w:szCs w:val="32"/>
        </w:rPr>
        <w:t>4.教育（类）其他教育</w:t>
      </w:r>
      <w:r>
        <w:rPr>
          <w:rStyle w:val="19"/>
          <w:rFonts w:hint="eastAsia" w:ascii="宋体" w:hAnsi="宋体" w:cs="宋体"/>
          <w:bCs/>
          <w:sz w:val="32"/>
          <w:szCs w:val="32"/>
          <w:lang w:eastAsia="zh-CN"/>
        </w:rPr>
        <w:t>支出</w:t>
      </w:r>
      <w:r>
        <w:rPr>
          <w:rStyle w:val="19"/>
          <w:rFonts w:hint="eastAsia" w:ascii="宋体" w:hAnsi="宋体" w:cs="宋体"/>
          <w:bCs/>
          <w:sz w:val="32"/>
          <w:szCs w:val="32"/>
        </w:rPr>
        <w:t>（款）其他教育</w:t>
      </w:r>
      <w:r>
        <w:rPr>
          <w:rStyle w:val="19"/>
          <w:rFonts w:hint="eastAsia" w:ascii="宋体" w:hAnsi="宋体" w:cs="宋体"/>
          <w:bCs/>
          <w:sz w:val="32"/>
          <w:szCs w:val="32"/>
          <w:lang w:eastAsia="zh-CN"/>
        </w:rPr>
        <w:t>支出</w:t>
      </w:r>
      <w:r>
        <w:rPr>
          <w:rStyle w:val="19"/>
          <w:rFonts w:hint="eastAsia" w:ascii="宋体" w:hAnsi="宋体" w:cs="宋体"/>
          <w:bCs/>
          <w:sz w:val="32"/>
          <w:szCs w:val="32"/>
        </w:rPr>
        <w:t>（项）:</w:t>
      </w:r>
      <w:r>
        <w:rPr>
          <w:rStyle w:val="19"/>
          <w:rFonts w:hint="eastAsia" w:ascii="宋体" w:hAnsi="宋体" w:cs="宋体"/>
          <w:b w:val="0"/>
          <w:bCs/>
          <w:sz w:val="32"/>
          <w:szCs w:val="32"/>
        </w:rPr>
        <w:t xml:space="preserve"> </w:t>
      </w:r>
      <w:r>
        <w:rPr>
          <w:rFonts w:hint="eastAsia" w:eastAsia="仿宋_GB2312" w:cs="仿宋_GB2312"/>
          <w:color w:val="auto"/>
          <w:kern w:val="2"/>
          <w:sz w:val="32"/>
          <w:szCs w:val="32"/>
          <w:highlight w:val="none"/>
          <w:lang w:val="zh-CN" w:eastAsia="zh-CN" w:bidi="ar-SA"/>
        </w:rPr>
        <w:t>支出</w:t>
      </w:r>
      <w:r>
        <w:rPr>
          <w:rFonts w:hint="eastAsia" w:ascii="Times New Roman" w:hAnsi="Times New Roman" w:eastAsia="仿宋_GB2312" w:cs="仿宋_GB2312"/>
          <w:color w:val="auto"/>
          <w:kern w:val="2"/>
          <w:sz w:val="32"/>
          <w:szCs w:val="32"/>
          <w:highlight w:val="none"/>
          <w:lang w:val="zh-CN" w:eastAsia="zh-CN" w:bidi="ar-SA"/>
        </w:rPr>
        <w:t>决算为</w:t>
      </w:r>
      <w:r>
        <w:rPr>
          <w:rFonts w:hint="eastAsia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3.70</w:t>
      </w:r>
      <w:r>
        <w:rPr>
          <w:rFonts w:hint="eastAsia" w:ascii="Times New Roman" w:hAnsi="Times New Roman" w:eastAsia="仿宋_GB2312" w:cs="仿宋_GB2312"/>
          <w:color w:val="auto"/>
          <w:kern w:val="2"/>
          <w:sz w:val="32"/>
          <w:szCs w:val="32"/>
          <w:highlight w:val="none"/>
          <w:lang w:val="zh-CN" w:eastAsia="zh-CN" w:bidi="ar-SA"/>
        </w:rPr>
        <w:t>万元，完成预算100%，决算数与预算数持平。</w:t>
      </w:r>
    </w:p>
    <w:p>
      <w:pPr>
        <w:spacing w:line="600" w:lineRule="exact"/>
        <w:ind w:firstLine="643" w:firstLineChars="200"/>
        <w:rPr>
          <w:rStyle w:val="19"/>
          <w:rFonts w:hint="eastAsia" w:ascii="宋体" w:hAnsi="宋体" w:cs="宋体"/>
          <w:b w:val="0"/>
          <w:bCs/>
          <w:sz w:val="32"/>
          <w:szCs w:val="32"/>
        </w:rPr>
      </w:pPr>
      <w:r>
        <w:rPr>
          <w:rStyle w:val="19"/>
          <w:rFonts w:hint="eastAsia" w:ascii="宋体" w:hAnsi="宋体" w:cs="宋体"/>
          <w:bCs/>
          <w:sz w:val="32"/>
          <w:szCs w:val="32"/>
        </w:rPr>
        <w:t>5.社会保障和就业（类）行政事业单位养老（款）机关事业单位基本养老保险缴费（项）:</w:t>
      </w:r>
      <w:r>
        <w:rPr>
          <w:rStyle w:val="19"/>
          <w:rFonts w:hint="eastAsia" w:ascii="宋体" w:hAnsi="宋体" w:cs="宋体"/>
          <w:bCs/>
        </w:rPr>
        <w:t xml:space="preserve"> </w:t>
      </w:r>
      <w:r>
        <w:rPr>
          <w:rFonts w:hint="eastAsia" w:eastAsia="仿宋_GB2312" w:cs="仿宋_GB2312"/>
          <w:color w:val="auto"/>
          <w:kern w:val="2"/>
          <w:sz w:val="32"/>
          <w:szCs w:val="32"/>
          <w:highlight w:val="none"/>
          <w:lang w:val="zh-CN" w:eastAsia="zh-CN" w:bidi="ar-SA"/>
        </w:rPr>
        <w:t>支出</w:t>
      </w:r>
      <w:r>
        <w:rPr>
          <w:rFonts w:hint="eastAsia" w:ascii="Times New Roman" w:hAnsi="Times New Roman" w:eastAsia="仿宋_GB2312" w:cs="仿宋_GB2312"/>
          <w:color w:val="auto"/>
          <w:kern w:val="2"/>
          <w:sz w:val="32"/>
          <w:szCs w:val="32"/>
          <w:highlight w:val="none"/>
          <w:lang w:val="zh-CN" w:eastAsia="zh-CN" w:bidi="ar-SA"/>
        </w:rPr>
        <w:t>决算为</w:t>
      </w:r>
      <w:r>
        <w:rPr>
          <w:rFonts w:hint="eastAsia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109.83</w:t>
      </w:r>
      <w:r>
        <w:rPr>
          <w:rFonts w:hint="eastAsia" w:ascii="Times New Roman" w:hAnsi="Times New Roman" w:eastAsia="仿宋_GB2312" w:cs="仿宋_GB2312"/>
          <w:color w:val="auto"/>
          <w:kern w:val="2"/>
          <w:sz w:val="32"/>
          <w:szCs w:val="32"/>
          <w:highlight w:val="none"/>
          <w:lang w:val="zh-CN" w:eastAsia="zh-CN" w:bidi="ar-SA"/>
        </w:rPr>
        <w:t>万元，完成预算100%，决算数与预算数持平。</w:t>
      </w:r>
    </w:p>
    <w:p>
      <w:pPr>
        <w:spacing w:line="600" w:lineRule="exact"/>
        <w:ind w:firstLine="640" w:firstLineChars="200"/>
        <w:rPr>
          <w:rStyle w:val="19"/>
          <w:rFonts w:hint="eastAsia" w:ascii="宋体" w:hAnsi="宋体" w:cs="宋体"/>
          <w:b w:val="0"/>
          <w:bCs/>
          <w:sz w:val="32"/>
          <w:szCs w:val="32"/>
        </w:rPr>
      </w:pPr>
      <w:r>
        <w:rPr>
          <w:rStyle w:val="19"/>
          <w:rFonts w:hint="eastAsia" w:ascii="宋体" w:hAnsi="宋体" w:cs="宋体"/>
          <w:b w:val="0"/>
          <w:bCs/>
          <w:sz w:val="32"/>
          <w:szCs w:val="32"/>
        </w:rPr>
        <w:t>6.</w:t>
      </w:r>
      <w:r>
        <w:rPr>
          <w:rStyle w:val="19"/>
          <w:rFonts w:hint="eastAsia" w:ascii="宋体" w:hAnsi="宋体" w:cs="宋体"/>
          <w:bCs/>
          <w:sz w:val="32"/>
          <w:szCs w:val="32"/>
        </w:rPr>
        <w:t>社会保障和就业（类）行政事业单位养老（款）事业单位离退休（项）：</w:t>
      </w:r>
      <w:r>
        <w:rPr>
          <w:rFonts w:hint="eastAsia" w:eastAsia="仿宋_GB2312" w:cs="仿宋_GB2312"/>
          <w:color w:val="auto"/>
          <w:kern w:val="2"/>
          <w:sz w:val="32"/>
          <w:szCs w:val="32"/>
          <w:highlight w:val="none"/>
          <w:lang w:val="zh-CN" w:eastAsia="zh-CN" w:bidi="ar-SA"/>
        </w:rPr>
        <w:t>支出</w:t>
      </w:r>
      <w:r>
        <w:rPr>
          <w:rFonts w:hint="eastAsia" w:ascii="Times New Roman" w:hAnsi="Times New Roman" w:eastAsia="仿宋_GB2312" w:cs="仿宋_GB2312"/>
          <w:color w:val="auto"/>
          <w:kern w:val="2"/>
          <w:sz w:val="32"/>
          <w:szCs w:val="32"/>
          <w:highlight w:val="none"/>
          <w:lang w:val="zh-CN" w:eastAsia="zh-CN" w:bidi="ar-SA"/>
        </w:rPr>
        <w:t>决算为</w:t>
      </w:r>
      <w:r>
        <w:rPr>
          <w:rFonts w:hint="eastAsia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16.07</w:t>
      </w:r>
      <w:r>
        <w:rPr>
          <w:rFonts w:hint="eastAsia" w:ascii="Times New Roman" w:hAnsi="Times New Roman" w:eastAsia="仿宋_GB2312" w:cs="仿宋_GB2312"/>
          <w:color w:val="auto"/>
          <w:kern w:val="2"/>
          <w:sz w:val="32"/>
          <w:szCs w:val="32"/>
          <w:highlight w:val="none"/>
          <w:lang w:val="zh-CN" w:eastAsia="zh-CN" w:bidi="ar-SA"/>
        </w:rPr>
        <w:t>万元，完成预算100%，决算数与预算数持平。</w:t>
      </w:r>
    </w:p>
    <w:p>
      <w:pPr>
        <w:spacing w:line="600" w:lineRule="exact"/>
        <w:ind w:firstLine="643" w:firstLineChars="200"/>
        <w:rPr>
          <w:rStyle w:val="19"/>
          <w:rFonts w:hint="eastAsia" w:ascii="宋体" w:hAnsi="宋体" w:cs="宋体"/>
          <w:b w:val="0"/>
          <w:bCs/>
          <w:sz w:val="32"/>
          <w:szCs w:val="32"/>
        </w:rPr>
      </w:pPr>
      <w:r>
        <w:rPr>
          <w:rStyle w:val="19"/>
          <w:rFonts w:hint="eastAsia" w:ascii="宋体" w:hAnsi="宋体" w:cs="宋体"/>
          <w:bCs/>
          <w:sz w:val="32"/>
          <w:szCs w:val="32"/>
        </w:rPr>
        <w:t>7.社会保障和就业（类）其他社会保障和就业</w:t>
      </w:r>
      <w:r>
        <w:rPr>
          <w:rStyle w:val="19"/>
          <w:rFonts w:hint="eastAsia" w:ascii="宋体" w:hAnsi="宋体" w:cs="宋体"/>
          <w:bCs/>
          <w:sz w:val="32"/>
          <w:szCs w:val="32"/>
          <w:lang w:eastAsia="zh-CN"/>
        </w:rPr>
        <w:t>支出</w:t>
      </w:r>
      <w:r>
        <w:rPr>
          <w:rStyle w:val="19"/>
          <w:rFonts w:hint="eastAsia" w:ascii="宋体" w:hAnsi="宋体" w:cs="宋体"/>
          <w:bCs/>
          <w:sz w:val="32"/>
          <w:szCs w:val="32"/>
        </w:rPr>
        <w:t>（款）其他社会保障和就业</w:t>
      </w:r>
      <w:r>
        <w:rPr>
          <w:rStyle w:val="19"/>
          <w:rFonts w:hint="eastAsia" w:ascii="宋体" w:hAnsi="宋体" w:cs="宋体"/>
          <w:bCs/>
          <w:sz w:val="32"/>
          <w:szCs w:val="32"/>
          <w:lang w:eastAsia="zh-CN"/>
        </w:rPr>
        <w:t>支出</w:t>
      </w:r>
      <w:r>
        <w:rPr>
          <w:rStyle w:val="19"/>
          <w:rFonts w:hint="eastAsia" w:ascii="宋体" w:hAnsi="宋体" w:cs="宋体"/>
          <w:bCs/>
          <w:sz w:val="32"/>
          <w:szCs w:val="32"/>
        </w:rPr>
        <w:t>（项）:</w:t>
      </w:r>
      <w:r>
        <w:rPr>
          <w:rStyle w:val="19"/>
          <w:rFonts w:hint="eastAsia" w:ascii="宋体" w:hAnsi="宋体" w:cs="宋体"/>
          <w:bCs/>
        </w:rPr>
        <w:t xml:space="preserve"> </w:t>
      </w:r>
      <w:r>
        <w:rPr>
          <w:rFonts w:hint="eastAsia" w:eastAsia="仿宋_GB2312" w:cs="仿宋_GB2312"/>
          <w:color w:val="auto"/>
          <w:kern w:val="2"/>
          <w:sz w:val="32"/>
          <w:szCs w:val="32"/>
          <w:highlight w:val="none"/>
          <w:lang w:val="zh-CN" w:eastAsia="zh-CN" w:bidi="ar-SA"/>
        </w:rPr>
        <w:t>支出</w:t>
      </w:r>
      <w:r>
        <w:rPr>
          <w:rFonts w:hint="eastAsia" w:ascii="Times New Roman" w:hAnsi="Times New Roman" w:eastAsia="仿宋_GB2312" w:cs="仿宋_GB2312"/>
          <w:color w:val="auto"/>
          <w:kern w:val="2"/>
          <w:sz w:val="32"/>
          <w:szCs w:val="32"/>
          <w:highlight w:val="none"/>
          <w:lang w:val="zh-CN" w:eastAsia="zh-CN" w:bidi="ar-SA"/>
        </w:rPr>
        <w:t>决算为</w:t>
      </w:r>
      <w:r>
        <w:rPr>
          <w:rFonts w:hint="eastAsia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7.56</w:t>
      </w:r>
      <w:r>
        <w:rPr>
          <w:rFonts w:hint="eastAsia" w:ascii="Times New Roman" w:hAnsi="Times New Roman" w:eastAsia="仿宋_GB2312" w:cs="仿宋_GB2312"/>
          <w:color w:val="auto"/>
          <w:kern w:val="2"/>
          <w:sz w:val="32"/>
          <w:szCs w:val="32"/>
          <w:highlight w:val="none"/>
          <w:lang w:val="zh-CN" w:eastAsia="zh-CN" w:bidi="ar-SA"/>
        </w:rPr>
        <w:t>万元，完成预算100%，决算数与预算数持平。</w:t>
      </w:r>
    </w:p>
    <w:p>
      <w:pPr>
        <w:spacing w:line="600" w:lineRule="exact"/>
        <w:ind w:firstLine="643" w:firstLineChars="200"/>
        <w:rPr>
          <w:rStyle w:val="19"/>
          <w:rFonts w:hint="eastAsia" w:ascii="宋体" w:hAnsi="宋体" w:cs="宋体"/>
          <w:b w:val="0"/>
          <w:bCs/>
          <w:sz w:val="32"/>
          <w:szCs w:val="32"/>
        </w:rPr>
      </w:pPr>
      <w:r>
        <w:rPr>
          <w:rStyle w:val="19"/>
          <w:rFonts w:hint="eastAsia" w:ascii="宋体" w:hAnsi="宋体" w:cs="宋体"/>
          <w:bCs/>
          <w:sz w:val="32"/>
          <w:szCs w:val="32"/>
        </w:rPr>
        <w:t>8.卫生健康（类）行政事业单位医疗（款）事业单位医疗（项）:</w:t>
      </w:r>
      <w:r>
        <w:rPr>
          <w:rFonts w:hint="eastAsia" w:eastAsia="仿宋_GB2312" w:cs="仿宋_GB2312"/>
          <w:color w:val="auto"/>
          <w:kern w:val="2"/>
          <w:sz w:val="32"/>
          <w:szCs w:val="32"/>
          <w:highlight w:val="none"/>
          <w:lang w:val="zh-CN" w:eastAsia="zh-CN" w:bidi="ar-SA"/>
        </w:rPr>
        <w:t>支出</w:t>
      </w:r>
      <w:r>
        <w:rPr>
          <w:rFonts w:hint="eastAsia" w:ascii="Times New Roman" w:hAnsi="Times New Roman" w:eastAsia="仿宋_GB2312" w:cs="仿宋_GB2312"/>
          <w:color w:val="auto"/>
          <w:kern w:val="2"/>
          <w:sz w:val="32"/>
          <w:szCs w:val="32"/>
          <w:highlight w:val="none"/>
          <w:lang w:val="zh-CN" w:eastAsia="zh-CN" w:bidi="ar-SA"/>
        </w:rPr>
        <w:t>决算为</w:t>
      </w:r>
      <w:r>
        <w:rPr>
          <w:rFonts w:hint="eastAsia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36.00</w:t>
      </w:r>
      <w:r>
        <w:rPr>
          <w:rFonts w:hint="eastAsia" w:ascii="Times New Roman" w:hAnsi="Times New Roman" w:eastAsia="仿宋_GB2312" w:cs="仿宋_GB2312"/>
          <w:color w:val="auto"/>
          <w:kern w:val="2"/>
          <w:sz w:val="32"/>
          <w:szCs w:val="32"/>
          <w:highlight w:val="none"/>
          <w:lang w:val="zh-CN" w:eastAsia="zh-CN" w:bidi="ar-SA"/>
        </w:rPr>
        <w:t>万元，完成预算100%，决算数与预算数持平。</w:t>
      </w:r>
    </w:p>
    <w:p>
      <w:pPr>
        <w:spacing w:line="600" w:lineRule="exact"/>
        <w:ind w:firstLine="643" w:firstLineChars="200"/>
        <w:rPr>
          <w:rFonts w:hint="eastAsia" w:ascii="仿宋" w:hAnsi="仿宋" w:eastAsia="仿宋" w:cs="仿宋"/>
          <w:b/>
          <w:sz w:val="32"/>
          <w:szCs w:val="32"/>
        </w:rPr>
      </w:pPr>
      <w:r>
        <w:rPr>
          <w:rFonts w:hint="eastAsia" w:ascii="宋体" w:hAnsi="宋体" w:cs="宋体"/>
          <w:b/>
          <w:sz w:val="32"/>
          <w:szCs w:val="32"/>
        </w:rPr>
        <w:t>9</w:t>
      </w:r>
      <w:r>
        <w:rPr>
          <w:rStyle w:val="19"/>
          <w:rFonts w:hint="eastAsia" w:ascii="宋体" w:hAnsi="宋体" w:cs="宋体"/>
          <w:bCs/>
          <w:sz w:val="32"/>
          <w:szCs w:val="32"/>
        </w:rPr>
        <w:t>. 住房保障（类）住房改革（款）住房公积金（项）:</w:t>
      </w:r>
      <w:r>
        <w:rPr>
          <w:rFonts w:hint="eastAsia" w:eastAsia="仿宋_GB2312" w:cs="仿宋_GB2312"/>
          <w:color w:val="auto"/>
          <w:kern w:val="2"/>
          <w:sz w:val="32"/>
          <w:szCs w:val="32"/>
          <w:highlight w:val="none"/>
          <w:lang w:val="zh-CN" w:eastAsia="zh-CN" w:bidi="ar-SA"/>
        </w:rPr>
        <w:t>支出</w:t>
      </w:r>
      <w:r>
        <w:rPr>
          <w:rFonts w:hint="eastAsia" w:ascii="Times New Roman" w:hAnsi="Times New Roman" w:eastAsia="仿宋_GB2312" w:cs="仿宋_GB2312"/>
          <w:color w:val="auto"/>
          <w:kern w:val="2"/>
          <w:sz w:val="32"/>
          <w:szCs w:val="32"/>
          <w:highlight w:val="none"/>
          <w:lang w:val="zh-CN" w:eastAsia="zh-CN" w:bidi="ar-SA"/>
        </w:rPr>
        <w:t>决算为</w:t>
      </w:r>
      <w:r>
        <w:rPr>
          <w:rFonts w:hint="eastAsia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58.72</w:t>
      </w:r>
      <w:r>
        <w:rPr>
          <w:rFonts w:hint="eastAsia" w:ascii="Times New Roman" w:hAnsi="Times New Roman" w:eastAsia="仿宋_GB2312" w:cs="仿宋_GB2312"/>
          <w:color w:val="auto"/>
          <w:kern w:val="2"/>
          <w:sz w:val="32"/>
          <w:szCs w:val="32"/>
          <w:highlight w:val="none"/>
          <w:lang w:val="zh-CN" w:eastAsia="zh-CN" w:bidi="ar-SA"/>
        </w:rPr>
        <w:t>万元，完成预算100%，决算数与预算数持平。</w:t>
      </w:r>
    </w:p>
    <w:p>
      <w:pPr>
        <w:tabs>
          <w:tab w:val="right" w:pos="8306"/>
        </w:tabs>
        <w:spacing w:line="600" w:lineRule="exact"/>
        <w:outlineLvl w:val="1"/>
        <w:rPr>
          <w:rStyle w:val="31"/>
          <w:rFonts w:hint="eastAsia" w:ascii="仿宋" w:hAnsi="仿宋" w:eastAsia="仿宋" w:cs="仿宋"/>
          <w:b/>
          <w:bCs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六、一</w:t>
      </w:r>
      <w:r>
        <w:rPr>
          <w:rStyle w:val="31"/>
          <w:rFonts w:hint="eastAsia" w:ascii="仿宋" w:hAnsi="仿宋" w:eastAsia="仿宋" w:cs="仿宋"/>
          <w:b/>
          <w:bCs/>
        </w:rPr>
        <w:t>般公共预算财政拨款基本</w:t>
      </w:r>
      <w:r>
        <w:rPr>
          <w:rStyle w:val="31"/>
          <w:rFonts w:hint="eastAsia" w:ascii="仿宋" w:hAnsi="仿宋" w:eastAsia="仿宋" w:cs="仿宋"/>
          <w:b/>
          <w:bCs/>
          <w:lang w:eastAsia="zh-CN"/>
        </w:rPr>
        <w:t>支出</w:t>
      </w:r>
      <w:r>
        <w:rPr>
          <w:rStyle w:val="31"/>
          <w:rFonts w:hint="eastAsia" w:ascii="仿宋" w:hAnsi="仿宋" w:eastAsia="仿宋" w:cs="仿宋"/>
          <w:b/>
          <w:bCs/>
        </w:rPr>
        <w:t>决算情况说明</w:t>
      </w:r>
      <w:r>
        <w:rPr>
          <w:rStyle w:val="31"/>
          <w:rFonts w:hint="eastAsia" w:ascii="仿宋" w:hAnsi="仿宋" w:eastAsia="仿宋" w:cs="仿宋"/>
          <w:b/>
          <w:bCs/>
        </w:rPr>
        <w:tab/>
      </w:r>
    </w:p>
    <w:p>
      <w:pPr>
        <w:spacing w:line="600" w:lineRule="exact"/>
        <w:ind w:firstLine="640" w:firstLineChars="200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2024年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一般公共预算财政拨款基本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支出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956.14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万元，其中：</w:t>
      </w:r>
    </w:p>
    <w:p>
      <w:pPr>
        <w:spacing w:line="600" w:lineRule="exact"/>
        <w:ind w:firstLine="645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人员经费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896.08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万元，主要包括：基本工资、津贴补贴、绩效工资、机关事业单位基本养老保险缴费、职业年金缴费、其他社会保障缴费、其他工资福利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支出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、抚恤金、生活补助、医疗费补助、住房公积金、其他对个人和家庭的补助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支出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等。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br w:type="textWrapping"/>
      </w:r>
      <w:r>
        <w:rPr>
          <w:rFonts w:hint="eastAsia" w:ascii="仿宋" w:hAnsi="仿宋" w:eastAsia="仿宋" w:cs="仿宋"/>
          <w:color w:val="000000"/>
          <w:sz w:val="32"/>
          <w:szCs w:val="32"/>
        </w:rPr>
        <w:t>　　日常公用经费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53.37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万元，主要包括：办公费、印刷费、咨询费、手续费、水费、电费、邮电费、取暖费、物业管理费、差旅费、因公出国（境）费用、维修（护）费、租赁费、会议费、培训费、公务接待费、劳务费、委托业务费、工会经费、福利费、公务用车运行维护费、其他交通费、税金及附加费用、其他商品和服务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支出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、办公设备购置、专用设备购置、信息网络及软件购置更新、其他资本性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支出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等。</w:t>
      </w:r>
    </w:p>
    <w:p>
      <w:pPr>
        <w:spacing w:line="600" w:lineRule="exact"/>
        <w:outlineLvl w:val="1"/>
        <w:rPr>
          <w:rStyle w:val="31"/>
          <w:rFonts w:hint="eastAsia" w:ascii="仿宋" w:hAnsi="仿宋" w:eastAsia="仿宋" w:cs="仿宋"/>
          <w:b/>
          <w:bCs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七、</w:t>
      </w:r>
      <w:r>
        <w:rPr>
          <w:rStyle w:val="31"/>
          <w:rFonts w:hint="eastAsia" w:ascii="仿宋" w:hAnsi="仿宋" w:eastAsia="仿宋" w:cs="仿宋"/>
          <w:b/>
          <w:bCs/>
        </w:rPr>
        <w:t>财政拨款“三公”经费</w:t>
      </w:r>
      <w:r>
        <w:rPr>
          <w:rStyle w:val="31"/>
          <w:rFonts w:hint="eastAsia" w:ascii="仿宋" w:hAnsi="仿宋" w:eastAsia="仿宋" w:cs="仿宋"/>
          <w:b/>
          <w:bCs/>
          <w:lang w:eastAsia="zh-CN"/>
        </w:rPr>
        <w:t>支出</w:t>
      </w:r>
      <w:r>
        <w:rPr>
          <w:rStyle w:val="31"/>
          <w:rFonts w:hint="eastAsia" w:ascii="仿宋" w:hAnsi="仿宋" w:eastAsia="仿宋" w:cs="仿宋"/>
          <w:b/>
          <w:bCs/>
        </w:rPr>
        <w:t>决算情况说明</w:t>
      </w:r>
    </w:p>
    <w:p>
      <w:pPr>
        <w:spacing w:line="600" w:lineRule="exact"/>
        <w:ind w:firstLine="640"/>
        <w:outlineLvl w:val="2"/>
        <w:rPr>
          <w:rFonts w:hint="eastAsia"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>（一）“三公”经费财政拨款</w:t>
      </w:r>
      <w:r>
        <w:rPr>
          <w:rFonts w:hint="eastAsia" w:ascii="仿宋" w:hAnsi="仿宋" w:eastAsia="仿宋" w:cs="仿宋"/>
          <w:b/>
          <w:sz w:val="32"/>
          <w:szCs w:val="32"/>
          <w:lang w:eastAsia="zh-CN"/>
        </w:rPr>
        <w:t>支出</w:t>
      </w:r>
      <w:r>
        <w:rPr>
          <w:rFonts w:hint="eastAsia" w:ascii="仿宋" w:hAnsi="仿宋" w:eastAsia="仿宋" w:cs="仿宋"/>
          <w:b/>
          <w:sz w:val="32"/>
          <w:szCs w:val="32"/>
        </w:rPr>
        <w:t>决算总体情况说明</w:t>
      </w:r>
    </w:p>
    <w:p>
      <w:pPr>
        <w:spacing w:line="576" w:lineRule="exact"/>
        <w:ind w:firstLine="643"/>
        <w:rPr>
          <w:rFonts w:hint="eastAsia" w:ascii="Times New Roman" w:hAnsi="Times New Roman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</w:pPr>
      <w:bookmarkStart w:id="8" w:name="_Toc15377217"/>
      <w:r>
        <w:rPr>
          <w:rFonts w:hint="eastAsia" w:ascii="Times New Roman" w:hAnsi="Times New Roman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2024年度“三公”经费财政拨款</w:t>
      </w:r>
      <w:r>
        <w:rPr>
          <w:rFonts w:hint="eastAsia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支出</w:t>
      </w:r>
      <w:r>
        <w:rPr>
          <w:rFonts w:hint="eastAsia" w:ascii="Times New Roman" w:hAnsi="Times New Roman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决算为0万元，完成预算100%，与上年度持平,决算数与预算数持平。</w:t>
      </w:r>
    </w:p>
    <w:p>
      <w:pPr>
        <w:spacing w:line="576" w:lineRule="exact"/>
        <w:ind w:firstLine="643"/>
        <w:rPr>
          <w:rFonts w:hint="eastAsia" w:ascii="宋体" w:hAnsi="宋体" w:cs="宋体"/>
          <w:b/>
          <w:bCs/>
          <w:sz w:val="32"/>
        </w:rPr>
      </w:pPr>
      <w:r>
        <w:rPr>
          <w:rFonts w:hint="eastAsia" w:ascii="宋体" w:hAnsi="宋体" w:cs="宋体"/>
          <w:b/>
          <w:bCs/>
          <w:sz w:val="32"/>
        </w:rPr>
        <w:t>（二）“三公”经费财政拨款</w:t>
      </w:r>
      <w:r>
        <w:rPr>
          <w:rFonts w:hint="eastAsia" w:ascii="宋体" w:hAnsi="宋体" w:cs="宋体"/>
          <w:b/>
          <w:bCs/>
          <w:sz w:val="32"/>
          <w:lang w:eastAsia="zh-CN"/>
        </w:rPr>
        <w:t>支出</w:t>
      </w:r>
      <w:r>
        <w:rPr>
          <w:rFonts w:hint="eastAsia" w:ascii="宋体" w:hAnsi="宋体" w:cs="宋体"/>
          <w:b/>
          <w:bCs/>
          <w:sz w:val="32"/>
        </w:rPr>
        <w:t>决算具体情况说明</w:t>
      </w:r>
      <w:bookmarkEnd w:id="8"/>
    </w:p>
    <w:p>
      <w:pPr>
        <w:spacing w:line="576" w:lineRule="exact"/>
        <w:ind w:firstLine="643"/>
        <w:rPr>
          <w:rFonts w:hint="eastAsia" w:ascii="Times New Roman" w:hAnsi="Times New Roman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2024年</w:t>
      </w:r>
      <w:r>
        <w:rPr>
          <w:rFonts w:hint="eastAsia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度</w:t>
      </w:r>
      <w:r>
        <w:rPr>
          <w:rFonts w:hint="eastAsia" w:ascii="Times New Roman" w:hAnsi="Times New Roman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“三公”经费财政拨款</w:t>
      </w:r>
      <w:r>
        <w:rPr>
          <w:rFonts w:hint="eastAsia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支出</w:t>
      </w:r>
      <w:r>
        <w:rPr>
          <w:rFonts w:hint="eastAsia" w:ascii="Times New Roman" w:hAnsi="Times New Roman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决算中，因公出国（境）费</w:t>
      </w:r>
      <w:r>
        <w:rPr>
          <w:rFonts w:hint="eastAsia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支出</w:t>
      </w:r>
      <w:r>
        <w:rPr>
          <w:rFonts w:hint="eastAsia" w:ascii="Times New Roman" w:hAnsi="Times New Roman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决算0万元，占0%；公务用车购置及运行维护费</w:t>
      </w:r>
      <w:r>
        <w:rPr>
          <w:rFonts w:hint="eastAsia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支出</w:t>
      </w:r>
      <w:r>
        <w:rPr>
          <w:rFonts w:hint="eastAsia" w:ascii="Times New Roman" w:hAnsi="Times New Roman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决算0万元，占0%；公务接待费</w:t>
      </w:r>
      <w:r>
        <w:rPr>
          <w:rFonts w:hint="eastAsia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支出</w:t>
      </w:r>
      <w:r>
        <w:rPr>
          <w:rFonts w:hint="eastAsia" w:ascii="Times New Roman" w:hAnsi="Times New Roman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决算0万元，占0%。具体情况如下：</w:t>
      </w:r>
    </w:p>
    <w:p>
      <w:pPr>
        <w:spacing w:line="576" w:lineRule="exact"/>
        <w:ind w:firstLine="643"/>
        <w:rPr>
          <w:rFonts w:hint="eastAsia" w:ascii="Times New Roman" w:hAnsi="Times New Roman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1.因公出国（境）经费</w:t>
      </w:r>
      <w:r>
        <w:rPr>
          <w:rFonts w:hint="eastAsia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支出</w:t>
      </w:r>
      <w:r>
        <w:rPr>
          <w:rFonts w:hint="eastAsia" w:ascii="Times New Roman" w:hAnsi="Times New Roman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0万元，完成预算100%。全年安排因公出国（境）团组0次，出国（境）0人。因公出国（境）</w:t>
      </w:r>
      <w:r>
        <w:rPr>
          <w:rFonts w:hint="eastAsia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支出</w:t>
      </w:r>
      <w:r>
        <w:rPr>
          <w:rFonts w:hint="eastAsia" w:ascii="Times New Roman" w:hAnsi="Times New Roman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决算比2023年增加0万元，增长0%。</w:t>
      </w:r>
    </w:p>
    <w:p>
      <w:pPr>
        <w:spacing w:line="576" w:lineRule="exact"/>
        <w:ind w:firstLine="643"/>
        <w:rPr>
          <w:rFonts w:hint="eastAsia" w:ascii="Times New Roman" w:hAnsi="Times New Roman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2.公务用车购置及运行维护费</w:t>
      </w:r>
      <w:r>
        <w:rPr>
          <w:rFonts w:hint="eastAsia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支出</w:t>
      </w:r>
      <w:r>
        <w:rPr>
          <w:rFonts w:hint="eastAsia" w:ascii="Times New Roman" w:hAnsi="Times New Roman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0万元,完成预算100%。公务用车购置及运行维护费</w:t>
      </w:r>
      <w:r>
        <w:rPr>
          <w:rFonts w:hint="eastAsia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支出</w:t>
      </w:r>
      <w:r>
        <w:rPr>
          <w:rFonts w:hint="eastAsia" w:ascii="Times New Roman" w:hAnsi="Times New Roman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决算比2023年度增加0万元，增长0%。</w:t>
      </w:r>
    </w:p>
    <w:p>
      <w:pPr>
        <w:spacing w:line="576" w:lineRule="exact"/>
        <w:ind w:firstLine="643"/>
        <w:rPr>
          <w:rFonts w:hint="eastAsia" w:ascii="Times New Roman" w:hAnsi="Times New Roman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其中：公务用车购置</w:t>
      </w:r>
      <w:r>
        <w:rPr>
          <w:rFonts w:hint="eastAsia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支出</w:t>
      </w:r>
      <w:r>
        <w:rPr>
          <w:rFonts w:hint="eastAsia" w:ascii="Times New Roman" w:hAnsi="Times New Roman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0万元。全年按规定更新购置公务用车0辆，其中：轿车0辆、金额0元，越野车0辆、金额0万元，载客汽车0辆、金额0万元。截至2024年12月31日，单位共有公务用车0辆，其中：轿车0辆、越野车0辆、载客汽车0辆。</w:t>
      </w:r>
    </w:p>
    <w:p>
      <w:pPr>
        <w:spacing w:line="576" w:lineRule="exact"/>
        <w:ind w:firstLine="643"/>
        <w:rPr>
          <w:rFonts w:hint="eastAsia" w:ascii="Times New Roman" w:hAnsi="Times New Roman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公务用车运行维护费</w:t>
      </w:r>
      <w:r>
        <w:rPr>
          <w:rFonts w:hint="eastAsia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支出</w:t>
      </w:r>
      <w:r>
        <w:rPr>
          <w:rFonts w:hint="eastAsia" w:ascii="Times New Roman" w:hAnsi="Times New Roman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0万元。</w:t>
      </w:r>
    </w:p>
    <w:p>
      <w:pPr>
        <w:spacing w:line="576" w:lineRule="exact"/>
        <w:ind w:firstLine="643"/>
        <w:rPr>
          <w:rFonts w:hint="eastAsia" w:ascii="Times New Roman" w:hAnsi="Times New Roman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公务接待费</w:t>
      </w:r>
      <w:r>
        <w:rPr>
          <w:rFonts w:hint="eastAsia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支出</w:t>
      </w:r>
      <w:r>
        <w:rPr>
          <w:rFonts w:hint="eastAsia" w:ascii="Times New Roman" w:hAnsi="Times New Roman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0万元，完成预算100%。公务接待费</w:t>
      </w:r>
      <w:r>
        <w:rPr>
          <w:rFonts w:hint="eastAsia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支出</w:t>
      </w:r>
      <w:r>
        <w:rPr>
          <w:rFonts w:hint="eastAsia" w:ascii="Times New Roman" w:hAnsi="Times New Roman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决算与2023年度持平。其中：</w:t>
      </w:r>
    </w:p>
    <w:p>
      <w:pPr>
        <w:spacing w:line="576" w:lineRule="exact"/>
        <w:ind w:firstLine="643"/>
        <w:rPr>
          <w:rFonts w:hint="eastAsia" w:ascii="Times New Roman" w:hAnsi="Times New Roman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国内公务接待</w:t>
      </w:r>
      <w:r>
        <w:rPr>
          <w:rFonts w:hint="eastAsia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支出</w:t>
      </w:r>
      <w:r>
        <w:rPr>
          <w:rFonts w:hint="eastAsia" w:ascii="Times New Roman" w:hAnsi="Times New Roman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0万元。国内公务接待0批次，0人次（不包括陪同人员），共计</w:t>
      </w:r>
      <w:r>
        <w:rPr>
          <w:rFonts w:hint="eastAsia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支出</w:t>
      </w:r>
      <w:r>
        <w:rPr>
          <w:rFonts w:hint="eastAsia" w:ascii="Times New Roman" w:hAnsi="Times New Roman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0万元。</w:t>
      </w:r>
      <w:r>
        <w:rPr>
          <w:rFonts w:hint="eastAsia" w:ascii="Times New Roman" w:hAnsi="Times New Roman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br w:type="textWrapping"/>
      </w:r>
      <w:r>
        <w:rPr>
          <w:rFonts w:hint="eastAsia" w:ascii="Times New Roman" w:hAnsi="Times New Roman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 xml:space="preserve">   外事接待</w:t>
      </w:r>
      <w:r>
        <w:rPr>
          <w:rFonts w:hint="eastAsia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支出</w:t>
      </w:r>
      <w:r>
        <w:rPr>
          <w:rFonts w:hint="eastAsia" w:ascii="Times New Roman" w:hAnsi="Times New Roman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0万元。外事接待0批次，0人次（不包括陪同人员），共计</w:t>
      </w:r>
      <w:r>
        <w:rPr>
          <w:rFonts w:hint="eastAsia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支出</w:t>
      </w:r>
      <w:r>
        <w:rPr>
          <w:rFonts w:hint="eastAsia" w:ascii="Times New Roman" w:hAnsi="Times New Roman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0万元。</w:t>
      </w:r>
    </w:p>
    <w:p>
      <w:pPr>
        <w:spacing w:line="576" w:lineRule="exact"/>
        <w:rPr>
          <w:rFonts w:hint="eastAsia" w:ascii="宋体" w:hAnsi="宋体" w:cs="宋体"/>
          <w:sz w:val="32"/>
        </w:rPr>
      </w:pPr>
      <w:bookmarkStart w:id="9" w:name="_Toc15396610"/>
      <w:bookmarkStart w:id="10" w:name="_Toc15377218"/>
      <w:r>
        <w:rPr>
          <w:rFonts w:hint="eastAsia" w:ascii="黑体" w:hAnsi="黑体" w:eastAsia="黑体" w:cs="黑体"/>
          <w:sz w:val="32"/>
        </w:rPr>
        <w:t>八、政府性基金预算</w:t>
      </w:r>
      <w:r>
        <w:rPr>
          <w:rFonts w:hint="eastAsia" w:ascii="黑体" w:hAnsi="黑体" w:eastAsia="黑体" w:cs="黑体"/>
          <w:sz w:val="32"/>
          <w:lang w:eastAsia="zh-CN"/>
        </w:rPr>
        <w:t>支出</w:t>
      </w:r>
      <w:r>
        <w:rPr>
          <w:rFonts w:hint="eastAsia" w:ascii="黑体" w:hAnsi="黑体" w:eastAsia="黑体" w:cs="黑体"/>
          <w:sz w:val="32"/>
        </w:rPr>
        <w:t>决算情况说明</w:t>
      </w:r>
      <w:bookmarkEnd w:id="9"/>
      <w:bookmarkEnd w:id="10"/>
    </w:p>
    <w:p>
      <w:pPr>
        <w:spacing w:line="576" w:lineRule="exact"/>
        <w:ind w:firstLine="643"/>
        <w:rPr>
          <w:rFonts w:hint="eastAsia" w:ascii="Times New Roman" w:hAnsi="Times New Roman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2024年政府性基金预算财政拨款</w:t>
      </w:r>
      <w:r>
        <w:rPr>
          <w:rFonts w:hint="eastAsia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支出</w:t>
      </w:r>
      <w:r>
        <w:rPr>
          <w:rFonts w:hint="eastAsia" w:ascii="Times New Roman" w:hAnsi="Times New Roman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0万元</w:t>
      </w:r>
    </w:p>
    <w:p>
      <w:pPr>
        <w:spacing w:line="576" w:lineRule="exact"/>
        <w:rPr>
          <w:rFonts w:hint="eastAsia" w:ascii="黑体" w:hAnsi="黑体" w:eastAsia="黑体" w:cs="黑体"/>
          <w:sz w:val="32"/>
        </w:rPr>
      </w:pPr>
      <w:bookmarkStart w:id="11" w:name="_Toc15377219"/>
      <w:bookmarkStart w:id="12" w:name="_Toc15396611"/>
      <w:r>
        <w:rPr>
          <w:rFonts w:hint="eastAsia" w:ascii="黑体" w:hAnsi="黑体" w:eastAsia="黑体" w:cs="黑体"/>
          <w:sz w:val="32"/>
        </w:rPr>
        <w:t>九、国有资本经营预算</w:t>
      </w:r>
      <w:r>
        <w:rPr>
          <w:rFonts w:hint="eastAsia" w:ascii="黑体" w:hAnsi="黑体" w:eastAsia="黑体" w:cs="黑体"/>
          <w:sz w:val="32"/>
          <w:lang w:eastAsia="zh-CN"/>
        </w:rPr>
        <w:t>支出</w:t>
      </w:r>
      <w:r>
        <w:rPr>
          <w:rFonts w:hint="eastAsia" w:ascii="黑体" w:hAnsi="黑体" w:eastAsia="黑体" w:cs="黑体"/>
          <w:sz w:val="32"/>
        </w:rPr>
        <w:t>决算情况说明</w:t>
      </w:r>
      <w:bookmarkEnd w:id="11"/>
      <w:bookmarkEnd w:id="12"/>
    </w:p>
    <w:p>
      <w:pPr>
        <w:spacing w:line="576" w:lineRule="exact"/>
        <w:ind w:firstLine="643"/>
        <w:rPr>
          <w:rFonts w:hint="eastAsia" w:ascii="宋体" w:hAnsi="宋体" w:cs="宋体"/>
          <w:sz w:val="32"/>
        </w:rPr>
      </w:pPr>
      <w:r>
        <w:rPr>
          <w:rFonts w:hint="eastAsia" w:ascii="Times New Roman" w:hAnsi="Times New Roman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2024年国有资本经营预算财政拨款</w:t>
      </w:r>
      <w:r>
        <w:rPr>
          <w:rFonts w:hint="eastAsia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支出</w:t>
      </w:r>
      <w:r>
        <w:rPr>
          <w:rFonts w:hint="eastAsia" w:ascii="Times New Roman" w:hAnsi="Times New Roman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0万元。</w:t>
      </w:r>
    </w:p>
    <w:p>
      <w:pPr>
        <w:spacing w:line="576" w:lineRule="exact"/>
        <w:rPr>
          <w:rFonts w:hint="eastAsia" w:ascii="黑体" w:hAnsi="黑体" w:eastAsia="黑体" w:cs="黑体"/>
          <w:sz w:val="32"/>
        </w:rPr>
      </w:pPr>
      <w:bookmarkStart w:id="13" w:name="_Toc15396612"/>
      <w:bookmarkStart w:id="14" w:name="_Toc15377221"/>
      <w:r>
        <w:rPr>
          <w:rFonts w:hint="eastAsia" w:ascii="黑体" w:hAnsi="黑体" w:eastAsia="黑体" w:cs="黑体"/>
          <w:sz w:val="32"/>
        </w:rPr>
        <w:t>十、其他重要事项的情况说明</w:t>
      </w:r>
      <w:bookmarkEnd w:id="13"/>
      <w:bookmarkEnd w:id="14"/>
    </w:p>
    <w:p>
      <w:pPr>
        <w:spacing w:line="576" w:lineRule="exact"/>
        <w:ind w:firstLine="643"/>
        <w:rPr>
          <w:rFonts w:hint="eastAsia" w:ascii="宋体" w:hAnsi="宋体" w:cs="宋体"/>
          <w:b/>
          <w:bCs/>
          <w:sz w:val="32"/>
        </w:rPr>
      </w:pPr>
      <w:bookmarkStart w:id="15" w:name="_Toc15377222"/>
      <w:r>
        <w:rPr>
          <w:rFonts w:hint="eastAsia" w:ascii="宋体" w:hAnsi="宋体" w:cs="宋体"/>
          <w:sz w:val="32"/>
        </w:rPr>
        <w:t>（</w:t>
      </w:r>
      <w:r>
        <w:rPr>
          <w:rFonts w:hint="eastAsia" w:ascii="宋体" w:hAnsi="宋体" w:cs="宋体"/>
          <w:b/>
          <w:bCs/>
          <w:sz w:val="32"/>
        </w:rPr>
        <w:t>一）机关运行经费</w:t>
      </w:r>
      <w:r>
        <w:rPr>
          <w:rFonts w:hint="eastAsia" w:ascii="宋体" w:hAnsi="宋体" w:cs="宋体"/>
          <w:b/>
          <w:bCs/>
          <w:sz w:val="32"/>
          <w:lang w:eastAsia="zh-CN"/>
        </w:rPr>
        <w:t>支出</w:t>
      </w:r>
      <w:r>
        <w:rPr>
          <w:rFonts w:hint="eastAsia" w:ascii="宋体" w:hAnsi="宋体" w:cs="宋体"/>
          <w:b/>
          <w:bCs/>
          <w:sz w:val="32"/>
        </w:rPr>
        <w:t>情况</w:t>
      </w:r>
      <w:bookmarkEnd w:id="15"/>
    </w:p>
    <w:p>
      <w:pPr>
        <w:spacing w:line="60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2024年</w:t>
      </w:r>
      <w:r>
        <w:rPr>
          <w:rFonts w:hint="eastAsia" w:ascii="仿宋" w:hAnsi="仿宋" w:eastAsia="仿宋" w:cs="仿宋"/>
          <w:sz w:val="32"/>
          <w:szCs w:val="32"/>
        </w:rPr>
        <w:t>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遂宁市安居区常理镇中心小学校</w:t>
      </w:r>
      <w:r>
        <w:rPr>
          <w:rFonts w:hint="eastAsia" w:ascii="仿宋" w:hAnsi="仿宋" w:eastAsia="仿宋" w:cs="仿宋"/>
          <w:sz w:val="32"/>
          <w:szCs w:val="32"/>
        </w:rPr>
        <w:t>机关运行经费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支出</w:t>
      </w:r>
      <w:r>
        <w:rPr>
          <w:rFonts w:hint="eastAsia" w:ascii="仿宋" w:hAnsi="仿宋" w:eastAsia="仿宋" w:cs="仿宋"/>
          <w:sz w:val="32"/>
          <w:szCs w:val="32"/>
        </w:rPr>
        <w:t>0万元。 与202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sz w:val="32"/>
          <w:szCs w:val="32"/>
        </w:rPr>
        <w:t>年度决算数持平。</w:t>
      </w:r>
    </w:p>
    <w:p>
      <w:pPr>
        <w:autoSpaceDE w:val="0"/>
        <w:autoSpaceDN w:val="0"/>
        <w:adjustRightInd w:val="0"/>
        <w:spacing w:line="600" w:lineRule="exact"/>
        <w:ind w:firstLine="643" w:firstLineChars="200"/>
        <w:jc w:val="left"/>
        <w:outlineLvl w:val="2"/>
        <w:rPr>
          <w:rFonts w:hint="eastAsia"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>（二）政府采购</w:t>
      </w:r>
      <w:r>
        <w:rPr>
          <w:rFonts w:hint="eastAsia" w:ascii="仿宋" w:hAnsi="仿宋" w:eastAsia="仿宋" w:cs="仿宋"/>
          <w:b/>
          <w:sz w:val="32"/>
          <w:szCs w:val="32"/>
          <w:lang w:eastAsia="zh-CN"/>
        </w:rPr>
        <w:t>支出</w:t>
      </w:r>
      <w:r>
        <w:rPr>
          <w:rFonts w:hint="eastAsia" w:ascii="仿宋" w:hAnsi="仿宋" w:eastAsia="仿宋" w:cs="仿宋"/>
          <w:b/>
          <w:sz w:val="32"/>
          <w:szCs w:val="32"/>
        </w:rPr>
        <w:t>情况</w:t>
      </w:r>
    </w:p>
    <w:p>
      <w:pPr>
        <w:autoSpaceDE w:val="0"/>
        <w:autoSpaceDN w:val="0"/>
        <w:adjustRightInd w:val="0"/>
        <w:spacing w:line="600" w:lineRule="exact"/>
        <w:ind w:firstLine="640" w:firstLineChars="200"/>
        <w:jc w:val="left"/>
        <w:outlineLvl w:val="2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2024</w:t>
      </w:r>
      <w:r>
        <w:rPr>
          <w:rFonts w:hint="eastAsia" w:ascii="仿宋" w:hAnsi="仿宋" w:eastAsia="仿宋" w:cs="仿宋"/>
          <w:sz w:val="32"/>
          <w:szCs w:val="32"/>
        </w:rPr>
        <w:t>年度，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遂宁市安居区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常理镇中心小学校</w:t>
      </w:r>
      <w:r>
        <w:rPr>
          <w:rFonts w:hint="eastAsia" w:ascii="仿宋" w:hAnsi="仿宋" w:eastAsia="仿宋" w:cs="仿宋"/>
          <w:sz w:val="32"/>
          <w:szCs w:val="32"/>
        </w:rPr>
        <w:t>政府采购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支出</w:t>
      </w:r>
      <w:r>
        <w:rPr>
          <w:rFonts w:hint="eastAsia" w:ascii="仿宋" w:hAnsi="仿宋" w:eastAsia="仿宋" w:cs="仿宋"/>
          <w:sz w:val="32"/>
          <w:szCs w:val="32"/>
        </w:rPr>
        <w:t>总额0万元，其中：政府采购货物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支出</w:t>
      </w:r>
      <w:r>
        <w:rPr>
          <w:rFonts w:hint="eastAsia" w:ascii="仿宋" w:hAnsi="仿宋" w:eastAsia="仿宋" w:cs="仿宋"/>
          <w:sz w:val="32"/>
          <w:szCs w:val="32"/>
        </w:rPr>
        <w:t>0万元、政府采购工程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支出</w:t>
      </w:r>
      <w:r>
        <w:rPr>
          <w:rFonts w:hint="eastAsia" w:ascii="仿宋" w:hAnsi="仿宋" w:eastAsia="仿宋" w:cs="仿宋"/>
          <w:sz w:val="32"/>
          <w:szCs w:val="32"/>
        </w:rPr>
        <w:t>0万元、政府采购服务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支出</w:t>
      </w:r>
      <w:r>
        <w:rPr>
          <w:rFonts w:hint="eastAsia" w:ascii="仿宋" w:hAnsi="仿宋" w:eastAsia="仿宋" w:cs="仿宋"/>
          <w:sz w:val="32"/>
          <w:szCs w:val="32"/>
        </w:rPr>
        <w:t>0万元。授予中小企业合同金额0万元，占政府采购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支出</w:t>
      </w:r>
      <w:r>
        <w:rPr>
          <w:rFonts w:hint="eastAsia" w:ascii="仿宋" w:hAnsi="仿宋" w:eastAsia="仿宋" w:cs="仿宋"/>
          <w:sz w:val="32"/>
          <w:szCs w:val="32"/>
        </w:rPr>
        <w:t>总额的0%，其中：授予小微企业合同金额0万元，占政府采购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支出</w:t>
      </w:r>
      <w:r>
        <w:rPr>
          <w:rFonts w:hint="eastAsia" w:ascii="仿宋" w:hAnsi="仿宋" w:eastAsia="仿宋" w:cs="仿宋"/>
          <w:sz w:val="32"/>
          <w:szCs w:val="32"/>
        </w:rPr>
        <w:t>总额的0%。</w:t>
      </w:r>
    </w:p>
    <w:p>
      <w:pPr>
        <w:autoSpaceDE w:val="0"/>
        <w:autoSpaceDN w:val="0"/>
        <w:adjustRightInd w:val="0"/>
        <w:spacing w:line="600" w:lineRule="exact"/>
        <w:ind w:firstLine="643" w:firstLineChars="200"/>
        <w:jc w:val="left"/>
        <w:outlineLvl w:val="2"/>
        <w:rPr>
          <w:rFonts w:hint="eastAsia"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>（三）国有资产占有使用情况</w:t>
      </w:r>
    </w:p>
    <w:p>
      <w:pPr>
        <w:autoSpaceDE w:val="0"/>
        <w:autoSpaceDN w:val="0"/>
        <w:adjustRightInd w:val="0"/>
        <w:spacing w:line="600" w:lineRule="exact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截至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2024</w:t>
      </w:r>
      <w:r>
        <w:rPr>
          <w:rFonts w:hint="eastAsia" w:ascii="仿宋" w:hAnsi="仿宋" w:eastAsia="仿宋" w:cs="仿宋"/>
          <w:sz w:val="32"/>
          <w:szCs w:val="32"/>
        </w:rPr>
        <w:t>年12月31日，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遂宁市安居区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常理镇中心小学校</w:t>
      </w:r>
      <w:r>
        <w:rPr>
          <w:rFonts w:hint="eastAsia" w:ascii="仿宋" w:hAnsi="仿宋" w:eastAsia="仿宋" w:cs="仿宋"/>
          <w:sz w:val="32"/>
          <w:szCs w:val="32"/>
        </w:rPr>
        <w:t>共有车辆0辆，其中：主要领导干部用车0辆、机要通信用车0辆、应急保障用车0辆、其他用车0辆。单价100万元以上设备（不含车辆）0台（套）。</w:t>
      </w:r>
    </w:p>
    <w:p>
      <w:pPr>
        <w:autoSpaceDE w:val="0"/>
        <w:autoSpaceDN w:val="0"/>
        <w:adjustRightInd w:val="0"/>
        <w:spacing w:line="600" w:lineRule="exact"/>
        <w:ind w:firstLine="643" w:firstLineChars="200"/>
        <w:jc w:val="left"/>
        <w:outlineLvl w:val="2"/>
        <w:rPr>
          <w:rFonts w:hint="eastAsia"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>（四）预算绩效管理情况</w:t>
      </w:r>
    </w:p>
    <w:p>
      <w:pPr>
        <w:pStyle w:val="3"/>
        <w:rPr>
          <w:rFonts w:hint="eastAsia" w:ascii="Times New Roman" w:hAnsi="Times New Roman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根据预算绩效管理要求，本单位在2024年度预算编制阶段，组织对义教贫困生生活补助、幼儿资助及幼儿发展资金、</w:t>
      </w:r>
      <w:r>
        <w:rPr>
          <w:rFonts w:hint="eastAsia" w:ascii="Times New Roman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学生课后服务</w:t>
      </w:r>
      <w:r>
        <w:rPr>
          <w:rFonts w:hint="eastAsia" w:ascii="Times New Roman" w:hAnsi="Times New Roman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、义务教育</w:t>
      </w:r>
      <w:r>
        <w:rPr>
          <w:rFonts w:hint="eastAsia" w:ascii="Times New Roman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免作业费</w:t>
      </w:r>
      <w:r>
        <w:rPr>
          <w:rFonts w:hint="eastAsia" w:ascii="Times New Roman" w:hAnsi="Times New Roman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等</w:t>
      </w:r>
      <w:r>
        <w:rPr>
          <w:rFonts w:hint="eastAsia" w:ascii="Times New Roman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4</w:t>
      </w:r>
      <w:r>
        <w:rPr>
          <w:rFonts w:hint="eastAsia" w:ascii="Times New Roman" w:hAnsi="Times New Roman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个项目开展了预算事前绩效评估，对</w:t>
      </w:r>
      <w:r>
        <w:rPr>
          <w:rFonts w:hint="eastAsia" w:ascii="Times New Roman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4</w:t>
      </w:r>
      <w:r>
        <w:rPr>
          <w:rFonts w:hint="eastAsia" w:ascii="Times New Roman" w:hAnsi="Times New Roman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个项目编制了绩效目标，预算执行过程中，选取</w:t>
      </w:r>
      <w:r>
        <w:rPr>
          <w:rFonts w:hint="eastAsia" w:ascii="Times New Roman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4</w:t>
      </w:r>
      <w:r>
        <w:rPr>
          <w:rFonts w:hint="eastAsia" w:ascii="Times New Roman" w:hAnsi="Times New Roman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个项目开展绩效监控。</w:t>
      </w:r>
    </w:p>
    <w:p>
      <w:pPr>
        <w:pStyle w:val="3"/>
        <w:rPr>
          <w:rFonts w:hint="eastAsia" w:ascii="Times New Roman" w:hAnsi="Times New Roman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组织对2024年度一般公共预算、政府性基金预算、国有资本经营预算、社会保险基金预算以及资本资产、</w:t>
      </w:r>
      <w:r>
        <w:rPr>
          <w:rFonts w:hint="eastAsia" w:ascii="Times New Roman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债权资金</w:t>
      </w:r>
      <w:r>
        <w:rPr>
          <w:rFonts w:hint="eastAsia" w:ascii="Times New Roman" w:hAnsi="Times New Roman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等全面开展绩效自评，形成2024年</w:t>
      </w:r>
      <w:r>
        <w:rPr>
          <w:rFonts w:hint="eastAsia" w:ascii="Times New Roman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遂宁市安居区常理镇中心小学校</w:t>
      </w:r>
      <w:r>
        <w:rPr>
          <w:rFonts w:hint="eastAsia" w:ascii="Times New Roman" w:hAnsi="Times New Roman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部门整体（含部门预算项目）绩效自评报告</w:t>
      </w:r>
      <w:r>
        <w:rPr>
          <w:rFonts w:hint="eastAsia" w:ascii="Times New Roman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、</w:t>
      </w:r>
      <w:r>
        <w:rPr>
          <w:rFonts w:hint="eastAsia" w:ascii="Times New Roman" w:hAnsi="Times New Roman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义教贫困生生活补助、幼儿资助及幼儿发展资金、</w:t>
      </w:r>
      <w:r>
        <w:rPr>
          <w:rFonts w:hint="eastAsia" w:ascii="Times New Roman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学生课后服务</w:t>
      </w:r>
      <w:r>
        <w:rPr>
          <w:rFonts w:hint="eastAsia" w:ascii="Times New Roman" w:hAnsi="Times New Roman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、义务教育</w:t>
      </w:r>
      <w:r>
        <w:rPr>
          <w:rFonts w:hint="eastAsia" w:ascii="Times New Roman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免作业费</w:t>
      </w:r>
      <w:r>
        <w:rPr>
          <w:rFonts w:hint="eastAsia" w:ascii="Times New Roman" w:hAnsi="Times New Roman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等专项预算项目绩效自评报告，其中，2024年</w:t>
      </w:r>
      <w:r>
        <w:rPr>
          <w:rFonts w:hint="eastAsia" w:ascii="Times New Roman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遂宁市安居区常理镇中心小学校</w:t>
      </w:r>
      <w:r>
        <w:rPr>
          <w:rFonts w:hint="eastAsia" w:ascii="Times New Roman" w:hAnsi="Times New Roman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部门整体（含部门预算项目）绩效自评得分为</w:t>
      </w:r>
      <w:r>
        <w:rPr>
          <w:rFonts w:hint="eastAsia" w:ascii="Times New Roman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98</w:t>
      </w:r>
      <w:r>
        <w:rPr>
          <w:rFonts w:hint="eastAsia" w:ascii="Times New Roman" w:hAnsi="Times New Roman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分，绩效自评综述</w:t>
      </w:r>
      <w:r>
        <w:rPr>
          <w:rFonts w:hint="eastAsia" w:eastAsia="仿宋_GB2312" w:cs="Times New Roman"/>
          <w:sz w:val="32"/>
          <w:szCs w:val="32"/>
          <w:highlight w:val="none"/>
          <w:lang w:val="en-US" w:eastAsia="zh-CN"/>
        </w:rPr>
        <w:t>严格执行相关政策，保障工资及时发放、足额发放，预算编制科学合理，减少结余资金</w:t>
      </w:r>
      <w:r>
        <w:rPr>
          <w:rFonts w:hint="eastAsia" w:eastAsia="仿宋_GB2312"/>
          <w:sz w:val="32"/>
          <w:szCs w:val="32"/>
          <w:highlight w:val="none"/>
          <w:lang w:val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广泛听取意见，认真总结分析,搜集完善各类资料。进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一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步深化课程改革，提高教育质量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努力改善办学条件,促进教育均衡发展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。</w:t>
      </w:r>
      <w:r>
        <w:rPr>
          <w:rFonts w:hint="eastAsia" w:ascii="Times New Roman" w:hAnsi="Times New Roman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义教贫困生生活补助预算项目绩效自评得分为100分，绩效自评综述加强民生资金专项管理，提高民生资金使用效益，确保专款专用，按程序及时兑现给学生（或监护人）。幼儿资助及幼儿发展资金预算项目绩效自评得分为100分，绩效自评综述加强民生资金专项管理，提高民生资金使用效益，确保专款专用，按程序及时兑现给学生（或监护人），及时申报经费，促进附设幼儿园健康发展。</w:t>
      </w:r>
      <w:r>
        <w:rPr>
          <w:rFonts w:hint="eastAsia" w:ascii="Times New Roman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课后服务费</w:t>
      </w:r>
      <w:r>
        <w:rPr>
          <w:rFonts w:hint="eastAsia" w:ascii="Times New Roman" w:hAnsi="Times New Roman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专项预算项目绩效自评得分为100分，绩效自评综述加强民生资金专项管理，提高民生资金使用效益，确保专款专用，及时申报经费，保证</w:t>
      </w:r>
      <w:r>
        <w:rPr>
          <w:rFonts w:hint="eastAsia" w:ascii="Times New Roman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学生5+2课后延时服务质量</w:t>
      </w:r>
      <w:r>
        <w:rPr>
          <w:rFonts w:hint="eastAsia" w:ascii="Times New Roman" w:hAnsi="Times New Roman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。义务教育</w:t>
      </w:r>
      <w:r>
        <w:rPr>
          <w:rFonts w:hint="eastAsia" w:ascii="Times New Roman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免作业费</w:t>
      </w:r>
      <w:r>
        <w:rPr>
          <w:rFonts w:hint="eastAsia" w:ascii="Times New Roman" w:hAnsi="Times New Roman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专项预算项目绩效自评得分为100分，绩效自评综述加强民生资金专项管理，提高民生资金使用效益，确保专款专用，及时申报经费，保证学生作业本按时发放。</w:t>
      </w:r>
    </w:p>
    <w:p>
      <w:pPr>
        <w:pStyle w:val="3"/>
        <w:rPr>
          <w:rFonts w:ascii="Times New Roman" w:hAnsi="Times New Roman" w:eastAsia="黑体" w:cs="黑体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绩效自评表详见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第四部分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附件。</w:t>
      </w:r>
    </w:p>
    <w:p>
      <w:pPr>
        <w:spacing w:line="600" w:lineRule="exact"/>
        <w:jc w:val="center"/>
        <w:outlineLvl w:val="0"/>
        <w:rPr>
          <w:rFonts w:hint="eastAsia" w:eastAsia="黑体"/>
          <w:sz w:val="44"/>
          <w:szCs w:val="44"/>
        </w:rPr>
      </w:pPr>
      <w:bookmarkStart w:id="16" w:name="_Toc15396613"/>
      <w:bookmarkStart w:id="17" w:name="_Toc15377225"/>
    </w:p>
    <w:p>
      <w:pPr>
        <w:pStyle w:val="2"/>
        <w:rPr>
          <w:rFonts w:hint="eastAsia" w:eastAsia="黑体"/>
          <w:sz w:val="44"/>
          <w:szCs w:val="44"/>
        </w:rPr>
      </w:pPr>
    </w:p>
    <w:p>
      <w:pPr>
        <w:pStyle w:val="3"/>
        <w:rPr>
          <w:rFonts w:hint="eastAsia"/>
        </w:rPr>
      </w:pPr>
    </w:p>
    <w:p>
      <w:pPr>
        <w:spacing w:line="600" w:lineRule="exact"/>
        <w:jc w:val="center"/>
        <w:outlineLvl w:val="0"/>
        <w:rPr>
          <w:rFonts w:hint="eastAsia" w:ascii="华文仿宋" w:hAnsi="华文仿宋" w:eastAsia="华文仿宋" w:cs="华文仿宋"/>
          <w:b/>
          <w:bCs/>
          <w:sz w:val="44"/>
          <w:szCs w:val="44"/>
        </w:rPr>
      </w:pPr>
      <w:r>
        <w:rPr>
          <w:rFonts w:hint="eastAsia" w:ascii="华文仿宋" w:hAnsi="华文仿宋" w:eastAsia="华文仿宋" w:cs="华文仿宋"/>
          <w:b/>
          <w:bCs/>
          <w:sz w:val="44"/>
          <w:szCs w:val="44"/>
        </w:rPr>
        <w:t>第三部分  名词解释</w:t>
      </w:r>
      <w:bookmarkEnd w:id="16"/>
      <w:bookmarkEnd w:id="17"/>
    </w:p>
    <w:p>
      <w:pPr>
        <w:spacing w:line="600" w:lineRule="exact"/>
        <w:jc w:val="left"/>
        <w:rPr>
          <w:rFonts w:hint="eastAsia" w:ascii="华文仿宋" w:hAnsi="华文仿宋" w:eastAsia="华文仿宋" w:cs="华文仿宋"/>
          <w:b/>
          <w:sz w:val="44"/>
          <w:szCs w:val="44"/>
        </w:rPr>
      </w:pPr>
    </w:p>
    <w:p>
      <w:pPr>
        <w:pStyle w:val="28"/>
        <w:spacing w:line="560" w:lineRule="exact"/>
        <w:ind w:firstLine="640" w:firstLineChars="200"/>
        <w:rPr>
          <w:rFonts w:hint="eastAsia" w:ascii="华文仿宋" w:hAnsi="华文仿宋" w:eastAsia="华文仿宋" w:cs="华文仿宋"/>
          <w:color w:val="auto"/>
          <w:sz w:val="32"/>
          <w:szCs w:val="32"/>
        </w:rPr>
      </w:pPr>
      <w:bookmarkStart w:id="18" w:name="_Toc15396614"/>
      <w:bookmarkStart w:id="19" w:name="_Toc15377226"/>
      <w:r>
        <w:rPr>
          <w:rFonts w:hint="eastAsia" w:ascii="华文仿宋" w:hAnsi="华文仿宋" w:eastAsia="华文仿宋" w:cs="华文仿宋"/>
          <w:color w:val="auto"/>
          <w:sz w:val="32"/>
          <w:szCs w:val="32"/>
        </w:rPr>
        <w:t>1.财政拨款收入：指单位从同级财政部门取得的财政预算资金。</w:t>
      </w:r>
    </w:p>
    <w:p>
      <w:pPr>
        <w:pStyle w:val="28"/>
        <w:spacing w:line="560" w:lineRule="exact"/>
        <w:ind w:firstLine="640" w:firstLineChars="200"/>
        <w:rPr>
          <w:rFonts w:hint="eastAsia" w:ascii="华文仿宋" w:hAnsi="华文仿宋" w:eastAsia="华文仿宋" w:cs="华文仿宋"/>
          <w:color w:val="auto"/>
          <w:sz w:val="32"/>
          <w:szCs w:val="32"/>
        </w:rPr>
      </w:pPr>
      <w:r>
        <w:rPr>
          <w:rFonts w:hint="eastAsia" w:ascii="华文仿宋" w:hAnsi="华文仿宋" w:eastAsia="华文仿宋" w:cs="华文仿宋"/>
          <w:color w:val="auto"/>
          <w:sz w:val="32"/>
          <w:szCs w:val="32"/>
        </w:rPr>
        <w:t xml:space="preserve">2.其他收入：指单位取得的除上述收入以外的各项收入。主要是非财政拨款收入等。 </w:t>
      </w:r>
    </w:p>
    <w:p>
      <w:pPr>
        <w:ind w:firstLine="640" w:firstLineChars="200"/>
        <w:rPr>
          <w:rFonts w:hint="eastAsia" w:ascii="华文仿宋" w:hAnsi="华文仿宋" w:eastAsia="华文仿宋" w:cs="华文仿宋"/>
          <w:kern w:val="0"/>
          <w:sz w:val="32"/>
          <w:szCs w:val="32"/>
        </w:rPr>
      </w:pPr>
      <w:r>
        <w:rPr>
          <w:rFonts w:hint="eastAsia" w:ascii="华文仿宋" w:hAnsi="华文仿宋" w:eastAsia="华文仿宋" w:cs="华文仿宋"/>
          <w:kern w:val="0"/>
          <w:sz w:val="32"/>
          <w:szCs w:val="32"/>
        </w:rPr>
        <w:t>3.教育（类）普通教育（款）学前教育（项）：指各部门举办的学前教育</w:t>
      </w:r>
      <w:r>
        <w:rPr>
          <w:rFonts w:hint="eastAsia" w:ascii="华文仿宋" w:hAnsi="华文仿宋" w:eastAsia="华文仿宋" w:cs="华文仿宋"/>
          <w:kern w:val="0"/>
          <w:sz w:val="32"/>
          <w:szCs w:val="32"/>
          <w:lang w:eastAsia="zh-CN"/>
        </w:rPr>
        <w:t>支出</w:t>
      </w:r>
      <w:r>
        <w:rPr>
          <w:rFonts w:hint="eastAsia" w:ascii="华文仿宋" w:hAnsi="华文仿宋" w:eastAsia="华文仿宋" w:cs="华文仿宋"/>
          <w:kern w:val="0"/>
          <w:sz w:val="32"/>
          <w:szCs w:val="32"/>
        </w:rPr>
        <w:t>。</w:t>
      </w:r>
    </w:p>
    <w:p>
      <w:pPr>
        <w:ind w:firstLine="640" w:firstLineChars="200"/>
        <w:rPr>
          <w:rFonts w:hint="eastAsia" w:ascii="华文仿宋" w:hAnsi="华文仿宋" w:eastAsia="华文仿宋" w:cs="华文仿宋"/>
          <w:kern w:val="0"/>
          <w:sz w:val="32"/>
          <w:szCs w:val="32"/>
        </w:rPr>
      </w:pPr>
      <w:r>
        <w:rPr>
          <w:rFonts w:hint="eastAsia" w:ascii="华文仿宋" w:hAnsi="华文仿宋" w:eastAsia="华文仿宋" w:cs="华文仿宋"/>
          <w:kern w:val="0"/>
          <w:sz w:val="32"/>
          <w:szCs w:val="32"/>
        </w:rPr>
        <w:t>4.教育（类）普通教育（款）小学教育（项）：指各部门举办的小学教育</w:t>
      </w:r>
      <w:r>
        <w:rPr>
          <w:rFonts w:hint="eastAsia" w:ascii="华文仿宋" w:hAnsi="华文仿宋" w:eastAsia="华文仿宋" w:cs="华文仿宋"/>
          <w:kern w:val="0"/>
          <w:sz w:val="32"/>
          <w:szCs w:val="32"/>
          <w:lang w:eastAsia="zh-CN"/>
        </w:rPr>
        <w:t>支出</w:t>
      </w:r>
      <w:r>
        <w:rPr>
          <w:rFonts w:hint="eastAsia" w:ascii="华文仿宋" w:hAnsi="华文仿宋" w:eastAsia="华文仿宋" w:cs="华文仿宋"/>
          <w:kern w:val="0"/>
          <w:sz w:val="32"/>
          <w:szCs w:val="32"/>
        </w:rPr>
        <w:t>。</w:t>
      </w:r>
    </w:p>
    <w:p>
      <w:pPr>
        <w:ind w:firstLine="640" w:firstLineChars="200"/>
        <w:rPr>
          <w:rFonts w:hint="eastAsia" w:ascii="华文仿宋" w:hAnsi="华文仿宋" w:eastAsia="华文仿宋" w:cs="华文仿宋"/>
          <w:kern w:val="0"/>
          <w:sz w:val="32"/>
          <w:szCs w:val="32"/>
        </w:rPr>
      </w:pPr>
      <w:r>
        <w:rPr>
          <w:rFonts w:hint="eastAsia" w:ascii="华文仿宋" w:hAnsi="华文仿宋" w:eastAsia="华文仿宋" w:cs="华文仿宋"/>
          <w:kern w:val="0"/>
          <w:sz w:val="32"/>
          <w:szCs w:val="32"/>
        </w:rPr>
        <w:t>5.教育（类）普通教育（款）其他普通教育</w:t>
      </w:r>
      <w:r>
        <w:rPr>
          <w:rFonts w:hint="eastAsia" w:ascii="华文仿宋" w:hAnsi="华文仿宋" w:eastAsia="华文仿宋" w:cs="华文仿宋"/>
          <w:kern w:val="0"/>
          <w:sz w:val="32"/>
          <w:szCs w:val="32"/>
          <w:lang w:eastAsia="zh-CN"/>
        </w:rPr>
        <w:t>支出</w:t>
      </w:r>
      <w:r>
        <w:rPr>
          <w:rFonts w:hint="eastAsia" w:ascii="华文仿宋" w:hAnsi="华文仿宋" w:eastAsia="华文仿宋" w:cs="华文仿宋"/>
          <w:kern w:val="0"/>
          <w:sz w:val="32"/>
          <w:szCs w:val="32"/>
        </w:rPr>
        <w:t>（项）：指除上述项目以外其他用于普通教育方面的</w:t>
      </w:r>
      <w:r>
        <w:rPr>
          <w:rFonts w:hint="eastAsia" w:ascii="华文仿宋" w:hAnsi="华文仿宋" w:eastAsia="华文仿宋" w:cs="华文仿宋"/>
          <w:kern w:val="0"/>
          <w:sz w:val="32"/>
          <w:szCs w:val="32"/>
          <w:lang w:eastAsia="zh-CN"/>
        </w:rPr>
        <w:t>支出</w:t>
      </w:r>
      <w:r>
        <w:rPr>
          <w:rFonts w:hint="eastAsia" w:ascii="华文仿宋" w:hAnsi="华文仿宋" w:eastAsia="华文仿宋" w:cs="华文仿宋"/>
          <w:kern w:val="0"/>
          <w:sz w:val="32"/>
          <w:szCs w:val="32"/>
        </w:rPr>
        <w:t>。</w:t>
      </w:r>
    </w:p>
    <w:p>
      <w:pPr>
        <w:ind w:firstLine="640" w:firstLineChars="200"/>
        <w:rPr>
          <w:rFonts w:hint="eastAsia" w:ascii="华文仿宋" w:hAnsi="华文仿宋" w:eastAsia="华文仿宋" w:cs="华文仿宋"/>
          <w:kern w:val="0"/>
          <w:sz w:val="32"/>
          <w:szCs w:val="32"/>
        </w:rPr>
      </w:pPr>
      <w:r>
        <w:rPr>
          <w:rFonts w:hint="eastAsia" w:ascii="华文仿宋" w:hAnsi="华文仿宋" w:eastAsia="华文仿宋" w:cs="华文仿宋"/>
          <w:kern w:val="0"/>
          <w:sz w:val="32"/>
          <w:szCs w:val="32"/>
        </w:rPr>
        <w:t>6. 教育（类）教育费附加安排的</w:t>
      </w:r>
      <w:r>
        <w:rPr>
          <w:rFonts w:hint="eastAsia" w:ascii="华文仿宋" w:hAnsi="华文仿宋" w:eastAsia="华文仿宋" w:cs="华文仿宋"/>
          <w:kern w:val="0"/>
          <w:sz w:val="32"/>
          <w:szCs w:val="32"/>
          <w:lang w:eastAsia="zh-CN"/>
        </w:rPr>
        <w:t>支出</w:t>
      </w:r>
      <w:r>
        <w:rPr>
          <w:rFonts w:hint="eastAsia" w:ascii="华文仿宋" w:hAnsi="华文仿宋" w:eastAsia="华文仿宋" w:cs="华文仿宋"/>
          <w:kern w:val="0"/>
          <w:sz w:val="32"/>
          <w:szCs w:val="32"/>
        </w:rPr>
        <w:t>（款）其他教育附加安排的</w:t>
      </w:r>
      <w:r>
        <w:rPr>
          <w:rFonts w:hint="eastAsia" w:ascii="华文仿宋" w:hAnsi="华文仿宋" w:eastAsia="华文仿宋" w:cs="华文仿宋"/>
          <w:kern w:val="0"/>
          <w:sz w:val="32"/>
          <w:szCs w:val="32"/>
          <w:lang w:eastAsia="zh-CN"/>
        </w:rPr>
        <w:t>支出</w:t>
      </w:r>
      <w:r>
        <w:rPr>
          <w:rFonts w:hint="eastAsia" w:ascii="华文仿宋" w:hAnsi="华文仿宋" w:eastAsia="华文仿宋" w:cs="华文仿宋"/>
          <w:kern w:val="0"/>
          <w:sz w:val="32"/>
          <w:szCs w:val="32"/>
        </w:rPr>
        <w:t>（项）：指除上述项目以外其他的教育附加</w:t>
      </w:r>
      <w:r>
        <w:rPr>
          <w:rFonts w:hint="eastAsia" w:ascii="华文仿宋" w:hAnsi="华文仿宋" w:eastAsia="华文仿宋" w:cs="华文仿宋"/>
          <w:kern w:val="0"/>
          <w:sz w:val="32"/>
          <w:szCs w:val="32"/>
          <w:lang w:eastAsia="zh-CN"/>
        </w:rPr>
        <w:t>支出</w:t>
      </w:r>
      <w:r>
        <w:rPr>
          <w:rFonts w:hint="eastAsia" w:ascii="华文仿宋" w:hAnsi="华文仿宋" w:eastAsia="华文仿宋" w:cs="华文仿宋"/>
          <w:kern w:val="0"/>
          <w:sz w:val="32"/>
          <w:szCs w:val="32"/>
        </w:rPr>
        <w:t>。</w:t>
      </w:r>
    </w:p>
    <w:p>
      <w:pPr>
        <w:ind w:firstLine="640" w:firstLineChars="200"/>
        <w:rPr>
          <w:rFonts w:hint="eastAsia" w:ascii="华文仿宋" w:hAnsi="华文仿宋" w:eastAsia="华文仿宋" w:cs="华文仿宋"/>
          <w:kern w:val="0"/>
          <w:sz w:val="32"/>
          <w:szCs w:val="32"/>
        </w:rPr>
      </w:pPr>
      <w:r>
        <w:rPr>
          <w:rFonts w:hint="eastAsia" w:ascii="华文仿宋" w:hAnsi="华文仿宋" w:eastAsia="华文仿宋" w:cs="华文仿宋"/>
          <w:kern w:val="0"/>
          <w:sz w:val="32"/>
          <w:szCs w:val="32"/>
        </w:rPr>
        <w:t>7.教育（类）其他教育</w:t>
      </w:r>
      <w:r>
        <w:rPr>
          <w:rFonts w:hint="eastAsia" w:ascii="华文仿宋" w:hAnsi="华文仿宋" w:eastAsia="华文仿宋" w:cs="华文仿宋"/>
          <w:kern w:val="0"/>
          <w:sz w:val="32"/>
          <w:szCs w:val="32"/>
          <w:lang w:eastAsia="zh-CN"/>
        </w:rPr>
        <w:t>支出</w:t>
      </w:r>
      <w:r>
        <w:rPr>
          <w:rFonts w:hint="eastAsia" w:ascii="华文仿宋" w:hAnsi="华文仿宋" w:eastAsia="华文仿宋" w:cs="华文仿宋"/>
          <w:kern w:val="0"/>
          <w:sz w:val="32"/>
          <w:szCs w:val="32"/>
        </w:rPr>
        <w:t>（款）其他教育</w:t>
      </w:r>
      <w:r>
        <w:rPr>
          <w:rFonts w:hint="eastAsia" w:ascii="华文仿宋" w:hAnsi="华文仿宋" w:eastAsia="华文仿宋" w:cs="华文仿宋"/>
          <w:kern w:val="0"/>
          <w:sz w:val="32"/>
          <w:szCs w:val="32"/>
          <w:lang w:eastAsia="zh-CN"/>
        </w:rPr>
        <w:t>支出</w:t>
      </w:r>
      <w:r>
        <w:rPr>
          <w:rFonts w:hint="eastAsia" w:ascii="华文仿宋" w:hAnsi="华文仿宋" w:eastAsia="华文仿宋" w:cs="华文仿宋"/>
          <w:kern w:val="0"/>
          <w:sz w:val="32"/>
          <w:szCs w:val="32"/>
        </w:rPr>
        <w:t>（项）：指除上述项目以外其他教育</w:t>
      </w:r>
      <w:r>
        <w:rPr>
          <w:rFonts w:hint="eastAsia" w:ascii="华文仿宋" w:hAnsi="华文仿宋" w:eastAsia="华文仿宋" w:cs="华文仿宋"/>
          <w:kern w:val="0"/>
          <w:sz w:val="32"/>
          <w:szCs w:val="32"/>
          <w:lang w:eastAsia="zh-CN"/>
        </w:rPr>
        <w:t>支出</w:t>
      </w:r>
      <w:r>
        <w:rPr>
          <w:rFonts w:hint="eastAsia" w:ascii="华文仿宋" w:hAnsi="华文仿宋" w:eastAsia="华文仿宋" w:cs="华文仿宋"/>
          <w:kern w:val="0"/>
          <w:sz w:val="32"/>
          <w:szCs w:val="32"/>
        </w:rPr>
        <w:t>。</w:t>
      </w:r>
    </w:p>
    <w:p>
      <w:pPr>
        <w:ind w:firstLine="640" w:firstLineChars="200"/>
        <w:rPr>
          <w:rFonts w:hint="eastAsia" w:ascii="华文仿宋" w:hAnsi="华文仿宋" w:eastAsia="华文仿宋" w:cs="华文仿宋"/>
          <w:kern w:val="0"/>
          <w:sz w:val="32"/>
          <w:szCs w:val="32"/>
        </w:rPr>
      </w:pPr>
      <w:r>
        <w:rPr>
          <w:rFonts w:hint="eastAsia" w:ascii="华文仿宋" w:hAnsi="华文仿宋" w:eastAsia="华文仿宋" w:cs="华文仿宋"/>
          <w:kern w:val="0"/>
          <w:sz w:val="32"/>
          <w:szCs w:val="32"/>
        </w:rPr>
        <w:t>8.社会保障和就业（类）行政事业单位养老（款）机关事业单位基本养老保险缴费</w:t>
      </w:r>
      <w:r>
        <w:rPr>
          <w:rFonts w:hint="eastAsia" w:ascii="华文仿宋" w:hAnsi="华文仿宋" w:eastAsia="华文仿宋" w:cs="华文仿宋"/>
          <w:kern w:val="0"/>
          <w:sz w:val="32"/>
          <w:szCs w:val="32"/>
          <w:lang w:eastAsia="zh-CN"/>
        </w:rPr>
        <w:t>支出</w:t>
      </w:r>
      <w:r>
        <w:rPr>
          <w:rFonts w:hint="eastAsia" w:ascii="华文仿宋" w:hAnsi="华文仿宋" w:eastAsia="华文仿宋" w:cs="华文仿宋"/>
          <w:kern w:val="0"/>
          <w:sz w:val="32"/>
          <w:szCs w:val="32"/>
        </w:rPr>
        <w:t>（项）：指机关事业单位实施养老保险制度由单位缴纳的基本养老保险费</w:t>
      </w:r>
      <w:r>
        <w:rPr>
          <w:rFonts w:hint="eastAsia" w:ascii="华文仿宋" w:hAnsi="华文仿宋" w:eastAsia="华文仿宋" w:cs="华文仿宋"/>
          <w:kern w:val="0"/>
          <w:sz w:val="32"/>
          <w:szCs w:val="32"/>
          <w:lang w:eastAsia="zh-CN"/>
        </w:rPr>
        <w:t>支出</w:t>
      </w:r>
      <w:r>
        <w:rPr>
          <w:rFonts w:hint="eastAsia" w:ascii="华文仿宋" w:hAnsi="华文仿宋" w:eastAsia="华文仿宋" w:cs="华文仿宋"/>
          <w:kern w:val="0"/>
          <w:sz w:val="32"/>
          <w:szCs w:val="32"/>
        </w:rPr>
        <w:t>。</w:t>
      </w:r>
    </w:p>
    <w:p>
      <w:pPr>
        <w:ind w:firstLine="640" w:firstLineChars="200"/>
        <w:rPr>
          <w:rFonts w:hint="eastAsia" w:ascii="华文仿宋" w:hAnsi="华文仿宋" w:eastAsia="华文仿宋" w:cs="华文仿宋"/>
          <w:kern w:val="0"/>
          <w:sz w:val="32"/>
          <w:szCs w:val="32"/>
        </w:rPr>
      </w:pPr>
      <w:r>
        <w:rPr>
          <w:rFonts w:hint="eastAsia" w:ascii="华文仿宋" w:hAnsi="华文仿宋" w:eastAsia="华文仿宋" w:cs="华文仿宋"/>
          <w:kern w:val="0"/>
          <w:sz w:val="32"/>
          <w:szCs w:val="32"/>
        </w:rPr>
        <w:t>9.社会保障和就业（类）行政事业单位养老（款）其他行政事业单位养老</w:t>
      </w:r>
      <w:r>
        <w:rPr>
          <w:rFonts w:hint="eastAsia" w:ascii="华文仿宋" w:hAnsi="华文仿宋" w:eastAsia="华文仿宋" w:cs="华文仿宋"/>
          <w:kern w:val="0"/>
          <w:sz w:val="32"/>
          <w:szCs w:val="32"/>
          <w:lang w:eastAsia="zh-CN"/>
        </w:rPr>
        <w:t>支出</w:t>
      </w:r>
      <w:r>
        <w:rPr>
          <w:rFonts w:hint="eastAsia" w:ascii="华文仿宋" w:hAnsi="华文仿宋" w:eastAsia="华文仿宋" w:cs="华文仿宋"/>
          <w:kern w:val="0"/>
          <w:sz w:val="32"/>
          <w:szCs w:val="32"/>
        </w:rPr>
        <w:t>（项）：指除上述项目以外其他用于行政事业单位养老方面的</w:t>
      </w:r>
      <w:r>
        <w:rPr>
          <w:rFonts w:hint="eastAsia" w:ascii="华文仿宋" w:hAnsi="华文仿宋" w:eastAsia="华文仿宋" w:cs="华文仿宋"/>
          <w:kern w:val="0"/>
          <w:sz w:val="32"/>
          <w:szCs w:val="32"/>
          <w:lang w:eastAsia="zh-CN"/>
        </w:rPr>
        <w:t>支出</w:t>
      </w:r>
      <w:r>
        <w:rPr>
          <w:rFonts w:hint="eastAsia" w:ascii="华文仿宋" w:hAnsi="华文仿宋" w:eastAsia="华文仿宋" w:cs="华文仿宋"/>
          <w:kern w:val="0"/>
          <w:sz w:val="32"/>
          <w:szCs w:val="32"/>
        </w:rPr>
        <w:t>。</w:t>
      </w:r>
    </w:p>
    <w:p>
      <w:pPr>
        <w:ind w:firstLine="640" w:firstLineChars="200"/>
        <w:rPr>
          <w:rFonts w:hint="eastAsia" w:ascii="华文仿宋" w:hAnsi="华文仿宋" w:eastAsia="华文仿宋" w:cs="华文仿宋"/>
          <w:kern w:val="0"/>
          <w:sz w:val="32"/>
          <w:szCs w:val="32"/>
        </w:rPr>
      </w:pPr>
      <w:r>
        <w:rPr>
          <w:rFonts w:hint="eastAsia" w:ascii="华文仿宋" w:hAnsi="华文仿宋" w:eastAsia="华文仿宋" w:cs="华文仿宋"/>
          <w:kern w:val="0"/>
          <w:sz w:val="32"/>
          <w:szCs w:val="32"/>
        </w:rPr>
        <w:t>10.卫生健康（类）公共卫生（款）突发公共卫生事件应急处理（项）：指用于突发公共卫生事件应急处理的</w:t>
      </w:r>
      <w:r>
        <w:rPr>
          <w:rFonts w:hint="eastAsia" w:ascii="华文仿宋" w:hAnsi="华文仿宋" w:eastAsia="华文仿宋" w:cs="华文仿宋"/>
          <w:kern w:val="0"/>
          <w:sz w:val="32"/>
          <w:szCs w:val="32"/>
          <w:lang w:eastAsia="zh-CN"/>
        </w:rPr>
        <w:t>支出</w:t>
      </w:r>
      <w:r>
        <w:rPr>
          <w:rFonts w:hint="eastAsia" w:ascii="华文仿宋" w:hAnsi="华文仿宋" w:eastAsia="华文仿宋" w:cs="华文仿宋"/>
          <w:kern w:val="0"/>
          <w:sz w:val="32"/>
          <w:szCs w:val="32"/>
        </w:rPr>
        <w:t>。</w:t>
      </w:r>
    </w:p>
    <w:p>
      <w:pPr>
        <w:ind w:firstLine="640" w:firstLineChars="200"/>
        <w:rPr>
          <w:rFonts w:hint="eastAsia" w:ascii="华文仿宋" w:hAnsi="华文仿宋" w:eastAsia="华文仿宋" w:cs="华文仿宋"/>
          <w:kern w:val="0"/>
          <w:sz w:val="32"/>
          <w:szCs w:val="32"/>
        </w:rPr>
      </w:pPr>
      <w:r>
        <w:rPr>
          <w:rFonts w:hint="eastAsia" w:ascii="华文仿宋" w:hAnsi="华文仿宋" w:eastAsia="华文仿宋" w:cs="华文仿宋"/>
          <w:kern w:val="0"/>
          <w:sz w:val="32"/>
          <w:szCs w:val="32"/>
        </w:rPr>
        <w:t>11.住房保障（类）住房改革</w:t>
      </w:r>
      <w:r>
        <w:rPr>
          <w:rFonts w:hint="eastAsia" w:ascii="华文仿宋" w:hAnsi="华文仿宋" w:eastAsia="华文仿宋" w:cs="华文仿宋"/>
          <w:kern w:val="0"/>
          <w:sz w:val="32"/>
          <w:szCs w:val="32"/>
          <w:lang w:eastAsia="zh-CN"/>
        </w:rPr>
        <w:t>支出</w:t>
      </w:r>
      <w:r>
        <w:rPr>
          <w:rFonts w:hint="eastAsia" w:ascii="华文仿宋" w:hAnsi="华文仿宋" w:eastAsia="华文仿宋" w:cs="华文仿宋"/>
          <w:kern w:val="0"/>
          <w:sz w:val="32"/>
          <w:szCs w:val="32"/>
        </w:rPr>
        <w:t>（款）住房公积金（项）：指行政事业单位按人力资源和社会保障部、财政部规定的基本工资和津贴补贴</w:t>
      </w:r>
      <w:r>
        <w:rPr>
          <w:rFonts w:hint="eastAsia" w:ascii="华文仿宋" w:hAnsi="华文仿宋" w:eastAsia="华文仿宋" w:cs="华文仿宋"/>
          <w:kern w:val="0"/>
          <w:sz w:val="32"/>
          <w:szCs w:val="32"/>
          <w:lang w:eastAsia="zh-CN"/>
        </w:rPr>
        <w:t>以及按规定比例</w:t>
      </w:r>
      <w:r>
        <w:rPr>
          <w:rFonts w:hint="eastAsia" w:ascii="华文仿宋" w:hAnsi="华文仿宋" w:eastAsia="华文仿宋" w:cs="华文仿宋"/>
          <w:kern w:val="0"/>
          <w:sz w:val="32"/>
          <w:szCs w:val="32"/>
        </w:rPr>
        <w:t>为职工缴纳的住房公积金。</w:t>
      </w:r>
    </w:p>
    <w:p>
      <w:pPr>
        <w:ind w:firstLine="640" w:firstLineChars="200"/>
        <w:rPr>
          <w:rFonts w:hint="eastAsia" w:ascii="华文仿宋" w:hAnsi="华文仿宋" w:eastAsia="华文仿宋" w:cs="华文仿宋"/>
          <w:kern w:val="0"/>
          <w:sz w:val="32"/>
          <w:szCs w:val="32"/>
        </w:rPr>
      </w:pPr>
      <w:r>
        <w:rPr>
          <w:rFonts w:hint="eastAsia" w:ascii="华文仿宋" w:hAnsi="华文仿宋" w:eastAsia="华文仿宋" w:cs="华文仿宋"/>
          <w:kern w:val="0"/>
          <w:sz w:val="32"/>
          <w:szCs w:val="32"/>
        </w:rPr>
        <w:t>12.基本</w:t>
      </w:r>
      <w:r>
        <w:rPr>
          <w:rFonts w:hint="eastAsia" w:ascii="华文仿宋" w:hAnsi="华文仿宋" w:eastAsia="华文仿宋" w:cs="华文仿宋"/>
          <w:kern w:val="0"/>
          <w:sz w:val="32"/>
          <w:szCs w:val="32"/>
          <w:lang w:eastAsia="zh-CN"/>
        </w:rPr>
        <w:t>支出</w:t>
      </w:r>
      <w:r>
        <w:rPr>
          <w:rFonts w:hint="eastAsia" w:ascii="华文仿宋" w:hAnsi="华文仿宋" w:eastAsia="华文仿宋" w:cs="华文仿宋"/>
          <w:kern w:val="0"/>
          <w:sz w:val="32"/>
          <w:szCs w:val="32"/>
        </w:rPr>
        <w:t>：指为保障机构正常运转、完成日常工作任务而发生的人员</w:t>
      </w:r>
      <w:r>
        <w:rPr>
          <w:rFonts w:hint="eastAsia" w:ascii="华文仿宋" w:hAnsi="华文仿宋" w:eastAsia="华文仿宋" w:cs="华文仿宋"/>
          <w:kern w:val="0"/>
          <w:sz w:val="32"/>
          <w:szCs w:val="32"/>
          <w:lang w:eastAsia="zh-CN"/>
        </w:rPr>
        <w:t>支出</w:t>
      </w:r>
      <w:r>
        <w:rPr>
          <w:rFonts w:hint="eastAsia" w:ascii="华文仿宋" w:hAnsi="华文仿宋" w:eastAsia="华文仿宋" w:cs="华文仿宋"/>
          <w:kern w:val="0"/>
          <w:sz w:val="32"/>
          <w:szCs w:val="32"/>
        </w:rPr>
        <w:t>和公用</w:t>
      </w:r>
      <w:r>
        <w:rPr>
          <w:rFonts w:hint="eastAsia" w:ascii="华文仿宋" w:hAnsi="华文仿宋" w:eastAsia="华文仿宋" w:cs="华文仿宋"/>
          <w:kern w:val="0"/>
          <w:sz w:val="32"/>
          <w:szCs w:val="32"/>
          <w:lang w:eastAsia="zh-CN"/>
        </w:rPr>
        <w:t>支出</w:t>
      </w:r>
      <w:r>
        <w:rPr>
          <w:rFonts w:hint="eastAsia" w:ascii="华文仿宋" w:hAnsi="华文仿宋" w:eastAsia="华文仿宋" w:cs="华文仿宋"/>
          <w:kern w:val="0"/>
          <w:sz w:val="32"/>
          <w:szCs w:val="32"/>
        </w:rPr>
        <w:t>。</w:t>
      </w:r>
    </w:p>
    <w:p>
      <w:pPr>
        <w:ind w:firstLine="640" w:firstLineChars="200"/>
        <w:rPr>
          <w:rFonts w:hint="eastAsia" w:ascii="华文仿宋" w:hAnsi="华文仿宋" w:eastAsia="华文仿宋" w:cs="华文仿宋"/>
          <w:kern w:val="0"/>
          <w:sz w:val="32"/>
          <w:szCs w:val="32"/>
        </w:rPr>
      </w:pPr>
      <w:r>
        <w:rPr>
          <w:rFonts w:hint="eastAsia" w:ascii="华文仿宋" w:hAnsi="华文仿宋" w:eastAsia="华文仿宋" w:cs="华文仿宋"/>
          <w:kern w:val="0"/>
          <w:sz w:val="32"/>
          <w:szCs w:val="32"/>
        </w:rPr>
        <w:t>13.项目</w:t>
      </w:r>
      <w:r>
        <w:rPr>
          <w:rFonts w:hint="eastAsia" w:ascii="华文仿宋" w:hAnsi="华文仿宋" w:eastAsia="华文仿宋" w:cs="华文仿宋"/>
          <w:kern w:val="0"/>
          <w:sz w:val="32"/>
          <w:szCs w:val="32"/>
          <w:lang w:eastAsia="zh-CN"/>
        </w:rPr>
        <w:t>支出</w:t>
      </w:r>
      <w:r>
        <w:rPr>
          <w:rFonts w:hint="eastAsia" w:ascii="华文仿宋" w:hAnsi="华文仿宋" w:eastAsia="华文仿宋" w:cs="华文仿宋"/>
          <w:kern w:val="0"/>
          <w:sz w:val="32"/>
          <w:szCs w:val="32"/>
        </w:rPr>
        <w:t>：指在基本</w:t>
      </w:r>
      <w:r>
        <w:rPr>
          <w:rFonts w:hint="eastAsia" w:ascii="华文仿宋" w:hAnsi="华文仿宋" w:eastAsia="华文仿宋" w:cs="华文仿宋"/>
          <w:kern w:val="0"/>
          <w:sz w:val="32"/>
          <w:szCs w:val="32"/>
          <w:lang w:eastAsia="zh-CN"/>
        </w:rPr>
        <w:t>支出</w:t>
      </w:r>
      <w:r>
        <w:rPr>
          <w:rFonts w:hint="eastAsia" w:ascii="华文仿宋" w:hAnsi="华文仿宋" w:eastAsia="华文仿宋" w:cs="华文仿宋"/>
          <w:kern w:val="0"/>
          <w:sz w:val="32"/>
          <w:szCs w:val="32"/>
        </w:rPr>
        <w:t>之外为完成特定行政任务和事业发展目标所发生的</w:t>
      </w:r>
      <w:r>
        <w:rPr>
          <w:rFonts w:hint="eastAsia" w:ascii="华文仿宋" w:hAnsi="华文仿宋" w:eastAsia="华文仿宋" w:cs="华文仿宋"/>
          <w:kern w:val="0"/>
          <w:sz w:val="32"/>
          <w:szCs w:val="32"/>
          <w:lang w:eastAsia="zh-CN"/>
        </w:rPr>
        <w:t>支出</w:t>
      </w:r>
      <w:r>
        <w:rPr>
          <w:rFonts w:hint="eastAsia" w:ascii="华文仿宋" w:hAnsi="华文仿宋" w:eastAsia="华文仿宋" w:cs="华文仿宋"/>
          <w:kern w:val="0"/>
          <w:sz w:val="32"/>
          <w:szCs w:val="32"/>
        </w:rPr>
        <w:t xml:space="preserve">。 </w:t>
      </w:r>
    </w:p>
    <w:p>
      <w:pPr>
        <w:pStyle w:val="28"/>
        <w:spacing w:line="560" w:lineRule="exact"/>
        <w:ind w:firstLine="640" w:firstLineChars="200"/>
        <w:rPr>
          <w:rFonts w:hint="eastAsia" w:ascii="华文仿宋" w:hAnsi="华文仿宋" w:eastAsia="华文仿宋" w:cs="华文仿宋"/>
          <w:color w:val="auto"/>
          <w:sz w:val="32"/>
          <w:szCs w:val="32"/>
        </w:rPr>
      </w:pPr>
      <w:r>
        <w:rPr>
          <w:rFonts w:hint="eastAsia" w:ascii="华文仿宋" w:hAnsi="华文仿宋" w:eastAsia="华文仿宋" w:cs="华文仿宋"/>
          <w:color w:val="auto"/>
          <w:sz w:val="32"/>
          <w:szCs w:val="32"/>
        </w:rPr>
        <w:t>14.“三公”经费：指部门用财政拨款安排的因公出国（境）费、公务用车购置及运行费和公务接待费。其中，因公出国（境）费反映单位公务出国（境）的国际旅费、国外城市间交通费、住宿费、伙食费、培训费、公杂费等</w:t>
      </w:r>
      <w:r>
        <w:rPr>
          <w:rFonts w:hint="eastAsia" w:ascii="华文仿宋" w:hAnsi="华文仿宋" w:eastAsia="华文仿宋" w:cs="华文仿宋"/>
          <w:color w:val="auto"/>
          <w:sz w:val="32"/>
          <w:szCs w:val="32"/>
          <w:lang w:eastAsia="zh-CN"/>
        </w:rPr>
        <w:t>支出</w:t>
      </w:r>
      <w:r>
        <w:rPr>
          <w:rFonts w:hint="eastAsia" w:ascii="华文仿宋" w:hAnsi="华文仿宋" w:eastAsia="华文仿宋" w:cs="华文仿宋"/>
          <w:color w:val="auto"/>
          <w:sz w:val="32"/>
          <w:szCs w:val="32"/>
        </w:rPr>
        <w:t>；公务用车购置及运行费反映单位公务用车车辆购置</w:t>
      </w:r>
      <w:r>
        <w:rPr>
          <w:rFonts w:hint="eastAsia" w:ascii="华文仿宋" w:hAnsi="华文仿宋" w:eastAsia="华文仿宋" w:cs="华文仿宋"/>
          <w:color w:val="auto"/>
          <w:sz w:val="32"/>
          <w:szCs w:val="32"/>
          <w:lang w:eastAsia="zh-CN"/>
        </w:rPr>
        <w:t>支出</w:t>
      </w:r>
      <w:r>
        <w:rPr>
          <w:rFonts w:hint="eastAsia" w:ascii="华文仿宋" w:hAnsi="华文仿宋" w:eastAsia="华文仿宋" w:cs="华文仿宋"/>
          <w:color w:val="auto"/>
          <w:sz w:val="32"/>
          <w:szCs w:val="32"/>
        </w:rPr>
        <w:t>（含车辆购置税）及租用费、燃料费、维修费、过路过桥费、保险费等</w:t>
      </w:r>
      <w:r>
        <w:rPr>
          <w:rFonts w:hint="eastAsia" w:ascii="华文仿宋" w:hAnsi="华文仿宋" w:eastAsia="华文仿宋" w:cs="华文仿宋"/>
          <w:color w:val="auto"/>
          <w:sz w:val="32"/>
          <w:szCs w:val="32"/>
          <w:lang w:eastAsia="zh-CN"/>
        </w:rPr>
        <w:t>支出</w:t>
      </w:r>
      <w:r>
        <w:rPr>
          <w:rFonts w:hint="eastAsia" w:ascii="华文仿宋" w:hAnsi="华文仿宋" w:eastAsia="华文仿宋" w:cs="华文仿宋"/>
          <w:color w:val="auto"/>
          <w:sz w:val="32"/>
          <w:szCs w:val="32"/>
        </w:rPr>
        <w:t>；公务接待费反映单位按规定开支的各类公务接待（含外宾接待）</w:t>
      </w:r>
      <w:r>
        <w:rPr>
          <w:rFonts w:hint="eastAsia" w:ascii="华文仿宋" w:hAnsi="华文仿宋" w:eastAsia="华文仿宋" w:cs="华文仿宋"/>
          <w:color w:val="auto"/>
          <w:sz w:val="32"/>
          <w:szCs w:val="32"/>
          <w:lang w:eastAsia="zh-CN"/>
        </w:rPr>
        <w:t>支出</w:t>
      </w:r>
      <w:r>
        <w:rPr>
          <w:rFonts w:hint="eastAsia" w:ascii="华文仿宋" w:hAnsi="华文仿宋" w:eastAsia="华文仿宋" w:cs="华文仿宋"/>
          <w:color w:val="auto"/>
          <w:sz w:val="32"/>
          <w:szCs w:val="32"/>
        </w:rPr>
        <w:t>。</w:t>
      </w:r>
    </w:p>
    <w:p>
      <w:pPr>
        <w:spacing w:line="600" w:lineRule="exact"/>
        <w:jc w:val="center"/>
        <w:rPr>
          <w:rFonts w:hint="eastAsia" w:eastAsia="黑体"/>
          <w:sz w:val="44"/>
          <w:szCs w:val="44"/>
        </w:rPr>
      </w:pPr>
    </w:p>
    <w:p>
      <w:pPr>
        <w:pStyle w:val="2"/>
        <w:rPr>
          <w:rFonts w:hint="eastAsia" w:eastAsia="黑体"/>
          <w:sz w:val="44"/>
          <w:szCs w:val="44"/>
        </w:rPr>
      </w:pPr>
    </w:p>
    <w:p>
      <w:pPr>
        <w:pStyle w:val="3"/>
        <w:rPr>
          <w:rFonts w:hint="eastAsia" w:eastAsia="黑体"/>
          <w:sz w:val="44"/>
          <w:szCs w:val="44"/>
        </w:rPr>
      </w:pPr>
    </w:p>
    <w:p>
      <w:pPr>
        <w:pStyle w:val="3"/>
        <w:rPr>
          <w:rFonts w:hint="eastAsia" w:eastAsia="黑体"/>
          <w:sz w:val="44"/>
          <w:szCs w:val="44"/>
        </w:rPr>
      </w:pPr>
    </w:p>
    <w:p>
      <w:pPr>
        <w:pStyle w:val="3"/>
        <w:rPr>
          <w:rFonts w:hint="eastAsia" w:eastAsia="黑体"/>
          <w:sz w:val="44"/>
          <w:szCs w:val="44"/>
        </w:rPr>
      </w:pPr>
    </w:p>
    <w:p>
      <w:pPr>
        <w:spacing w:line="600" w:lineRule="exact"/>
        <w:jc w:val="center"/>
        <w:rPr>
          <w:rFonts w:eastAsia="黑体" w:cs="黑体"/>
          <w:color w:val="FF0000"/>
          <w:sz w:val="32"/>
          <w:szCs w:val="32"/>
        </w:rPr>
      </w:pPr>
      <w:r>
        <w:rPr>
          <w:rFonts w:hint="eastAsia" w:eastAsia="黑体"/>
          <w:sz w:val="44"/>
          <w:szCs w:val="44"/>
        </w:rPr>
        <w:t>第四部分  附件</w:t>
      </w:r>
      <w:bookmarkEnd w:id="18"/>
    </w:p>
    <w:p>
      <w:pPr>
        <w:spacing w:line="572" w:lineRule="exact"/>
        <w:jc w:val="left"/>
        <w:outlineLvl w:val="0"/>
        <w:rPr>
          <w:rFonts w:eastAsia="方正小标宋简体"/>
          <w:bCs/>
          <w:sz w:val="44"/>
          <w:szCs w:val="44"/>
          <w:shd w:val="clear" w:color="auto" w:fill="FFFFFF"/>
        </w:rPr>
      </w:pPr>
      <w:r>
        <w:rPr>
          <w:rFonts w:hint="eastAsia" w:eastAsia="黑体" w:cs="黑体"/>
          <w:sz w:val="32"/>
          <w:szCs w:val="32"/>
        </w:rPr>
        <w:t>附件1</w:t>
      </w:r>
    </w:p>
    <w:p>
      <w:pPr>
        <w:spacing w:line="560" w:lineRule="exact"/>
        <w:jc w:val="center"/>
        <w:rPr>
          <w:rFonts w:eastAsia="黑体"/>
          <w:color w:val="000000"/>
          <w:kern w:val="0"/>
          <w:sz w:val="24"/>
          <w:szCs w:val="32"/>
          <w:shd w:val="clear" w:color="auto" w:fill="FFFFFF"/>
        </w:rPr>
      </w:pPr>
      <w:r>
        <w:rPr>
          <w:rFonts w:hint="eastAsia" w:eastAsia="方正小标宋简体"/>
          <w:bCs/>
          <w:sz w:val="44"/>
          <w:szCs w:val="44"/>
          <w:shd w:val="clear" w:color="auto" w:fill="FFFFFF"/>
          <w:lang w:val="en-US" w:eastAsia="zh-CN"/>
        </w:rPr>
        <w:t>2024年</w:t>
      </w:r>
      <w:r>
        <w:rPr>
          <w:rFonts w:eastAsia="方正小标宋简体"/>
          <w:bCs/>
          <w:sz w:val="44"/>
          <w:szCs w:val="44"/>
          <w:shd w:val="clear" w:color="auto" w:fill="FFFFFF"/>
        </w:rPr>
        <w:t>部门预算绩效</w:t>
      </w:r>
      <w:r>
        <w:rPr>
          <w:rFonts w:hint="eastAsia" w:eastAsia="方正小标宋简体"/>
          <w:bCs/>
          <w:sz w:val="44"/>
          <w:szCs w:val="44"/>
          <w:shd w:val="clear" w:color="auto" w:fill="FFFFFF"/>
        </w:rPr>
        <w:t>评价</w:t>
      </w:r>
      <w:r>
        <w:rPr>
          <w:rFonts w:eastAsia="方正小标宋简体"/>
          <w:bCs/>
          <w:sz w:val="44"/>
          <w:szCs w:val="44"/>
          <w:shd w:val="clear" w:color="auto" w:fill="FFFFFF"/>
        </w:rPr>
        <w:t>报告</w:t>
      </w:r>
    </w:p>
    <w:p>
      <w:pPr>
        <w:widowControl/>
        <w:adjustRightInd w:val="0"/>
        <w:snapToGrid w:val="0"/>
        <w:spacing w:line="560" w:lineRule="exact"/>
        <w:ind w:firstLine="643" w:firstLineChars="200"/>
        <w:contextualSpacing/>
        <w:jc w:val="left"/>
        <w:rPr>
          <w:rFonts w:ascii="仿宋_GB2312" w:hAnsi="仿宋" w:eastAsia="仿宋_GB2312"/>
          <w:sz w:val="32"/>
          <w:szCs w:val="32"/>
          <w:lang w:val="zh-CN"/>
        </w:rPr>
      </w:pPr>
      <w:r>
        <w:rPr>
          <w:rFonts w:hint="eastAsia" w:ascii="仿宋_GB2312" w:hAnsi="仿宋" w:eastAsia="仿宋_GB2312"/>
          <w:b/>
          <w:bCs/>
          <w:sz w:val="32"/>
          <w:szCs w:val="32"/>
          <w:lang w:val="zh-CN"/>
        </w:rPr>
        <w:t>一、</w:t>
      </w:r>
      <w:r>
        <w:rPr>
          <w:rFonts w:ascii="仿宋_GB2312" w:hAnsi="仿宋" w:eastAsia="仿宋_GB2312"/>
          <w:b/>
          <w:bCs/>
          <w:sz w:val="32"/>
          <w:szCs w:val="32"/>
          <w:lang w:val="zh-CN"/>
        </w:rPr>
        <w:t>基本情况</w:t>
      </w:r>
    </w:p>
    <w:p>
      <w:pPr>
        <w:widowControl/>
        <w:adjustRightInd w:val="0"/>
        <w:snapToGrid w:val="0"/>
        <w:spacing w:line="560" w:lineRule="exact"/>
        <w:ind w:firstLine="643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b/>
          <w:bCs/>
          <w:sz w:val="32"/>
          <w:szCs w:val="32"/>
          <w:lang w:val="zh-CN"/>
        </w:rPr>
        <w:t>（一）</w:t>
      </w:r>
      <w:r>
        <w:rPr>
          <w:rFonts w:ascii="仿宋_GB2312" w:hAnsi="仿宋" w:eastAsia="仿宋_GB2312"/>
          <w:b/>
          <w:bCs/>
          <w:sz w:val="32"/>
          <w:szCs w:val="32"/>
          <w:lang w:val="zh-CN"/>
        </w:rPr>
        <w:t>机构组成</w:t>
      </w:r>
      <w:r>
        <w:rPr>
          <w:rFonts w:hint="eastAsia" w:ascii="仿宋_GB2312" w:hAnsi="仿宋" w:eastAsia="仿宋_GB2312"/>
          <w:sz w:val="32"/>
          <w:szCs w:val="32"/>
          <w:lang w:val="zh-CN"/>
        </w:rPr>
        <w:t>：</w:t>
      </w:r>
      <w:r>
        <w:rPr>
          <w:rFonts w:hint="eastAsia" w:ascii="仿宋_GB2312" w:hAnsi="仿宋" w:eastAsia="仿宋_GB2312"/>
          <w:sz w:val="32"/>
          <w:szCs w:val="32"/>
        </w:rPr>
        <w:t>遂宁市安居区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常理镇中心小学校</w:t>
      </w:r>
      <w:r>
        <w:rPr>
          <w:rFonts w:hint="eastAsia" w:ascii="仿宋_GB2312" w:hAnsi="仿宋" w:eastAsia="仿宋_GB2312"/>
          <w:sz w:val="32"/>
          <w:szCs w:val="32"/>
        </w:rPr>
        <w:t>属于公益二类事业单位，学校的主管部门为四川省遂宁市安居区教育局。</w:t>
      </w:r>
    </w:p>
    <w:p>
      <w:pPr>
        <w:widowControl/>
        <w:adjustRightInd w:val="0"/>
        <w:snapToGrid w:val="0"/>
        <w:spacing w:line="560" w:lineRule="exact"/>
        <w:ind w:firstLine="643" w:firstLineChars="200"/>
        <w:contextualSpacing/>
        <w:jc w:val="left"/>
        <w:rPr>
          <w:rFonts w:hint="eastAsia" w:ascii="仿宋_GB2312" w:hAnsi="仿宋" w:eastAsia="仿宋_GB2312"/>
          <w:sz w:val="32"/>
          <w:szCs w:val="32"/>
        </w:rPr>
      </w:pPr>
      <w:r>
        <w:rPr>
          <w:rFonts w:ascii="仿宋_GB2312" w:hAnsi="仿宋" w:eastAsia="仿宋_GB2312"/>
          <w:b/>
          <w:bCs/>
          <w:sz w:val="32"/>
          <w:szCs w:val="32"/>
          <w:lang w:val="zh-CN"/>
        </w:rPr>
        <w:t>（二）机构职能</w:t>
      </w:r>
      <w:r>
        <w:rPr>
          <w:rFonts w:hint="eastAsia" w:ascii="仿宋_GB2312" w:hAnsi="仿宋" w:eastAsia="仿宋_GB2312"/>
          <w:b/>
          <w:bCs/>
          <w:sz w:val="32"/>
          <w:szCs w:val="32"/>
          <w:lang w:val="zh-CN"/>
        </w:rPr>
        <w:t>：</w:t>
      </w:r>
    </w:p>
    <w:p>
      <w:pPr>
        <w:widowControl/>
        <w:adjustRightInd w:val="0"/>
        <w:snapToGrid w:val="0"/>
        <w:spacing w:line="560" w:lineRule="exact"/>
        <w:ind w:firstLine="640" w:firstLineChars="200"/>
        <w:contextualSpacing/>
        <w:jc w:val="left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1、正确贯彻执行党和国家的教育方针、政策、法规。</w:t>
      </w:r>
    </w:p>
    <w:p>
      <w:pPr>
        <w:widowControl/>
        <w:adjustRightInd w:val="0"/>
        <w:snapToGrid w:val="0"/>
        <w:spacing w:line="560" w:lineRule="exact"/>
        <w:ind w:firstLine="640" w:firstLineChars="200"/>
        <w:contextualSpacing/>
        <w:jc w:val="left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2、维护学校的教学秩序，为学生创造良好的学习环境；</w:t>
      </w:r>
    </w:p>
    <w:p>
      <w:pPr>
        <w:widowControl/>
        <w:adjustRightInd w:val="0"/>
        <w:snapToGrid w:val="0"/>
        <w:spacing w:line="560" w:lineRule="exact"/>
        <w:ind w:firstLine="640" w:firstLineChars="200"/>
        <w:contextualSpacing/>
        <w:jc w:val="left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3、积极稳妥地推进教育改革，按教育规律办事，不断提高教育质量；</w:t>
      </w:r>
    </w:p>
    <w:p>
      <w:pPr>
        <w:widowControl/>
        <w:adjustRightInd w:val="0"/>
        <w:snapToGrid w:val="0"/>
        <w:spacing w:line="560" w:lineRule="exact"/>
        <w:ind w:firstLine="640" w:firstLineChars="200"/>
        <w:contextualSpacing/>
        <w:jc w:val="left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4、根据学校规模，设置学校管理机构，建立健全各项规章制度和岗位责任制。</w:t>
      </w:r>
    </w:p>
    <w:p>
      <w:pPr>
        <w:widowControl/>
        <w:adjustRightInd w:val="0"/>
        <w:snapToGrid w:val="0"/>
        <w:spacing w:line="560" w:lineRule="exact"/>
        <w:ind w:firstLine="640" w:firstLineChars="200"/>
        <w:contextualSpacing/>
        <w:jc w:val="left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5、坚持教书育人，服务育人，环境育人方针，加强对学生的思想品德教育，使学生的德智体全面发展。</w:t>
      </w:r>
    </w:p>
    <w:p>
      <w:pPr>
        <w:widowControl/>
        <w:adjustRightInd w:val="0"/>
        <w:snapToGrid w:val="0"/>
        <w:spacing w:line="560" w:lineRule="exact"/>
        <w:ind w:firstLine="640" w:firstLineChars="200"/>
        <w:contextualSpacing/>
        <w:jc w:val="left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6、抓好教师队伍建设，使每个教师都热心于教育事业；</w:t>
      </w:r>
    </w:p>
    <w:p>
      <w:pPr>
        <w:widowControl/>
        <w:adjustRightInd w:val="0"/>
        <w:snapToGrid w:val="0"/>
        <w:spacing w:line="56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  <w:lang w:val="zh-CN"/>
        </w:rPr>
      </w:pPr>
      <w:r>
        <w:rPr>
          <w:rFonts w:hint="eastAsia" w:ascii="仿宋_GB2312" w:hAnsi="仿宋" w:eastAsia="仿宋_GB2312"/>
          <w:sz w:val="32"/>
          <w:szCs w:val="32"/>
        </w:rPr>
        <w:t>7、做好安全防范，保证学生的人身安全。</w:t>
      </w:r>
    </w:p>
    <w:p>
      <w:pPr>
        <w:widowControl/>
        <w:adjustRightInd w:val="0"/>
        <w:snapToGrid w:val="0"/>
        <w:spacing w:line="560" w:lineRule="exact"/>
        <w:ind w:firstLine="643" w:firstLineChars="200"/>
        <w:contextualSpacing/>
        <w:jc w:val="left"/>
        <w:rPr>
          <w:rFonts w:hint="eastAsia" w:ascii="仿宋_GB2312" w:hAnsi="仿宋" w:eastAsia="仿宋_GB2312"/>
          <w:sz w:val="32"/>
          <w:szCs w:val="32"/>
        </w:rPr>
      </w:pPr>
      <w:r>
        <w:rPr>
          <w:rFonts w:ascii="仿宋_GB2312" w:hAnsi="仿宋" w:eastAsia="仿宋_GB2312"/>
          <w:b/>
          <w:bCs/>
          <w:sz w:val="32"/>
          <w:szCs w:val="32"/>
          <w:lang w:val="zh-CN"/>
        </w:rPr>
        <w:t>（</w:t>
      </w:r>
      <w:r>
        <w:rPr>
          <w:rFonts w:hint="eastAsia" w:ascii="仿宋_GB2312" w:hAnsi="仿宋" w:eastAsia="仿宋_GB2312"/>
          <w:b/>
          <w:bCs/>
          <w:sz w:val="32"/>
          <w:szCs w:val="32"/>
          <w:lang w:val="zh-CN"/>
        </w:rPr>
        <w:t>三</w:t>
      </w:r>
      <w:r>
        <w:rPr>
          <w:rFonts w:ascii="仿宋_GB2312" w:hAnsi="仿宋" w:eastAsia="仿宋_GB2312"/>
          <w:b/>
          <w:bCs/>
          <w:sz w:val="32"/>
          <w:szCs w:val="32"/>
          <w:lang w:val="zh-CN"/>
        </w:rPr>
        <w:t>）人员概况</w:t>
      </w:r>
      <w:r>
        <w:rPr>
          <w:rFonts w:hint="eastAsia" w:ascii="仿宋_GB2312" w:hAnsi="仿宋" w:eastAsia="仿宋_GB2312"/>
          <w:b/>
          <w:bCs/>
          <w:sz w:val="32"/>
          <w:szCs w:val="32"/>
          <w:lang w:val="zh-CN"/>
        </w:rPr>
        <w:t>：</w:t>
      </w:r>
      <w:r>
        <w:rPr>
          <w:rFonts w:ascii="仿宋_GB2312" w:hAnsi="仿宋" w:eastAsia="仿宋_GB2312"/>
          <w:sz w:val="32"/>
          <w:szCs w:val="32"/>
        </w:rPr>
        <w:t>截至202</w:t>
      </w:r>
      <w:r>
        <w:rPr>
          <w:rFonts w:hint="eastAsia" w:ascii="仿宋_GB2312" w:hAnsi="仿宋" w:eastAsia="仿宋_GB2312"/>
          <w:sz w:val="32"/>
          <w:szCs w:val="32"/>
        </w:rPr>
        <w:t>4</w:t>
      </w:r>
      <w:r>
        <w:rPr>
          <w:rFonts w:ascii="仿宋_GB2312" w:hAnsi="仿宋" w:eastAsia="仿宋_GB2312"/>
          <w:sz w:val="32"/>
          <w:szCs w:val="32"/>
        </w:rPr>
        <w:t>年末，</w:t>
      </w:r>
      <w:r>
        <w:rPr>
          <w:rFonts w:hint="eastAsia" w:ascii="仿宋_GB2312" w:hAnsi="仿宋" w:eastAsia="仿宋_GB2312"/>
          <w:sz w:val="32"/>
          <w:szCs w:val="32"/>
        </w:rPr>
        <w:t>我校现有在编教师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34</w:t>
      </w:r>
      <w:r>
        <w:rPr>
          <w:rFonts w:hint="eastAsia" w:ascii="仿宋_GB2312" w:hAnsi="仿宋" w:eastAsia="仿宋_GB2312"/>
          <w:sz w:val="32"/>
          <w:szCs w:val="32"/>
        </w:rPr>
        <w:t>人，遗属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25</w:t>
      </w:r>
      <w:r>
        <w:rPr>
          <w:rFonts w:hint="eastAsia" w:ascii="仿宋_GB2312" w:hAnsi="仿宋" w:eastAsia="仿宋_GB2312"/>
          <w:sz w:val="32"/>
          <w:szCs w:val="32"/>
        </w:rPr>
        <w:t>人，退休教师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94</w:t>
      </w:r>
      <w:r>
        <w:rPr>
          <w:rFonts w:hint="eastAsia" w:ascii="仿宋_GB2312" w:hAnsi="仿宋" w:eastAsia="仿宋_GB2312"/>
          <w:sz w:val="32"/>
          <w:szCs w:val="32"/>
        </w:rPr>
        <w:t>人。</w:t>
      </w:r>
    </w:p>
    <w:p>
      <w:pPr>
        <w:widowControl/>
        <w:adjustRightInd w:val="0"/>
        <w:snapToGrid w:val="0"/>
        <w:spacing w:line="560" w:lineRule="exact"/>
        <w:ind w:firstLine="643" w:firstLineChars="200"/>
        <w:contextualSpacing/>
        <w:jc w:val="left"/>
        <w:rPr>
          <w:rFonts w:ascii="仿宋_GB2312" w:hAnsi="仿宋" w:eastAsia="仿宋_GB2312"/>
          <w:b/>
          <w:bCs/>
          <w:sz w:val="32"/>
          <w:szCs w:val="32"/>
          <w:lang w:val="zh-CN"/>
        </w:rPr>
      </w:pPr>
      <w:r>
        <w:rPr>
          <w:rFonts w:ascii="仿宋_GB2312" w:hAnsi="仿宋" w:eastAsia="仿宋_GB2312"/>
          <w:b/>
          <w:bCs/>
          <w:sz w:val="32"/>
          <w:szCs w:val="32"/>
          <w:lang w:val="zh-CN"/>
        </w:rPr>
        <w:t>二、部门资金收支情况</w:t>
      </w:r>
    </w:p>
    <w:p>
      <w:pPr>
        <w:widowControl/>
        <w:adjustRightInd w:val="0"/>
        <w:snapToGrid w:val="0"/>
        <w:spacing w:line="560" w:lineRule="exact"/>
        <w:ind w:firstLine="643" w:firstLineChars="200"/>
        <w:contextualSpacing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ascii="仿宋_GB2312" w:hAnsi="仿宋" w:eastAsia="仿宋_GB2312"/>
          <w:b/>
          <w:bCs/>
          <w:sz w:val="32"/>
          <w:szCs w:val="32"/>
          <w:lang w:val="zh-CN"/>
        </w:rPr>
        <w:t>（一）</w:t>
      </w:r>
      <w:r>
        <w:rPr>
          <w:rFonts w:hint="eastAsia" w:ascii="仿宋_GB2312" w:hAnsi="仿宋" w:eastAsia="仿宋_GB2312"/>
          <w:b/>
          <w:bCs/>
          <w:sz w:val="32"/>
          <w:szCs w:val="32"/>
          <w:lang w:val="zh-CN"/>
        </w:rPr>
        <w:t>收入情况</w:t>
      </w:r>
      <w:r>
        <w:rPr>
          <w:rFonts w:ascii="仿宋_GB2312" w:hAnsi="仿宋" w:eastAsia="仿宋_GB2312"/>
          <w:b/>
          <w:bCs/>
          <w:sz w:val="32"/>
          <w:szCs w:val="32"/>
          <w:lang w:val="zh-CN"/>
        </w:rPr>
        <w:t>。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2024年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度收入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977.74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万元，与202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年相比，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增加了97.23</w:t>
      </w:r>
      <w:r>
        <w:rPr>
          <w:rFonts w:hint="eastAsia" w:ascii="仿宋" w:hAnsi="仿宋" w:eastAsia="仿宋" w:cs="仿宋"/>
          <w:sz w:val="32"/>
          <w:szCs w:val="32"/>
        </w:rPr>
        <w:t>万元，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增</w:t>
      </w:r>
      <w:r>
        <w:rPr>
          <w:rFonts w:hint="eastAsia" w:ascii="仿宋" w:hAnsi="仿宋" w:eastAsia="仿宋" w:cs="仿宋"/>
          <w:sz w:val="32"/>
          <w:szCs w:val="32"/>
        </w:rPr>
        <w:t>幅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11.04</w:t>
      </w:r>
      <w:r>
        <w:rPr>
          <w:rFonts w:hint="eastAsia" w:ascii="仿宋" w:hAnsi="仿宋" w:eastAsia="仿宋" w:cs="仿宋"/>
          <w:sz w:val="32"/>
          <w:szCs w:val="32"/>
        </w:rPr>
        <w:t>%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主要变动原因是：政策性调资，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人员经费增加，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本年统计了课后服务费及学生伙食费等。</w:t>
      </w:r>
    </w:p>
    <w:p>
      <w:pPr>
        <w:widowControl/>
        <w:adjustRightInd w:val="0"/>
        <w:snapToGrid w:val="0"/>
        <w:spacing w:line="560" w:lineRule="exact"/>
        <w:ind w:firstLine="643" w:firstLineChars="200"/>
        <w:contextualSpacing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ascii="仿宋_GB2312" w:hAnsi="仿宋" w:eastAsia="仿宋_GB2312"/>
          <w:b/>
          <w:bCs/>
          <w:sz w:val="32"/>
          <w:szCs w:val="32"/>
          <w:lang w:val="zh-CN"/>
        </w:rPr>
        <w:t>（</w:t>
      </w:r>
      <w:r>
        <w:rPr>
          <w:rFonts w:hint="eastAsia" w:ascii="仿宋_GB2312" w:hAnsi="仿宋" w:eastAsia="仿宋_GB2312"/>
          <w:b/>
          <w:bCs/>
          <w:sz w:val="32"/>
          <w:szCs w:val="32"/>
          <w:lang w:val="zh-CN"/>
        </w:rPr>
        <w:t>二</w:t>
      </w:r>
      <w:r>
        <w:rPr>
          <w:rFonts w:ascii="仿宋_GB2312" w:hAnsi="仿宋" w:eastAsia="仿宋_GB2312"/>
          <w:b/>
          <w:bCs/>
          <w:sz w:val="32"/>
          <w:szCs w:val="32"/>
          <w:lang w:val="zh-CN"/>
        </w:rPr>
        <w:t>）</w:t>
      </w:r>
      <w:r>
        <w:rPr>
          <w:rFonts w:hint="eastAsia" w:ascii="仿宋_GB2312" w:hAnsi="仿宋" w:eastAsia="仿宋_GB2312"/>
          <w:b/>
          <w:bCs/>
          <w:sz w:val="32"/>
          <w:szCs w:val="32"/>
          <w:lang w:val="zh-CN"/>
        </w:rPr>
        <w:t>支出情况</w:t>
      </w:r>
      <w:r>
        <w:rPr>
          <w:rFonts w:ascii="仿宋_GB2312" w:hAnsi="仿宋" w:eastAsia="仿宋_GB2312"/>
          <w:b/>
          <w:bCs/>
          <w:sz w:val="32"/>
          <w:szCs w:val="32"/>
          <w:lang w:val="zh-CN"/>
        </w:rPr>
        <w:t>。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2024年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度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支出977.74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万元，与202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年相比，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增加了97.23</w:t>
      </w:r>
      <w:r>
        <w:rPr>
          <w:rFonts w:hint="eastAsia" w:ascii="仿宋" w:hAnsi="仿宋" w:eastAsia="仿宋" w:cs="仿宋"/>
          <w:sz w:val="32"/>
          <w:szCs w:val="32"/>
        </w:rPr>
        <w:t>万元，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增</w:t>
      </w:r>
      <w:r>
        <w:rPr>
          <w:rFonts w:hint="eastAsia" w:ascii="仿宋" w:hAnsi="仿宋" w:eastAsia="仿宋" w:cs="仿宋"/>
          <w:sz w:val="32"/>
          <w:szCs w:val="32"/>
        </w:rPr>
        <w:t>幅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11.04</w:t>
      </w:r>
      <w:r>
        <w:rPr>
          <w:rFonts w:hint="eastAsia" w:ascii="仿宋" w:hAnsi="仿宋" w:eastAsia="仿宋" w:cs="仿宋"/>
          <w:sz w:val="32"/>
          <w:szCs w:val="32"/>
        </w:rPr>
        <w:t>%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主要变动原因是：政策性调资，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人员经费增加，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本年统计了课后服务费及学生伙食费等。</w:t>
      </w:r>
    </w:p>
    <w:p>
      <w:pPr>
        <w:widowControl/>
        <w:adjustRightInd w:val="0"/>
        <w:snapToGrid w:val="0"/>
        <w:spacing w:line="560" w:lineRule="exact"/>
        <w:ind w:firstLine="643" w:firstLineChars="200"/>
        <w:contextualSpacing/>
        <w:jc w:val="left"/>
        <w:rPr>
          <w:rFonts w:hint="eastAsia" w:ascii="仿宋_GB2312" w:hAnsi="仿宋" w:eastAsia="仿宋_GB2312"/>
          <w:b/>
          <w:bCs/>
          <w:sz w:val="32"/>
          <w:szCs w:val="32"/>
        </w:rPr>
      </w:pPr>
      <w:r>
        <w:rPr>
          <w:rFonts w:ascii="仿宋_GB2312" w:hAnsi="仿宋" w:eastAsia="仿宋_GB2312"/>
          <w:b/>
          <w:bCs/>
          <w:sz w:val="32"/>
          <w:szCs w:val="32"/>
          <w:lang w:val="zh-CN"/>
        </w:rPr>
        <w:t>（</w:t>
      </w:r>
      <w:r>
        <w:rPr>
          <w:rFonts w:hint="eastAsia" w:ascii="仿宋_GB2312" w:hAnsi="仿宋" w:eastAsia="仿宋_GB2312"/>
          <w:b/>
          <w:bCs/>
          <w:sz w:val="32"/>
          <w:szCs w:val="32"/>
          <w:lang w:val="zh-CN"/>
        </w:rPr>
        <w:t>三</w:t>
      </w:r>
      <w:r>
        <w:rPr>
          <w:rFonts w:ascii="仿宋_GB2312" w:hAnsi="仿宋" w:eastAsia="仿宋_GB2312"/>
          <w:b/>
          <w:bCs/>
          <w:sz w:val="32"/>
          <w:szCs w:val="32"/>
          <w:lang w:val="zh-CN"/>
        </w:rPr>
        <w:t>）结余分配和结转结余情况</w:t>
      </w:r>
      <w:r>
        <w:rPr>
          <w:rFonts w:hint="eastAsia" w:ascii="仿宋_GB2312" w:hAnsi="仿宋" w:eastAsia="仿宋_GB2312"/>
          <w:b/>
          <w:bCs/>
          <w:sz w:val="32"/>
          <w:szCs w:val="32"/>
          <w:lang w:val="zh-CN"/>
        </w:rPr>
        <w:t>。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我院</w:t>
      </w:r>
      <w:r>
        <w:rPr>
          <w:rFonts w:hint="eastAsia" w:ascii="仿宋_GB2312" w:hAnsi="仿宋" w:eastAsia="仿宋_GB2312"/>
          <w:sz w:val="32"/>
          <w:szCs w:val="32"/>
        </w:rPr>
        <w:t>2024年决算报表</w:t>
      </w:r>
      <w:r>
        <w:rPr>
          <w:rFonts w:ascii="仿宋_GB2312" w:hAnsi="仿宋" w:eastAsia="仿宋_GB2312"/>
          <w:sz w:val="32"/>
          <w:szCs w:val="32"/>
        </w:rPr>
        <w:t>结转结余</w:t>
      </w:r>
      <w:r>
        <w:rPr>
          <w:rFonts w:hint="eastAsia" w:ascii="仿宋_GB2312" w:hAnsi="仿宋" w:eastAsia="仿宋_GB2312"/>
          <w:sz w:val="32"/>
          <w:szCs w:val="32"/>
        </w:rPr>
        <w:t>0万元</w:t>
      </w:r>
      <w:r>
        <w:rPr>
          <w:rFonts w:ascii="仿宋_GB2312" w:hAnsi="仿宋" w:eastAsia="仿宋_GB2312"/>
          <w:sz w:val="32"/>
          <w:szCs w:val="32"/>
        </w:rPr>
        <w:t>。</w:t>
      </w:r>
    </w:p>
    <w:p>
      <w:pPr>
        <w:widowControl/>
        <w:adjustRightInd w:val="0"/>
        <w:snapToGrid w:val="0"/>
        <w:spacing w:line="560" w:lineRule="exact"/>
        <w:ind w:firstLine="643" w:firstLineChars="200"/>
        <w:contextualSpacing/>
        <w:jc w:val="left"/>
        <w:rPr>
          <w:rFonts w:ascii="仿宋_GB2312" w:hAnsi="仿宋" w:eastAsia="仿宋_GB2312"/>
          <w:b/>
          <w:bCs/>
          <w:sz w:val="32"/>
          <w:szCs w:val="32"/>
          <w:lang w:val="zh-CN"/>
        </w:rPr>
      </w:pPr>
      <w:r>
        <w:rPr>
          <w:rFonts w:ascii="仿宋_GB2312" w:hAnsi="仿宋" w:eastAsia="仿宋_GB2312"/>
          <w:b/>
          <w:bCs/>
          <w:sz w:val="32"/>
          <w:szCs w:val="32"/>
          <w:lang w:val="zh-CN"/>
        </w:rPr>
        <w:t>三、部门预算绩效分析</w:t>
      </w:r>
    </w:p>
    <w:p>
      <w:pPr>
        <w:widowControl/>
        <w:adjustRightInd w:val="0"/>
        <w:snapToGrid w:val="0"/>
        <w:spacing w:line="560" w:lineRule="exact"/>
        <w:ind w:firstLine="482" w:firstLineChars="200"/>
        <w:contextualSpacing/>
        <w:jc w:val="left"/>
        <w:rPr>
          <w:rFonts w:ascii="仿宋_GB2312" w:hAnsi="仿宋" w:eastAsia="仿宋_GB2312"/>
          <w:sz w:val="32"/>
          <w:szCs w:val="32"/>
          <w:lang w:val="zh-CN"/>
        </w:rPr>
      </w:pPr>
      <w:r>
        <w:rPr>
          <w:rFonts w:eastAsia="楷体_GB2312"/>
          <w:b/>
          <w:bCs/>
          <w:color w:val="000000"/>
          <w:kern w:val="0"/>
          <w:sz w:val="24"/>
          <w:shd w:val="clear" w:color="auto" w:fill="FFFFFF"/>
          <w:lang w:val="zh-CN"/>
        </w:rPr>
        <w:t>（</w:t>
      </w:r>
      <w:r>
        <w:rPr>
          <w:rFonts w:ascii="仿宋_GB2312" w:hAnsi="仿宋" w:eastAsia="仿宋_GB2312"/>
          <w:sz w:val="32"/>
          <w:szCs w:val="32"/>
          <w:lang w:val="zh-CN"/>
        </w:rPr>
        <w:t>一）</w:t>
      </w:r>
      <w:r>
        <w:rPr>
          <w:rFonts w:hint="eastAsia" w:ascii="仿宋_GB2312" w:hAnsi="仿宋" w:eastAsia="仿宋_GB2312"/>
          <w:b/>
          <w:bCs/>
          <w:sz w:val="32"/>
          <w:szCs w:val="32"/>
          <w:lang w:val="zh-CN"/>
        </w:rPr>
        <w:t>部门预算</w:t>
      </w:r>
      <w:r>
        <w:rPr>
          <w:rFonts w:ascii="仿宋_GB2312" w:hAnsi="仿宋" w:eastAsia="仿宋_GB2312"/>
          <w:b/>
          <w:bCs/>
          <w:sz w:val="32"/>
          <w:szCs w:val="32"/>
          <w:lang w:val="zh-CN"/>
        </w:rPr>
        <w:t>总体绩效分析</w:t>
      </w:r>
      <w:r>
        <w:rPr>
          <w:rFonts w:ascii="仿宋_GB2312" w:hAnsi="仿宋" w:eastAsia="仿宋_GB2312"/>
          <w:sz w:val="32"/>
          <w:szCs w:val="32"/>
          <w:lang w:val="zh-CN"/>
        </w:rPr>
        <w:t>。根据部门预算绩效评价指标体系“总体绩效”涉及</w:t>
      </w:r>
      <w:r>
        <w:rPr>
          <w:rFonts w:hint="eastAsia" w:ascii="仿宋_GB2312" w:hAnsi="仿宋" w:eastAsia="仿宋_GB2312"/>
          <w:sz w:val="32"/>
          <w:szCs w:val="32"/>
          <w:lang w:val="zh-CN"/>
        </w:rPr>
        <w:t>二、三级</w:t>
      </w:r>
      <w:r>
        <w:rPr>
          <w:rFonts w:ascii="仿宋_GB2312" w:hAnsi="仿宋" w:eastAsia="仿宋_GB2312"/>
          <w:sz w:val="32"/>
          <w:szCs w:val="32"/>
          <w:lang w:val="zh-CN"/>
        </w:rPr>
        <w:t>指标进行</w:t>
      </w:r>
      <w:r>
        <w:rPr>
          <w:rFonts w:hint="eastAsia" w:ascii="仿宋_GB2312" w:hAnsi="仿宋" w:eastAsia="仿宋_GB2312"/>
          <w:sz w:val="32"/>
          <w:szCs w:val="32"/>
          <w:lang w:val="zh-CN"/>
        </w:rPr>
        <w:t>逐项</w:t>
      </w:r>
      <w:r>
        <w:rPr>
          <w:rFonts w:ascii="仿宋_GB2312" w:hAnsi="仿宋" w:eastAsia="仿宋_GB2312"/>
          <w:sz w:val="32"/>
          <w:szCs w:val="32"/>
          <w:lang w:val="zh-CN"/>
        </w:rPr>
        <w:t>绩效分析</w:t>
      </w:r>
      <w:r>
        <w:rPr>
          <w:rFonts w:hint="eastAsia" w:ascii="仿宋_GB2312" w:hAnsi="仿宋" w:eastAsia="仿宋_GB2312"/>
          <w:sz w:val="32"/>
          <w:szCs w:val="32"/>
          <w:lang w:val="zh-CN"/>
        </w:rPr>
        <w:t>并评分</w:t>
      </w:r>
      <w:r>
        <w:rPr>
          <w:rFonts w:ascii="仿宋_GB2312" w:hAnsi="仿宋" w:eastAsia="仿宋_GB2312"/>
          <w:sz w:val="32"/>
          <w:szCs w:val="32"/>
          <w:lang w:val="zh-CN"/>
        </w:rPr>
        <w:t>，依次包括履职效能、预算管理、财务管理、资产管理、采购管理等情况。</w:t>
      </w:r>
    </w:p>
    <w:p>
      <w:pPr>
        <w:widowControl/>
        <w:adjustRightInd w:val="0"/>
        <w:snapToGrid w:val="0"/>
        <w:spacing w:line="560" w:lineRule="exact"/>
        <w:ind w:firstLine="643" w:firstLineChars="200"/>
        <w:contextualSpacing/>
        <w:jc w:val="left"/>
        <w:rPr>
          <w:rFonts w:hint="eastAsia" w:ascii="仿宋_GB2312" w:hAnsi="仿宋" w:eastAsia="仿宋_GB2312"/>
          <w:sz w:val="32"/>
          <w:szCs w:val="32"/>
          <w:lang w:val="zh-CN"/>
        </w:rPr>
      </w:pPr>
      <w:r>
        <w:rPr>
          <w:rFonts w:hint="eastAsia" w:ascii="仿宋_GB2312" w:hAnsi="仿宋" w:eastAsia="仿宋_GB2312"/>
          <w:b/>
          <w:bCs/>
          <w:sz w:val="32"/>
          <w:szCs w:val="32"/>
        </w:rPr>
        <w:t>1.</w:t>
      </w:r>
      <w:r>
        <w:rPr>
          <w:rFonts w:hint="eastAsia" w:ascii="仿宋_GB2312" w:hAnsi="仿宋" w:eastAsia="仿宋_GB2312"/>
          <w:b/>
          <w:bCs/>
          <w:sz w:val="32"/>
          <w:szCs w:val="32"/>
          <w:lang w:val="zh-CN"/>
        </w:rPr>
        <w:t>履职效能。</w:t>
      </w:r>
      <w:r>
        <w:rPr>
          <w:rFonts w:hint="eastAsia" w:ascii="仿宋_GB2312" w:hAnsi="仿宋" w:eastAsia="仿宋_GB2312"/>
          <w:sz w:val="32"/>
          <w:szCs w:val="32"/>
          <w:lang w:val="zh-CN"/>
        </w:rPr>
        <w:t>根据相关规定，制定绩效目标管理，规范资金使用，提升资金使用效益。严格支出控制、预算及时动态调整。我单位资金主要是人员经费、公用经费支出，学校制定的相关规章制度，对资金进行严格收支管理。</w:t>
      </w:r>
    </w:p>
    <w:p>
      <w:pPr>
        <w:widowControl/>
        <w:adjustRightInd w:val="0"/>
        <w:snapToGrid w:val="0"/>
        <w:spacing w:line="560" w:lineRule="exact"/>
        <w:ind w:firstLine="643" w:firstLineChars="200"/>
        <w:contextualSpacing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_GB2312" w:hAnsi="仿宋" w:eastAsia="仿宋_GB2312"/>
          <w:b/>
          <w:bCs/>
          <w:sz w:val="32"/>
          <w:szCs w:val="32"/>
        </w:rPr>
        <w:t>2.</w:t>
      </w:r>
      <w:r>
        <w:rPr>
          <w:rFonts w:ascii="仿宋_GB2312" w:hAnsi="仿宋" w:eastAsia="仿宋_GB2312"/>
          <w:b/>
          <w:bCs/>
          <w:sz w:val="32"/>
          <w:szCs w:val="32"/>
          <w:lang w:val="zh-CN"/>
        </w:rPr>
        <w:t>预算管理</w:t>
      </w:r>
      <w:r>
        <w:rPr>
          <w:rFonts w:hint="eastAsia" w:ascii="仿宋_GB2312" w:hAnsi="仿宋" w:eastAsia="仿宋_GB2312"/>
          <w:b/>
          <w:bCs/>
          <w:sz w:val="32"/>
          <w:szCs w:val="32"/>
          <w:lang w:val="zh-CN"/>
        </w:rPr>
        <w:t>。</w:t>
      </w:r>
      <w:r>
        <w:rPr>
          <w:rFonts w:hint="eastAsia" w:ascii="仿宋_GB2312" w:hAnsi="仿宋" w:eastAsia="仿宋_GB2312"/>
          <w:sz w:val="32"/>
          <w:szCs w:val="32"/>
          <w:lang w:val="zh-CN"/>
        </w:rPr>
        <w:t>2024年度</w:t>
      </w:r>
      <w:r>
        <w:rPr>
          <w:rFonts w:hint="eastAsia" w:ascii="仿宋_GB2312" w:hAnsi="仿宋" w:eastAsia="仿宋_GB2312"/>
          <w:sz w:val="32"/>
          <w:szCs w:val="32"/>
        </w:rPr>
        <w:t>预算</w:t>
      </w:r>
      <w:r>
        <w:rPr>
          <w:rFonts w:hint="eastAsia" w:ascii="仿宋_GB2312" w:hAnsi="仿宋" w:eastAsia="仿宋_GB2312"/>
          <w:sz w:val="32"/>
          <w:szCs w:val="32"/>
          <w:lang w:val="zh-CN"/>
        </w:rPr>
        <w:t>收、支总计均为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977.74</w:t>
      </w:r>
      <w:r>
        <w:rPr>
          <w:rFonts w:hint="eastAsia" w:ascii="仿宋_GB2312" w:hAnsi="仿宋" w:eastAsia="仿宋_GB2312"/>
          <w:sz w:val="32"/>
          <w:szCs w:val="32"/>
          <w:lang w:val="zh-CN"/>
        </w:rPr>
        <w:t>万元。与2023年度相比，收、</w:t>
      </w:r>
      <w:r>
        <w:rPr>
          <w:rFonts w:hint="eastAsia" w:ascii="仿宋_GB2312" w:hAnsi="仿宋" w:eastAsia="仿宋_GB2312"/>
          <w:sz w:val="32"/>
          <w:szCs w:val="32"/>
        </w:rPr>
        <w:t>支均增加了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97.23</w:t>
      </w:r>
      <w:r>
        <w:rPr>
          <w:rFonts w:hint="eastAsia" w:ascii="仿宋_GB2312" w:hAnsi="仿宋" w:eastAsia="仿宋_GB2312"/>
          <w:sz w:val="32"/>
          <w:szCs w:val="32"/>
        </w:rPr>
        <w:t>万元，增加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11.04</w:t>
      </w:r>
      <w:r>
        <w:rPr>
          <w:rFonts w:hint="eastAsia" w:ascii="仿宋_GB2312" w:hAnsi="仿宋" w:eastAsia="仿宋_GB2312"/>
          <w:sz w:val="32"/>
          <w:szCs w:val="32"/>
        </w:rPr>
        <w:t>%，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主要变动原因是：政策性调资，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人员经费增加，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本年统计了课后服务费及学生伙食费等。</w:t>
      </w:r>
    </w:p>
    <w:p>
      <w:pPr>
        <w:widowControl/>
        <w:adjustRightInd w:val="0"/>
        <w:snapToGrid w:val="0"/>
        <w:spacing w:line="560" w:lineRule="exact"/>
        <w:ind w:firstLine="643" w:firstLineChars="200"/>
        <w:contextualSpacing/>
        <w:jc w:val="left"/>
        <w:rPr>
          <w:rFonts w:hint="eastAsia" w:ascii="仿宋_GB2312" w:hAnsi="仿宋" w:eastAsia="仿宋_GB2312"/>
          <w:sz w:val="32"/>
          <w:szCs w:val="32"/>
          <w:lang w:val="zh-CN"/>
        </w:rPr>
      </w:pPr>
      <w:r>
        <w:rPr>
          <w:rFonts w:hint="eastAsia" w:ascii="仿宋_GB2312" w:hAnsi="仿宋" w:eastAsia="仿宋_GB2312"/>
          <w:b/>
          <w:bCs/>
          <w:sz w:val="32"/>
          <w:szCs w:val="32"/>
        </w:rPr>
        <w:t>3.</w:t>
      </w:r>
      <w:r>
        <w:rPr>
          <w:rFonts w:ascii="仿宋_GB2312" w:hAnsi="仿宋" w:eastAsia="仿宋_GB2312"/>
          <w:b/>
          <w:bCs/>
          <w:sz w:val="32"/>
          <w:szCs w:val="32"/>
          <w:lang w:val="zh-CN"/>
        </w:rPr>
        <w:t>财务管理</w:t>
      </w:r>
      <w:r>
        <w:rPr>
          <w:rFonts w:hint="eastAsia" w:ascii="仿宋_GB2312" w:hAnsi="仿宋" w:eastAsia="仿宋_GB2312"/>
          <w:b/>
          <w:bCs/>
          <w:sz w:val="32"/>
          <w:szCs w:val="32"/>
          <w:lang w:val="zh-CN"/>
        </w:rPr>
        <w:t>。</w:t>
      </w:r>
      <w:r>
        <w:rPr>
          <w:rFonts w:hint="eastAsia" w:ascii="仿宋_GB2312" w:hAnsi="仿宋" w:eastAsia="仿宋_GB2312"/>
          <w:sz w:val="32"/>
          <w:szCs w:val="32"/>
        </w:rPr>
        <w:t>制度了完善的</w:t>
      </w:r>
      <w:r>
        <w:rPr>
          <w:rFonts w:hint="eastAsia" w:ascii="仿宋_GB2312" w:hAnsi="仿宋" w:eastAsia="仿宋_GB2312"/>
          <w:sz w:val="32"/>
          <w:szCs w:val="32"/>
          <w:lang w:val="zh-CN"/>
        </w:rPr>
        <w:t>财务管理制度、财务岗位设置、</w:t>
      </w:r>
      <w:r>
        <w:rPr>
          <w:rFonts w:hint="eastAsia" w:ascii="仿宋_GB2312" w:hAnsi="仿宋" w:eastAsia="仿宋_GB2312"/>
          <w:sz w:val="32"/>
          <w:szCs w:val="32"/>
        </w:rPr>
        <w:t>规范了</w:t>
      </w:r>
      <w:r>
        <w:rPr>
          <w:rFonts w:hint="eastAsia" w:ascii="仿宋_GB2312" w:hAnsi="仿宋" w:eastAsia="仿宋_GB2312"/>
          <w:sz w:val="32"/>
          <w:szCs w:val="32"/>
          <w:lang w:val="zh-CN"/>
        </w:rPr>
        <w:t>资金使用。</w:t>
      </w:r>
    </w:p>
    <w:p>
      <w:pPr>
        <w:widowControl/>
        <w:adjustRightInd w:val="0"/>
        <w:snapToGrid w:val="0"/>
        <w:spacing w:line="560" w:lineRule="exact"/>
        <w:ind w:firstLine="643" w:firstLineChars="200"/>
        <w:contextualSpacing/>
        <w:jc w:val="left"/>
        <w:rPr>
          <w:rFonts w:hint="eastAsia" w:ascii="仿宋_GB2312" w:hAnsi="仿宋" w:eastAsia="仿宋_GB2312"/>
          <w:sz w:val="32"/>
          <w:szCs w:val="32"/>
          <w:lang w:val="zh-CN"/>
        </w:rPr>
      </w:pPr>
      <w:r>
        <w:rPr>
          <w:rFonts w:hint="eastAsia" w:ascii="仿宋_GB2312" w:hAnsi="仿宋" w:eastAsia="仿宋_GB2312"/>
          <w:b/>
          <w:bCs/>
          <w:sz w:val="32"/>
          <w:szCs w:val="32"/>
        </w:rPr>
        <w:t>4.</w:t>
      </w:r>
      <w:r>
        <w:rPr>
          <w:rFonts w:ascii="仿宋_GB2312" w:hAnsi="仿宋" w:eastAsia="仿宋_GB2312"/>
          <w:b/>
          <w:bCs/>
          <w:sz w:val="32"/>
          <w:szCs w:val="32"/>
          <w:lang w:val="zh-CN"/>
        </w:rPr>
        <w:t>资产管理</w:t>
      </w:r>
      <w:r>
        <w:rPr>
          <w:rFonts w:hint="eastAsia" w:ascii="仿宋_GB2312" w:hAnsi="仿宋" w:eastAsia="仿宋_GB2312"/>
          <w:b/>
          <w:bCs/>
          <w:sz w:val="32"/>
          <w:szCs w:val="32"/>
          <w:lang w:val="zh-CN"/>
        </w:rPr>
        <w:t>。</w:t>
      </w:r>
      <w:r>
        <w:rPr>
          <w:rFonts w:hint="eastAsia" w:ascii="仿宋_GB2312" w:hAnsi="仿宋" w:eastAsia="仿宋_GB2312"/>
          <w:sz w:val="32"/>
          <w:szCs w:val="32"/>
        </w:rPr>
        <w:t>建立资产管理制度，定期进行资产盘点和资产清理，总体执行较好。</w:t>
      </w:r>
    </w:p>
    <w:p>
      <w:pPr>
        <w:widowControl/>
        <w:adjustRightInd w:val="0"/>
        <w:snapToGrid w:val="0"/>
        <w:spacing w:line="560" w:lineRule="exact"/>
        <w:ind w:firstLine="643" w:firstLineChars="200"/>
        <w:contextualSpacing/>
        <w:jc w:val="left"/>
        <w:rPr>
          <w:rFonts w:hint="eastAsia" w:ascii="仿宋_GB2312" w:hAnsi="仿宋" w:eastAsia="仿宋_GB2312"/>
          <w:sz w:val="32"/>
          <w:szCs w:val="32"/>
          <w:lang w:val="zh-CN"/>
        </w:rPr>
      </w:pPr>
      <w:r>
        <w:rPr>
          <w:rFonts w:hint="eastAsia" w:ascii="仿宋_GB2312" w:hAnsi="仿宋" w:eastAsia="仿宋_GB2312"/>
          <w:b/>
          <w:bCs/>
          <w:sz w:val="32"/>
          <w:szCs w:val="32"/>
        </w:rPr>
        <w:t>5.</w:t>
      </w:r>
      <w:r>
        <w:rPr>
          <w:rFonts w:ascii="仿宋_GB2312" w:hAnsi="仿宋" w:eastAsia="仿宋_GB2312"/>
          <w:b/>
          <w:bCs/>
          <w:sz w:val="32"/>
          <w:szCs w:val="32"/>
          <w:lang w:val="zh-CN"/>
        </w:rPr>
        <w:t>采购管理</w:t>
      </w:r>
      <w:r>
        <w:rPr>
          <w:rFonts w:hint="eastAsia" w:ascii="仿宋_GB2312" w:hAnsi="仿宋" w:eastAsia="仿宋_GB2312"/>
          <w:b/>
          <w:bCs/>
          <w:sz w:val="32"/>
          <w:szCs w:val="32"/>
          <w:lang w:val="zh-CN"/>
        </w:rPr>
        <w:t>。</w:t>
      </w:r>
      <w:r>
        <w:rPr>
          <w:rFonts w:hint="eastAsia" w:ascii="仿宋_GB2312" w:hAnsi="仿宋" w:eastAsia="仿宋_GB2312"/>
          <w:sz w:val="32"/>
          <w:szCs w:val="32"/>
        </w:rPr>
        <w:t>建立学校采购管理制度，做好物品入库、领取台账，总体执行较好。</w:t>
      </w:r>
    </w:p>
    <w:p>
      <w:pPr>
        <w:widowControl/>
        <w:adjustRightInd w:val="0"/>
        <w:snapToGrid w:val="0"/>
        <w:spacing w:line="560" w:lineRule="exact"/>
        <w:ind w:firstLine="643" w:firstLineChars="200"/>
        <w:contextualSpacing/>
        <w:jc w:val="left"/>
        <w:rPr>
          <w:rFonts w:ascii="仿宋_GB2312" w:hAnsi="仿宋" w:eastAsia="仿宋_GB2312"/>
          <w:b/>
          <w:bCs/>
          <w:sz w:val="32"/>
          <w:szCs w:val="32"/>
        </w:rPr>
      </w:pPr>
      <w:r>
        <w:rPr>
          <w:rFonts w:ascii="仿宋_GB2312" w:hAnsi="仿宋" w:eastAsia="仿宋_GB2312"/>
          <w:b/>
          <w:bCs/>
          <w:sz w:val="32"/>
          <w:szCs w:val="32"/>
          <w:lang w:val="zh-CN"/>
        </w:rPr>
        <w:t>（二）部门预算项目绩效分析</w:t>
      </w:r>
      <w:r>
        <w:rPr>
          <w:rFonts w:hint="eastAsia" w:ascii="仿宋_GB2312" w:hAnsi="仿宋" w:eastAsia="仿宋_GB2312"/>
          <w:b/>
          <w:bCs/>
          <w:sz w:val="32"/>
          <w:szCs w:val="32"/>
          <w:lang w:val="zh-CN"/>
        </w:rPr>
        <w:t>：</w:t>
      </w:r>
    </w:p>
    <w:p>
      <w:pPr>
        <w:widowControl/>
        <w:adjustRightInd w:val="0"/>
        <w:snapToGrid w:val="0"/>
        <w:spacing w:line="560" w:lineRule="exact"/>
        <w:ind w:firstLine="643" w:firstLineChars="200"/>
        <w:contextualSpacing/>
        <w:jc w:val="left"/>
        <w:rPr>
          <w:rFonts w:ascii="仿宋_GB2312" w:hAnsi="仿宋" w:eastAsia="仿宋_GB2312"/>
          <w:sz w:val="32"/>
          <w:szCs w:val="32"/>
          <w:lang w:val="zh-CN"/>
        </w:rPr>
      </w:pPr>
      <w:r>
        <w:rPr>
          <w:rFonts w:ascii="仿宋_GB2312" w:hAnsi="仿宋" w:eastAsia="仿宋_GB2312"/>
          <w:b/>
          <w:bCs/>
          <w:sz w:val="32"/>
          <w:szCs w:val="32"/>
        </w:rPr>
        <w:t>常年项目绩效分析</w:t>
      </w:r>
      <w:r>
        <w:rPr>
          <w:rFonts w:hint="eastAsia" w:ascii="仿宋_GB2312" w:hAnsi="仿宋" w:eastAsia="仿宋_GB2312"/>
          <w:b/>
          <w:bCs/>
          <w:sz w:val="32"/>
          <w:szCs w:val="32"/>
        </w:rPr>
        <w:t>：</w:t>
      </w:r>
      <w:r>
        <w:rPr>
          <w:rFonts w:ascii="仿宋_GB2312" w:hAnsi="仿宋" w:eastAsia="仿宋_GB2312"/>
          <w:sz w:val="32"/>
          <w:szCs w:val="32"/>
          <w:lang w:val="zh-CN"/>
        </w:rPr>
        <w:t>该类项目总数</w:t>
      </w:r>
      <w:r>
        <w:rPr>
          <w:rFonts w:ascii="仿宋_GB2312" w:hAnsi="仿宋" w:eastAsia="仿宋_GB2312"/>
          <w:sz w:val="32"/>
          <w:szCs w:val="32"/>
        </w:rPr>
        <w:t xml:space="preserve"> 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5</w:t>
      </w:r>
      <w:r>
        <w:rPr>
          <w:rFonts w:ascii="仿宋_GB2312" w:hAnsi="仿宋" w:eastAsia="仿宋_GB2312"/>
          <w:sz w:val="32"/>
          <w:szCs w:val="32"/>
          <w:lang w:val="zh-CN"/>
        </w:rPr>
        <w:t>个，涉及预算总金额</w:t>
      </w:r>
      <w:r>
        <w:rPr>
          <w:rFonts w:hint="eastAsia" w:ascii="仿宋_GB2312" w:hAnsi="仿宋" w:eastAsia="仿宋_GB2312"/>
          <w:color w:val="auto"/>
          <w:sz w:val="32"/>
          <w:szCs w:val="32"/>
          <w:lang w:val="en-US" w:eastAsia="zh-CN"/>
        </w:rPr>
        <w:t>20.04</w:t>
      </w:r>
      <w:r>
        <w:rPr>
          <w:rFonts w:ascii="仿宋_GB2312" w:hAnsi="仿宋" w:eastAsia="仿宋_GB2312"/>
          <w:sz w:val="32"/>
          <w:szCs w:val="32"/>
          <w:lang w:val="zh-CN"/>
        </w:rPr>
        <w:t>万元，1</w:t>
      </w:r>
      <w:r>
        <w:rPr>
          <w:rFonts w:hint="eastAsia" w:ascii="仿宋_GB2312" w:hAnsi="仿宋" w:eastAsia="仿宋_GB2312"/>
          <w:sz w:val="32"/>
          <w:szCs w:val="32"/>
          <w:lang w:val="zh-CN"/>
        </w:rPr>
        <w:t>—</w:t>
      </w:r>
      <w:r>
        <w:rPr>
          <w:rFonts w:ascii="仿宋_GB2312" w:hAnsi="仿宋" w:eastAsia="仿宋_GB2312"/>
          <w:sz w:val="32"/>
          <w:szCs w:val="32"/>
          <w:lang w:val="zh-CN"/>
        </w:rPr>
        <w:t>1</w:t>
      </w:r>
      <w:r>
        <w:rPr>
          <w:rFonts w:ascii="仿宋_GB2312" w:hAnsi="仿宋" w:eastAsia="仿宋_GB2312"/>
          <w:sz w:val="32"/>
          <w:szCs w:val="32"/>
        </w:rPr>
        <w:t>2</w:t>
      </w:r>
      <w:r>
        <w:rPr>
          <w:rFonts w:ascii="仿宋_GB2312" w:hAnsi="仿宋" w:eastAsia="仿宋_GB2312"/>
          <w:sz w:val="32"/>
          <w:szCs w:val="32"/>
          <w:lang w:val="zh-CN"/>
        </w:rPr>
        <w:t>月预算执行总体进度为</w:t>
      </w:r>
      <w:r>
        <w:rPr>
          <w:rFonts w:hint="eastAsia" w:ascii="仿宋_GB2312" w:hAnsi="仿宋" w:eastAsia="仿宋_GB2312"/>
          <w:sz w:val="32"/>
          <w:szCs w:val="32"/>
        </w:rPr>
        <w:t>100</w:t>
      </w:r>
      <w:r>
        <w:rPr>
          <w:rFonts w:ascii="仿宋_GB2312" w:hAnsi="仿宋" w:eastAsia="仿宋_GB2312"/>
          <w:sz w:val="32"/>
          <w:szCs w:val="32"/>
          <w:lang w:val="zh-CN"/>
        </w:rPr>
        <w:t>%。</w:t>
      </w:r>
    </w:p>
    <w:p>
      <w:pPr>
        <w:widowControl/>
        <w:adjustRightInd w:val="0"/>
        <w:snapToGrid w:val="0"/>
        <w:spacing w:line="56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  <w:lang w:val="zh-CN"/>
        </w:rPr>
      </w:pPr>
      <w:r>
        <w:rPr>
          <w:rFonts w:ascii="仿宋_GB2312" w:hAnsi="仿宋" w:eastAsia="仿宋_GB2312"/>
          <w:sz w:val="32"/>
          <w:szCs w:val="32"/>
        </w:rPr>
        <w:t>阶段</w:t>
      </w:r>
      <w:r>
        <w:rPr>
          <w:rFonts w:hint="eastAsia" w:ascii="仿宋_GB2312" w:hAnsi="仿宋" w:eastAsia="仿宋_GB2312"/>
          <w:sz w:val="32"/>
          <w:szCs w:val="32"/>
        </w:rPr>
        <w:t>（</w:t>
      </w:r>
      <w:r>
        <w:rPr>
          <w:rFonts w:ascii="仿宋_GB2312" w:hAnsi="仿宋" w:eastAsia="仿宋_GB2312"/>
          <w:sz w:val="32"/>
          <w:szCs w:val="32"/>
        </w:rPr>
        <w:t>一次性</w:t>
      </w:r>
      <w:r>
        <w:rPr>
          <w:rFonts w:hint="eastAsia" w:ascii="仿宋_GB2312" w:hAnsi="仿宋" w:eastAsia="仿宋_GB2312"/>
          <w:sz w:val="32"/>
          <w:szCs w:val="32"/>
        </w:rPr>
        <w:t>）</w:t>
      </w:r>
      <w:r>
        <w:rPr>
          <w:rFonts w:ascii="仿宋_GB2312" w:hAnsi="仿宋" w:eastAsia="仿宋_GB2312"/>
          <w:sz w:val="32"/>
          <w:szCs w:val="32"/>
        </w:rPr>
        <w:t>项目绩效分析。</w:t>
      </w:r>
      <w:r>
        <w:rPr>
          <w:rFonts w:ascii="仿宋_GB2312" w:hAnsi="仿宋" w:eastAsia="仿宋_GB2312"/>
          <w:sz w:val="32"/>
          <w:szCs w:val="32"/>
          <w:lang w:val="zh-CN"/>
        </w:rPr>
        <w:t>该类项目总数</w:t>
      </w:r>
      <w:r>
        <w:rPr>
          <w:rFonts w:ascii="仿宋_GB2312" w:hAnsi="仿宋" w:eastAsia="仿宋_GB2312"/>
          <w:sz w:val="32"/>
          <w:szCs w:val="32"/>
        </w:rPr>
        <w:t xml:space="preserve"> </w:t>
      </w:r>
      <w:r>
        <w:rPr>
          <w:rFonts w:hint="eastAsia" w:ascii="仿宋_GB2312" w:hAnsi="仿宋" w:eastAsia="仿宋_GB2312"/>
          <w:sz w:val="32"/>
          <w:szCs w:val="32"/>
        </w:rPr>
        <w:t>0</w:t>
      </w:r>
      <w:r>
        <w:rPr>
          <w:rFonts w:ascii="仿宋_GB2312" w:hAnsi="仿宋" w:eastAsia="仿宋_GB2312"/>
          <w:sz w:val="32"/>
          <w:szCs w:val="32"/>
        </w:rPr>
        <w:t xml:space="preserve"> </w:t>
      </w:r>
      <w:r>
        <w:rPr>
          <w:rFonts w:ascii="仿宋_GB2312" w:hAnsi="仿宋" w:eastAsia="仿宋_GB2312"/>
          <w:sz w:val="32"/>
          <w:szCs w:val="32"/>
          <w:lang w:val="zh-CN"/>
        </w:rPr>
        <w:t>个，涉及预算总金额</w:t>
      </w:r>
      <w:r>
        <w:rPr>
          <w:rFonts w:ascii="仿宋_GB2312" w:hAnsi="仿宋" w:eastAsia="仿宋_GB2312"/>
          <w:sz w:val="32"/>
          <w:szCs w:val="32"/>
        </w:rPr>
        <w:t xml:space="preserve"> </w:t>
      </w:r>
      <w:r>
        <w:rPr>
          <w:rFonts w:hint="eastAsia" w:ascii="仿宋_GB2312" w:hAnsi="仿宋" w:eastAsia="仿宋_GB2312"/>
          <w:sz w:val="32"/>
          <w:szCs w:val="32"/>
        </w:rPr>
        <w:t>0</w:t>
      </w:r>
      <w:r>
        <w:rPr>
          <w:rFonts w:ascii="仿宋_GB2312" w:hAnsi="仿宋" w:eastAsia="仿宋_GB2312"/>
          <w:sz w:val="32"/>
          <w:szCs w:val="32"/>
        </w:rPr>
        <w:t xml:space="preserve"> </w:t>
      </w:r>
      <w:r>
        <w:rPr>
          <w:rFonts w:ascii="仿宋_GB2312" w:hAnsi="仿宋" w:eastAsia="仿宋_GB2312"/>
          <w:sz w:val="32"/>
          <w:szCs w:val="32"/>
          <w:lang w:val="zh-CN"/>
        </w:rPr>
        <w:t>万元，1</w:t>
      </w:r>
      <w:r>
        <w:rPr>
          <w:rFonts w:hint="eastAsia" w:ascii="仿宋_GB2312" w:hAnsi="仿宋" w:eastAsia="仿宋_GB2312"/>
          <w:sz w:val="32"/>
          <w:szCs w:val="32"/>
          <w:lang w:val="zh-CN"/>
        </w:rPr>
        <w:t>—</w:t>
      </w:r>
      <w:r>
        <w:rPr>
          <w:rFonts w:ascii="仿宋_GB2312" w:hAnsi="仿宋" w:eastAsia="仿宋_GB2312"/>
          <w:sz w:val="32"/>
          <w:szCs w:val="32"/>
          <w:lang w:val="zh-CN"/>
        </w:rPr>
        <w:t>1</w:t>
      </w:r>
      <w:r>
        <w:rPr>
          <w:rFonts w:ascii="仿宋_GB2312" w:hAnsi="仿宋" w:eastAsia="仿宋_GB2312"/>
          <w:sz w:val="32"/>
          <w:szCs w:val="32"/>
        </w:rPr>
        <w:t>2</w:t>
      </w:r>
      <w:r>
        <w:rPr>
          <w:rFonts w:ascii="仿宋_GB2312" w:hAnsi="仿宋" w:eastAsia="仿宋_GB2312"/>
          <w:sz w:val="32"/>
          <w:szCs w:val="32"/>
          <w:lang w:val="zh-CN"/>
        </w:rPr>
        <w:t>月预算执行总体进度为</w:t>
      </w:r>
      <w:r>
        <w:rPr>
          <w:rFonts w:ascii="仿宋_GB2312" w:hAnsi="仿宋" w:eastAsia="仿宋_GB2312"/>
          <w:sz w:val="32"/>
          <w:szCs w:val="32"/>
        </w:rPr>
        <w:t xml:space="preserve"> </w:t>
      </w:r>
      <w:r>
        <w:rPr>
          <w:rFonts w:hint="eastAsia" w:ascii="仿宋_GB2312" w:hAnsi="仿宋" w:eastAsia="仿宋_GB2312"/>
          <w:sz w:val="32"/>
          <w:szCs w:val="32"/>
        </w:rPr>
        <w:t>0</w:t>
      </w:r>
      <w:r>
        <w:rPr>
          <w:rFonts w:ascii="仿宋_GB2312" w:hAnsi="仿宋" w:eastAsia="仿宋_GB2312"/>
          <w:sz w:val="32"/>
          <w:szCs w:val="32"/>
          <w:lang w:val="zh-CN"/>
        </w:rPr>
        <w:t>%，其中：预算结余率大于</w:t>
      </w:r>
      <w:r>
        <w:rPr>
          <w:rFonts w:ascii="仿宋_GB2312" w:hAnsi="仿宋" w:eastAsia="仿宋_GB2312"/>
          <w:sz w:val="32"/>
          <w:szCs w:val="32"/>
        </w:rPr>
        <w:t>10%</w:t>
      </w:r>
      <w:r>
        <w:rPr>
          <w:rFonts w:ascii="仿宋_GB2312" w:hAnsi="仿宋" w:eastAsia="仿宋_GB2312"/>
          <w:sz w:val="32"/>
          <w:szCs w:val="32"/>
          <w:lang w:val="zh-CN"/>
        </w:rPr>
        <w:t>的项目共计</w:t>
      </w:r>
      <w:r>
        <w:rPr>
          <w:rFonts w:ascii="仿宋_GB2312" w:hAnsi="仿宋" w:eastAsia="仿宋_GB2312"/>
          <w:sz w:val="32"/>
          <w:szCs w:val="32"/>
        </w:rPr>
        <w:t xml:space="preserve"> </w:t>
      </w:r>
      <w:r>
        <w:rPr>
          <w:rFonts w:hint="eastAsia" w:ascii="仿宋_GB2312" w:hAnsi="仿宋" w:eastAsia="仿宋_GB2312"/>
          <w:sz w:val="32"/>
          <w:szCs w:val="32"/>
        </w:rPr>
        <w:t>0</w:t>
      </w:r>
      <w:r>
        <w:rPr>
          <w:rFonts w:ascii="仿宋_GB2312" w:hAnsi="仿宋" w:eastAsia="仿宋_GB2312"/>
          <w:sz w:val="32"/>
          <w:szCs w:val="32"/>
          <w:lang w:val="zh-CN"/>
        </w:rPr>
        <w:t>个。</w:t>
      </w:r>
    </w:p>
    <w:p>
      <w:pPr>
        <w:widowControl/>
        <w:adjustRightInd w:val="0"/>
        <w:snapToGrid w:val="0"/>
        <w:spacing w:line="560" w:lineRule="exact"/>
        <w:ind w:firstLine="643" w:firstLineChars="200"/>
        <w:contextualSpacing/>
        <w:jc w:val="left"/>
        <w:rPr>
          <w:rFonts w:hint="eastAsia" w:ascii="仿宋_GB2312" w:hAnsi="仿宋" w:eastAsia="仿宋_GB2312"/>
          <w:sz w:val="32"/>
          <w:szCs w:val="32"/>
          <w:lang w:val="zh-CN"/>
        </w:rPr>
      </w:pPr>
      <w:r>
        <w:rPr>
          <w:rFonts w:hint="eastAsia" w:ascii="仿宋_GB2312" w:hAnsi="仿宋" w:eastAsia="仿宋_GB2312"/>
          <w:b/>
          <w:bCs/>
          <w:sz w:val="32"/>
          <w:szCs w:val="32"/>
        </w:rPr>
        <w:t>1.</w:t>
      </w:r>
      <w:r>
        <w:rPr>
          <w:rFonts w:hint="eastAsia" w:ascii="仿宋_GB2312" w:hAnsi="仿宋" w:eastAsia="仿宋_GB2312"/>
          <w:b/>
          <w:bCs/>
          <w:sz w:val="32"/>
          <w:szCs w:val="32"/>
          <w:lang w:val="zh-CN"/>
        </w:rPr>
        <w:t>项目决策。</w:t>
      </w:r>
      <w:r>
        <w:rPr>
          <w:rFonts w:hint="eastAsia" w:ascii="仿宋_GB2312" w:hAnsi="仿宋" w:eastAsia="仿宋_GB2312"/>
          <w:sz w:val="32"/>
          <w:szCs w:val="32"/>
          <w:lang w:val="zh-CN"/>
        </w:rPr>
        <w:t>围绕决策程序、目标设置、项目入库</w:t>
      </w:r>
      <w:r>
        <w:rPr>
          <w:rFonts w:ascii="仿宋_GB2312" w:hAnsi="仿宋" w:eastAsia="仿宋_GB2312"/>
          <w:sz w:val="32"/>
          <w:szCs w:val="32"/>
          <w:lang w:val="zh-CN"/>
        </w:rPr>
        <w:t>进行绩效分析</w:t>
      </w:r>
      <w:r>
        <w:rPr>
          <w:rFonts w:hint="eastAsia" w:ascii="仿宋_GB2312" w:hAnsi="仿宋" w:eastAsia="仿宋_GB2312"/>
          <w:sz w:val="32"/>
          <w:szCs w:val="32"/>
          <w:lang w:val="zh-CN"/>
        </w:rPr>
        <w:t>。</w:t>
      </w:r>
    </w:p>
    <w:p>
      <w:pPr>
        <w:widowControl/>
        <w:adjustRightInd w:val="0"/>
        <w:snapToGrid w:val="0"/>
        <w:spacing w:line="560" w:lineRule="exact"/>
        <w:ind w:firstLine="643" w:firstLineChars="200"/>
        <w:contextualSpacing/>
        <w:jc w:val="left"/>
        <w:rPr>
          <w:rFonts w:hint="eastAsia" w:ascii="仿宋_GB2312" w:hAnsi="仿宋" w:eastAsia="仿宋_GB2312"/>
          <w:sz w:val="32"/>
          <w:szCs w:val="32"/>
          <w:lang w:val="zh-CN"/>
        </w:rPr>
      </w:pPr>
      <w:r>
        <w:rPr>
          <w:rFonts w:hint="eastAsia" w:ascii="仿宋_GB2312" w:hAnsi="仿宋" w:eastAsia="仿宋_GB2312"/>
          <w:b/>
          <w:bCs/>
          <w:sz w:val="32"/>
          <w:szCs w:val="32"/>
        </w:rPr>
        <w:t>2.项目执行</w:t>
      </w:r>
      <w:r>
        <w:rPr>
          <w:rFonts w:hint="eastAsia" w:ascii="仿宋_GB2312" w:hAnsi="仿宋" w:eastAsia="仿宋_GB2312"/>
          <w:b/>
          <w:bCs/>
          <w:sz w:val="32"/>
          <w:szCs w:val="32"/>
          <w:lang w:val="zh-CN"/>
        </w:rPr>
        <w:t>。</w:t>
      </w:r>
      <w:r>
        <w:rPr>
          <w:rFonts w:hint="eastAsia" w:ascii="仿宋_GB2312" w:hAnsi="仿宋" w:eastAsia="仿宋_GB2312"/>
          <w:sz w:val="32"/>
          <w:szCs w:val="32"/>
          <w:lang w:val="zh-CN"/>
        </w:rPr>
        <w:t>围绕资金执行同向、项目调整、执行结果</w:t>
      </w:r>
      <w:r>
        <w:rPr>
          <w:rFonts w:ascii="仿宋_GB2312" w:hAnsi="仿宋" w:eastAsia="仿宋_GB2312"/>
          <w:sz w:val="32"/>
          <w:szCs w:val="32"/>
          <w:lang w:val="zh-CN"/>
        </w:rPr>
        <w:t>进行绩效分析</w:t>
      </w:r>
      <w:r>
        <w:rPr>
          <w:rFonts w:hint="eastAsia" w:ascii="仿宋_GB2312" w:hAnsi="仿宋" w:eastAsia="仿宋_GB2312"/>
          <w:sz w:val="32"/>
          <w:szCs w:val="32"/>
          <w:lang w:val="zh-CN"/>
        </w:rPr>
        <w:t>。</w:t>
      </w:r>
    </w:p>
    <w:p>
      <w:pPr>
        <w:widowControl/>
        <w:adjustRightInd w:val="0"/>
        <w:snapToGrid w:val="0"/>
        <w:spacing w:line="560" w:lineRule="exact"/>
        <w:ind w:firstLine="643" w:firstLineChars="200"/>
        <w:contextualSpacing/>
        <w:jc w:val="left"/>
        <w:rPr>
          <w:rFonts w:hint="eastAsia" w:ascii="仿宋_GB2312" w:hAnsi="仿宋" w:eastAsia="仿宋_GB2312"/>
          <w:sz w:val="32"/>
          <w:szCs w:val="32"/>
          <w:lang w:val="zh-CN"/>
        </w:rPr>
      </w:pPr>
      <w:r>
        <w:rPr>
          <w:rFonts w:hint="eastAsia" w:ascii="仿宋_GB2312" w:hAnsi="仿宋" w:eastAsia="仿宋_GB2312"/>
          <w:b/>
          <w:bCs/>
          <w:sz w:val="32"/>
          <w:szCs w:val="32"/>
        </w:rPr>
        <w:t>3.</w:t>
      </w:r>
      <w:r>
        <w:rPr>
          <w:rFonts w:hint="eastAsia" w:ascii="仿宋_GB2312" w:hAnsi="仿宋" w:eastAsia="仿宋_GB2312"/>
          <w:b/>
          <w:bCs/>
          <w:sz w:val="32"/>
          <w:szCs w:val="32"/>
          <w:lang w:val="zh-CN"/>
        </w:rPr>
        <w:t>目标实现。</w:t>
      </w:r>
      <w:r>
        <w:rPr>
          <w:rFonts w:hint="eastAsia" w:ascii="仿宋_GB2312" w:hAnsi="仿宋" w:eastAsia="仿宋_GB2312"/>
          <w:sz w:val="32"/>
          <w:szCs w:val="32"/>
          <w:lang w:val="zh-CN"/>
        </w:rPr>
        <w:t>围绕目标完成、目标偏离、实现效果</w:t>
      </w:r>
      <w:r>
        <w:rPr>
          <w:rFonts w:ascii="仿宋_GB2312" w:hAnsi="仿宋" w:eastAsia="仿宋_GB2312"/>
          <w:sz w:val="32"/>
          <w:szCs w:val="32"/>
          <w:lang w:val="zh-CN"/>
        </w:rPr>
        <w:t>进行绩效分析</w:t>
      </w:r>
      <w:r>
        <w:rPr>
          <w:rFonts w:hint="eastAsia" w:ascii="仿宋_GB2312" w:hAnsi="仿宋" w:eastAsia="仿宋_GB2312"/>
          <w:sz w:val="32"/>
          <w:szCs w:val="32"/>
          <w:lang w:val="zh-CN"/>
        </w:rPr>
        <w:t>。</w:t>
      </w:r>
    </w:p>
    <w:p>
      <w:pPr>
        <w:widowControl/>
        <w:adjustRightInd w:val="0"/>
        <w:snapToGrid w:val="0"/>
        <w:spacing w:line="56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ascii="仿宋_GB2312" w:hAnsi="仿宋" w:eastAsia="仿宋_GB2312"/>
          <w:sz w:val="32"/>
          <w:szCs w:val="32"/>
          <w:lang w:val="zh-CN"/>
        </w:rPr>
        <w:t>（</w:t>
      </w:r>
      <w:r>
        <w:rPr>
          <w:rFonts w:hint="eastAsia" w:ascii="仿宋_GB2312" w:hAnsi="仿宋" w:eastAsia="仿宋_GB2312"/>
          <w:b/>
          <w:bCs/>
          <w:sz w:val="32"/>
          <w:szCs w:val="32"/>
          <w:lang w:val="zh-CN"/>
        </w:rPr>
        <w:t>三</w:t>
      </w:r>
      <w:r>
        <w:rPr>
          <w:rFonts w:ascii="仿宋_GB2312" w:hAnsi="仿宋" w:eastAsia="仿宋_GB2312"/>
          <w:b/>
          <w:bCs/>
          <w:sz w:val="32"/>
          <w:szCs w:val="32"/>
          <w:lang w:val="zh-CN"/>
        </w:rPr>
        <w:t>）重点领域绩效分析</w:t>
      </w:r>
      <w:r>
        <w:rPr>
          <w:rFonts w:ascii="仿宋_GB2312" w:hAnsi="仿宋" w:eastAsia="仿宋_GB2312"/>
          <w:sz w:val="32"/>
          <w:szCs w:val="32"/>
          <w:lang w:val="zh-CN"/>
        </w:rPr>
        <w:t>。</w:t>
      </w:r>
      <w:r>
        <w:rPr>
          <w:rFonts w:hint="eastAsia" w:ascii="仿宋_GB2312" w:hAnsi="仿宋" w:eastAsia="仿宋_GB2312"/>
          <w:sz w:val="32"/>
          <w:szCs w:val="32"/>
        </w:rPr>
        <w:t>无</w:t>
      </w:r>
    </w:p>
    <w:p>
      <w:pPr>
        <w:widowControl/>
        <w:adjustRightInd w:val="0"/>
        <w:snapToGrid w:val="0"/>
        <w:spacing w:line="560" w:lineRule="exact"/>
        <w:ind w:firstLine="643" w:firstLineChars="200"/>
        <w:contextualSpacing/>
        <w:jc w:val="left"/>
        <w:rPr>
          <w:rFonts w:hint="eastAsia" w:ascii="仿宋_GB2312" w:hAnsi="仿宋" w:eastAsia="仿宋_GB2312" w:cs="Times New Roman"/>
          <w:sz w:val="32"/>
          <w:szCs w:val="32"/>
        </w:rPr>
      </w:pPr>
      <w:r>
        <w:rPr>
          <w:rFonts w:ascii="仿宋_GB2312" w:hAnsi="仿宋" w:eastAsia="仿宋_GB2312"/>
          <w:b/>
          <w:bCs/>
          <w:sz w:val="32"/>
          <w:szCs w:val="32"/>
          <w:lang w:val="zh-CN"/>
        </w:rPr>
        <w:t>（四）绩效结果应用情况</w:t>
      </w:r>
      <w:r>
        <w:rPr>
          <w:rFonts w:hint="eastAsia" w:ascii="仿宋_GB2312" w:hAnsi="仿宋" w:eastAsia="仿宋_GB2312"/>
          <w:sz w:val="32"/>
          <w:szCs w:val="32"/>
          <w:lang w:val="zh-CN"/>
        </w:rPr>
        <w:t>。</w:t>
      </w:r>
      <w:r>
        <w:rPr>
          <w:rFonts w:hint="eastAsia" w:ascii="仿宋_GB2312" w:hAnsi="仿宋" w:eastAsia="仿宋_GB2312"/>
          <w:sz w:val="32"/>
          <w:szCs w:val="32"/>
        </w:rPr>
        <w:t>一是建立评价结果反馈与整改相结合的制度；二是建立评价结果与通报相结合的制度；</w:t>
      </w:r>
      <w:r>
        <w:rPr>
          <w:rFonts w:hint="eastAsia" w:ascii="仿宋_GB2312" w:hAnsi="仿宋" w:eastAsia="仿宋_GB2312" w:cs="Times New Roman"/>
          <w:sz w:val="32"/>
          <w:szCs w:val="32"/>
        </w:rPr>
        <w:t>三是建立评价结果与预算安排相结合的制度；四是建立评价结果公开制度。</w:t>
      </w:r>
    </w:p>
    <w:p>
      <w:pPr>
        <w:widowControl/>
        <w:adjustRightInd w:val="0"/>
        <w:snapToGrid w:val="0"/>
        <w:spacing w:line="560" w:lineRule="exact"/>
        <w:ind w:firstLine="640" w:firstLineChars="200"/>
        <w:contextualSpacing/>
        <w:jc w:val="left"/>
        <w:rPr>
          <w:rFonts w:hint="eastAsia" w:ascii="仿宋_GB2312" w:hAnsi="仿宋" w:eastAsia="仿宋_GB2312" w:cs="Times New Roman"/>
          <w:sz w:val="32"/>
          <w:szCs w:val="32"/>
        </w:rPr>
      </w:pPr>
      <w:r>
        <w:rPr>
          <w:rFonts w:hint="eastAsia" w:ascii="仿宋_GB2312" w:hAnsi="仿宋" w:eastAsia="仿宋_GB2312" w:cs="Times New Roman"/>
          <w:sz w:val="32"/>
          <w:szCs w:val="32"/>
        </w:rPr>
        <w:t>遂宁市安居区</w:t>
      </w:r>
      <w:r>
        <w:rPr>
          <w:rFonts w:hint="eastAsia" w:ascii="仿宋_GB2312" w:hAnsi="仿宋" w:eastAsia="仿宋_GB2312" w:cs="Times New Roman"/>
          <w:sz w:val="32"/>
          <w:szCs w:val="32"/>
          <w:lang w:val="en-US" w:eastAsia="zh-CN"/>
        </w:rPr>
        <w:t>常理镇中心小学校</w:t>
      </w:r>
      <w:r>
        <w:rPr>
          <w:rFonts w:hint="eastAsia" w:ascii="仿宋_GB2312" w:hAnsi="仿宋" w:eastAsia="仿宋_GB2312" w:cs="Times New Roman"/>
          <w:sz w:val="32"/>
          <w:szCs w:val="32"/>
        </w:rPr>
        <w:t>认真履职尽责，认真完成项目任务，所有项目均开展绩效评价，评价效果良好，对于财政预算资金多次接受省、市、区的检查，所有资金的</w:t>
      </w:r>
      <w:r>
        <w:rPr>
          <w:rFonts w:hint="eastAsia" w:ascii="仿宋_GB2312" w:hAnsi="仿宋" w:eastAsia="仿宋_GB2312" w:cs="Times New Roman"/>
          <w:sz w:val="32"/>
          <w:szCs w:val="32"/>
          <w:lang w:eastAsia="zh-CN"/>
        </w:rPr>
        <w:t>支出</w:t>
      </w:r>
      <w:r>
        <w:rPr>
          <w:rFonts w:hint="eastAsia" w:ascii="仿宋_GB2312" w:hAnsi="仿宋" w:eastAsia="仿宋_GB2312" w:cs="Times New Roman"/>
          <w:sz w:val="32"/>
          <w:szCs w:val="32"/>
        </w:rPr>
        <w:t>，接受财政部门的监督管理，圆满完成2024年的目标任务。</w:t>
      </w:r>
    </w:p>
    <w:p>
      <w:pPr>
        <w:widowControl/>
        <w:adjustRightInd w:val="0"/>
        <w:snapToGrid w:val="0"/>
        <w:spacing w:line="560" w:lineRule="exact"/>
        <w:contextualSpacing/>
        <w:jc w:val="left"/>
        <w:outlineLvl w:val="0"/>
        <w:rPr>
          <w:rFonts w:ascii="仿宋" w:hAnsi="仿宋" w:eastAsia="仿宋"/>
          <w:b/>
          <w:bCs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四、评价结论及建议</w:t>
      </w:r>
    </w:p>
    <w:p>
      <w:pPr>
        <w:widowControl/>
        <w:adjustRightInd w:val="0"/>
        <w:snapToGrid w:val="0"/>
        <w:spacing w:line="560" w:lineRule="exact"/>
        <w:ind w:firstLine="643" w:firstLineChars="200"/>
        <w:contextualSpacing/>
        <w:jc w:val="left"/>
        <w:rPr>
          <w:rFonts w:hint="eastAsia" w:ascii="仿宋_GB2312" w:hAnsi="仿宋" w:eastAsia="仿宋_GB2312" w:cs="Times New Roman"/>
          <w:sz w:val="32"/>
          <w:szCs w:val="32"/>
        </w:rPr>
      </w:pPr>
      <w:r>
        <w:rPr>
          <w:rFonts w:hint="eastAsia" w:ascii="仿宋_GB2312" w:hAnsi="仿宋" w:eastAsia="仿宋_GB2312" w:cs="Times New Roman"/>
          <w:b/>
          <w:bCs/>
          <w:sz w:val="32"/>
          <w:szCs w:val="32"/>
        </w:rPr>
        <w:t>（一）评价结论。</w:t>
      </w:r>
    </w:p>
    <w:p>
      <w:pPr>
        <w:widowControl/>
        <w:adjustRightInd w:val="0"/>
        <w:snapToGrid w:val="0"/>
        <w:spacing w:line="560" w:lineRule="exact"/>
        <w:ind w:firstLine="640" w:firstLineChars="200"/>
        <w:contextualSpacing/>
        <w:jc w:val="left"/>
        <w:rPr>
          <w:rFonts w:hint="eastAsia" w:ascii="仿宋_GB2312" w:hAnsi="仿宋" w:eastAsia="仿宋_GB2312" w:cs="Times New Roman"/>
          <w:sz w:val="32"/>
          <w:szCs w:val="32"/>
        </w:rPr>
      </w:pPr>
      <w:r>
        <w:rPr>
          <w:rFonts w:hint="eastAsia" w:ascii="仿宋_GB2312" w:hAnsi="仿宋" w:eastAsia="仿宋_GB2312" w:cs="Times New Roman"/>
          <w:sz w:val="32"/>
          <w:szCs w:val="32"/>
        </w:rPr>
        <w:t>学校基本建设，立项依据充分，绩效目标合理且清晰明确；项目管理机制健全、措施保障有力，全面、按时完成各项绩效指标，有效促进部门履职绩效目标的实现；相关政策落实到位；资金使用合规，会计核算规范，财务控制有效；有效推进了部门绩效目标的实施。部门整体</w:t>
      </w:r>
      <w:r>
        <w:rPr>
          <w:rFonts w:hint="eastAsia" w:ascii="仿宋_GB2312" w:hAnsi="仿宋" w:eastAsia="仿宋_GB2312" w:cs="Times New Roman"/>
          <w:sz w:val="32"/>
          <w:szCs w:val="32"/>
          <w:lang w:eastAsia="zh-CN"/>
        </w:rPr>
        <w:t>支出</w:t>
      </w:r>
      <w:r>
        <w:rPr>
          <w:rFonts w:hint="eastAsia" w:ascii="仿宋_GB2312" w:hAnsi="仿宋" w:eastAsia="仿宋_GB2312" w:cs="Times New Roman"/>
          <w:sz w:val="32"/>
          <w:szCs w:val="32"/>
        </w:rPr>
        <w:t>绩效自评得分100分 。</w:t>
      </w:r>
    </w:p>
    <w:p>
      <w:pPr>
        <w:widowControl/>
        <w:adjustRightInd w:val="0"/>
        <w:snapToGrid w:val="0"/>
        <w:spacing w:line="560" w:lineRule="exact"/>
        <w:ind w:firstLine="643" w:firstLineChars="200"/>
        <w:contextualSpacing/>
        <w:jc w:val="left"/>
        <w:rPr>
          <w:rFonts w:hint="eastAsia" w:ascii="仿宋_GB2312" w:hAnsi="仿宋" w:eastAsia="仿宋_GB2312" w:cs="Times New Roman"/>
          <w:sz w:val="32"/>
          <w:szCs w:val="32"/>
        </w:rPr>
      </w:pPr>
      <w:r>
        <w:rPr>
          <w:rFonts w:hint="eastAsia" w:ascii="仿宋_GB2312" w:hAnsi="仿宋" w:eastAsia="仿宋_GB2312" w:cs="Times New Roman"/>
          <w:b/>
          <w:bCs/>
          <w:sz w:val="32"/>
          <w:szCs w:val="32"/>
          <w:lang w:eastAsia="zh-CN"/>
        </w:rPr>
        <w:t>（</w:t>
      </w:r>
      <w:r>
        <w:rPr>
          <w:rFonts w:hint="eastAsia" w:ascii="仿宋_GB2312" w:hAnsi="仿宋" w:eastAsia="仿宋_GB2312" w:cs="Times New Roman"/>
          <w:b/>
          <w:bCs/>
          <w:sz w:val="32"/>
          <w:szCs w:val="32"/>
          <w:lang w:val="en-US" w:eastAsia="zh-CN"/>
        </w:rPr>
        <w:t>二）</w:t>
      </w:r>
      <w:r>
        <w:rPr>
          <w:rFonts w:hint="eastAsia" w:ascii="仿宋_GB2312" w:hAnsi="仿宋" w:eastAsia="仿宋_GB2312" w:cs="Times New Roman"/>
          <w:b/>
          <w:bCs/>
          <w:sz w:val="32"/>
          <w:szCs w:val="32"/>
        </w:rPr>
        <w:t>存在问题</w:t>
      </w:r>
      <w:r>
        <w:rPr>
          <w:rFonts w:hint="eastAsia" w:ascii="仿宋_GB2312" w:hAnsi="仿宋" w:eastAsia="仿宋_GB2312" w:cs="Times New Roman"/>
          <w:sz w:val="32"/>
          <w:szCs w:val="32"/>
        </w:rPr>
        <w:t>。</w:t>
      </w:r>
    </w:p>
    <w:p>
      <w:pPr>
        <w:widowControl/>
        <w:adjustRightInd w:val="0"/>
        <w:snapToGrid w:val="0"/>
        <w:spacing w:line="560" w:lineRule="exact"/>
        <w:ind w:firstLine="640" w:firstLineChars="200"/>
        <w:contextualSpacing/>
        <w:jc w:val="left"/>
        <w:rPr>
          <w:rFonts w:hint="eastAsia" w:ascii="仿宋_GB2312" w:hAnsi="仿宋" w:eastAsia="仿宋_GB2312" w:cs="Times New Roman"/>
          <w:sz w:val="32"/>
          <w:szCs w:val="32"/>
        </w:rPr>
      </w:pPr>
      <w:r>
        <w:rPr>
          <w:rFonts w:hint="eastAsia" w:ascii="仿宋_GB2312" w:hAnsi="仿宋" w:eastAsia="仿宋_GB2312" w:cs="Times New Roman"/>
          <w:sz w:val="32"/>
          <w:szCs w:val="32"/>
        </w:rPr>
        <w:t>人口下降，出生率降低，同时学校收入在减少。</w:t>
      </w:r>
    </w:p>
    <w:p>
      <w:pPr>
        <w:widowControl/>
        <w:adjustRightInd w:val="0"/>
        <w:snapToGrid w:val="0"/>
        <w:spacing w:line="560" w:lineRule="exact"/>
        <w:ind w:firstLine="643" w:firstLineChars="200"/>
        <w:contextualSpacing/>
        <w:jc w:val="left"/>
        <w:rPr>
          <w:rFonts w:hint="eastAsia" w:ascii="仿宋_GB2312" w:hAnsi="仿宋" w:eastAsia="仿宋_GB2312" w:cs="Times New Roman"/>
          <w:sz w:val="32"/>
          <w:szCs w:val="32"/>
        </w:rPr>
      </w:pPr>
      <w:r>
        <w:rPr>
          <w:rFonts w:hint="eastAsia" w:ascii="仿宋_GB2312" w:hAnsi="仿宋" w:eastAsia="仿宋_GB2312" w:cs="Times New Roman"/>
          <w:b/>
          <w:bCs/>
          <w:sz w:val="32"/>
          <w:szCs w:val="32"/>
        </w:rPr>
        <w:t>（</w:t>
      </w:r>
      <w:r>
        <w:rPr>
          <w:rFonts w:hint="eastAsia" w:ascii="仿宋_GB2312" w:hAnsi="仿宋" w:eastAsia="仿宋_GB2312" w:cs="Times New Roman"/>
          <w:b/>
          <w:bCs/>
          <w:sz w:val="32"/>
          <w:szCs w:val="32"/>
          <w:lang w:val="en-US" w:eastAsia="zh-CN"/>
        </w:rPr>
        <w:t>三</w:t>
      </w:r>
      <w:r>
        <w:rPr>
          <w:rFonts w:hint="eastAsia" w:ascii="仿宋_GB2312" w:hAnsi="仿宋" w:eastAsia="仿宋_GB2312" w:cs="Times New Roman"/>
          <w:b/>
          <w:bCs/>
          <w:sz w:val="32"/>
          <w:szCs w:val="32"/>
        </w:rPr>
        <w:t>）改进建议。</w:t>
      </w:r>
    </w:p>
    <w:p>
      <w:pPr>
        <w:widowControl/>
        <w:adjustRightInd w:val="0"/>
        <w:snapToGrid w:val="0"/>
        <w:spacing w:line="560" w:lineRule="exact"/>
        <w:ind w:firstLine="640" w:firstLineChars="200"/>
        <w:contextualSpacing/>
        <w:jc w:val="left"/>
        <w:rPr>
          <w:rFonts w:hint="eastAsia" w:ascii="仿宋_GB2312" w:hAnsi="仿宋" w:eastAsia="仿宋_GB2312" w:cs="Times New Roman"/>
          <w:sz w:val="32"/>
          <w:szCs w:val="32"/>
        </w:rPr>
      </w:pPr>
      <w:r>
        <w:rPr>
          <w:rFonts w:hint="eastAsia" w:ascii="仿宋_GB2312" w:hAnsi="仿宋" w:eastAsia="仿宋_GB2312" w:cs="Times New Roman"/>
          <w:sz w:val="32"/>
          <w:szCs w:val="32"/>
        </w:rPr>
        <w:t>向主管部门汇报情况，争取上级或本级资金，加快校园建设，完善教学基础设施，更新教学理念。提高学生的竞争能力，保住生源。</w:t>
      </w:r>
    </w:p>
    <w:p/>
    <w:p>
      <w:pPr>
        <w:pStyle w:val="3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kern w:val="2"/>
          <w:sz w:val="32"/>
          <w:szCs w:val="32"/>
          <w:u w:val="none"/>
          <w:lang w:val="zh-CN" w:eastAsia="zh-CN" w:bidi="ar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u w:val="none"/>
          <w:lang w:val="zh-CN" w:eastAsia="zh-CN" w:bidi="ar"/>
        </w:rPr>
        <w:t>附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u w:val="none"/>
          <w:lang w:val="en-US" w:eastAsia="zh-CN" w:bidi="ar"/>
        </w:rPr>
        <w:t>件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u w:val="none"/>
          <w:lang w:val="zh-CN" w:eastAsia="zh-CN" w:bidi="ar"/>
        </w:rPr>
        <w:t>：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u w:val="none"/>
          <w:lang w:val="en-US" w:eastAsia="zh-CN" w:bidi="ar"/>
        </w:rPr>
        <w:t>1.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u w:val="none"/>
          <w:lang w:val="en-US" w:eastAsia="zh-CN" w:bidi="ar"/>
        </w:rPr>
        <w:t>部门整体</w:t>
      </w:r>
      <w:r>
        <w:rPr>
          <w:rFonts w:hint="eastAsia" w:ascii="Times New Roman" w:eastAsia="仿宋_GB2312" w:cs="Times New Roman"/>
          <w:kern w:val="2"/>
          <w:sz w:val="32"/>
          <w:szCs w:val="32"/>
          <w:u w:val="none"/>
          <w:lang w:val="en-US" w:eastAsia="zh-CN" w:bidi="ar"/>
        </w:rPr>
        <w:t>支出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u w:val="none"/>
          <w:lang w:val="en-US" w:eastAsia="zh-CN" w:bidi="ar"/>
        </w:rPr>
        <w:t>绩效自评表</w:t>
      </w:r>
    </w:p>
    <w:p>
      <w:pPr>
        <w:pStyle w:val="3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60" w:lineRule="exact"/>
        <w:ind w:firstLine="1600" w:firstLineChars="500"/>
        <w:textAlignment w:val="auto"/>
        <w:rPr>
          <w:rFonts w:hint="eastAsia" w:ascii="Times New Roman" w:hAnsi="Times New Roman" w:eastAsia="仿宋_GB2312" w:cs="Times New Roman"/>
          <w:kern w:val="2"/>
          <w:sz w:val="32"/>
          <w:szCs w:val="32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u w:val="none"/>
          <w:lang w:val="en-US" w:eastAsia="zh-CN" w:bidi="ar"/>
        </w:rPr>
        <w:t>2.部门预算项目</w:t>
      </w:r>
      <w:r>
        <w:rPr>
          <w:rFonts w:hint="eastAsia" w:ascii="Times New Roman" w:eastAsia="仿宋_GB2312" w:cs="Times New Roman"/>
          <w:kern w:val="2"/>
          <w:sz w:val="32"/>
          <w:szCs w:val="32"/>
          <w:u w:val="none"/>
          <w:lang w:val="en-US" w:eastAsia="zh-CN" w:bidi="ar"/>
        </w:rPr>
        <w:t>支出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u w:val="none"/>
          <w:lang w:val="en-US" w:eastAsia="zh-CN" w:bidi="ar"/>
        </w:rPr>
        <w:t>绩效自评表（2024年度）</w:t>
      </w:r>
    </w:p>
    <w:p>
      <w:pPr>
        <w:pStyle w:val="3"/>
        <w:spacing w:line="560" w:lineRule="exact"/>
        <w:ind w:left="0" w:leftChars="0" w:firstLine="640"/>
        <w:rPr>
          <w:rFonts w:hint="eastAsia" w:ascii="Times New Roman" w:eastAsia="仿宋_GB2312"/>
          <w:sz w:val="32"/>
          <w:lang w:val="zh-CN" w:bidi="ar"/>
        </w:rPr>
      </w:pPr>
    </w:p>
    <w:p>
      <w:pPr>
        <w:pStyle w:val="3"/>
        <w:spacing w:line="560" w:lineRule="exact"/>
        <w:ind w:left="0" w:leftChars="0" w:firstLine="0" w:firstLineChars="0"/>
        <w:rPr>
          <w:rFonts w:ascii="Times New Roman"/>
          <w:sz w:val="32"/>
          <w:highlight w:val="yellow"/>
          <w:lang w:val="zh-CN"/>
        </w:rPr>
      </w:pPr>
    </w:p>
    <w:p>
      <w:pPr>
        <w:pStyle w:val="3"/>
        <w:spacing w:line="560" w:lineRule="exact"/>
        <w:ind w:left="0" w:leftChars="0" w:firstLine="0" w:firstLineChars="0"/>
        <w:rPr>
          <w:rFonts w:ascii="Times New Roman"/>
          <w:sz w:val="32"/>
          <w:highlight w:val="yellow"/>
          <w:lang w:val="zh-CN"/>
        </w:rPr>
      </w:pPr>
    </w:p>
    <w:tbl>
      <w:tblPr>
        <w:tblStyle w:val="17"/>
        <w:tblW w:w="5000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9"/>
        <w:gridCol w:w="708"/>
        <w:gridCol w:w="1124"/>
        <w:gridCol w:w="456"/>
        <w:gridCol w:w="1345"/>
        <w:gridCol w:w="3058"/>
        <w:gridCol w:w="585"/>
        <w:gridCol w:w="54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5000" w:type="pct"/>
            <w:gridSpan w:val="8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rPr>
                <w:rFonts w:hint="eastAsia" w:eastAsia="黑体" w:cs="黑体"/>
                <w:kern w:val="0"/>
                <w:sz w:val="32"/>
                <w:szCs w:val="32"/>
                <w:shd w:val="clear" w:color="auto" w:fill="FFFFFF"/>
                <w:lang w:val="zh-CN"/>
              </w:rPr>
            </w:pPr>
          </w:p>
          <w:p>
            <w:pPr>
              <w:ind w:firstLine="1280" w:firstLineChars="400"/>
              <w:rPr>
                <w:rFonts w:ascii="方正小标宋简体" w:hAnsi="方正小标宋简体" w:eastAsia="方正小标宋简体" w:cs="宋体"/>
                <w:kern w:val="0"/>
                <w:sz w:val="48"/>
                <w:szCs w:val="48"/>
              </w:rPr>
            </w:pPr>
            <w:r>
              <w:rPr>
                <w:rFonts w:hint="eastAsia" w:eastAsia="黑体" w:cs="黑体"/>
                <w:kern w:val="0"/>
                <w:sz w:val="32"/>
                <w:szCs w:val="32"/>
                <w:shd w:val="clear" w:color="auto" w:fill="FFFFFF"/>
                <w:lang w:val="zh-CN"/>
              </w:rPr>
              <w:br w:type="page"/>
            </w:r>
            <w:r>
              <w:rPr>
                <w:rFonts w:eastAsia="黑体" w:cs="黑体"/>
                <w:kern w:val="0"/>
                <w:sz w:val="32"/>
                <w:szCs w:val="32"/>
                <w:shd w:val="clear" w:color="auto" w:fill="FFFFFF"/>
                <w:lang w:val="zh-CN"/>
              </w:rPr>
              <w:br w:type="page"/>
            </w:r>
            <w:r>
              <w:rPr>
                <w:rFonts w:hint="eastAsia" w:ascii="方正小标宋简体" w:hAnsi="方正小标宋简体" w:eastAsia="方正小标宋简体" w:cs="宋体"/>
                <w:kern w:val="0"/>
                <w:sz w:val="48"/>
                <w:szCs w:val="48"/>
              </w:rPr>
              <w:t>部门整体</w:t>
            </w:r>
            <w:r>
              <w:rPr>
                <w:rFonts w:hint="eastAsia" w:ascii="方正小标宋简体" w:hAnsi="方正小标宋简体" w:eastAsia="方正小标宋简体" w:cs="宋体"/>
                <w:kern w:val="0"/>
                <w:sz w:val="48"/>
                <w:szCs w:val="48"/>
                <w:lang w:eastAsia="zh-CN"/>
              </w:rPr>
              <w:t>支出</w:t>
            </w:r>
            <w:r>
              <w:rPr>
                <w:rFonts w:hint="eastAsia" w:ascii="方正小标宋简体" w:hAnsi="方正小标宋简体" w:eastAsia="方正小标宋简体" w:cs="宋体"/>
                <w:kern w:val="0"/>
                <w:sz w:val="48"/>
                <w:szCs w:val="48"/>
              </w:rPr>
              <w:t>绩效自评表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1753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绩效指标</w:t>
            </w:r>
          </w:p>
        </w:tc>
        <w:tc>
          <w:tcPr>
            <w:tcW w:w="789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指标解释</w:t>
            </w:r>
          </w:p>
        </w:tc>
        <w:tc>
          <w:tcPr>
            <w:tcW w:w="1794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评分说明</w:t>
            </w:r>
          </w:p>
        </w:tc>
        <w:tc>
          <w:tcPr>
            <w:tcW w:w="343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自评得分</w:t>
            </w:r>
          </w:p>
        </w:tc>
        <w:tc>
          <w:tcPr>
            <w:tcW w:w="319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  <w:jc w:val="center"/>
        </w:trPr>
        <w:tc>
          <w:tcPr>
            <w:tcW w:w="410" w:type="pct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一级指标</w:t>
            </w:r>
          </w:p>
        </w:tc>
        <w:tc>
          <w:tcPr>
            <w:tcW w:w="41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二级指标</w:t>
            </w:r>
          </w:p>
        </w:tc>
        <w:tc>
          <w:tcPr>
            <w:tcW w:w="6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三级指标</w:t>
            </w:r>
          </w:p>
        </w:tc>
        <w:tc>
          <w:tcPr>
            <w:tcW w:w="26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指标分值</w:t>
            </w:r>
          </w:p>
        </w:tc>
        <w:tc>
          <w:tcPr>
            <w:tcW w:w="789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kern w:val="0"/>
                <w:sz w:val="24"/>
              </w:rPr>
            </w:pPr>
          </w:p>
        </w:tc>
        <w:tc>
          <w:tcPr>
            <w:tcW w:w="179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kern w:val="0"/>
                <w:sz w:val="24"/>
              </w:rPr>
            </w:pPr>
          </w:p>
        </w:tc>
        <w:tc>
          <w:tcPr>
            <w:tcW w:w="34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kern w:val="0"/>
                <w:sz w:val="24"/>
              </w:rPr>
            </w:pPr>
          </w:p>
        </w:tc>
        <w:tc>
          <w:tcPr>
            <w:tcW w:w="319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410" w:type="pct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总体绩效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（65分）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总体绩效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（65分）</w:t>
            </w:r>
          </w:p>
        </w:tc>
        <w:tc>
          <w:tcPr>
            <w:tcW w:w="416" w:type="pct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履职效能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（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  <w:lang w:val="en-US" w:eastAsia="zh-CN"/>
              </w:rPr>
              <w:t>10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分）</w:t>
            </w:r>
          </w:p>
        </w:tc>
        <w:tc>
          <w:tcPr>
            <w:tcW w:w="6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人才培养</w:t>
            </w:r>
          </w:p>
        </w:tc>
        <w:tc>
          <w:tcPr>
            <w:tcW w:w="267" w:type="pct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789" w:type="pct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评价学校在人才培养、科学研究、社会服务、文化传承等核心职能方面的效果。</w:t>
            </w:r>
          </w:p>
        </w:tc>
        <w:tc>
          <w:tcPr>
            <w:tcW w:w="1794" w:type="pct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人才方面：完成学前教育及小学阶段招送生；教学质量方面：课程建设成果，教研成果，师生满意度等；科学研究方面：教研经费的保障，教学论文的发表等。</w:t>
            </w:r>
          </w:p>
        </w:tc>
        <w:tc>
          <w:tcPr>
            <w:tcW w:w="343" w:type="pct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319" w:type="pct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410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416" w:type="pct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6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教学质量</w:t>
            </w:r>
          </w:p>
        </w:tc>
        <w:tc>
          <w:tcPr>
            <w:tcW w:w="267" w:type="pct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89" w:type="pct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94" w:type="pct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43" w:type="pct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19" w:type="pct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410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416" w:type="pct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6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科学研究</w:t>
            </w:r>
          </w:p>
        </w:tc>
        <w:tc>
          <w:tcPr>
            <w:tcW w:w="267" w:type="pct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89" w:type="pct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94" w:type="pct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43" w:type="pct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19" w:type="pct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410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416" w:type="pct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6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社会服务</w:t>
            </w:r>
          </w:p>
        </w:tc>
        <w:tc>
          <w:tcPr>
            <w:tcW w:w="267" w:type="pct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89" w:type="pct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94" w:type="pct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43" w:type="pct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19" w:type="pct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8" w:hRule="atLeast"/>
          <w:jc w:val="center"/>
        </w:trPr>
        <w:tc>
          <w:tcPr>
            <w:tcW w:w="410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416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预算管理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（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  <w:lang w:val="en-US" w:eastAsia="zh-CN"/>
              </w:rPr>
              <w:t>31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分）</w:t>
            </w:r>
          </w:p>
        </w:tc>
        <w:tc>
          <w:tcPr>
            <w:tcW w:w="6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预算编制质量</w:t>
            </w:r>
          </w:p>
        </w:tc>
        <w:tc>
          <w:tcPr>
            <w:tcW w:w="26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78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证明预算编制科学、精准。</w:t>
            </w:r>
          </w:p>
        </w:tc>
        <w:tc>
          <w:tcPr>
            <w:tcW w:w="179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预算编制充分征求各部门意见，经过两上两下程序，预算项目均经过事前绩效评估，与学校年度工作计划紧密相连。</w:t>
            </w:r>
          </w:p>
        </w:tc>
        <w:tc>
          <w:tcPr>
            <w:tcW w:w="34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319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8" w:hRule="atLeast"/>
          <w:jc w:val="center"/>
        </w:trPr>
        <w:tc>
          <w:tcPr>
            <w:tcW w:w="410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41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6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/>
              </w:rPr>
              <w:t>支出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执行进度</w:t>
            </w:r>
          </w:p>
        </w:tc>
        <w:tc>
          <w:tcPr>
            <w:tcW w:w="26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7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预算执行的及时性</w:t>
            </w:r>
          </w:p>
        </w:tc>
        <w:tc>
          <w:tcPr>
            <w:tcW w:w="179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全年的预算执行率数据1-6月执行率50%，1-9月执行率75%，全年执行率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100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%）。</w:t>
            </w:r>
          </w:p>
        </w:tc>
        <w:tc>
          <w:tcPr>
            <w:tcW w:w="3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8.5</w:t>
            </w:r>
          </w:p>
        </w:tc>
        <w:tc>
          <w:tcPr>
            <w:tcW w:w="319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  <w:jc w:val="center"/>
        </w:trPr>
        <w:tc>
          <w:tcPr>
            <w:tcW w:w="410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41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6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预算年终结余</w:t>
            </w:r>
          </w:p>
        </w:tc>
        <w:tc>
          <w:tcPr>
            <w:tcW w:w="26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7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年终无结余</w:t>
            </w:r>
          </w:p>
        </w:tc>
        <w:tc>
          <w:tcPr>
            <w:tcW w:w="179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年终无结余</w:t>
            </w:r>
          </w:p>
        </w:tc>
        <w:tc>
          <w:tcPr>
            <w:tcW w:w="3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8</w:t>
            </w:r>
          </w:p>
        </w:tc>
        <w:tc>
          <w:tcPr>
            <w:tcW w:w="319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2" w:hRule="atLeast"/>
          <w:jc w:val="center"/>
        </w:trPr>
        <w:tc>
          <w:tcPr>
            <w:tcW w:w="410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41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6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严控一般性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/>
              </w:rPr>
              <w:t>支出</w:t>
            </w:r>
          </w:p>
        </w:tc>
        <w:tc>
          <w:tcPr>
            <w:tcW w:w="26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7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对三公经费的严控度</w:t>
            </w:r>
          </w:p>
        </w:tc>
        <w:tc>
          <w:tcPr>
            <w:tcW w:w="179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“严格执行‘过紧日子’要求，202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4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年‘三公’经费零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/>
              </w:rPr>
              <w:t>支出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。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与2023年持平。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”</w:t>
            </w:r>
          </w:p>
        </w:tc>
        <w:tc>
          <w:tcPr>
            <w:tcW w:w="3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319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9" w:hRule="atLeast"/>
          <w:jc w:val="center"/>
        </w:trPr>
        <w:tc>
          <w:tcPr>
            <w:tcW w:w="410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416" w:type="pct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资产管理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（9分）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人均资产变化率</w:t>
            </w:r>
          </w:p>
        </w:tc>
        <w:tc>
          <w:tcPr>
            <w:tcW w:w="26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78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反映资产配置效率。</w:t>
            </w:r>
          </w:p>
        </w:tc>
        <w:tc>
          <w:tcPr>
            <w:tcW w:w="179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计算总资产 / 教职工人数，与上年对比，合理增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长。</w:t>
            </w:r>
          </w:p>
        </w:tc>
        <w:tc>
          <w:tcPr>
            <w:tcW w:w="34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319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  <w:jc w:val="center"/>
        </w:trPr>
        <w:tc>
          <w:tcPr>
            <w:tcW w:w="410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416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65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资产利用率</w:t>
            </w:r>
          </w:p>
        </w:tc>
        <w:tc>
          <w:tcPr>
            <w:tcW w:w="26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78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反映资产的使用情况</w:t>
            </w:r>
          </w:p>
        </w:tc>
        <w:tc>
          <w:tcPr>
            <w:tcW w:w="1794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学校对教学设备的使用情况及周期合理</w:t>
            </w:r>
          </w:p>
        </w:tc>
        <w:tc>
          <w:tcPr>
            <w:tcW w:w="34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2.5</w:t>
            </w:r>
          </w:p>
        </w:tc>
        <w:tc>
          <w:tcPr>
            <w:tcW w:w="319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410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4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资产管理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（9分）</w:t>
            </w:r>
          </w:p>
        </w:tc>
        <w:tc>
          <w:tcPr>
            <w:tcW w:w="65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资产盘活率</w:t>
            </w:r>
          </w:p>
        </w:tc>
        <w:tc>
          <w:tcPr>
            <w:tcW w:w="26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78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无闲置资产</w:t>
            </w:r>
          </w:p>
        </w:tc>
        <w:tc>
          <w:tcPr>
            <w:tcW w:w="179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无闲置资产</w:t>
            </w:r>
          </w:p>
        </w:tc>
        <w:tc>
          <w:tcPr>
            <w:tcW w:w="3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31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  <w:jc w:val="center"/>
        </w:trPr>
        <w:tc>
          <w:tcPr>
            <w:tcW w:w="410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416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采购管理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（6分）</w:t>
            </w:r>
          </w:p>
        </w:tc>
        <w:tc>
          <w:tcPr>
            <w:tcW w:w="6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支持中小企业发展</w:t>
            </w:r>
          </w:p>
        </w:tc>
        <w:tc>
          <w:tcPr>
            <w:tcW w:w="26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7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采购中专门对中小企业的扶持</w:t>
            </w:r>
          </w:p>
        </w:tc>
        <w:tc>
          <w:tcPr>
            <w:tcW w:w="179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2024年在832平台支持中小企业购物达标</w:t>
            </w:r>
          </w:p>
        </w:tc>
        <w:tc>
          <w:tcPr>
            <w:tcW w:w="3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319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410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416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6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采购执行率</w:t>
            </w:r>
          </w:p>
        </w:tc>
        <w:tc>
          <w:tcPr>
            <w:tcW w:w="26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7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无采购</w:t>
            </w:r>
          </w:p>
        </w:tc>
        <w:tc>
          <w:tcPr>
            <w:tcW w:w="179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无政府采购</w:t>
            </w:r>
          </w:p>
        </w:tc>
        <w:tc>
          <w:tcPr>
            <w:tcW w:w="3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319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3" w:hRule="atLeast"/>
          <w:jc w:val="center"/>
        </w:trPr>
        <w:tc>
          <w:tcPr>
            <w:tcW w:w="410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项目绩效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（35分）</w:t>
            </w:r>
          </w:p>
        </w:tc>
        <w:tc>
          <w:tcPr>
            <w:tcW w:w="416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项目决策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（12分）</w:t>
            </w:r>
          </w:p>
        </w:tc>
        <w:tc>
          <w:tcPr>
            <w:tcW w:w="6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决策程序</w:t>
            </w:r>
          </w:p>
        </w:tc>
        <w:tc>
          <w:tcPr>
            <w:tcW w:w="2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7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证明项目立项规范、目标明确</w:t>
            </w:r>
          </w:p>
        </w:tc>
        <w:tc>
          <w:tcPr>
            <w:tcW w:w="17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所有项目均经过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支部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会审议</w:t>
            </w:r>
          </w:p>
        </w:tc>
        <w:tc>
          <w:tcPr>
            <w:tcW w:w="3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3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41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416" w:type="pct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65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目标设置</w:t>
            </w:r>
          </w:p>
        </w:tc>
        <w:tc>
          <w:tcPr>
            <w:tcW w:w="26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78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证明项目立项规范、目标明确</w:t>
            </w:r>
          </w:p>
        </w:tc>
        <w:tc>
          <w:tcPr>
            <w:tcW w:w="179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项目申报书均设置了清晰、量化、可衡量的绩效目标</w:t>
            </w:r>
          </w:p>
        </w:tc>
        <w:tc>
          <w:tcPr>
            <w:tcW w:w="34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31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6" w:hRule="atLeast"/>
          <w:jc w:val="center"/>
        </w:trPr>
        <w:tc>
          <w:tcPr>
            <w:tcW w:w="410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416" w:type="pct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6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项目入库</w:t>
            </w:r>
          </w:p>
        </w:tc>
        <w:tc>
          <w:tcPr>
            <w:tcW w:w="26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7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证明项目立项规范、目标明确</w:t>
            </w:r>
          </w:p>
        </w:tc>
        <w:tc>
          <w:tcPr>
            <w:tcW w:w="179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项目均已纳入学校项目库管理，实行常态化申报和滚动管理</w:t>
            </w:r>
          </w:p>
        </w:tc>
        <w:tc>
          <w:tcPr>
            <w:tcW w:w="3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31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410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416" w:type="pct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项目执行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（12分）</w:t>
            </w:r>
          </w:p>
        </w:tc>
        <w:tc>
          <w:tcPr>
            <w:tcW w:w="6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执行同向</w:t>
            </w:r>
          </w:p>
        </w:tc>
        <w:tc>
          <w:tcPr>
            <w:tcW w:w="26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7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项目资金使用与预算批复用途一致，无挪用。</w:t>
            </w:r>
          </w:p>
        </w:tc>
        <w:tc>
          <w:tcPr>
            <w:tcW w:w="179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项目资金使用与预算批复用途一致，无挪用。</w:t>
            </w:r>
          </w:p>
        </w:tc>
        <w:tc>
          <w:tcPr>
            <w:tcW w:w="3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31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410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416" w:type="pct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659" w:type="pct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项目调整</w:t>
            </w:r>
          </w:p>
        </w:tc>
        <w:tc>
          <w:tcPr>
            <w:tcW w:w="26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7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如需调整，是否履行了规范的内部审批和报备程序</w:t>
            </w:r>
          </w:p>
        </w:tc>
        <w:tc>
          <w:tcPr>
            <w:tcW w:w="179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如需调整，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均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履行了规范的内部审批和报备程序</w:t>
            </w:r>
          </w:p>
        </w:tc>
        <w:tc>
          <w:tcPr>
            <w:tcW w:w="3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31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410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416" w:type="pct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65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执行结果</w:t>
            </w:r>
          </w:p>
        </w:tc>
        <w:tc>
          <w:tcPr>
            <w:tcW w:w="26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7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项目执行率</w:t>
            </w:r>
          </w:p>
        </w:tc>
        <w:tc>
          <w:tcPr>
            <w:tcW w:w="179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项目执行率达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到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100%</w:t>
            </w:r>
          </w:p>
        </w:tc>
        <w:tc>
          <w:tcPr>
            <w:tcW w:w="3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3.5</w:t>
            </w:r>
          </w:p>
        </w:tc>
        <w:tc>
          <w:tcPr>
            <w:tcW w:w="31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1" w:hRule="atLeast"/>
          <w:jc w:val="center"/>
        </w:trPr>
        <w:tc>
          <w:tcPr>
            <w:tcW w:w="410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416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目标实现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（11分）</w:t>
            </w:r>
          </w:p>
        </w:tc>
        <w:tc>
          <w:tcPr>
            <w:tcW w:w="6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目标完成</w:t>
            </w:r>
          </w:p>
        </w:tc>
        <w:tc>
          <w:tcPr>
            <w:tcW w:w="26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7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目标完成率</w:t>
            </w:r>
          </w:p>
        </w:tc>
        <w:tc>
          <w:tcPr>
            <w:tcW w:w="179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基建项目：按时完工、验收合格。设备采购项目：按时采购安装到位、设备运行良好。科研项目：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教师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发表了论文。培训项目：完成了计划培训人次、学员满意度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/>
              </w:rPr>
              <w:t>高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。</w:t>
            </w:r>
          </w:p>
        </w:tc>
        <w:tc>
          <w:tcPr>
            <w:tcW w:w="3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3.5</w:t>
            </w:r>
          </w:p>
        </w:tc>
        <w:tc>
          <w:tcPr>
            <w:tcW w:w="31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410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41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6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目标偏离</w:t>
            </w:r>
          </w:p>
        </w:tc>
        <w:tc>
          <w:tcPr>
            <w:tcW w:w="26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7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项目结果与预期目标有无重大偏差</w:t>
            </w:r>
          </w:p>
        </w:tc>
        <w:tc>
          <w:tcPr>
            <w:tcW w:w="179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项目结果与预期目标无重大偏差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/>
              </w:rPr>
              <w:t>。</w:t>
            </w:r>
          </w:p>
        </w:tc>
        <w:tc>
          <w:tcPr>
            <w:tcW w:w="3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31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410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41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6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实现效果</w:t>
            </w:r>
          </w:p>
        </w:tc>
        <w:tc>
          <w:tcPr>
            <w:tcW w:w="26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7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项目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是否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带来的长远效益</w:t>
            </w:r>
          </w:p>
        </w:tc>
        <w:tc>
          <w:tcPr>
            <w:tcW w:w="179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项目带来的长远效益。</w:t>
            </w:r>
          </w:p>
        </w:tc>
        <w:tc>
          <w:tcPr>
            <w:tcW w:w="3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31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410" w:type="pct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扣分项</w:t>
            </w:r>
          </w:p>
        </w:tc>
        <w:tc>
          <w:tcPr>
            <w:tcW w:w="416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财务管理</w:t>
            </w:r>
          </w:p>
        </w:tc>
        <w:tc>
          <w:tcPr>
            <w:tcW w:w="6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财务管理制度</w:t>
            </w:r>
          </w:p>
        </w:tc>
        <w:tc>
          <w:tcPr>
            <w:tcW w:w="26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7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学校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是否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有健全的财务制度</w:t>
            </w:r>
          </w:p>
        </w:tc>
        <w:tc>
          <w:tcPr>
            <w:tcW w:w="179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学校有健全的财务制度</w:t>
            </w:r>
          </w:p>
        </w:tc>
        <w:tc>
          <w:tcPr>
            <w:tcW w:w="3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31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410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416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6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财务岗位设置</w:t>
            </w:r>
          </w:p>
        </w:tc>
        <w:tc>
          <w:tcPr>
            <w:tcW w:w="26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7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岗位设置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是否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合理</w:t>
            </w:r>
          </w:p>
        </w:tc>
        <w:tc>
          <w:tcPr>
            <w:tcW w:w="179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岗位设置合理</w:t>
            </w:r>
          </w:p>
        </w:tc>
        <w:tc>
          <w:tcPr>
            <w:tcW w:w="3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31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410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416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6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资金使用规范</w:t>
            </w:r>
          </w:p>
        </w:tc>
        <w:tc>
          <w:tcPr>
            <w:tcW w:w="26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7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资金使用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是否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规范</w:t>
            </w:r>
          </w:p>
        </w:tc>
        <w:tc>
          <w:tcPr>
            <w:tcW w:w="179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资金使用规范</w:t>
            </w:r>
          </w:p>
        </w:tc>
        <w:tc>
          <w:tcPr>
            <w:tcW w:w="3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31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8" w:hRule="atLeast"/>
          <w:jc w:val="center"/>
        </w:trPr>
        <w:tc>
          <w:tcPr>
            <w:tcW w:w="410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076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预算绩效存在问题</w:t>
            </w:r>
          </w:p>
        </w:tc>
        <w:tc>
          <w:tcPr>
            <w:tcW w:w="26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7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无</w:t>
            </w:r>
          </w:p>
        </w:tc>
        <w:tc>
          <w:tcPr>
            <w:tcW w:w="179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无</w:t>
            </w:r>
          </w:p>
        </w:tc>
        <w:tc>
          <w:tcPr>
            <w:tcW w:w="3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31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410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076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被评价部门配合度</w:t>
            </w:r>
          </w:p>
        </w:tc>
        <w:tc>
          <w:tcPr>
            <w:tcW w:w="26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7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是否配合财政部门评价</w:t>
            </w:r>
          </w:p>
        </w:tc>
        <w:tc>
          <w:tcPr>
            <w:tcW w:w="179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在财政重点绩效评价中，学校提供材料及时、配合调研。</w:t>
            </w:r>
          </w:p>
        </w:tc>
        <w:tc>
          <w:tcPr>
            <w:tcW w:w="3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31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1486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分值</w:t>
            </w:r>
          </w:p>
        </w:tc>
        <w:tc>
          <w:tcPr>
            <w:tcW w:w="26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7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79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3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98</w:t>
            </w:r>
          </w:p>
        </w:tc>
        <w:tc>
          <w:tcPr>
            <w:tcW w:w="31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</w:tbl>
    <w:p>
      <w:pPr>
        <w:pStyle w:val="3"/>
        <w:spacing w:line="560" w:lineRule="exact"/>
        <w:ind w:left="0" w:leftChars="0" w:firstLine="0" w:firstLineChars="0"/>
        <w:rPr>
          <w:rFonts w:ascii="Times New Roman"/>
          <w:sz w:val="32"/>
          <w:highlight w:val="yellow"/>
          <w:lang w:val="zh-CN"/>
        </w:rPr>
      </w:pPr>
    </w:p>
    <w:p>
      <w:pPr>
        <w:pStyle w:val="3"/>
        <w:spacing w:line="560" w:lineRule="exact"/>
        <w:ind w:left="0" w:leftChars="0" w:firstLine="0" w:firstLineChars="0"/>
        <w:rPr>
          <w:rFonts w:ascii="Times New Roman"/>
          <w:sz w:val="32"/>
          <w:highlight w:val="yellow"/>
          <w:lang w:val="zh-CN"/>
        </w:rPr>
      </w:pPr>
    </w:p>
    <w:tbl>
      <w:tblPr>
        <w:tblStyle w:val="17"/>
        <w:tblW w:w="987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8"/>
        <w:gridCol w:w="1401"/>
        <w:gridCol w:w="986"/>
        <w:gridCol w:w="1105"/>
        <w:gridCol w:w="524"/>
        <w:gridCol w:w="524"/>
        <w:gridCol w:w="524"/>
        <w:gridCol w:w="1093"/>
        <w:gridCol w:w="510"/>
        <w:gridCol w:w="486"/>
        <w:gridCol w:w="202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4" w:hRule="atLeast"/>
        </w:trPr>
        <w:tc>
          <w:tcPr>
            <w:tcW w:w="9870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b/>
                <w:bCs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部门预算项目支出绩效自评表（2024年度）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7770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51090422T000006815845-义务教育家庭经济困难学生生活补助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21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主管部门</w:t>
            </w:r>
          </w:p>
        </w:tc>
        <w:tc>
          <w:tcPr>
            <w:tcW w:w="367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遂宁市安居区常理镇中心小学校部门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实施单位 （盖章）</w:t>
            </w:r>
          </w:p>
        </w:tc>
        <w:tc>
          <w:tcPr>
            <w:tcW w:w="30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遂宁市安居区常理镇中心小学校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项目基本情况</w:t>
            </w:r>
          </w:p>
        </w:tc>
        <w:tc>
          <w:tcPr>
            <w:tcW w:w="14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1.项目年度目标完成情况</w:t>
            </w:r>
          </w:p>
        </w:tc>
        <w:tc>
          <w:tcPr>
            <w:tcW w:w="367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项目年度目标</w:t>
            </w:r>
          </w:p>
        </w:tc>
        <w:tc>
          <w:tcPr>
            <w:tcW w:w="409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年度目标完成情况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6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67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及时发放贫困生生活补助，确保贫困儿童、残疾儿童等能正常入学，减去其家庭负。</w:t>
            </w:r>
          </w:p>
        </w:tc>
        <w:tc>
          <w:tcPr>
            <w:tcW w:w="409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及时发放贫困生生活补助，确保贫困儿童、残疾儿童等能正常入学，减去其家庭负。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</w:trPr>
        <w:tc>
          <w:tcPr>
            <w:tcW w:w="6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2.项目实施内容及过程概述</w:t>
            </w:r>
          </w:p>
        </w:tc>
        <w:tc>
          <w:tcPr>
            <w:tcW w:w="7770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预算执行情况（10分）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年度预算数（万元）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年初预算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调整后预算数</w:t>
            </w:r>
          </w:p>
        </w:tc>
        <w:tc>
          <w:tcPr>
            <w:tcW w:w="15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预算执行数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预算执行率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权重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得分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原因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6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总额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1.91</w:t>
            </w:r>
          </w:p>
        </w:tc>
        <w:tc>
          <w:tcPr>
            <w:tcW w:w="15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1.91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100.00%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10</w:t>
            </w:r>
          </w:p>
        </w:tc>
        <w:tc>
          <w:tcPr>
            <w:tcW w:w="20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i/>
                <w:iCs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/>
                <w:iCs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1.预算执行率100%;2.年中无发生预算调整的（追加或调减）,应单独说明理由；3.其他资金包括无。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6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其中：财政资金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1.91</w:t>
            </w:r>
          </w:p>
        </w:tc>
        <w:tc>
          <w:tcPr>
            <w:tcW w:w="15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1.91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100.00%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i/>
                <w:iCs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6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财政专户管理资金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15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0.00%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i/>
                <w:iCs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单位资金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15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0.00%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i/>
                <w:iCs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6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其他资金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/>
                <w:iCs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/>
                <w:iCs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5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/>
                <w:iCs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/>
                <w:iCs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i/>
                <w:iCs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绩效指标（90分）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一级指标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二级指标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三级指标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指标性质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指标值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度量单位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完成值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权重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得分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未完成原因分析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6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/>
                <w:iCs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90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90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/>
                <w:iCs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87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合计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评价结论</w:t>
            </w:r>
          </w:p>
        </w:tc>
        <w:tc>
          <w:tcPr>
            <w:tcW w:w="9180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/>
                <w:iCs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/>
                <w:iCs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根据该项目预算执行率、 绩效目标实现指标自评得分100.00分，自评等次为：优，严格执行相关政策，按要求支付，切实提高扶贫成效。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存在问题</w:t>
            </w:r>
          </w:p>
        </w:tc>
        <w:tc>
          <w:tcPr>
            <w:tcW w:w="9180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/>
                <w:iCs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/>
                <w:iCs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改进措施</w:t>
            </w:r>
          </w:p>
        </w:tc>
        <w:tc>
          <w:tcPr>
            <w:tcW w:w="9180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/>
                <w:iCs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/>
                <w:iCs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72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项目负责人：聂红军</w:t>
            </w:r>
          </w:p>
        </w:tc>
        <w:tc>
          <w:tcPr>
            <w:tcW w:w="514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财务负责人：补建</w:t>
            </w:r>
          </w:p>
        </w:tc>
      </w:tr>
    </w:tbl>
    <w:p>
      <w:pPr>
        <w:pStyle w:val="9"/>
        <w:spacing w:before="93"/>
        <w:rPr>
          <w:rFonts w:ascii="Times New Roman" w:cs="宋体"/>
          <w:color w:val="FF0000"/>
          <w:sz w:val="32"/>
          <w:szCs w:val="32"/>
          <w:highlight w:val="yellow"/>
          <w:shd w:val="clear" w:color="auto" w:fill="FFFFFF"/>
          <w:lang w:val="zh-CN"/>
        </w:rPr>
      </w:pPr>
    </w:p>
    <w:p>
      <w:pPr>
        <w:pStyle w:val="9"/>
        <w:spacing w:before="93"/>
        <w:rPr>
          <w:rFonts w:ascii="Times New Roman" w:cs="宋体"/>
          <w:color w:val="FF0000"/>
          <w:sz w:val="32"/>
          <w:szCs w:val="32"/>
          <w:highlight w:val="yellow"/>
          <w:shd w:val="clear" w:color="auto" w:fill="FFFFFF"/>
          <w:lang w:val="zh-CN"/>
        </w:rPr>
      </w:pPr>
    </w:p>
    <w:p>
      <w:pPr>
        <w:pStyle w:val="9"/>
        <w:spacing w:before="93"/>
        <w:rPr>
          <w:rFonts w:ascii="Times New Roman" w:cs="宋体"/>
          <w:color w:val="FF0000"/>
          <w:sz w:val="32"/>
          <w:szCs w:val="32"/>
          <w:highlight w:val="yellow"/>
          <w:shd w:val="clear" w:color="auto" w:fill="FFFFFF"/>
          <w:lang w:val="zh-CN"/>
        </w:rPr>
      </w:pPr>
    </w:p>
    <w:p>
      <w:pPr>
        <w:pStyle w:val="9"/>
        <w:spacing w:before="93"/>
        <w:rPr>
          <w:rFonts w:ascii="Times New Roman" w:cs="宋体"/>
          <w:color w:val="FF0000"/>
          <w:sz w:val="32"/>
          <w:szCs w:val="32"/>
          <w:highlight w:val="yellow"/>
          <w:shd w:val="clear" w:color="auto" w:fill="FFFFFF"/>
          <w:lang w:val="zh-CN"/>
        </w:rPr>
      </w:pPr>
    </w:p>
    <w:tbl>
      <w:tblPr>
        <w:tblStyle w:val="17"/>
        <w:tblW w:w="987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8"/>
        <w:gridCol w:w="1401"/>
        <w:gridCol w:w="986"/>
        <w:gridCol w:w="1105"/>
        <w:gridCol w:w="524"/>
        <w:gridCol w:w="524"/>
        <w:gridCol w:w="524"/>
        <w:gridCol w:w="1093"/>
        <w:gridCol w:w="510"/>
        <w:gridCol w:w="486"/>
        <w:gridCol w:w="202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4" w:hRule="atLeast"/>
        </w:trPr>
        <w:tc>
          <w:tcPr>
            <w:tcW w:w="9870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b/>
                <w:bCs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部门预算项目支出绩效自评表（2024年度）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7770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51090422T000006818424-幼儿资助及幼儿发展资金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21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主管部门</w:t>
            </w:r>
          </w:p>
        </w:tc>
        <w:tc>
          <w:tcPr>
            <w:tcW w:w="367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遂宁市安居区常理镇中心小学校部门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实施单位 （盖章）</w:t>
            </w:r>
          </w:p>
        </w:tc>
        <w:tc>
          <w:tcPr>
            <w:tcW w:w="30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遂宁市安居区常理镇中心小学校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项目基本情况</w:t>
            </w:r>
          </w:p>
        </w:tc>
        <w:tc>
          <w:tcPr>
            <w:tcW w:w="14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1.项目年度目标完成情况</w:t>
            </w:r>
          </w:p>
        </w:tc>
        <w:tc>
          <w:tcPr>
            <w:tcW w:w="367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项目年度目标</w:t>
            </w:r>
          </w:p>
        </w:tc>
        <w:tc>
          <w:tcPr>
            <w:tcW w:w="409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年度目标完成情况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6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67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及时发放学前教育保教费，确保贫困儿童、残疾儿童等能正常入学，减去其家庭负</w:t>
            </w:r>
          </w:p>
        </w:tc>
        <w:tc>
          <w:tcPr>
            <w:tcW w:w="409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及时发放学前教育保教费，确保贫困儿童、残疾儿童等能正常入学，减去其家庭负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</w:trPr>
        <w:tc>
          <w:tcPr>
            <w:tcW w:w="6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2.项目实施内容及过程概述</w:t>
            </w:r>
          </w:p>
        </w:tc>
        <w:tc>
          <w:tcPr>
            <w:tcW w:w="7770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预算执行情况（10分）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年度预算数（万元）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年初预算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调整后预算数</w:t>
            </w:r>
          </w:p>
        </w:tc>
        <w:tc>
          <w:tcPr>
            <w:tcW w:w="15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预算执行数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预算执行率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权重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得分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原因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6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总额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7.49</w:t>
            </w:r>
          </w:p>
        </w:tc>
        <w:tc>
          <w:tcPr>
            <w:tcW w:w="15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7.49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100.00%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10</w:t>
            </w:r>
          </w:p>
        </w:tc>
        <w:tc>
          <w:tcPr>
            <w:tcW w:w="20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i/>
                <w:iCs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/>
                <w:iCs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1.预算执行率100%;2.年中无发生预算调整的（追加或调减）,应单独说明理由；3.其他资金包括无。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6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其中：财政资金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7.49</w:t>
            </w:r>
          </w:p>
        </w:tc>
        <w:tc>
          <w:tcPr>
            <w:tcW w:w="15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7.49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100.00%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i/>
                <w:iCs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6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财政专户管理资金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15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0.00%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i/>
                <w:iCs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单位资金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15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0.00%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i/>
                <w:iCs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6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其他资金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/>
                <w:iCs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/>
                <w:iCs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5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/>
                <w:iCs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/>
                <w:iCs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i/>
                <w:iCs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绩效指标（90分）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一级指标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二级指标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三级指标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指标性质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指标值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度量单位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完成值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权重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得分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未完成原因分析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6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/>
                <w:iCs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90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90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/>
                <w:iCs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87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合计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评价结论</w:t>
            </w:r>
          </w:p>
        </w:tc>
        <w:tc>
          <w:tcPr>
            <w:tcW w:w="9180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/>
                <w:iCs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/>
                <w:iCs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及时发放贫困生生活补助，确保贫困儿童、残疾儿童等能正常入学，减去其家庭负。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存在问题</w:t>
            </w:r>
          </w:p>
        </w:tc>
        <w:tc>
          <w:tcPr>
            <w:tcW w:w="9180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/>
                <w:iCs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/>
                <w:iCs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改进措施</w:t>
            </w:r>
          </w:p>
        </w:tc>
        <w:tc>
          <w:tcPr>
            <w:tcW w:w="9180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/>
                <w:iCs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/>
                <w:iCs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72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项目负责人：聂红军</w:t>
            </w:r>
          </w:p>
        </w:tc>
        <w:tc>
          <w:tcPr>
            <w:tcW w:w="514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财务负责人：补建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</w:tbl>
    <w:p>
      <w:pPr>
        <w:pStyle w:val="9"/>
        <w:spacing w:before="93"/>
        <w:rPr>
          <w:rFonts w:ascii="Times New Roman" w:cs="宋体"/>
          <w:color w:val="FF0000"/>
          <w:sz w:val="32"/>
          <w:szCs w:val="32"/>
          <w:highlight w:val="yellow"/>
          <w:shd w:val="clear" w:color="auto" w:fill="FFFFFF"/>
          <w:lang w:val="zh-CN"/>
        </w:rPr>
      </w:pPr>
    </w:p>
    <w:p>
      <w:pPr>
        <w:pStyle w:val="9"/>
        <w:spacing w:before="93"/>
        <w:rPr>
          <w:rFonts w:ascii="Times New Roman" w:cs="宋体"/>
          <w:color w:val="FF0000"/>
          <w:sz w:val="32"/>
          <w:szCs w:val="32"/>
          <w:highlight w:val="yellow"/>
          <w:shd w:val="clear" w:color="auto" w:fill="FFFFFF"/>
          <w:lang w:val="zh-CN"/>
        </w:rPr>
      </w:pPr>
    </w:p>
    <w:p>
      <w:pPr>
        <w:pStyle w:val="9"/>
        <w:spacing w:before="93"/>
        <w:rPr>
          <w:rFonts w:ascii="Times New Roman" w:cs="宋体"/>
          <w:color w:val="FF0000"/>
          <w:sz w:val="32"/>
          <w:szCs w:val="32"/>
          <w:highlight w:val="yellow"/>
          <w:shd w:val="clear" w:color="auto" w:fill="FFFFFF"/>
          <w:lang w:val="zh-CN"/>
        </w:rPr>
      </w:pPr>
    </w:p>
    <w:tbl>
      <w:tblPr>
        <w:tblStyle w:val="17"/>
        <w:tblW w:w="987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3"/>
        <w:gridCol w:w="1368"/>
        <w:gridCol w:w="974"/>
        <w:gridCol w:w="1088"/>
        <w:gridCol w:w="519"/>
        <w:gridCol w:w="666"/>
        <w:gridCol w:w="519"/>
        <w:gridCol w:w="1078"/>
        <w:gridCol w:w="509"/>
        <w:gridCol w:w="486"/>
        <w:gridCol w:w="198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4" w:hRule="atLeast"/>
        </w:trPr>
        <w:tc>
          <w:tcPr>
            <w:tcW w:w="9870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b/>
                <w:bCs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部门预算项目支出绩效自评表（2024年度）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7770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51090423T000008612092-义务教育课后服务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支出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21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主管部门</w:t>
            </w:r>
          </w:p>
        </w:tc>
        <w:tc>
          <w:tcPr>
            <w:tcW w:w="367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遂宁市安居区常理镇中心小学校部门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实施单位 （盖章）</w:t>
            </w:r>
          </w:p>
        </w:tc>
        <w:tc>
          <w:tcPr>
            <w:tcW w:w="30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遂宁市安居区常理镇中心小学校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5" w:hRule="atLeast"/>
        </w:trPr>
        <w:tc>
          <w:tcPr>
            <w:tcW w:w="6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项目基本情况</w:t>
            </w:r>
          </w:p>
        </w:tc>
        <w:tc>
          <w:tcPr>
            <w:tcW w:w="14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1.项目年度目标完成情况</w:t>
            </w:r>
          </w:p>
        </w:tc>
        <w:tc>
          <w:tcPr>
            <w:tcW w:w="367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项目年度目标</w:t>
            </w:r>
          </w:p>
        </w:tc>
        <w:tc>
          <w:tcPr>
            <w:tcW w:w="409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年度目标完成情况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6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67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满足家长、学生需求，提高教育教学质量。</w:t>
            </w:r>
          </w:p>
        </w:tc>
        <w:tc>
          <w:tcPr>
            <w:tcW w:w="409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满足家长、学生需求，提高教育教学质量。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</w:trPr>
        <w:tc>
          <w:tcPr>
            <w:tcW w:w="6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2.项目实施内容及过程概述</w:t>
            </w:r>
          </w:p>
        </w:tc>
        <w:tc>
          <w:tcPr>
            <w:tcW w:w="7770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预算执行情况（10分）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年度预算数（万元）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年初预算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调整后预算数</w:t>
            </w:r>
          </w:p>
        </w:tc>
        <w:tc>
          <w:tcPr>
            <w:tcW w:w="15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预算执行数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预算执行率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权重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得分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原因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6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总额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14.00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14.00</w:t>
            </w:r>
          </w:p>
        </w:tc>
        <w:tc>
          <w:tcPr>
            <w:tcW w:w="15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8.57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61.24%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10</w:t>
            </w:r>
          </w:p>
        </w:tc>
        <w:tc>
          <w:tcPr>
            <w:tcW w:w="20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i/>
                <w:iCs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/>
                <w:iCs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1.预算执行率100%;2.年中无发生预算调整的（追加或调减）,应单独说明理由；3.其他资金包括无。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6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其中：财政资金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15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0.00%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i/>
                <w:iCs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6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财政专户管理资金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15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0.00%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i/>
                <w:iCs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单位资金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14.00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14.00</w:t>
            </w:r>
          </w:p>
        </w:tc>
        <w:tc>
          <w:tcPr>
            <w:tcW w:w="15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8.57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61.24%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i/>
                <w:iCs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6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其他资金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/>
                <w:iCs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/>
                <w:iCs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5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/>
                <w:iCs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/>
                <w:iCs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i/>
                <w:iCs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绩效指标（90分）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一级指标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二级指标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三级指标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指标性质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指标值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度量单位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完成值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权重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得分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未完成原因分析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6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产出指标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质量指标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提高教育教学质量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＝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98000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元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/>
                <w:iCs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60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/>
                <w:iCs/>
                <w:color w:val="000000"/>
                <w:sz w:val="16"/>
                <w:szCs w:val="16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6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效益指标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社会效益指标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满足家长和社会需求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＝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42000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元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/>
                <w:iCs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30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/>
                <w:iCs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87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合计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评价结论</w:t>
            </w:r>
          </w:p>
        </w:tc>
        <w:tc>
          <w:tcPr>
            <w:tcW w:w="9180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/>
                <w:iCs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/>
                <w:iCs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结解决了家长对学生学习焦虑问题，提高了学生学习积极性及兴趣，提高了办学质量。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存在问题</w:t>
            </w:r>
          </w:p>
        </w:tc>
        <w:tc>
          <w:tcPr>
            <w:tcW w:w="9180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/>
                <w:iCs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/>
                <w:iCs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改进措施</w:t>
            </w:r>
          </w:p>
        </w:tc>
        <w:tc>
          <w:tcPr>
            <w:tcW w:w="9180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/>
                <w:iCs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/>
                <w:iCs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72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项目负责人：聂红军</w:t>
            </w:r>
          </w:p>
        </w:tc>
        <w:tc>
          <w:tcPr>
            <w:tcW w:w="514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财务负责人：补建</w:t>
            </w:r>
          </w:p>
        </w:tc>
      </w:tr>
    </w:tbl>
    <w:p>
      <w:pPr>
        <w:pStyle w:val="9"/>
        <w:spacing w:before="93"/>
        <w:rPr>
          <w:rFonts w:ascii="Times New Roman" w:cs="宋体"/>
          <w:color w:val="FF0000"/>
          <w:sz w:val="32"/>
          <w:szCs w:val="32"/>
          <w:highlight w:val="yellow"/>
          <w:shd w:val="clear" w:color="auto" w:fill="FFFFFF"/>
          <w:lang w:val="zh-CN"/>
        </w:rPr>
      </w:pPr>
    </w:p>
    <w:p>
      <w:pPr>
        <w:pStyle w:val="9"/>
        <w:spacing w:before="93"/>
        <w:rPr>
          <w:rFonts w:ascii="Times New Roman" w:cs="宋体"/>
          <w:color w:val="FF0000"/>
          <w:sz w:val="32"/>
          <w:szCs w:val="32"/>
          <w:highlight w:val="yellow"/>
          <w:shd w:val="clear" w:color="auto" w:fill="FFFFFF"/>
          <w:lang w:val="zh-CN"/>
        </w:rPr>
      </w:pPr>
    </w:p>
    <w:tbl>
      <w:tblPr>
        <w:tblStyle w:val="17"/>
        <w:tblW w:w="987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8"/>
        <w:gridCol w:w="1401"/>
        <w:gridCol w:w="986"/>
        <w:gridCol w:w="1105"/>
        <w:gridCol w:w="524"/>
        <w:gridCol w:w="524"/>
        <w:gridCol w:w="524"/>
        <w:gridCol w:w="1093"/>
        <w:gridCol w:w="510"/>
        <w:gridCol w:w="486"/>
        <w:gridCol w:w="202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4" w:hRule="atLeast"/>
        </w:trPr>
        <w:tc>
          <w:tcPr>
            <w:tcW w:w="9870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b/>
                <w:bCs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部门预算项目支出绩效自评表（2024年度）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0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7781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51090423T000009404312-城乡义务教育-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免作业费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20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主管部门</w:t>
            </w:r>
          </w:p>
        </w:tc>
        <w:tc>
          <w:tcPr>
            <w:tcW w:w="366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遂宁市安居区常理镇中心小学校部门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实施单位 （盖章）</w:t>
            </w:r>
          </w:p>
        </w:tc>
        <w:tc>
          <w:tcPr>
            <w:tcW w:w="30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遂宁市安居区常理镇中心小学校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项目基本情况</w:t>
            </w:r>
          </w:p>
        </w:tc>
        <w:tc>
          <w:tcPr>
            <w:tcW w:w="140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1.项目年度目标完成情况</w:t>
            </w:r>
          </w:p>
        </w:tc>
        <w:tc>
          <w:tcPr>
            <w:tcW w:w="366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项目年度目标</w:t>
            </w:r>
          </w:p>
        </w:tc>
        <w:tc>
          <w:tcPr>
            <w:tcW w:w="411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年度目标完成情况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6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66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落实中央政策免除学生作业本费</w:t>
            </w:r>
          </w:p>
        </w:tc>
        <w:tc>
          <w:tcPr>
            <w:tcW w:w="411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落实中央政策免除学生作业本费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</w:trPr>
        <w:tc>
          <w:tcPr>
            <w:tcW w:w="6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2.项目实施内容及过程概述</w:t>
            </w:r>
          </w:p>
        </w:tc>
        <w:tc>
          <w:tcPr>
            <w:tcW w:w="7781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减免学生作业本费15.00元/期。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预算执行情况（10分）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年度预算数（万元）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年初预算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调整后预算数</w:t>
            </w:r>
          </w:p>
        </w:tc>
        <w:tc>
          <w:tcPr>
            <w:tcW w:w="157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预算执行数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预算执行率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权重</w:t>
            </w:r>
          </w:p>
        </w:tc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得分</w:t>
            </w:r>
          </w:p>
        </w:tc>
        <w:tc>
          <w:tcPr>
            <w:tcW w:w="2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原因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6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总额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</w:t>
            </w:r>
          </w:p>
        </w:tc>
        <w:tc>
          <w:tcPr>
            <w:tcW w:w="157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100.00%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10</w:t>
            </w:r>
          </w:p>
        </w:tc>
        <w:tc>
          <w:tcPr>
            <w:tcW w:w="202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i/>
                <w:iCs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/>
                <w:iCs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1.预算执行率=100%;2.年中未发生预算调整的（追加或调减）,；3.其他资金包括：无.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6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其中：财政资金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</w:t>
            </w:r>
          </w:p>
        </w:tc>
        <w:tc>
          <w:tcPr>
            <w:tcW w:w="157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100.00%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0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i/>
                <w:iCs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6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财政专户管理资金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157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0.00%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0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i/>
                <w:iCs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单位资金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157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0.00%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0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i/>
                <w:iCs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6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其他资金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/>
                <w:iCs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/>
                <w:iCs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57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/>
                <w:iCs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/>
                <w:iCs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0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i/>
                <w:iCs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绩效指标（90分）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一级指标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二级指标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三级指标</w:t>
            </w:r>
          </w:p>
        </w:tc>
        <w:tc>
          <w:tcPr>
            <w:tcW w:w="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指标性质</w:t>
            </w:r>
          </w:p>
        </w:tc>
        <w:tc>
          <w:tcPr>
            <w:tcW w:w="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指标值</w:t>
            </w:r>
          </w:p>
        </w:tc>
        <w:tc>
          <w:tcPr>
            <w:tcW w:w="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度量单位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完成值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权重</w:t>
            </w:r>
          </w:p>
        </w:tc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得分</w:t>
            </w:r>
          </w:p>
        </w:tc>
        <w:tc>
          <w:tcPr>
            <w:tcW w:w="2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未完成原因分析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6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/>
                <w:iCs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90</w:t>
            </w:r>
          </w:p>
        </w:tc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90</w:t>
            </w:r>
          </w:p>
        </w:tc>
        <w:tc>
          <w:tcPr>
            <w:tcW w:w="2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/>
                <w:iCs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84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合计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2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评价结论</w:t>
            </w:r>
          </w:p>
        </w:tc>
        <w:tc>
          <w:tcPr>
            <w:tcW w:w="9182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/>
                <w:iCs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/>
                <w:iCs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根据该项目预算执行率、 绩效目标实现指标自评得分100.00分，自评等次为：优，严格执行相关政策，按要求支付，保障学校正常运转。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存在问题</w:t>
            </w:r>
          </w:p>
        </w:tc>
        <w:tc>
          <w:tcPr>
            <w:tcW w:w="9182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/>
                <w:iCs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/>
                <w:iCs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改进措施</w:t>
            </w:r>
          </w:p>
        </w:tc>
        <w:tc>
          <w:tcPr>
            <w:tcW w:w="9182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/>
                <w:iCs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/>
                <w:iCs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70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项目负责人：聂红军</w:t>
            </w:r>
          </w:p>
        </w:tc>
        <w:tc>
          <w:tcPr>
            <w:tcW w:w="516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财务负责人：补建</w:t>
            </w:r>
          </w:p>
        </w:tc>
      </w:tr>
    </w:tbl>
    <w:p>
      <w:pPr>
        <w:pStyle w:val="9"/>
        <w:spacing w:before="93"/>
        <w:rPr>
          <w:rFonts w:ascii="Times New Roman" w:cs="宋体"/>
          <w:color w:val="FF0000"/>
          <w:sz w:val="32"/>
          <w:szCs w:val="32"/>
          <w:highlight w:val="yellow"/>
          <w:shd w:val="clear" w:color="auto" w:fill="FFFFFF"/>
          <w:lang w:val="zh-CN"/>
        </w:rPr>
      </w:pPr>
    </w:p>
    <w:p>
      <w:pPr>
        <w:rPr>
          <w:rFonts w:eastAsia="黑体" w:cs="黑体"/>
          <w:kern w:val="0"/>
          <w:sz w:val="32"/>
          <w:szCs w:val="32"/>
          <w:shd w:val="clear" w:color="auto" w:fill="FFFFFF"/>
          <w:lang w:val="zh-CN"/>
        </w:rPr>
      </w:pPr>
      <w:r>
        <w:rPr>
          <w:rFonts w:hint="eastAsia" w:eastAsia="黑体" w:cs="黑体"/>
          <w:kern w:val="0"/>
          <w:sz w:val="32"/>
          <w:szCs w:val="32"/>
          <w:shd w:val="clear" w:color="auto" w:fill="FFFFFF"/>
          <w:lang w:val="zh-CN"/>
        </w:rPr>
        <w:br w:type="page"/>
      </w:r>
    </w:p>
    <w:p>
      <w:pPr>
        <w:widowControl/>
        <w:jc w:val="center"/>
        <w:rPr>
          <w:rFonts w:eastAsia="仿宋"/>
        </w:rPr>
      </w:pPr>
      <w:bookmarkStart w:id="20" w:name="_Toc15396618"/>
      <w:r>
        <w:rPr>
          <w:rFonts w:hint="eastAsia" w:eastAsia="黑体"/>
          <w:sz w:val="44"/>
          <w:szCs w:val="44"/>
        </w:rPr>
        <w:t>第</w:t>
      </w:r>
      <w:r>
        <w:rPr>
          <w:rStyle w:val="30"/>
          <w:rFonts w:hint="eastAsia" w:eastAsia="黑体"/>
          <w:b w:val="0"/>
        </w:rPr>
        <w:t>五部分 附表</w:t>
      </w:r>
      <w:bookmarkEnd w:id="19"/>
      <w:bookmarkEnd w:id="20"/>
      <w:bookmarkStart w:id="21" w:name="_Toc15396619"/>
    </w:p>
    <w:p>
      <w:pPr>
        <w:pStyle w:val="15"/>
        <w:adjustRightInd w:val="0"/>
        <w:snapToGrid w:val="0"/>
        <w:spacing w:line="560" w:lineRule="exact"/>
        <w:jc w:val="left"/>
        <w:rPr>
          <w:rFonts w:eastAsia="仿宋_GB2312" w:cs="仿宋_GB2312"/>
          <w:sz w:val="32"/>
          <w:szCs w:val="32"/>
        </w:rPr>
      </w:pPr>
    </w:p>
    <w:p>
      <w:pPr>
        <w:pStyle w:val="15"/>
        <w:adjustRightInd w:val="0"/>
        <w:snapToGrid w:val="0"/>
        <w:spacing w:line="560" w:lineRule="exact"/>
        <w:jc w:val="left"/>
        <w:rPr>
          <w:rFonts w:eastAsia="仿宋_GB2312" w:cs="仿宋_GB2312"/>
          <w:sz w:val="32"/>
          <w:szCs w:val="32"/>
        </w:rPr>
      </w:pPr>
      <w:r>
        <w:rPr>
          <w:rFonts w:hint="eastAsia" w:eastAsia="仿宋_GB2312" w:cs="仿宋_GB2312"/>
          <w:sz w:val="32"/>
          <w:szCs w:val="32"/>
        </w:rPr>
        <w:t>一、收入</w:t>
      </w:r>
      <w:r>
        <w:rPr>
          <w:rFonts w:hint="eastAsia" w:eastAsia="仿宋_GB2312" w:cs="仿宋_GB2312"/>
          <w:sz w:val="32"/>
          <w:szCs w:val="32"/>
          <w:lang w:eastAsia="zh-CN"/>
        </w:rPr>
        <w:t>支出</w:t>
      </w:r>
      <w:r>
        <w:rPr>
          <w:rFonts w:hint="eastAsia" w:eastAsia="仿宋_GB2312" w:cs="仿宋_GB2312"/>
          <w:sz w:val="32"/>
          <w:szCs w:val="32"/>
        </w:rPr>
        <w:t>决算总表</w:t>
      </w:r>
      <w:bookmarkEnd w:id="21"/>
    </w:p>
    <w:p>
      <w:pPr>
        <w:pStyle w:val="15"/>
        <w:adjustRightInd w:val="0"/>
        <w:snapToGrid w:val="0"/>
        <w:spacing w:line="560" w:lineRule="exact"/>
        <w:jc w:val="left"/>
        <w:rPr>
          <w:rFonts w:eastAsia="仿宋_GB2312" w:cs="仿宋_GB2312"/>
          <w:sz w:val="32"/>
          <w:szCs w:val="32"/>
        </w:rPr>
      </w:pPr>
      <w:bookmarkStart w:id="22" w:name="_Toc15396620"/>
      <w:r>
        <w:rPr>
          <w:rFonts w:hint="eastAsia" w:eastAsia="仿宋_GB2312" w:cs="仿宋_GB2312"/>
          <w:sz w:val="32"/>
          <w:szCs w:val="32"/>
        </w:rPr>
        <w:t>二、收入决算表</w:t>
      </w:r>
      <w:bookmarkEnd w:id="22"/>
    </w:p>
    <w:p>
      <w:pPr>
        <w:pStyle w:val="15"/>
        <w:adjustRightInd w:val="0"/>
        <w:snapToGrid w:val="0"/>
        <w:spacing w:line="560" w:lineRule="exact"/>
        <w:jc w:val="left"/>
        <w:rPr>
          <w:rFonts w:eastAsia="仿宋_GB2312" w:cs="仿宋_GB2312"/>
          <w:sz w:val="32"/>
          <w:szCs w:val="32"/>
        </w:rPr>
      </w:pPr>
      <w:bookmarkStart w:id="23" w:name="_Toc15396621"/>
      <w:r>
        <w:rPr>
          <w:rFonts w:hint="eastAsia" w:eastAsia="仿宋_GB2312" w:cs="仿宋_GB2312"/>
          <w:sz w:val="32"/>
          <w:szCs w:val="32"/>
        </w:rPr>
        <w:t>三、</w:t>
      </w:r>
      <w:r>
        <w:rPr>
          <w:rFonts w:hint="eastAsia" w:eastAsia="仿宋_GB2312" w:cs="仿宋_GB2312"/>
          <w:sz w:val="32"/>
          <w:szCs w:val="32"/>
          <w:lang w:eastAsia="zh-CN"/>
        </w:rPr>
        <w:t>支出</w:t>
      </w:r>
      <w:r>
        <w:rPr>
          <w:rFonts w:hint="eastAsia" w:eastAsia="仿宋_GB2312" w:cs="仿宋_GB2312"/>
          <w:sz w:val="32"/>
          <w:szCs w:val="32"/>
        </w:rPr>
        <w:t>决算表</w:t>
      </w:r>
      <w:bookmarkEnd w:id="23"/>
    </w:p>
    <w:p>
      <w:pPr>
        <w:pStyle w:val="15"/>
        <w:adjustRightInd w:val="0"/>
        <w:snapToGrid w:val="0"/>
        <w:spacing w:line="560" w:lineRule="exact"/>
        <w:jc w:val="left"/>
        <w:rPr>
          <w:rFonts w:eastAsia="仿宋_GB2312" w:cs="仿宋_GB2312"/>
          <w:sz w:val="32"/>
          <w:szCs w:val="32"/>
        </w:rPr>
      </w:pPr>
      <w:bookmarkStart w:id="24" w:name="_Toc15396622"/>
      <w:r>
        <w:rPr>
          <w:rFonts w:hint="eastAsia" w:eastAsia="仿宋_GB2312" w:cs="仿宋_GB2312"/>
          <w:sz w:val="32"/>
          <w:szCs w:val="32"/>
        </w:rPr>
        <w:t>四、财政拨款收入</w:t>
      </w:r>
      <w:r>
        <w:rPr>
          <w:rFonts w:hint="eastAsia" w:eastAsia="仿宋_GB2312" w:cs="仿宋_GB2312"/>
          <w:sz w:val="32"/>
          <w:szCs w:val="32"/>
          <w:lang w:eastAsia="zh-CN"/>
        </w:rPr>
        <w:t>支出</w:t>
      </w:r>
      <w:r>
        <w:rPr>
          <w:rFonts w:hint="eastAsia" w:eastAsia="仿宋_GB2312" w:cs="仿宋_GB2312"/>
          <w:sz w:val="32"/>
          <w:szCs w:val="32"/>
        </w:rPr>
        <w:t>决算总表</w:t>
      </w:r>
      <w:bookmarkEnd w:id="24"/>
    </w:p>
    <w:p>
      <w:pPr>
        <w:pStyle w:val="15"/>
        <w:adjustRightInd w:val="0"/>
        <w:snapToGrid w:val="0"/>
        <w:spacing w:line="560" w:lineRule="exact"/>
        <w:jc w:val="left"/>
        <w:rPr>
          <w:rFonts w:eastAsia="仿宋_GB2312" w:cs="仿宋_GB2312"/>
          <w:sz w:val="32"/>
          <w:szCs w:val="32"/>
        </w:rPr>
      </w:pPr>
      <w:bookmarkStart w:id="25" w:name="_Toc15396623"/>
      <w:r>
        <w:rPr>
          <w:rFonts w:hint="eastAsia" w:eastAsia="仿宋_GB2312" w:cs="仿宋_GB2312"/>
          <w:sz w:val="32"/>
          <w:szCs w:val="32"/>
        </w:rPr>
        <w:t>五、财政拨款</w:t>
      </w:r>
      <w:r>
        <w:rPr>
          <w:rFonts w:hint="eastAsia" w:eastAsia="仿宋_GB2312" w:cs="仿宋_GB2312"/>
          <w:sz w:val="32"/>
          <w:szCs w:val="32"/>
          <w:lang w:eastAsia="zh-CN"/>
        </w:rPr>
        <w:t>支出</w:t>
      </w:r>
      <w:r>
        <w:rPr>
          <w:rFonts w:hint="eastAsia" w:eastAsia="仿宋_GB2312" w:cs="仿宋_GB2312"/>
          <w:sz w:val="32"/>
          <w:szCs w:val="32"/>
        </w:rPr>
        <w:t>决算明细表</w:t>
      </w:r>
      <w:bookmarkEnd w:id="25"/>
      <w:bookmarkStart w:id="26" w:name="_Toc15396624"/>
    </w:p>
    <w:p>
      <w:pPr>
        <w:pStyle w:val="15"/>
        <w:adjustRightInd w:val="0"/>
        <w:snapToGrid w:val="0"/>
        <w:spacing w:line="560" w:lineRule="exact"/>
        <w:jc w:val="left"/>
        <w:rPr>
          <w:rFonts w:eastAsia="仿宋_GB2312" w:cs="仿宋_GB2312"/>
          <w:sz w:val="32"/>
          <w:szCs w:val="32"/>
        </w:rPr>
      </w:pPr>
      <w:r>
        <w:rPr>
          <w:rFonts w:hint="eastAsia" w:eastAsia="仿宋_GB2312" w:cs="仿宋_GB2312"/>
          <w:sz w:val="32"/>
          <w:szCs w:val="32"/>
        </w:rPr>
        <w:t>六、一般公共预算财政拨款</w:t>
      </w:r>
      <w:r>
        <w:rPr>
          <w:rFonts w:hint="eastAsia" w:eastAsia="仿宋_GB2312" w:cs="仿宋_GB2312"/>
          <w:sz w:val="32"/>
          <w:szCs w:val="32"/>
          <w:lang w:eastAsia="zh-CN"/>
        </w:rPr>
        <w:t>支出</w:t>
      </w:r>
      <w:r>
        <w:rPr>
          <w:rFonts w:hint="eastAsia" w:eastAsia="仿宋_GB2312" w:cs="仿宋_GB2312"/>
          <w:sz w:val="32"/>
          <w:szCs w:val="32"/>
        </w:rPr>
        <w:t>决算表</w:t>
      </w:r>
      <w:bookmarkEnd w:id="26"/>
    </w:p>
    <w:p>
      <w:pPr>
        <w:pStyle w:val="15"/>
        <w:adjustRightInd w:val="0"/>
        <w:snapToGrid w:val="0"/>
        <w:spacing w:line="560" w:lineRule="exact"/>
        <w:jc w:val="left"/>
        <w:rPr>
          <w:rFonts w:eastAsia="仿宋_GB2312" w:cs="仿宋_GB2312"/>
          <w:sz w:val="32"/>
          <w:szCs w:val="32"/>
        </w:rPr>
      </w:pPr>
      <w:bookmarkStart w:id="27" w:name="_Toc15396625"/>
      <w:r>
        <w:rPr>
          <w:rFonts w:hint="eastAsia" w:eastAsia="仿宋_GB2312" w:cs="仿宋_GB2312"/>
          <w:sz w:val="32"/>
          <w:szCs w:val="32"/>
        </w:rPr>
        <w:t>七、一般公共预算财政拨款</w:t>
      </w:r>
      <w:r>
        <w:rPr>
          <w:rFonts w:hint="eastAsia" w:eastAsia="仿宋_GB2312" w:cs="仿宋_GB2312"/>
          <w:sz w:val="32"/>
          <w:szCs w:val="32"/>
          <w:lang w:eastAsia="zh-CN"/>
        </w:rPr>
        <w:t>支出</w:t>
      </w:r>
      <w:r>
        <w:rPr>
          <w:rFonts w:hint="eastAsia" w:eastAsia="仿宋_GB2312" w:cs="仿宋_GB2312"/>
          <w:sz w:val="32"/>
          <w:szCs w:val="32"/>
        </w:rPr>
        <w:t>决算明细表</w:t>
      </w:r>
      <w:bookmarkEnd w:id="27"/>
    </w:p>
    <w:p>
      <w:pPr>
        <w:pStyle w:val="15"/>
        <w:adjustRightInd w:val="0"/>
        <w:snapToGrid w:val="0"/>
        <w:spacing w:line="560" w:lineRule="exact"/>
        <w:jc w:val="left"/>
        <w:rPr>
          <w:rFonts w:eastAsia="仿宋_GB2312" w:cs="仿宋_GB2312"/>
          <w:sz w:val="32"/>
          <w:szCs w:val="32"/>
        </w:rPr>
      </w:pPr>
      <w:bookmarkStart w:id="28" w:name="_Toc15396626"/>
      <w:r>
        <w:rPr>
          <w:rFonts w:hint="eastAsia" w:eastAsia="仿宋_GB2312" w:cs="仿宋_GB2312"/>
          <w:sz w:val="32"/>
          <w:szCs w:val="32"/>
        </w:rPr>
        <w:t>八、一般公共预算财政拨款基本</w:t>
      </w:r>
      <w:r>
        <w:rPr>
          <w:rFonts w:hint="eastAsia" w:eastAsia="仿宋_GB2312" w:cs="仿宋_GB2312"/>
          <w:sz w:val="32"/>
          <w:szCs w:val="32"/>
          <w:lang w:eastAsia="zh-CN"/>
        </w:rPr>
        <w:t>支出</w:t>
      </w:r>
      <w:r>
        <w:rPr>
          <w:rFonts w:hint="eastAsia" w:eastAsia="仿宋_GB2312" w:cs="仿宋_GB2312"/>
          <w:sz w:val="32"/>
          <w:szCs w:val="32"/>
        </w:rPr>
        <w:t>决算表</w:t>
      </w:r>
      <w:bookmarkEnd w:id="28"/>
    </w:p>
    <w:p>
      <w:pPr>
        <w:pStyle w:val="15"/>
        <w:adjustRightInd w:val="0"/>
        <w:snapToGrid w:val="0"/>
        <w:spacing w:line="560" w:lineRule="exact"/>
        <w:jc w:val="left"/>
        <w:rPr>
          <w:rFonts w:eastAsia="仿宋_GB2312" w:cs="仿宋_GB2312"/>
          <w:sz w:val="32"/>
          <w:szCs w:val="32"/>
        </w:rPr>
      </w:pPr>
      <w:bookmarkStart w:id="29" w:name="_Toc15396627"/>
      <w:r>
        <w:rPr>
          <w:rFonts w:hint="eastAsia" w:eastAsia="仿宋_GB2312" w:cs="仿宋_GB2312"/>
          <w:sz w:val="32"/>
          <w:szCs w:val="32"/>
        </w:rPr>
        <w:t>九、一般公共预算财政拨款项目</w:t>
      </w:r>
      <w:r>
        <w:rPr>
          <w:rFonts w:hint="eastAsia" w:eastAsia="仿宋_GB2312" w:cs="仿宋_GB2312"/>
          <w:sz w:val="32"/>
          <w:szCs w:val="32"/>
          <w:lang w:eastAsia="zh-CN"/>
        </w:rPr>
        <w:t>支出</w:t>
      </w:r>
      <w:r>
        <w:rPr>
          <w:rFonts w:hint="eastAsia" w:eastAsia="仿宋_GB2312" w:cs="仿宋_GB2312"/>
          <w:sz w:val="32"/>
          <w:szCs w:val="32"/>
        </w:rPr>
        <w:t>决算表</w:t>
      </w:r>
      <w:bookmarkEnd w:id="29"/>
    </w:p>
    <w:p>
      <w:pPr>
        <w:pStyle w:val="15"/>
        <w:adjustRightInd w:val="0"/>
        <w:snapToGrid w:val="0"/>
        <w:spacing w:line="560" w:lineRule="exact"/>
        <w:jc w:val="left"/>
        <w:rPr>
          <w:rFonts w:eastAsia="仿宋_GB2312" w:cs="仿宋_GB2312"/>
          <w:sz w:val="32"/>
          <w:szCs w:val="32"/>
        </w:rPr>
      </w:pPr>
      <w:bookmarkStart w:id="30" w:name="_Toc15396628"/>
      <w:r>
        <w:rPr>
          <w:rFonts w:hint="eastAsia" w:eastAsia="仿宋_GB2312" w:cs="仿宋_GB2312"/>
          <w:sz w:val="32"/>
          <w:szCs w:val="32"/>
        </w:rPr>
        <w:t>十、</w:t>
      </w:r>
      <w:bookmarkEnd w:id="30"/>
      <w:r>
        <w:rPr>
          <w:rFonts w:hint="eastAsia" w:eastAsia="仿宋_GB2312" w:cs="仿宋_GB2312"/>
          <w:sz w:val="32"/>
          <w:szCs w:val="32"/>
        </w:rPr>
        <w:t>政府性基金预算财政拨款收入</w:t>
      </w:r>
      <w:r>
        <w:rPr>
          <w:rFonts w:hint="eastAsia" w:eastAsia="仿宋_GB2312" w:cs="仿宋_GB2312"/>
          <w:sz w:val="32"/>
          <w:szCs w:val="32"/>
          <w:lang w:eastAsia="zh-CN"/>
        </w:rPr>
        <w:t>支出</w:t>
      </w:r>
      <w:r>
        <w:rPr>
          <w:rFonts w:hint="eastAsia" w:eastAsia="仿宋_GB2312" w:cs="仿宋_GB2312"/>
          <w:sz w:val="32"/>
          <w:szCs w:val="32"/>
        </w:rPr>
        <w:t>决算表</w:t>
      </w:r>
    </w:p>
    <w:p>
      <w:pPr>
        <w:pStyle w:val="15"/>
        <w:adjustRightInd w:val="0"/>
        <w:snapToGrid w:val="0"/>
        <w:spacing w:line="560" w:lineRule="exact"/>
        <w:jc w:val="left"/>
        <w:rPr>
          <w:rFonts w:eastAsia="仿宋_GB2312" w:cs="仿宋_GB2312"/>
          <w:sz w:val="32"/>
          <w:szCs w:val="32"/>
        </w:rPr>
      </w:pPr>
      <w:bookmarkStart w:id="31" w:name="_Toc15396629"/>
      <w:r>
        <w:rPr>
          <w:rFonts w:hint="eastAsia" w:eastAsia="仿宋_GB2312" w:cs="仿宋_GB2312"/>
          <w:sz w:val="32"/>
          <w:szCs w:val="32"/>
        </w:rPr>
        <w:t>十一、</w:t>
      </w:r>
      <w:bookmarkEnd w:id="31"/>
      <w:r>
        <w:rPr>
          <w:rFonts w:hint="eastAsia" w:eastAsia="仿宋_GB2312" w:cs="仿宋_GB2312"/>
          <w:sz w:val="32"/>
          <w:szCs w:val="32"/>
        </w:rPr>
        <w:t>国有资本经营预算财政拨款收入</w:t>
      </w:r>
      <w:r>
        <w:rPr>
          <w:rFonts w:hint="eastAsia" w:eastAsia="仿宋_GB2312" w:cs="仿宋_GB2312"/>
          <w:sz w:val="32"/>
          <w:szCs w:val="32"/>
          <w:lang w:eastAsia="zh-CN"/>
        </w:rPr>
        <w:t>支出</w:t>
      </w:r>
      <w:r>
        <w:rPr>
          <w:rFonts w:hint="eastAsia" w:eastAsia="仿宋_GB2312" w:cs="仿宋_GB2312"/>
          <w:sz w:val="32"/>
          <w:szCs w:val="32"/>
        </w:rPr>
        <w:t>决算表</w:t>
      </w:r>
    </w:p>
    <w:p>
      <w:pPr>
        <w:pStyle w:val="15"/>
        <w:adjustRightInd w:val="0"/>
        <w:snapToGrid w:val="0"/>
        <w:spacing w:line="560" w:lineRule="exact"/>
        <w:jc w:val="left"/>
        <w:rPr>
          <w:rFonts w:eastAsia="仿宋_GB2312" w:cs="仿宋_GB2312"/>
          <w:sz w:val="32"/>
          <w:szCs w:val="32"/>
        </w:rPr>
      </w:pPr>
      <w:bookmarkStart w:id="32" w:name="_Toc15396630"/>
      <w:r>
        <w:rPr>
          <w:rFonts w:hint="eastAsia" w:eastAsia="仿宋_GB2312" w:cs="仿宋_GB2312"/>
          <w:sz w:val="32"/>
          <w:szCs w:val="32"/>
        </w:rPr>
        <w:t>十二、</w:t>
      </w:r>
      <w:bookmarkEnd w:id="32"/>
      <w:r>
        <w:rPr>
          <w:rFonts w:hint="eastAsia" w:eastAsia="仿宋_GB2312" w:cs="仿宋_GB2312"/>
          <w:sz w:val="32"/>
          <w:szCs w:val="32"/>
        </w:rPr>
        <w:t>国有资本经营预算财政拨款</w:t>
      </w:r>
      <w:r>
        <w:rPr>
          <w:rFonts w:hint="eastAsia" w:eastAsia="仿宋_GB2312" w:cs="仿宋_GB2312"/>
          <w:sz w:val="32"/>
          <w:szCs w:val="32"/>
          <w:lang w:eastAsia="zh-CN"/>
        </w:rPr>
        <w:t>支出</w:t>
      </w:r>
      <w:r>
        <w:rPr>
          <w:rFonts w:hint="eastAsia" w:eastAsia="仿宋_GB2312" w:cs="仿宋_GB2312"/>
          <w:sz w:val="32"/>
          <w:szCs w:val="32"/>
        </w:rPr>
        <w:t>决算表</w:t>
      </w:r>
    </w:p>
    <w:p>
      <w:pPr>
        <w:pStyle w:val="15"/>
        <w:adjustRightInd w:val="0"/>
        <w:snapToGrid w:val="0"/>
        <w:spacing w:line="560" w:lineRule="exact"/>
        <w:jc w:val="left"/>
        <w:rPr>
          <w:rFonts w:eastAsia="仿宋_GB2312" w:cs="仿宋_GB2312"/>
          <w:sz w:val="32"/>
          <w:szCs w:val="32"/>
        </w:rPr>
      </w:pPr>
      <w:bookmarkStart w:id="33" w:name="_Toc15396631"/>
      <w:r>
        <w:rPr>
          <w:rFonts w:hint="eastAsia" w:eastAsia="仿宋_GB2312" w:cs="仿宋_GB2312"/>
          <w:sz w:val="32"/>
          <w:szCs w:val="32"/>
        </w:rPr>
        <w:t>十三、</w:t>
      </w:r>
      <w:bookmarkEnd w:id="33"/>
      <w:r>
        <w:rPr>
          <w:rFonts w:hint="eastAsia" w:eastAsia="仿宋_GB2312" w:cs="仿宋_GB2312"/>
          <w:sz w:val="32"/>
          <w:szCs w:val="32"/>
        </w:rPr>
        <w:t>财政拨款“三公”经费</w:t>
      </w:r>
      <w:r>
        <w:rPr>
          <w:rFonts w:hint="eastAsia" w:eastAsia="仿宋_GB2312" w:cs="仿宋_GB2312"/>
          <w:sz w:val="32"/>
          <w:szCs w:val="32"/>
          <w:lang w:eastAsia="zh-CN"/>
        </w:rPr>
        <w:t>支出</w:t>
      </w:r>
      <w:r>
        <w:rPr>
          <w:rFonts w:hint="eastAsia" w:eastAsia="仿宋_GB2312" w:cs="仿宋_GB2312"/>
          <w:sz w:val="32"/>
          <w:szCs w:val="32"/>
        </w:rPr>
        <w:t>决算表</w:t>
      </w:r>
    </w:p>
    <w:p/>
    <w:sectPr>
      <w:footerReference r:id="rId10" w:type="first"/>
      <w:footerReference r:id="rId9" w:type="default"/>
      <w:pgSz w:w="11906" w:h="16838"/>
      <w:pgMar w:top="1440" w:right="1800" w:bottom="1440" w:left="1800" w:header="851" w:footer="992" w:gutter="0"/>
      <w:pgNumType w:fmt="numberInDash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??">
    <w:altName w:val="Segoe Print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  <w:jc w:val="center"/>
    </w:pPr>
  </w:p>
  <w:p>
    <w:pPr>
      <w:pStyle w:val="1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  <w:jc w:val="center"/>
    </w:pPr>
  </w:p>
  <w:p>
    <w:pPr>
      <w:pStyle w:val="1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  <w:jc w:val="center"/>
    </w:pPr>
  </w:p>
  <w:p>
    <w:pPr>
      <w:pStyle w:val="12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9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1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- 2 -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ApUg9D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- 2 -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>
    <w:pPr>
      <w:pStyle w:val="12"/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0" name="文本框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1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- 1 -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Kmor5UxAgAAYw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CpqK+VMQIAAGM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- 1 -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EFF8BAB"/>
    <w:multiLevelType w:val="singleLevel"/>
    <w:tmpl w:val="AEFF8BAB"/>
    <w:lvl w:ilvl="0" w:tentative="0">
      <w:start w:val="2"/>
      <w:numFmt w:val="chineseCounting"/>
      <w:suff w:val="space"/>
      <w:lvlText w:val="第%1部分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361C"/>
    <w:rsid w:val="000222C6"/>
    <w:rsid w:val="0002549F"/>
    <w:rsid w:val="000468DB"/>
    <w:rsid w:val="0006487A"/>
    <w:rsid w:val="00065F8F"/>
    <w:rsid w:val="00070A43"/>
    <w:rsid w:val="000768F2"/>
    <w:rsid w:val="0009184B"/>
    <w:rsid w:val="00094236"/>
    <w:rsid w:val="0009593C"/>
    <w:rsid w:val="00097322"/>
    <w:rsid w:val="000A6A92"/>
    <w:rsid w:val="000B047F"/>
    <w:rsid w:val="000B5923"/>
    <w:rsid w:val="000B5A48"/>
    <w:rsid w:val="000B6FF3"/>
    <w:rsid w:val="000C3467"/>
    <w:rsid w:val="000C3CA6"/>
    <w:rsid w:val="000D1267"/>
    <w:rsid w:val="000D1D50"/>
    <w:rsid w:val="000D5782"/>
    <w:rsid w:val="000E6613"/>
    <w:rsid w:val="000E7119"/>
    <w:rsid w:val="00114E9B"/>
    <w:rsid w:val="00142216"/>
    <w:rsid w:val="00144D6A"/>
    <w:rsid w:val="0014729F"/>
    <w:rsid w:val="00157BAB"/>
    <w:rsid w:val="001654D1"/>
    <w:rsid w:val="00174518"/>
    <w:rsid w:val="0018106D"/>
    <w:rsid w:val="001877A7"/>
    <w:rsid w:val="00191536"/>
    <w:rsid w:val="00196687"/>
    <w:rsid w:val="001C0962"/>
    <w:rsid w:val="001D7531"/>
    <w:rsid w:val="001E737D"/>
    <w:rsid w:val="001F0592"/>
    <w:rsid w:val="001F7506"/>
    <w:rsid w:val="002006CD"/>
    <w:rsid w:val="00202B36"/>
    <w:rsid w:val="00204B7A"/>
    <w:rsid w:val="00204CDE"/>
    <w:rsid w:val="0021101A"/>
    <w:rsid w:val="00220536"/>
    <w:rsid w:val="00235629"/>
    <w:rsid w:val="00260C38"/>
    <w:rsid w:val="002616C0"/>
    <w:rsid w:val="00265372"/>
    <w:rsid w:val="002662AA"/>
    <w:rsid w:val="00280496"/>
    <w:rsid w:val="00294DC9"/>
    <w:rsid w:val="00295495"/>
    <w:rsid w:val="002A31DE"/>
    <w:rsid w:val="002B2613"/>
    <w:rsid w:val="002D6D05"/>
    <w:rsid w:val="002F1818"/>
    <w:rsid w:val="002F567B"/>
    <w:rsid w:val="00320B39"/>
    <w:rsid w:val="003216A9"/>
    <w:rsid w:val="00335A74"/>
    <w:rsid w:val="0036561B"/>
    <w:rsid w:val="0037013F"/>
    <w:rsid w:val="00380C92"/>
    <w:rsid w:val="003A484F"/>
    <w:rsid w:val="003A4883"/>
    <w:rsid w:val="003B0BE0"/>
    <w:rsid w:val="003B0C1B"/>
    <w:rsid w:val="003B688C"/>
    <w:rsid w:val="003C0291"/>
    <w:rsid w:val="003C39AE"/>
    <w:rsid w:val="003C7B60"/>
    <w:rsid w:val="003D0C0F"/>
    <w:rsid w:val="003D1FB2"/>
    <w:rsid w:val="003D66DA"/>
    <w:rsid w:val="003E1310"/>
    <w:rsid w:val="003E6F55"/>
    <w:rsid w:val="00406254"/>
    <w:rsid w:val="004223DE"/>
    <w:rsid w:val="00434489"/>
    <w:rsid w:val="00437085"/>
    <w:rsid w:val="00443880"/>
    <w:rsid w:val="004464F4"/>
    <w:rsid w:val="00471401"/>
    <w:rsid w:val="00473F31"/>
    <w:rsid w:val="0048263A"/>
    <w:rsid w:val="00487E5D"/>
    <w:rsid w:val="004A711F"/>
    <w:rsid w:val="004B199D"/>
    <w:rsid w:val="004B4690"/>
    <w:rsid w:val="004E0A2D"/>
    <w:rsid w:val="004E206B"/>
    <w:rsid w:val="004E6DF7"/>
    <w:rsid w:val="004F0FBD"/>
    <w:rsid w:val="00505A47"/>
    <w:rsid w:val="00512FDA"/>
    <w:rsid w:val="00520DA0"/>
    <w:rsid w:val="005664BB"/>
    <w:rsid w:val="00566FFA"/>
    <w:rsid w:val="0057481D"/>
    <w:rsid w:val="0058486E"/>
    <w:rsid w:val="00585B33"/>
    <w:rsid w:val="0059014D"/>
    <w:rsid w:val="005B5C64"/>
    <w:rsid w:val="005C5337"/>
    <w:rsid w:val="005C6BD0"/>
    <w:rsid w:val="005D1C8B"/>
    <w:rsid w:val="005D468D"/>
    <w:rsid w:val="005D5CED"/>
    <w:rsid w:val="005F1A4C"/>
    <w:rsid w:val="00600AD7"/>
    <w:rsid w:val="00605688"/>
    <w:rsid w:val="006070AF"/>
    <w:rsid w:val="00607E6C"/>
    <w:rsid w:val="006101B1"/>
    <w:rsid w:val="00614E44"/>
    <w:rsid w:val="0062270A"/>
    <w:rsid w:val="00622830"/>
    <w:rsid w:val="00623DA0"/>
    <w:rsid w:val="00630AEF"/>
    <w:rsid w:val="006325F8"/>
    <w:rsid w:val="00633463"/>
    <w:rsid w:val="00634C9A"/>
    <w:rsid w:val="006440E4"/>
    <w:rsid w:val="0066343B"/>
    <w:rsid w:val="00664777"/>
    <w:rsid w:val="006748A4"/>
    <w:rsid w:val="00681A31"/>
    <w:rsid w:val="00683E73"/>
    <w:rsid w:val="006A3141"/>
    <w:rsid w:val="006A5E34"/>
    <w:rsid w:val="006B2422"/>
    <w:rsid w:val="006B2B9A"/>
    <w:rsid w:val="006C1937"/>
    <w:rsid w:val="006F020C"/>
    <w:rsid w:val="007127B7"/>
    <w:rsid w:val="0071798E"/>
    <w:rsid w:val="007416B6"/>
    <w:rsid w:val="00746F48"/>
    <w:rsid w:val="0075404D"/>
    <w:rsid w:val="0076182A"/>
    <w:rsid w:val="00767B7E"/>
    <w:rsid w:val="007770C3"/>
    <w:rsid w:val="00784D24"/>
    <w:rsid w:val="00785FBA"/>
    <w:rsid w:val="00786E4A"/>
    <w:rsid w:val="007875EB"/>
    <w:rsid w:val="0079426B"/>
    <w:rsid w:val="007D1682"/>
    <w:rsid w:val="007D312A"/>
    <w:rsid w:val="007D3F19"/>
    <w:rsid w:val="007E23B0"/>
    <w:rsid w:val="007E23E5"/>
    <w:rsid w:val="007F1991"/>
    <w:rsid w:val="007F2C2F"/>
    <w:rsid w:val="007F55FC"/>
    <w:rsid w:val="007F5665"/>
    <w:rsid w:val="00800112"/>
    <w:rsid w:val="00813348"/>
    <w:rsid w:val="008253BB"/>
    <w:rsid w:val="0083706E"/>
    <w:rsid w:val="008408F6"/>
    <w:rsid w:val="008423A5"/>
    <w:rsid w:val="00850625"/>
    <w:rsid w:val="00853718"/>
    <w:rsid w:val="00855221"/>
    <w:rsid w:val="00860645"/>
    <w:rsid w:val="00871F71"/>
    <w:rsid w:val="00872FD8"/>
    <w:rsid w:val="00885AF4"/>
    <w:rsid w:val="008939CD"/>
    <w:rsid w:val="008B768C"/>
    <w:rsid w:val="008C4DB1"/>
    <w:rsid w:val="008C4EAF"/>
    <w:rsid w:val="008C5176"/>
    <w:rsid w:val="008C7FD0"/>
    <w:rsid w:val="008E1DE7"/>
    <w:rsid w:val="008E707C"/>
    <w:rsid w:val="00900B08"/>
    <w:rsid w:val="00902155"/>
    <w:rsid w:val="00902FA3"/>
    <w:rsid w:val="00923564"/>
    <w:rsid w:val="0092392E"/>
    <w:rsid w:val="009315F9"/>
    <w:rsid w:val="00933499"/>
    <w:rsid w:val="00935C98"/>
    <w:rsid w:val="00946945"/>
    <w:rsid w:val="00951248"/>
    <w:rsid w:val="0095152F"/>
    <w:rsid w:val="00954C49"/>
    <w:rsid w:val="00955E37"/>
    <w:rsid w:val="0097099F"/>
    <w:rsid w:val="00971997"/>
    <w:rsid w:val="00971FFC"/>
    <w:rsid w:val="0098660A"/>
    <w:rsid w:val="009931C3"/>
    <w:rsid w:val="009B2C43"/>
    <w:rsid w:val="009B4EAE"/>
    <w:rsid w:val="009B7573"/>
    <w:rsid w:val="009C22F4"/>
    <w:rsid w:val="009C2A4B"/>
    <w:rsid w:val="009C2E98"/>
    <w:rsid w:val="009D3447"/>
    <w:rsid w:val="009D4711"/>
    <w:rsid w:val="009F1185"/>
    <w:rsid w:val="009F18CD"/>
    <w:rsid w:val="009F2A13"/>
    <w:rsid w:val="009F7527"/>
    <w:rsid w:val="00A04EB0"/>
    <w:rsid w:val="00A13CC1"/>
    <w:rsid w:val="00A16847"/>
    <w:rsid w:val="00A237D8"/>
    <w:rsid w:val="00A268C4"/>
    <w:rsid w:val="00A307CD"/>
    <w:rsid w:val="00A331C8"/>
    <w:rsid w:val="00A40A00"/>
    <w:rsid w:val="00A4142F"/>
    <w:rsid w:val="00A422EB"/>
    <w:rsid w:val="00A45BB7"/>
    <w:rsid w:val="00A56DF2"/>
    <w:rsid w:val="00A56E6E"/>
    <w:rsid w:val="00A67AB5"/>
    <w:rsid w:val="00A733B2"/>
    <w:rsid w:val="00A741C2"/>
    <w:rsid w:val="00A91760"/>
    <w:rsid w:val="00A93B00"/>
    <w:rsid w:val="00A93C21"/>
    <w:rsid w:val="00AB64C9"/>
    <w:rsid w:val="00AC3C6A"/>
    <w:rsid w:val="00AD5620"/>
    <w:rsid w:val="00AD656B"/>
    <w:rsid w:val="00AD7C1B"/>
    <w:rsid w:val="00AE16BA"/>
    <w:rsid w:val="00AE1EBE"/>
    <w:rsid w:val="00B03C9D"/>
    <w:rsid w:val="00B060AE"/>
    <w:rsid w:val="00B10517"/>
    <w:rsid w:val="00B14E76"/>
    <w:rsid w:val="00B161B8"/>
    <w:rsid w:val="00B2048C"/>
    <w:rsid w:val="00B310B9"/>
    <w:rsid w:val="00B35F3F"/>
    <w:rsid w:val="00B36CBB"/>
    <w:rsid w:val="00B425E0"/>
    <w:rsid w:val="00B440AA"/>
    <w:rsid w:val="00B44B70"/>
    <w:rsid w:val="00B53C56"/>
    <w:rsid w:val="00B57DAF"/>
    <w:rsid w:val="00B77EA6"/>
    <w:rsid w:val="00B81598"/>
    <w:rsid w:val="00B841F1"/>
    <w:rsid w:val="00B944D6"/>
    <w:rsid w:val="00BB4DF0"/>
    <w:rsid w:val="00BC289F"/>
    <w:rsid w:val="00BC2D50"/>
    <w:rsid w:val="00BC5361"/>
    <w:rsid w:val="00BC5460"/>
    <w:rsid w:val="00BC6B50"/>
    <w:rsid w:val="00BD0E25"/>
    <w:rsid w:val="00BF5BD6"/>
    <w:rsid w:val="00C03E31"/>
    <w:rsid w:val="00C33E72"/>
    <w:rsid w:val="00C354B2"/>
    <w:rsid w:val="00C35554"/>
    <w:rsid w:val="00C42709"/>
    <w:rsid w:val="00C533CC"/>
    <w:rsid w:val="00C5751C"/>
    <w:rsid w:val="00C61BFC"/>
    <w:rsid w:val="00C62B85"/>
    <w:rsid w:val="00C65438"/>
    <w:rsid w:val="00C87FD8"/>
    <w:rsid w:val="00C91381"/>
    <w:rsid w:val="00C91CBB"/>
    <w:rsid w:val="00CB4E70"/>
    <w:rsid w:val="00CC09B6"/>
    <w:rsid w:val="00CC666F"/>
    <w:rsid w:val="00CD1E3F"/>
    <w:rsid w:val="00CE44F6"/>
    <w:rsid w:val="00CE49DA"/>
    <w:rsid w:val="00CE7B61"/>
    <w:rsid w:val="00D00095"/>
    <w:rsid w:val="00D114F0"/>
    <w:rsid w:val="00D20620"/>
    <w:rsid w:val="00D254F7"/>
    <w:rsid w:val="00D26091"/>
    <w:rsid w:val="00D2685C"/>
    <w:rsid w:val="00D34E7C"/>
    <w:rsid w:val="00D35489"/>
    <w:rsid w:val="00D36AFE"/>
    <w:rsid w:val="00D51276"/>
    <w:rsid w:val="00D7035F"/>
    <w:rsid w:val="00DA634F"/>
    <w:rsid w:val="00DA65AC"/>
    <w:rsid w:val="00DB1913"/>
    <w:rsid w:val="00DC410D"/>
    <w:rsid w:val="00DC5A81"/>
    <w:rsid w:val="00DC68CA"/>
    <w:rsid w:val="00DC7CBA"/>
    <w:rsid w:val="00DD73B7"/>
    <w:rsid w:val="00DF28BC"/>
    <w:rsid w:val="00DF34B9"/>
    <w:rsid w:val="00E01053"/>
    <w:rsid w:val="00E07ACF"/>
    <w:rsid w:val="00E331A1"/>
    <w:rsid w:val="00E33202"/>
    <w:rsid w:val="00E336A9"/>
    <w:rsid w:val="00E472B1"/>
    <w:rsid w:val="00E50624"/>
    <w:rsid w:val="00E54633"/>
    <w:rsid w:val="00E568DF"/>
    <w:rsid w:val="00E64269"/>
    <w:rsid w:val="00E82267"/>
    <w:rsid w:val="00E853CE"/>
    <w:rsid w:val="00E867B6"/>
    <w:rsid w:val="00EA010F"/>
    <w:rsid w:val="00ED1B63"/>
    <w:rsid w:val="00ED3C1F"/>
    <w:rsid w:val="00ED4085"/>
    <w:rsid w:val="00ED420E"/>
    <w:rsid w:val="00ED6FBE"/>
    <w:rsid w:val="00EE2F57"/>
    <w:rsid w:val="00EF4C34"/>
    <w:rsid w:val="00EF77C6"/>
    <w:rsid w:val="00F05438"/>
    <w:rsid w:val="00F1361C"/>
    <w:rsid w:val="00F156F0"/>
    <w:rsid w:val="00F160C7"/>
    <w:rsid w:val="00F2408F"/>
    <w:rsid w:val="00F240E9"/>
    <w:rsid w:val="00F36D8F"/>
    <w:rsid w:val="00F417B1"/>
    <w:rsid w:val="00F45853"/>
    <w:rsid w:val="00F602DF"/>
    <w:rsid w:val="00F754A1"/>
    <w:rsid w:val="00F81FD9"/>
    <w:rsid w:val="00F841AA"/>
    <w:rsid w:val="00F84A94"/>
    <w:rsid w:val="00F87E96"/>
    <w:rsid w:val="00FA23E8"/>
    <w:rsid w:val="00FD3CC1"/>
    <w:rsid w:val="00FF1E02"/>
    <w:rsid w:val="00FF30B4"/>
    <w:rsid w:val="012A5EC2"/>
    <w:rsid w:val="015975B8"/>
    <w:rsid w:val="020E6495"/>
    <w:rsid w:val="02FEBE30"/>
    <w:rsid w:val="04916F1E"/>
    <w:rsid w:val="061E35DE"/>
    <w:rsid w:val="066E0107"/>
    <w:rsid w:val="07996F6E"/>
    <w:rsid w:val="07DFD8BA"/>
    <w:rsid w:val="09867E8F"/>
    <w:rsid w:val="0A2032A3"/>
    <w:rsid w:val="0CA8290A"/>
    <w:rsid w:val="0D35B1ED"/>
    <w:rsid w:val="0E254B6B"/>
    <w:rsid w:val="0F98263C"/>
    <w:rsid w:val="101860EC"/>
    <w:rsid w:val="101F47CC"/>
    <w:rsid w:val="10C055FF"/>
    <w:rsid w:val="11694EBD"/>
    <w:rsid w:val="11772AA4"/>
    <w:rsid w:val="118107EC"/>
    <w:rsid w:val="12E24EE2"/>
    <w:rsid w:val="13082622"/>
    <w:rsid w:val="13D50BC4"/>
    <w:rsid w:val="14B17F78"/>
    <w:rsid w:val="165E0673"/>
    <w:rsid w:val="16B831D5"/>
    <w:rsid w:val="16BB723D"/>
    <w:rsid w:val="17E50567"/>
    <w:rsid w:val="186504BB"/>
    <w:rsid w:val="19A445FC"/>
    <w:rsid w:val="1BE8440E"/>
    <w:rsid w:val="1D155CEE"/>
    <w:rsid w:val="1D1638FE"/>
    <w:rsid w:val="1E312DEB"/>
    <w:rsid w:val="1E740ACF"/>
    <w:rsid w:val="1FF35744"/>
    <w:rsid w:val="1FF6BC77"/>
    <w:rsid w:val="2186353C"/>
    <w:rsid w:val="23860B96"/>
    <w:rsid w:val="240371BF"/>
    <w:rsid w:val="244F3473"/>
    <w:rsid w:val="24C97D99"/>
    <w:rsid w:val="25A718F0"/>
    <w:rsid w:val="25BB59F6"/>
    <w:rsid w:val="260F557C"/>
    <w:rsid w:val="26970054"/>
    <w:rsid w:val="281408E2"/>
    <w:rsid w:val="29FD04D3"/>
    <w:rsid w:val="2A130CFE"/>
    <w:rsid w:val="2BFF7BC6"/>
    <w:rsid w:val="2C8A61B5"/>
    <w:rsid w:val="2DF04E50"/>
    <w:rsid w:val="2E586DFA"/>
    <w:rsid w:val="2F040D46"/>
    <w:rsid w:val="2F6B035B"/>
    <w:rsid w:val="2FAE5751"/>
    <w:rsid w:val="2FB1A395"/>
    <w:rsid w:val="2FD9A7D8"/>
    <w:rsid w:val="2FDBF714"/>
    <w:rsid w:val="30AB6865"/>
    <w:rsid w:val="313B5CA5"/>
    <w:rsid w:val="319F7F4E"/>
    <w:rsid w:val="32BD1EF1"/>
    <w:rsid w:val="3304709D"/>
    <w:rsid w:val="33A773CB"/>
    <w:rsid w:val="349D6851"/>
    <w:rsid w:val="36AA5135"/>
    <w:rsid w:val="36BE0DA7"/>
    <w:rsid w:val="376B6AA6"/>
    <w:rsid w:val="376D39B2"/>
    <w:rsid w:val="37A84573"/>
    <w:rsid w:val="37E16F03"/>
    <w:rsid w:val="37F53A3B"/>
    <w:rsid w:val="389B6C89"/>
    <w:rsid w:val="38D469F0"/>
    <w:rsid w:val="39627CCD"/>
    <w:rsid w:val="397BAF1F"/>
    <w:rsid w:val="3AB79AF3"/>
    <w:rsid w:val="3AE834C0"/>
    <w:rsid w:val="3B7EF35A"/>
    <w:rsid w:val="3B9FDB6C"/>
    <w:rsid w:val="3BF5BC2F"/>
    <w:rsid w:val="3CEBA265"/>
    <w:rsid w:val="3D98207C"/>
    <w:rsid w:val="3DEE7CF3"/>
    <w:rsid w:val="3E740A63"/>
    <w:rsid w:val="3E78745D"/>
    <w:rsid w:val="3EE17838"/>
    <w:rsid w:val="3F55381A"/>
    <w:rsid w:val="3F7F7599"/>
    <w:rsid w:val="3FF4CAE0"/>
    <w:rsid w:val="3FF7B227"/>
    <w:rsid w:val="44E268DA"/>
    <w:rsid w:val="450D13D7"/>
    <w:rsid w:val="45506656"/>
    <w:rsid w:val="486A6C7A"/>
    <w:rsid w:val="49F55291"/>
    <w:rsid w:val="4A627F82"/>
    <w:rsid w:val="4B0E749A"/>
    <w:rsid w:val="4B2477C4"/>
    <w:rsid w:val="4B4F25DA"/>
    <w:rsid w:val="4BE068DB"/>
    <w:rsid w:val="4C081F0A"/>
    <w:rsid w:val="4D577224"/>
    <w:rsid w:val="4DBF1CEB"/>
    <w:rsid w:val="4DF0007C"/>
    <w:rsid w:val="4EAB630A"/>
    <w:rsid w:val="4EB00DA6"/>
    <w:rsid w:val="4ECE2238"/>
    <w:rsid w:val="4F833267"/>
    <w:rsid w:val="4FE9BD67"/>
    <w:rsid w:val="4FFB052F"/>
    <w:rsid w:val="537E6D0A"/>
    <w:rsid w:val="53F74C96"/>
    <w:rsid w:val="55170BA8"/>
    <w:rsid w:val="553218C9"/>
    <w:rsid w:val="5667773A"/>
    <w:rsid w:val="567E1AA5"/>
    <w:rsid w:val="56E47B74"/>
    <w:rsid w:val="57175D52"/>
    <w:rsid w:val="57BD3DD4"/>
    <w:rsid w:val="5AF92295"/>
    <w:rsid w:val="5B250254"/>
    <w:rsid w:val="5BDD79E6"/>
    <w:rsid w:val="5BF561CA"/>
    <w:rsid w:val="5BFF5DFC"/>
    <w:rsid w:val="5CAC240C"/>
    <w:rsid w:val="5CD71FC4"/>
    <w:rsid w:val="5D1F11B5"/>
    <w:rsid w:val="5D695134"/>
    <w:rsid w:val="5DAE1B18"/>
    <w:rsid w:val="5DE7D9E5"/>
    <w:rsid w:val="5ECEC941"/>
    <w:rsid w:val="5FBF9FF3"/>
    <w:rsid w:val="5FCD4E2C"/>
    <w:rsid w:val="5FEF394A"/>
    <w:rsid w:val="5FF0124B"/>
    <w:rsid w:val="5FF67715"/>
    <w:rsid w:val="62BF3928"/>
    <w:rsid w:val="63B3701E"/>
    <w:rsid w:val="647F5392"/>
    <w:rsid w:val="65E66580"/>
    <w:rsid w:val="664B1D71"/>
    <w:rsid w:val="664B4E8E"/>
    <w:rsid w:val="67277B67"/>
    <w:rsid w:val="67AA3209"/>
    <w:rsid w:val="698D0931"/>
    <w:rsid w:val="6A7FE5F3"/>
    <w:rsid w:val="6B053271"/>
    <w:rsid w:val="6BDD78B3"/>
    <w:rsid w:val="6C13637C"/>
    <w:rsid w:val="6C4A05C8"/>
    <w:rsid w:val="6C8742B8"/>
    <w:rsid w:val="6DBF5E93"/>
    <w:rsid w:val="6DFF077E"/>
    <w:rsid w:val="6E714EF0"/>
    <w:rsid w:val="6E7E3605"/>
    <w:rsid w:val="6E7FDCC7"/>
    <w:rsid w:val="6ED6A62E"/>
    <w:rsid w:val="6EE00B15"/>
    <w:rsid w:val="6F6FB3EB"/>
    <w:rsid w:val="6F8731EA"/>
    <w:rsid w:val="6FCE6052"/>
    <w:rsid w:val="6FD57C00"/>
    <w:rsid w:val="6FEFFFD8"/>
    <w:rsid w:val="6FF5CC65"/>
    <w:rsid w:val="6FFB47EC"/>
    <w:rsid w:val="6FFF034A"/>
    <w:rsid w:val="70484440"/>
    <w:rsid w:val="712A28F1"/>
    <w:rsid w:val="715C0E4B"/>
    <w:rsid w:val="71992E7C"/>
    <w:rsid w:val="72233669"/>
    <w:rsid w:val="72734D90"/>
    <w:rsid w:val="73160E6D"/>
    <w:rsid w:val="7332FE48"/>
    <w:rsid w:val="73AB61DA"/>
    <w:rsid w:val="73AD73D5"/>
    <w:rsid w:val="73B6EB34"/>
    <w:rsid w:val="73FA497D"/>
    <w:rsid w:val="744731E5"/>
    <w:rsid w:val="74BBD01D"/>
    <w:rsid w:val="74ED5379"/>
    <w:rsid w:val="75DEEEC2"/>
    <w:rsid w:val="75E32345"/>
    <w:rsid w:val="76E3355F"/>
    <w:rsid w:val="76FF5125"/>
    <w:rsid w:val="776F6FFA"/>
    <w:rsid w:val="778769C8"/>
    <w:rsid w:val="77A75DCA"/>
    <w:rsid w:val="77DC22F5"/>
    <w:rsid w:val="783E271A"/>
    <w:rsid w:val="78616DE9"/>
    <w:rsid w:val="78E875D7"/>
    <w:rsid w:val="79086DAD"/>
    <w:rsid w:val="79D7FD79"/>
    <w:rsid w:val="79EE5BA4"/>
    <w:rsid w:val="7A894339"/>
    <w:rsid w:val="7AD284E8"/>
    <w:rsid w:val="7AFF7572"/>
    <w:rsid w:val="7B6C7DFB"/>
    <w:rsid w:val="7BBFBED0"/>
    <w:rsid w:val="7BC3E394"/>
    <w:rsid w:val="7C1F3737"/>
    <w:rsid w:val="7CBFC87B"/>
    <w:rsid w:val="7CFE0F48"/>
    <w:rsid w:val="7D272ABC"/>
    <w:rsid w:val="7D7EC23E"/>
    <w:rsid w:val="7E8ADEBF"/>
    <w:rsid w:val="7EEF11D3"/>
    <w:rsid w:val="7EFE4840"/>
    <w:rsid w:val="7F0971A6"/>
    <w:rsid w:val="7F1D62E7"/>
    <w:rsid w:val="7F3F679B"/>
    <w:rsid w:val="7F4FC4EF"/>
    <w:rsid w:val="7F5E4D54"/>
    <w:rsid w:val="7F6E0135"/>
    <w:rsid w:val="7F79F205"/>
    <w:rsid w:val="7FA30C79"/>
    <w:rsid w:val="7FA79C44"/>
    <w:rsid w:val="7FAF8ABF"/>
    <w:rsid w:val="7FB7269E"/>
    <w:rsid w:val="7FC96657"/>
    <w:rsid w:val="7FDA9588"/>
    <w:rsid w:val="7FDF220F"/>
    <w:rsid w:val="7FEDC5F7"/>
    <w:rsid w:val="7FEDD9DE"/>
    <w:rsid w:val="7FF5890D"/>
    <w:rsid w:val="7FF93490"/>
    <w:rsid w:val="99FF2014"/>
    <w:rsid w:val="A6DD0D7F"/>
    <w:rsid w:val="ACFF4FBB"/>
    <w:rsid w:val="ADC6F725"/>
    <w:rsid w:val="B7CF06AB"/>
    <w:rsid w:val="B7CFA926"/>
    <w:rsid w:val="B7F8786B"/>
    <w:rsid w:val="BABB6AA1"/>
    <w:rsid w:val="BB2F4199"/>
    <w:rsid w:val="BCFFB442"/>
    <w:rsid w:val="BD079C78"/>
    <w:rsid w:val="BD733540"/>
    <w:rsid w:val="BF3735D5"/>
    <w:rsid w:val="BF7F09AC"/>
    <w:rsid w:val="BFD475C3"/>
    <w:rsid w:val="BFDE5EA6"/>
    <w:rsid w:val="CF6FC6F3"/>
    <w:rsid w:val="CFD3D3D7"/>
    <w:rsid w:val="CFDF1009"/>
    <w:rsid w:val="D7D7B16A"/>
    <w:rsid w:val="D8D6DB89"/>
    <w:rsid w:val="DB6F4CAB"/>
    <w:rsid w:val="DB777682"/>
    <w:rsid w:val="DD1FB521"/>
    <w:rsid w:val="DEFBFEAE"/>
    <w:rsid w:val="DF1F3B80"/>
    <w:rsid w:val="DF6F9789"/>
    <w:rsid w:val="DFE9BE81"/>
    <w:rsid w:val="DFFFA9E8"/>
    <w:rsid w:val="E5F4E9DC"/>
    <w:rsid w:val="E70FE695"/>
    <w:rsid w:val="EB2E368B"/>
    <w:rsid w:val="ECFED1BC"/>
    <w:rsid w:val="ED1D69BB"/>
    <w:rsid w:val="ED7FD312"/>
    <w:rsid w:val="EF2E1AC6"/>
    <w:rsid w:val="EF53993F"/>
    <w:rsid w:val="EF6FD633"/>
    <w:rsid w:val="EFBFB2F4"/>
    <w:rsid w:val="EFBFFA21"/>
    <w:rsid w:val="F2BEBCB8"/>
    <w:rsid w:val="F36FB518"/>
    <w:rsid w:val="F3DE1A04"/>
    <w:rsid w:val="F3F722E5"/>
    <w:rsid w:val="F4FBCD07"/>
    <w:rsid w:val="FA5F1E70"/>
    <w:rsid w:val="FA5FDB97"/>
    <w:rsid w:val="FB7F486A"/>
    <w:rsid w:val="FBFF5B2E"/>
    <w:rsid w:val="FD7FFE2B"/>
    <w:rsid w:val="FDEE196B"/>
    <w:rsid w:val="FDFE6575"/>
    <w:rsid w:val="FEDFDDC2"/>
    <w:rsid w:val="FEED32F6"/>
    <w:rsid w:val="FEF781DD"/>
    <w:rsid w:val="FF3F7E3F"/>
    <w:rsid w:val="FFBA12D7"/>
    <w:rsid w:val="FFCBD314"/>
    <w:rsid w:val="FFDFF91C"/>
    <w:rsid w:val="FFDFFAEE"/>
    <w:rsid w:val="FFEF6777"/>
    <w:rsid w:val="FFF9B57B"/>
    <w:rsid w:val="FFFD61D9"/>
    <w:rsid w:val="FFFD8F59"/>
    <w:rsid w:val="FFFF2BB1"/>
    <w:rsid w:val="FFFFB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nhideWhenUsed="0" w:uiPriority="0" w:name="footnote text"/>
    <w:lsdException w:qFormat="1" w:uiPriority="99" w:name="annotation text"/>
    <w:lsdException w:qFormat="1" w:unhideWhenUsed="0" w:uiPriority="99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99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5">
    <w:name w:val="heading 1"/>
    <w:basedOn w:val="1"/>
    <w:next w:val="1"/>
    <w:link w:val="30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6">
    <w:name w:val="heading 2"/>
    <w:basedOn w:val="1"/>
    <w:next w:val="1"/>
    <w:link w:val="31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7">
    <w:name w:val="heading 3"/>
    <w:basedOn w:val="1"/>
    <w:next w:val="1"/>
    <w:link w:val="34"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8">
    <w:name w:val="Default Paragraph Font"/>
    <w:semiHidden/>
    <w:unhideWhenUsed/>
    <w:qFormat/>
    <w:uiPriority w:val="1"/>
  </w:style>
  <w:style w:type="table" w:default="1" w:styleId="1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next w:val="3"/>
    <w:semiHidden/>
    <w:qFormat/>
    <w:uiPriority w:val="0"/>
    <w:pPr>
      <w:snapToGrid w:val="0"/>
      <w:jc w:val="left"/>
    </w:pPr>
    <w:rPr>
      <w:sz w:val="18"/>
      <w:szCs w:val="18"/>
    </w:rPr>
  </w:style>
  <w:style w:type="paragraph" w:styleId="3">
    <w:name w:val="Body Text First Indent 2"/>
    <w:basedOn w:val="4"/>
    <w:unhideWhenUsed/>
    <w:qFormat/>
    <w:uiPriority w:val="99"/>
    <w:pPr>
      <w:ind w:firstLine="420" w:firstLineChars="200"/>
    </w:pPr>
  </w:style>
  <w:style w:type="paragraph" w:styleId="4">
    <w:name w:val="Body Text Indent"/>
    <w:basedOn w:val="1"/>
    <w:next w:val="3"/>
    <w:qFormat/>
    <w:uiPriority w:val="0"/>
    <w:pPr>
      <w:spacing w:after="120"/>
      <w:ind w:left="200" w:leftChars="200"/>
    </w:pPr>
    <w:rPr>
      <w:rFonts w:ascii="仿宋_GB2312"/>
      <w:szCs w:val="32"/>
    </w:rPr>
  </w:style>
  <w:style w:type="paragraph" w:styleId="8">
    <w:name w:val="annotation text"/>
    <w:basedOn w:val="1"/>
    <w:semiHidden/>
    <w:unhideWhenUsed/>
    <w:qFormat/>
    <w:uiPriority w:val="99"/>
    <w:pPr>
      <w:jc w:val="left"/>
    </w:pPr>
  </w:style>
  <w:style w:type="paragraph" w:styleId="9">
    <w:name w:val="Body Text"/>
    <w:basedOn w:val="1"/>
    <w:link w:val="27"/>
    <w:qFormat/>
    <w:uiPriority w:val="99"/>
    <w:pPr>
      <w:spacing w:beforeLines="30"/>
    </w:pPr>
    <w:rPr>
      <w:rFonts w:ascii="仿宋_GB2312" w:eastAsia="仿宋_GB2312"/>
      <w:kern w:val="0"/>
      <w:sz w:val="30"/>
    </w:rPr>
  </w:style>
  <w:style w:type="paragraph" w:styleId="10">
    <w:name w:val="toc 3"/>
    <w:basedOn w:val="1"/>
    <w:next w:val="1"/>
    <w:unhideWhenUsed/>
    <w:qFormat/>
    <w:uiPriority w:val="39"/>
    <w:pPr>
      <w:tabs>
        <w:tab w:val="right" w:leader="dot" w:pos="8296"/>
      </w:tabs>
      <w:ind w:left="840" w:leftChars="400"/>
    </w:pPr>
  </w:style>
  <w:style w:type="paragraph" w:styleId="11">
    <w:name w:val="Balloon Text"/>
    <w:basedOn w:val="1"/>
    <w:link w:val="33"/>
    <w:semiHidden/>
    <w:unhideWhenUsed/>
    <w:qFormat/>
    <w:uiPriority w:val="99"/>
    <w:rPr>
      <w:sz w:val="18"/>
      <w:szCs w:val="18"/>
    </w:rPr>
  </w:style>
  <w:style w:type="paragraph" w:styleId="12">
    <w:name w:val="footer"/>
    <w:basedOn w:val="1"/>
    <w:link w:val="25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kern w:val="0"/>
      <w:sz w:val="18"/>
      <w:szCs w:val="18"/>
    </w:rPr>
  </w:style>
  <w:style w:type="paragraph" w:styleId="13">
    <w:name w:val="header"/>
    <w:basedOn w:val="1"/>
    <w:link w:val="23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kern w:val="0"/>
      <w:sz w:val="18"/>
      <w:szCs w:val="18"/>
    </w:rPr>
  </w:style>
  <w:style w:type="paragraph" w:styleId="14">
    <w:name w:val="toc 1"/>
    <w:basedOn w:val="1"/>
    <w:next w:val="1"/>
    <w:unhideWhenUsed/>
    <w:qFormat/>
    <w:uiPriority w:val="39"/>
    <w:pPr>
      <w:tabs>
        <w:tab w:val="right" w:leader="dot" w:pos="8296"/>
      </w:tabs>
      <w:spacing w:before="93"/>
      <w:jc w:val="center"/>
    </w:pPr>
    <w:rPr>
      <w:rFonts w:ascii="仿宋" w:hAnsi="仿宋" w:eastAsia="仿宋"/>
      <w:sz w:val="28"/>
      <w:szCs w:val="28"/>
    </w:rPr>
  </w:style>
  <w:style w:type="paragraph" w:styleId="15">
    <w:name w:val="toc 2"/>
    <w:basedOn w:val="1"/>
    <w:next w:val="1"/>
    <w:unhideWhenUsed/>
    <w:qFormat/>
    <w:uiPriority w:val="39"/>
    <w:pPr>
      <w:tabs>
        <w:tab w:val="right" w:leader="dot" w:pos="8296"/>
      </w:tabs>
      <w:ind w:left="420" w:leftChars="200"/>
    </w:pPr>
  </w:style>
  <w:style w:type="paragraph" w:styleId="16">
    <w:name w:val="Normal (Web)"/>
    <w:basedOn w:val="1"/>
    <w:semiHidden/>
    <w:unhideWhenUsed/>
    <w:qFormat/>
    <w:uiPriority w:val="99"/>
    <w:rPr>
      <w:sz w:val="24"/>
    </w:rPr>
  </w:style>
  <w:style w:type="character" w:styleId="19">
    <w:name w:val="Strong"/>
    <w:basedOn w:val="18"/>
    <w:qFormat/>
    <w:uiPriority w:val="99"/>
    <w:rPr>
      <w:b/>
    </w:rPr>
  </w:style>
  <w:style w:type="character" w:styleId="20">
    <w:name w:val="Hyperlink"/>
    <w:basedOn w:val="18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customStyle="1" w:styleId="21">
    <w:name w:val="标题 5（有编号）（绿盟科技）"/>
    <w:next w:val="1"/>
    <w:qFormat/>
    <w:uiPriority w:val="99"/>
    <w:pPr>
      <w:keepNext/>
      <w:keepLines/>
      <w:widowControl w:val="0"/>
      <w:spacing w:before="280" w:after="156" w:line="377" w:lineRule="auto"/>
      <w:outlineLvl w:val="4"/>
    </w:pPr>
    <w:rPr>
      <w:rFonts w:ascii="Arial" w:hAnsi="Arial" w:eastAsia="黑体" w:cs="Times New Roman"/>
      <w:b/>
      <w:kern w:val="2"/>
      <w:sz w:val="24"/>
      <w:szCs w:val="28"/>
      <w:lang w:val="en-US" w:eastAsia="zh-CN" w:bidi="ar-SA"/>
    </w:rPr>
  </w:style>
  <w:style w:type="character" w:customStyle="1" w:styleId="22">
    <w:name w:val="Header Char"/>
    <w:basedOn w:val="18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23">
    <w:name w:val="页眉 Char"/>
    <w:link w:val="13"/>
    <w:semiHidden/>
    <w:qFormat/>
    <w:locked/>
    <w:uiPriority w:val="99"/>
    <w:rPr>
      <w:sz w:val="18"/>
    </w:rPr>
  </w:style>
  <w:style w:type="character" w:customStyle="1" w:styleId="24">
    <w:name w:val="Footer Char"/>
    <w:basedOn w:val="18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25">
    <w:name w:val="页脚 Char"/>
    <w:link w:val="12"/>
    <w:qFormat/>
    <w:locked/>
    <w:uiPriority w:val="99"/>
    <w:rPr>
      <w:sz w:val="18"/>
    </w:rPr>
  </w:style>
  <w:style w:type="character" w:customStyle="1" w:styleId="26">
    <w:name w:val="Body Text Char"/>
    <w:basedOn w:val="18"/>
    <w:semiHidden/>
    <w:qFormat/>
    <w:uiPriority w:val="99"/>
    <w:rPr>
      <w:rFonts w:ascii="Times New Roman" w:hAnsi="Times New Roman"/>
      <w:szCs w:val="24"/>
    </w:rPr>
  </w:style>
  <w:style w:type="character" w:customStyle="1" w:styleId="27">
    <w:name w:val="正文文本 Char"/>
    <w:link w:val="9"/>
    <w:qFormat/>
    <w:locked/>
    <w:uiPriority w:val="99"/>
    <w:rPr>
      <w:rFonts w:ascii="仿宋_GB2312" w:hAnsi="Times New Roman" w:eastAsia="仿宋_GB2312"/>
      <w:sz w:val="24"/>
    </w:rPr>
  </w:style>
  <w:style w:type="paragraph" w:customStyle="1" w:styleId="28">
    <w:name w:val="Default"/>
    <w:qFormat/>
    <w:uiPriority w:val="99"/>
    <w:pPr>
      <w:widowControl w:val="0"/>
      <w:autoSpaceDE w:val="0"/>
      <w:autoSpaceDN w:val="0"/>
      <w:adjustRightInd w:val="0"/>
    </w:pPr>
    <w:rPr>
      <w:rFonts w:ascii="仿宋" w:hAnsi="Calibri" w:eastAsia="仿宋" w:cs="仿宋"/>
      <w:color w:val="000000"/>
      <w:sz w:val="24"/>
      <w:szCs w:val="24"/>
      <w:lang w:val="en-US" w:eastAsia="zh-CN" w:bidi="ar-SA"/>
    </w:rPr>
  </w:style>
  <w:style w:type="paragraph" w:styleId="29">
    <w:name w:val="List Paragraph"/>
    <w:basedOn w:val="1"/>
    <w:qFormat/>
    <w:uiPriority w:val="34"/>
    <w:pPr>
      <w:ind w:firstLine="420" w:firstLineChars="200"/>
    </w:pPr>
  </w:style>
  <w:style w:type="character" w:customStyle="1" w:styleId="30">
    <w:name w:val="标题 1 Char"/>
    <w:basedOn w:val="18"/>
    <w:link w:val="5"/>
    <w:qFormat/>
    <w:uiPriority w:val="9"/>
    <w:rPr>
      <w:rFonts w:ascii="Times New Roman" w:hAnsi="Times New Roman"/>
      <w:b/>
      <w:bCs/>
      <w:kern w:val="44"/>
      <w:sz w:val="44"/>
      <w:szCs w:val="44"/>
    </w:rPr>
  </w:style>
  <w:style w:type="character" w:customStyle="1" w:styleId="31">
    <w:name w:val="标题 2 Char"/>
    <w:basedOn w:val="18"/>
    <w:link w:val="6"/>
    <w:qFormat/>
    <w:uiPriority w:val="9"/>
    <w:rPr>
      <w:rFonts w:asciiTheme="majorHAnsi" w:hAnsiTheme="majorHAnsi" w:eastAsiaTheme="majorEastAsia" w:cstheme="majorBidi"/>
      <w:b/>
      <w:bCs/>
      <w:kern w:val="2"/>
      <w:sz w:val="32"/>
      <w:szCs w:val="32"/>
    </w:rPr>
  </w:style>
  <w:style w:type="paragraph" w:customStyle="1" w:styleId="32">
    <w:name w:val="TOC 标题1"/>
    <w:basedOn w:val="5"/>
    <w:next w:val="1"/>
    <w:unhideWhenUsed/>
    <w:qFormat/>
    <w:uiPriority w:val="39"/>
    <w:pPr>
      <w:widowControl/>
      <w:spacing w:before="480" w:after="0" w:line="276" w:lineRule="auto"/>
      <w:jc w:val="left"/>
      <w:outlineLvl w:val="9"/>
    </w:pPr>
    <w:rPr>
      <w:rFonts w:asciiTheme="majorHAnsi" w:hAnsiTheme="majorHAnsi" w:eastAsiaTheme="majorEastAsia" w:cstheme="majorBidi"/>
      <w:color w:val="376092" w:themeColor="accent1" w:themeShade="BF"/>
      <w:kern w:val="0"/>
      <w:sz w:val="28"/>
      <w:szCs w:val="28"/>
    </w:rPr>
  </w:style>
  <w:style w:type="character" w:customStyle="1" w:styleId="33">
    <w:name w:val="批注框文本 Char"/>
    <w:basedOn w:val="18"/>
    <w:link w:val="11"/>
    <w:semiHidden/>
    <w:qFormat/>
    <w:uiPriority w:val="99"/>
    <w:rPr>
      <w:rFonts w:ascii="Times New Roman" w:hAnsi="Times New Roman"/>
      <w:kern w:val="2"/>
      <w:sz w:val="18"/>
      <w:szCs w:val="18"/>
    </w:rPr>
  </w:style>
  <w:style w:type="character" w:customStyle="1" w:styleId="34">
    <w:name w:val="标题 3 Char"/>
    <w:basedOn w:val="18"/>
    <w:link w:val="7"/>
    <w:qFormat/>
    <w:uiPriority w:val="9"/>
    <w:rPr>
      <w:rFonts w:ascii="Times New Roman" w:hAnsi="Times New Roman"/>
      <w:b/>
      <w:bCs/>
      <w:kern w:val="2"/>
      <w:sz w:val="32"/>
      <w:szCs w:val="32"/>
    </w:rPr>
  </w:style>
  <w:style w:type="paragraph" w:customStyle="1" w:styleId="35">
    <w:name w:val="TOC 标题2"/>
    <w:basedOn w:val="5"/>
    <w:next w:val="1"/>
    <w:unhideWhenUsed/>
    <w:qFormat/>
    <w:uiPriority w:val="39"/>
    <w:pPr>
      <w:widowControl/>
      <w:spacing w:before="480" w:after="0" w:line="276" w:lineRule="auto"/>
      <w:jc w:val="left"/>
      <w:outlineLvl w:val="9"/>
    </w:pPr>
    <w:rPr>
      <w:rFonts w:asciiTheme="majorHAnsi" w:hAnsiTheme="majorHAnsi" w:eastAsiaTheme="majorEastAsia" w:cstheme="majorBidi"/>
      <w:color w:val="376092" w:themeColor="accent1" w:themeShade="BF"/>
      <w:kern w:val="0"/>
      <w:sz w:val="28"/>
      <w:szCs w:val="28"/>
    </w:rPr>
  </w:style>
  <w:style w:type="paragraph" w:customStyle="1" w:styleId="36">
    <w:name w:val="四号正文"/>
    <w:basedOn w:val="1"/>
    <w:qFormat/>
    <w:uiPriority w:val="0"/>
    <w:pPr>
      <w:spacing w:line="360" w:lineRule="auto"/>
    </w:pPr>
    <w:rPr>
      <w:rFonts w:ascii="??" w:hAnsi="??"/>
      <w:color w:val="000000"/>
      <w:kern w:val="0"/>
      <w:sz w:val="28"/>
      <w:szCs w:val="21"/>
      <w:lang w:val="zh-C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6.xml"/><Relationship Id="rId8" Type="http://schemas.openxmlformats.org/officeDocument/2006/relationships/footer" Target="footer5.xml"/><Relationship Id="rId7" Type="http://schemas.openxmlformats.org/officeDocument/2006/relationships/footer" Target="footer4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0" Type="http://schemas.openxmlformats.org/officeDocument/2006/relationships/fontTable" Target="fontTable.xml"/><Relationship Id="rId2" Type="http://schemas.openxmlformats.org/officeDocument/2006/relationships/settings" Target="settings.xml"/><Relationship Id="rId19" Type="http://schemas.openxmlformats.org/officeDocument/2006/relationships/numbering" Target="numbering.xml"/><Relationship Id="rId18" Type="http://schemas.openxmlformats.org/officeDocument/2006/relationships/customXml" Target="../customXml/item1.xml"/><Relationship Id="rId17" Type="http://schemas.openxmlformats.org/officeDocument/2006/relationships/chart" Target="charts/chart6.xml"/><Relationship Id="rId16" Type="http://schemas.openxmlformats.org/officeDocument/2006/relationships/chart" Target="charts/chart5.xml"/><Relationship Id="rId15" Type="http://schemas.openxmlformats.org/officeDocument/2006/relationships/chart" Target="charts/chart4.xml"/><Relationship Id="rId14" Type="http://schemas.openxmlformats.org/officeDocument/2006/relationships/chart" Target="charts/chart3.xml"/><Relationship Id="rId13" Type="http://schemas.openxmlformats.org/officeDocument/2006/relationships/chart" Target="charts/chart2.xml"/><Relationship Id="rId12" Type="http://schemas.openxmlformats.org/officeDocument/2006/relationships/chart" Target="charts/chart1.xml"/><Relationship Id="rId11" Type="http://schemas.openxmlformats.org/officeDocument/2006/relationships/theme" Target="theme/theme1.xml"/><Relationship Id="rId10" Type="http://schemas.openxmlformats.org/officeDocument/2006/relationships/footer" Target="footer7.xml"/><Relationship Id="rId1" Type="http://schemas.openxmlformats.org/officeDocument/2006/relationships/styles" Target="styles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3.xml"/><Relationship Id="rId1" Type="http://schemas.openxmlformats.org/officeDocument/2006/relationships/oleObject" Target="file:///E:\2024&#36164;&#26009;\2023&#24180;&#20915;&#36187;&#20844;&#24320;\&#24037;&#20316;&#31807;1.xlsx" TargetMode="External"/></Relationships>
</file>

<file path=word/charts/_rels/chart2.xml.rels><?xml version="1.0" encoding="UTF-8" standalone="yes"?>
<Relationships xmlns="http://schemas.openxmlformats.org/package/2006/relationships"><Relationship Id="rId3" Type="http://schemas.microsoft.com/office/2011/relationships/chartColorStyle" Target="colors2.xml"/><Relationship Id="rId2" Type="http://schemas.microsoft.com/office/2011/relationships/chartStyle" Target="style2.xml"/><Relationship Id="rId1" Type="http://schemas.openxmlformats.org/officeDocument/2006/relationships/oleObject" Target="file:///E:\2024&#36164;&#26009;\2023&#24180;&#20915;&#36187;&#20844;&#24320;\&#24037;&#20316;&#31807;1.xlsx" TargetMode="External"/></Relationships>
</file>

<file path=word/charts/_rels/chart3.xml.rels><?xml version="1.0" encoding="UTF-8" standalone="yes"?>
<Relationships xmlns="http://schemas.openxmlformats.org/package/2006/relationships"><Relationship Id="rId3" Type="http://schemas.microsoft.com/office/2011/relationships/chartColorStyle" Target="colors1.xml"/><Relationship Id="rId2" Type="http://schemas.microsoft.com/office/2011/relationships/chartStyle" Target="style1.xml"/><Relationship Id="rId1" Type="http://schemas.openxmlformats.org/officeDocument/2006/relationships/oleObject" Target="file:///E:\2024&#36164;&#26009;\2023&#24180;&#20915;&#36187;&#20844;&#24320;\&#24037;&#20316;&#31807;1.xlsx" TargetMode="External"/></Relationships>
</file>

<file path=word/charts/_rels/chart4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2.xml"/><Relationship Id="rId1" Type="http://schemas.openxmlformats.org/officeDocument/2006/relationships/oleObject" Target="file:///E:\2024&#36164;&#26009;\2023&#24180;&#20915;&#36187;&#20844;&#24320;\&#24037;&#20316;&#31807;1.xlsx" TargetMode="External"/></Relationships>
</file>

<file path=word/charts/_rels/chart5.xml.rels><?xml version="1.0" encoding="UTF-8" standalone="yes"?>
<Relationships xmlns="http://schemas.openxmlformats.org/package/2006/relationships"><Relationship Id="rId3" Type="http://schemas.microsoft.com/office/2011/relationships/chartColorStyle" Target="colors3.xml"/><Relationship Id="rId2" Type="http://schemas.microsoft.com/office/2011/relationships/chartStyle" Target="style3.xml"/><Relationship Id="rId1" Type="http://schemas.openxmlformats.org/officeDocument/2006/relationships/oleObject" Target="file:///E:\2024&#36164;&#26009;\2023&#24180;&#20915;&#36187;&#20844;&#24320;\&#24037;&#20316;&#31807;1.xlsx" TargetMode="External"/></Relationships>
</file>

<file path=word/charts/_rels/chart6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oleObject" Target="file:///E:\2024&#36164;&#26009;\2023&#24180;&#20915;&#36187;&#20844;&#24320;\&#24037;&#20316;&#31807;1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1"/>
          <a:lstStyle/>
          <a:p>
            <a:pPr>
              <a:defRPr lang="zh-CN" sz="1800" b="1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r>
              <a:rPr lang="en-US" sz="1400">
                <a:latin typeface="+mj-ea"/>
                <a:ea typeface="+mj-ea"/>
              </a:rPr>
              <a:t>2023</a:t>
            </a:r>
            <a:r>
              <a:rPr lang="zh-CN" sz="1400">
                <a:latin typeface="+mj-ea"/>
                <a:ea typeface="+mj-ea"/>
              </a:rPr>
              <a:t>、</a:t>
            </a:r>
            <a:r>
              <a:rPr lang="en-US" sz="1400">
                <a:latin typeface="+mj-ea"/>
                <a:ea typeface="+mj-ea"/>
              </a:rPr>
              <a:t>2024</a:t>
            </a:r>
            <a:r>
              <a:rPr lang="zh-CN" sz="1400">
                <a:latin typeface="+mj-ea"/>
                <a:ea typeface="+mj-ea"/>
              </a:rPr>
              <a:t>收支决算总计变动</a:t>
            </a:r>
            <a:r>
              <a:rPr lang="zh-CN" altLang="en-US" sz="1400">
                <a:latin typeface="+mj-ea"/>
                <a:ea typeface="+mj-ea"/>
              </a:rPr>
              <a:t>情况</a:t>
            </a:r>
            <a:r>
              <a:rPr lang="zh-CN" sz="1400">
                <a:latin typeface="+mj-ea"/>
                <a:ea typeface="+mj-ea"/>
              </a:rPr>
              <a:t>图</a:t>
            </a:r>
            <a:endParaRPr lang="en-US" sz="1400">
              <a:latin typeface="+mj-ea"/>
              <a:ea typeface="+mj-ea"/>
            </a:endParaRPr>
          </a:p>
        </c:rich>
      </c:tx>
      <c:layout>
        <c:manualLayout>
          <c:xMode val="edge"/>
          <c:yMode val="edge"/>
          <c:x val="0.155356474471898"/>
          <c:y val="0.00529754547059862"/>
        </c:manualLayout>
      </c:layout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[工作簿1.xlsx]Sheet1!$A$32</c:f>
              <c:strCache>
                <c:ptCount val="1"/>
                <c:pt idx="0">
                  <c:v>2024年收支总额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  <c15:leaderLines/>
              </c:ext>
            </c:extLst>
          </c:dLbls>
          <c:cat>
            <c:strRef>
              <c:f>{"收入"}</c:f>
              <c:strCache>
                <c:ptCount val="1"/>
                <c:pt idx="0">
                  <c:v>收入</c:v>
                </c:pt>
              </c:strCache>
            </c:strRef>
          </c:cat>
          <c:val>
            <c:numRef>
              <c:f>[工作簿1.xlsx]Sheet1!$B$32:$C$32</c:f>
              <c:numCache>
                <c:formatCode>General</c:formatCode>
                <c:ptCount val="2"/>
                <c:pt idx="0">
                  <c:v>997.74</c:v>
                </c:pt>
                <c:pt idx="1">
                  <c:v>997.74</c:v>
                </c:pt>
              </c:numCache>
            </c:numRef>
          </c:val>
        </c:ser>
        <c:ser>
          <c:idx val="1"/>
          <c:order val="1"/>
          <c:tx>
            <c:strRef>
              <c:f>[工作簿1.xlsx]Sheet1!$A$33</c:f>
              <c:strCache>
                <c:ptCount val="1"/>
                <c:pt idx="0">
                  <c:v>2023年收支总额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  <c15:leaderLines/>
              </c:ext>
            </c:extLst>
          </c:dLbls>
          <c:cat>
            <c:strRef>
              <c:f>{"收入"}</c:f>
              <c:strCache>
                <c:ptCount val="1"/>
                <c:pt idx="0">
                  <c:v>收入</c:v>
                </c:pt>
              </c:strCache>
            </c:strRef>
          </c:cat>
          <c:val>
            <c:numRef>
              <c:f>[工作簿1.xlsx]Sheet1!$B$33:$C$33</c:f>
              <c:numCache>
                <c:formatCode>General</c:formatCode>
                <c:ptCount val="2"/>
                <c:pt idx="0">
                  <c:v>880.51</c:v>
                </c:pt>
                <c:pt idx="1">
                  <c:v>880.51</c:v>
                </c:pt>
              </c:numCache>
            </c:numRef>
          </c:val>
        </c:ser>
        <c:ser>
          <c:idx val="2"/>
          <c:order val="2"/>
          <c:tx>
            <c:strRef>
              <c:f>"收入"</c:f>
              <c:strCache>
                <c:ptCount val="1"/>
                <c:pt idx="0">
                  <c:v>收入</c:v>
                </c:pt>
              </c:strCache>
            </c:strRef>
          </c:tx>
          <c:invertIfNegative val="0"/>
          <c:dLbls>
            <c:delete val="1"/>
          </c:dLbls>
          <c:cat>
            <c:strRef>
              <c:f>{"收入"}</c:f>
              <c:strCache>
                <c:ptCount val="1"/>
                <c:pt idx="0">
                  <c:v>收入</c:v>
                </c:pt>
              </c:strCache>
            </c:strRef>
          </c:cat>
          <c:val>
            <c:numRef>
              <c:f>{1}</c:f>
              <c:numCache>
                <c:formatCode>General</c:formatCode>
                <c:ptCount val="1"/>
                <c:pt idx="0">
                  <c:v>1</c:v>
                </c:pt>
              </c:numCache>
            </c:numRef>
          </c:val>
        </c:ser>
        <c:ser>
          <c:idx val="3"/>
          <c:order val="3"/>
          <c:tx>
            <c:strRef>
              <c:f>"支出"</c:f>
              <c:strCache>
                <c:ptCount val="1"/>
                <c:pt idx="0">
                  <c:v>支出</c:v>
                </c:pt>
              </c:strCache>
            </c:strRef>
          </c:tx>
          <c:invertIfNegative val="0"/>
          <c:dLbls>
            <c:delete val="1"/>
          </c:dLbls>
          <c:cat>
            <c:strRef>
              <c:f>{"收入"}</c:f>
              <c:strCache>
                <c:ptCount val="1"/>
                <c:pt idx="0">
                  <c:v>收入</c:v>
                </c:pt>
              </c:strCache>
            </c:strRef>
          </c:cat>
          <c:val>
            <c:numRef>
              <c:f>{1}</c:f>
              <c:numCache>
                <c:formatCode>General</c:formatCode>
                <c:ptCount val="1"/>
                <c:pt idx="0">
                  <c:v>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75"/>
        <c:overlap val="-25"/>
        <c:axId val="48398336"/>
        <c:axId val="239219776"/>
      </c:barChart>
      <c:catAx>
        <c:axId val="4839833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txPr>
          <a:bodyPr rot="-60000000" spcFirstLastPara="0" vertOverflow="ellipsis" vert="horz" wrap="square" anchor="ctr" anchorCtr="1"/>
          <a:lstStyle/>
          <a:p>
            <a:pPr>
              <a:defRPr lang="zh-CN"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</a:p>
        </c:txPr>
        <c:crossAx val="239219776"/>
        <c:crosses val="autoZero"/>
        <c:auto val="1"/>
        <c:lblAlgn val="ctr"/>
        <c:lblOffset val="100"/>
        <c:noMultiLvlLbl val="0"/>
      </c:catAx>
      <c:valAx>
        <c:axId val="239219776"/>
        <c:scaling>
          <c:orientation val="minMax"/>
        </c:scaling>
        <c:delete val="0"/>
        <c:axPos val="l"/>
        <c:majorGridlines/>
        <c:numFmt formatCode="General" sourceLinked="1"/>
        <c:majorTickMark val="none"/>
        <c:minorTickMark val="none"/>
        <c:tickLblPos val="nextTo"/>
        <c:txPr>
          <a:bodyPr rot="-60000000" spcFirstLastPara="0" vertOverflow="ellipsis" vert="horz" wrap="square" anchor="ctr" anchorCtr="1"/>
          <a:lstStyle/>
          <a:p>
            <a:pPr>
              <a:defRPr lang="zh-CN"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</a:p>
        </c:txPr>
        <c:crossAx val="48398336"/>
        <c:crosses val="autoZero"/>
        <c:crossBetween val="between"/>
      </c:valAx>
    </c:plotArea>
    <c:legend>
      <c:legendPos val="b"/>
      <c:legendEntry>
        <c:idx val="2"/>
        <c:delete val="1"/>
      </c:legendEntry>
      <c:legendEntry>
        <c:idx val="3"/>
        <c:delete val="1"/>
      </c:legendEntry>
      <c:layout/>
      <c:overlay val="0"/>
      <c:txPr>
        <a:bodyPr rot="0" spcFirstLastPara="0" vertOverflow="ellipsis" vert="horz" wrap="square" anchor="ctr" anchorCtr="1"/>
        <a:lstStyle/>
        <a:p>
          <a:pPr>
            <a:defRPr lang="zh-CN" sz="1000" b="0" i="0" u="none" strike="noStrike" kern="1200" baseline="0">
              <a:solidFill>
                <a:schemeClr val="tx1"/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</c:chart>
  <c:txPr>
    <a:bodyPr/>
    <a:lstStyle/>
    <a:p>
      <a:pPr>
        <a:defRPr lang="zh-CN"/>
      </a:pPr>
    </a:p>
  </c:txPr>
  <c:externalData r:id="rId1">
    <c:autoUpdate val="0"/>
  </c:externalData>
  <c:userShapes r:id="rId2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1"/>
          <a:lstStyle/>
          <a:p>
            <a:pPr defTabSz="914400">
              <a:defRPr lang="zh-CN" sz="1400" b="1" i="0" u="none" strike="noStrike" kern="1200" baseline="0">
                <a:solidFill>
                  <a:schemeClr val="tx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altLang="zh-CN"/>
              <a:t>2024</a:t>
            </a:r>
            <a:r>
              <a:t>年收入结构图</a:t>
            </a:r>
          </a:p>
        </c:rich>
      </c:tx>
      <c:layout/>
      <c:overlay val="0"/>
      <c:spPr>
        <a:noFill/>
        <a:ln>
          <a:noFill/>
        </a:ln>
        <a:effectLst/>
      </c:spPr>
    </c:title>
    <c:autoTitleDeleted val="0"/>
    <c:plotArea>
      <c:layout/>
      <c:pieChart>
        <c:varyColors val="1"/>
        <c:ser>
          <c:idx val="0"/>
          <c:order val="0"/>
          <c:spPr/>
          <c:explosion val="0"/>
          <c:dPt>
            <c:idx val="0"/>
            <c:bubble3D val="0"/>
            <c:spPr>
              <a:solidFill>
                <a:schemeClr val="accent1"/>
              </a:solidFill>
              <a:ln>
                <a:solidFill>
                  <a:schemeClr val="bg1"/>
                </a:solidFill>
              </a:ln>
              <a:effectLst/>
            </c:spPr>
          </c:dPt>
          <c:dPt>
            <c:idx val="1"/>
            <c:bubble3D val="0"/>
            <c:spPr>
              <a:solidFill>
                <a:schemeClr val="accent2"/>
              </a:solidFill>
              <a:ln>
                <a:solidFill>
                  <a:schemeClr val="bg1"/>
                </a:solidFill>
              </a:ln>
              <a:effectLst/>
            </c:spPr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[工作簿1.xlsx]Sheet1!$A$2:$A$3</c:f>
              <c:strCache>
                <c:ptCount val="2"/>
                <c:pt idx="0">
                  <c:v>一般公共预算财政拨款收入</c:v>
                </c:pt>
                <c:pt idx="1">
                  <c:v>其他收入</c:v>
                </c:pt>
              </c:strCache>
            </c:strRef>
          </c:cat>
          <c:val>
            <c:numRef>
              <c:f>[工作簿1.xlsx]Sheet1!$B$2:$B$3</c:f>
              <c:numCache>
                <c:formatCode>0.00%</c:formatCode>
                <c:ptCount val="2"/>
                <c:pt idx="0">
                  <c:v>0.9779</c:v>
                </c:pt>
                <c:pt idx="1">
                  <c:v>0.0221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t"/>
      <c:layout/>
      <c:overlay val="0"/>
      <c:spPr>
        <a:noFill/>
        <a:ln>
          <a:noFill/>
        </a:ln>
        <a:effectLst/>
      </c:spPr>
      <c:txPr>
        <a:bodyPr rot="0" spcFirstLastPara="0" vertOverflow="ellipsis" vert="horz" wrap="square" anchor="ctr" anchorCtr="1"/>
        <a:lstStyle/>
        <a:p>
          <a:pPr>
            <a:defRPr lang="zh-CN"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lang="zh-CN"/>
      </a:pPr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1"/>
          <a:lstStyle/>
          <a:p>
            <a:pPr defTabSz="914400">
              <a:defRPr lang="zh-CN" sz="1400" b="1" i="0" u="none" strike="noStrike" kern="1200" baseline="0">
                <a:solidFill>
                  <a:schemeClr val="tx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altLang="zh-CN" sz="1600">
                <a:latin typeface="宋体" panose="02010600030101010101" charset="-122"/>
                <a:ea typeface="宋体" panose="02010600030101010101" charset="-122"/>
                <a:cs typeface="宋体" panose="02010600030101010101" charset="-122"/>
              </a:rPr>
              <a:t>2024</a:t>
            </a:r>
            <a:r>
              <a:rPr altLang="en-US" sz="1600">
                <a:latin typeface="宋体" panose="02010600030101010101" charset="-122"/>
                <a:ea typeface="宋体" panose="02010600030101010101" charset="-122"/>
                <a:cs typeface="宋体" panose="02010600030101010101" charset="-122"/>
              </a:rPr>
              <a:t>年支出结构图</a:t>
            </a:r>
            <a:endParaRPr lang="en-US" altLang="zh-CN" sz="1600">
              <a:latin typeface="宋体" panose="02010600030101010101" charset="-122"/>
              <a:ea typeface="宋体" panose="02010600030101010101" charset="-122"/>
              <a:cs typeface="宋体" panose="02010600030101010101" charset="-122"/>
            </a:endParaRPr>
          </a:p>
        </c:rich>
      </c:tx>
      <c:layout>
        <c:manualLayout>
          <c:xMode val="edge"/>
          <c:yMode val="edge"/>
          <c:x val="0.341973684210526"/>
          <c:y val="0.0421406901782328"/>
        </c:manualLayout>
      </c:layout>
      <c:overlay val="0"/>
      <c:spPr>
        <a:noFill/>
        <a:ln>
          <a:noFill/>
        </a:ln>
        <a:effectLst/>
      </c:spPr>
    </c:title>
    <c:autoTitleDeleted val="0"/>
    <c:plotArea>
      <c:layout/>
      <c:pieChart>
        <c:varyColors val="1"/>
        <c:ser>
          <c:idx val="0"/>
          <c:order val="0"/>
          <c:spPr/>
          <c:explosion val="0"/>
          <c:dPt>
            <c:idx val="0"/>
            <c:bubble3D val="0"/>
            <c:spPr>
              <a:solidFill>
                <a:schemeClr val="accent1"/>
              </a:solidFill>
              <a:ln>
                <a:solidFill>
                  <a:schemeClr val="bg1"/>
                </a:solidFill>
              </a:ln>
              <a:effectLst/>
            </c:spPr>
          </c:dPt>
          <c:dPt>
            <c:idx val="1"/>
            <c:bubble3D val="0"/>
            <c:spPr>
              <a:solidFill>
                <a:schemeClr val="accent2"/>
              </a:solidFill>
              <a:ln>
                <a:solidFill>
                  <a:schemeClr val="bg1"/>
                </a:solidFill>
              </a:ln>
              <a:effectLst/>
            </c:spPr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[工作簿1.xlsx]Sheet1!$A$62:$A$63</c:f>
              <c:strCache>
                <c:ptCount val="2"/>
                <c:pt idx="0">
                  <c:v>基本支出</c:v>
                </c:pt>
                <c:pt idx="1">
                  <c:v>项目支出</c:v>
                </c:pt>
              </c:strCache>
            </c:strRef>
          </c:cat>
          <c:val>
            <c:numRef>
              <c:f>[工作簿1.xlsx]Sheet1!$B$62:$B$63</c:f>
              <c:numCache>
                <c:formatCode>0.00%</c:formatCode>
                <c:ptCount val="2"/>
                <c:pt idx="0">
                  <c:v>0.968</c:v>
                </c:pt>
                <c:pt idx="1">
                  <c:v>0.032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0" vertOverflow="ellipsis" vert="horz" wrap="square" anchor="ctr" anchorCtr="1"/>
        <a:lstStyle/>
        <a:p>
          <a:pPr>
            <a:defRPr lang="zh-CN"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lang="zh-CN"/>
      </a:pPr>
    </a:p>
  </c:tx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1"/>
          <a:lstStyle/>
          <a:p>
            <a:pPr>
              <a:defRPr lang="zh-CN" sz="1800" b="1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r>
              <a:rPr lang="en-US" sz="1400">
                <a:latin typeface="+mj-ea"/>
                <a:ea typeface="+mj-ea"/>
              </a:rPr>
              <a:t>2023</a:t>
            </a:r>
            <a:r>
              <a:rPr lang="zh-CN" sz="1400">
                <a:latin typeface="+mj-ea"/>
                <a:ea typeface="+mj-ea"/>
              </a:rPr>
              <a:t>、</a:t>
            </a:r>
            <a:r>
              <a:rPr lang="en-US" sz="1400">
                <a:latin typeface="+mj-ea"/>
                <a:ea typeface="+mj-ea"/>
              </a:rPr>
              <a:t>2024</a:t>
            </a:r>
            <a:r>
              <a:rPr lang="zh-CN" altLang="en-US" sz="1400">
                <a:latin typeface="+mj-ea"/>
                <a:ea typeface="+mj-ea"/>
              </a:rPr>
              <a:t>财政拨款</a:t>
            </a:r>
            <a:r>
              <a:rPr lang="zh-CN" sz="1400">
                <a:latin typeface="+mj-ea"/>
                <a:ea typeface="+mj-ea"/>
              </a:rPr>
              <a:t>收支决算总计变动</a:t>
            </a:r>
            <a:r>
              <a:rPr lang="zh-CN" altLang="en-US" sz="1400">
                <a:latin typeface="+mj-ea"/>
                <a:ea typeface="+mj-ea"/>
              </a:rPr>
              <a:t>情况</a:t>
            </a:r>
            <a:r>
              <a:rPr lang="zh-CN" sz="1400">
                <a:latin typeface="+mj-ea"/>
                <a:ea typeface="+mj-ea"/>
              </a:rPr>
              <a:t>图</a:t>
            </a:r>
            <a:endParaRPr lang="en-US" sz="1400">
              <a:latin typeface="+mj-ea"/>
              <a:ea typeface="+mj-ea"/>
            </a:endParaRPr>
          </a:p>
        </c:rich>
      </c:tx>
      <c:layout>
        <c:manualLayout>
          <c:xMode val="edge"/>
          <c:yMode val="edge"/>
          <c:x val="0.115734619891056"/>
          <c:y val="0"/>
        </c:manualLayout>
      </c:layout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[工作簿1.xlsx]Sheet1!$A$32</c:f>
              <c:strCache>
                <c:ptCount val="1"/>
                <c:pt idx="0">
                  <c:v>2024年财政拨款收支总额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  <c15:leaderLines/>
              </c:ext>
            </c:extLst>
          </c:dLbls>
          <c:cat>
            <c:strRef>
              <c:f>{"收入"}</c:f>
              <c:strCache>
                <c:ptCount val="1"/>
                <c:pt idx="0">
                  <c:v>收入</c:v>
                </c:pt>
              </c:strCache>
            </c:strRef>
          </c:cat>
          <c:val>
            <c:numRef>
              <c:f>[工作簿1.xlsx]Sheet1!$B$32:$C$32</c:f>
              <c:numCache>
                <c:formatCode>General</c:formatCode>
                <c:ptCount val="2"/>
                <c:pt idx="0">
                  <c:v>997.74</c:v>
                </c:pt>
                <c:pt idx="1">
                  <c:v>997.74</c:v>
                </c:pt>
              </c:numCache>
            </c:numRef>
          </c:val>
        </c:ser>
        <c:ser>
          <c:idx val="1"/>
          <c:order val="1"/>
          <c:tx>
            <c:strRef>
              <c:f>[工作簿1.xlsx]Sheet1!$A$33</c:f>
              <c:strCache>
                <c:ptCount val="1"/>
                <c:pt idx="0">
                  <c:v>2023年财政拨款收支总额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  <c15:leaderLines/>
              </c:ext>
            </c:extLst>
          </c:dLbls>
          <c:cat>
            <c:strRef>
              <c:f>{"收入"}</c:f>
              <c:strCache>
                <c:ptCount val="1"/>
                <c:pt idx="0">
                  <c:v>收入</c:v>
                </c:pt>
              </c:strCache>
            </c:strRef>
          </c:cat>
          <c:val>
            <c:numRef>
              <c:f>[工作簿1.xlsx]Sheet1!$B$33:$C$33</c:f>
              <c:numCache>
                <c:formatCode>General</c:formatCode>
                <c:ptCount val="2"/>
                <c:pt idx="0">
                  <c:v>880.51</c:v>
                </c:pt>
                <c:pt idx="1">
                  <c:v>880.51</c:v>
                </c:pt>
              </c:numCache>
            </c:numRef>
          </c:val>
        </c:ser>
        <c:ser>
          <c:idx val="2"/>
          <c:order val="2"/>
          <c:tx>
            <c:strRef>
              <c:f>"收入"</c:f>
              <c:strCache>
                <c:ptCount val="1"/>
                <c:pt idx="0">
                  <c:v>收入</c:v>
                </c:pt>
              </c:strCache>
            </c:strRef>
          </c:tx>
          <c:invertIfNegative val="0"/>
          <c:dLbls>
            <c:delete val="1"/>
          </c:dLbls>
          <c:cat>
            <c:strRef>
              <c:f>{"收入"}</c:f>
              <c:strCache>
                <c:ptCount val="1"/>
                <c:pt idx="0">
                  <c:v>收入</c:v>
                </c:pt>
              </c:strCache>
            </c:strRef>
          </c:cat>
          <c:val>
            <c:numRef>
              <c:f>{1}</c:f>
              <c:numCache>
                <c:formatCode>General</c:formatCode>
                <c:ptCount val="1"/>
                <c:pt idx="0">
                  <c:v>1</c:v>
                </c:pt>
              </c:numCache>
            </c:numRef>
          </c:val>
        </c:ser>
        <c:ser>
          <c:idx val="3"/>
          <c:order val="3"/>
          <c:tx>
            <c:strRef>
              <c:f>"支出"</c:f>
              <c:strCache>
                <c:ptCount val="1"/>
                <c:pt idx="0">
                  <c:v>支出</c:v>
                </c:pt>
              </c:strCache>
            </c:strRef>
          </c:tx>
          <c:invertIfNegative val="0"/>
          <c:dLbls>
            <c:delete val="1"/>
          </c:dLbls>
          <c:cat>
            <c:strRef>
              <c:f>{"收入"}</c:f>
              <c:strCache>
                <c:ptCount val="1"/>
                <c:pt idx="0">
                  <c:v>收入</c:v>
                </c:pt>
              </c:strCache>
            </c:strRef>
          </c:cat>
          <c:val>
            <c:numRef>
              <c:f>{1}</c:f>
              <c:numCache>
                <c:formatCode>General</c:formatCode>
                <c:ptCount val="1"/>
                <c:pt idx="0">
                  <c:v>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75"/>
        <c:overlap val="-25"/>
        <c:axId val="48398336"/>
        <c:axId val="239219776"/>
      </c:barChart>
      <c:catAx>
        <c:axId val="4839833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txPr>
          <a:bodyPr rot="-60000000" spcFirstLastPara="0" vertOverflow="ellipsis" vert="horz" wrap="square" anchor="ctr" anchorCtr="1"/>
          <a:lstStyle/>
          <a:p>
            <a:pPr>
              <a:defRPr lang="zh-CN"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</a:p>
        </c:txPr>
        <c:crossAx val="239219776"/>
        <c:crosses val="autoZero"/>
        <c:auto val="1"/>
        <c:lblAlgn val="ctr"/>
        <c:lblOffset val="100"/>
        <c:noMultiLvlLbl val="0"/>
      </c:catAx>
      <c:valAx>
        <c:axId val="239219776"/>
        <c:scaling>
          <c:orientation val="minMax"/>
        </c:scaling>
        <c:delete val="0"/>
        <c:axPos val="l"/>
        <c:majorGridlines/>
        <c:numFmt formatCode="General" sourceLinked="1"/>
        <c:majorTickMark val="none"/>
        <c:minorTickMark val="none"/>
        <c:tickLblPos val="nextTo"/>
        <c:txPr>
          <a:bodyPr rot="-60000000" spcFirstLastPara="0" vertOverflow="ellipsis" vert="horz" wrap="square" anchor="ctr" anchorCtr="1"/>
          <a:lstStyle/>
          <a:p>
            <a:pPr>
              <a:defRPr lang="zh-CN"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</a:p>
        </c:txPr>
        <c:crossAx val="48398336"/>
        <c:crosses val="autoZero"/>
        <c:crossBetween val="between"/>
      </c:valAx>
    </c:plotArea>
    <c:legend>
      <c:legendPos val="b"/>
      <c:legendEntry>
        <c:idx val="2"/>
        <c:delete val="1"/>
      </c:legendEntry>
      <c:legendEntry>
        <c:idx val="3"/>
        <c:delete val="1"/>
      </c:legendEntry>
      <c:layout/>
      <c:overlay val="0"/>
      <c:txPr>
        <a:bodyPr rot="0" spcFirstLastPara="0" vertOverflow="ellipsis" vert="horz" wrap="square" anchor="ctr" anchorCtr="1"/>
        <a:lstStyle/>
        <a:p>
          <a:pPr>
            <a:defRPr lang="zh-CN" sz="1000" b="0" i="0" u="none" strike="noStrike" kern="1200" baseline="0">
              <a:solidFill>
                <a:schemeClr val="tx1"/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</c:chart>
  <c:txPr>
    <a:bodyPr/>
    <a:lstStyle/>
    <a:p>
      <a:pPr>
        <a:defRPr lang="zh-CN"/>
      </a:pPr>
    </a:p>
  </c:txPr>
  <c:externalData r:id="rId1">
    <c:autoUpdate val="0"/>
  </c:externalData>
  <c:userShapes r:id="rId2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1"/>
          <a:lstStyle/>
          <a:p>
            <a:pPr defTabSz="914400">
              <a:defRPr lang="zh-CN" sz="1400" b="1" i="0" u="none" strike="noStrike" kern="1200" baseline="0">
                <a:solidFill>
                  <a:schemeClr val="tx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t>一般公共预算财政拨款支出决算变动情况</a:t>
            </a:r>
            <a:endParaRPr lang="en-US" altLang="zh-CN"/>
          </a:p>
        </c:rich>
      </c:tx>
      <c:layout>
        <c:manualLayout>
          <c:xMode val="edge"/>
          <c:yMode val="edge"/>
          <c:x val="0.191447368421053"/>
          <c:y val="0.0277777777777778"/>
        </c:manualLayout>
      </c:layout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stacked"/>
        <c:varyColors val="0"/>
        <c:ser>
          <c:idx val="0"/>
          <c:order val="0"/>
          <c:spPr>
            <a:solidFill>
              <a:schemeClr val="accent1"/>
            </a:solidFill>
            <a:ln>
              <a:solidFill>
                <a:schemeClr val="bg1"/>
              </a:solidFill>
            </a:ln>
            <a:effectLst>
              <a:glow>
                <a:srgbClr val="FF0000"/>
              </a:glow>
            </a:effectLst>
          </c:spPr>
          <c:invertIfNegative val="0"/>
          <c:dPt>
            <c:idx val="0"/>
            <c:invertIfNegative val="0"/>
            <c:bubble3D val="0"/>
            <c:spPr>
              <a:solidFill>
                <a:schemeClr val="tx2"/>
              </a:solidFill>
              <a:ln>
                <a:solidFill>
                  <a:schemeClr val="bg1"/>
                </a:solidFill>
              </a:ln>
              <a:effectLst>
                <a:glow rad="25400">
                  <a:srgbClr val="00B0F0"/>
                </a:glow>
              </a:effectLst>
            </c:spPr>
          </c:dPt>
          <c:dLbls>
            <c:spPr>
              <a:solidFill>
                <a:srgbClr val="FFC000"/>
              </a:solidFill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[工作簿1.xlsx]Sheet1!$A$58:$A$59</c:f>
              <c:strCache>
                <c:ptCount val="2"/>
                <c:pt idx="0">
                  <c:v>2024年一般公共预算财政拨款支出</c:v>
                </c:pt>
                <c:pt idx="1">
                  <c:v>2023年一般公共预算财政拨款支出</c:v>
                </c:pt>
              </c:strCache>
            </c:strRef>
          </c:cat>
          <c:val>
            <c:numRef>
              <c:f>[工作簿1.xlsx]Sheet1!$B$58:$B$59</c:f>
              <c:numCache>
                <c:formatCode>General</c:formatCode>
                <c:ptCount val="2"/>
                <c:pt idx="0">
                  <c:v>956.14</c:v>
                </c:pt>
                <c:pt idx="1">
                  <c:v>880.51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246"/>
        <c:overlap val="100"/>
        <c:axId val="330850342"/>
        <c:axId val="964938068"/>
      </c:barChart>
      <c:catAx>
        <c:axId val="330850342"/>
        <c:scaling>
          <c:orientation val="minMax"/>
        </c:scaling>
        <c:delete val="0"/>
        <c:axPos val="b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964938068"/>
        <c:crosses val="autoZero"/>
        <c:auto val="1"/>
        <c:lblAlgn val="ctr"/>
        <c:lblOffset val="100"/>
        <c:noMultiLvlLbl val="0"/>
      </c:catAx>
      <c:valAx>
        <c:axId val="96493806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lt1">
                  <a:lumMod val="902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330850342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lang="zh-CN"/>
      </a:pPr>
    </a:p>
  </c:txPr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pieChart>
        <c:varyColors val="1"/>
        <c:ser>
          <c:idx val="0"/>
          <c:order val="0"/>
          <c:explosion val="0"/>
          <c:dPt>
            <c:idx val="0"/>
            <c:bubble3D val="0"/>
          </c:dPt>
          <c:dPt>
            <c:idx val="1"/>
            <c:bubble3D val="0"/>
          </c:dPt>
          <c:dPt>
            <c:idx val="2"/>
            <c:bubble3D val="0"/>
          </c:dPt>
          <c:dPt>
            <c:idx val="3"/>
            <c:bubble3D val="0"/>
          </c:dPt>
          <c:dLbls>
            <c:dLbl>
              <c:idx val="0"/>
              <c:layout/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/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/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/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bestFit"/>
            <c:showLegendKey val="0"/>
            <c:showVal val="0"/>
            <c:showCatName val="0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>
                <c15:layout/>
                <c15:showLeaderLines val="1"/>
                <c15:leaderLines/>
              </c:ext>
            </c:extLst>
          </c:dLbls>
          <c:cat>
            <c:strRef>
              <c:f>[工作簿1.xlsx]Sheet1!$A$20:$A$23</c:f>
              <c:strCache>
                <c:ptCount val="4"/>
                <c:pt idx="0">
                  <c:v>教育支出</c:v>
                </c:pt>
                <c:pt idx="1">
                  <c:v>社会保障和就业支出</c:v>
                </c:pt>
                <c:pt idx="2">
                  <c:v>卫生健康支出</c:v>
                </c:pt>
                <c:pt idx="3">
                  <c:v>住房保障支出</c:v>
                </c:pt>
              </c:strCache>
            </c:strRef>
          </c:cat>
          <c:val>
            <c:numRef>
              <c:f>[工作簿1.xlsx]Sheet1!$B$20:$B$23</c:f>
              <c:numCache>
                <c:formatCode>0.00%</c:formatCode>
                <c:ptCount val="4"/>
                <c:pt idx="0">
                  <c:v>0.7614</c:v>
                </c:pt>
                <c:pt idx="1">
                  <c:v>0.1396</c:v>
                </c:pt>
                <c:pt idx="2">
                  <c:v>0.0376</c:v>
                </c:pt>
                <c:pt idx="3">
                  <c:v>0.0614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b"/>
      <c:layout/>
      <c:overlay val="0"/>
      <c:txPr>
        <a:bodyPr rot="0" spcFirstLastPara="0" vertOverflow="ellipsis" vert="horz" wrap="square" anchor="ctr" anchorCtr="1"/>
        <a:lstStyle/>
        <a:p>
          <a:pPr>
            <a:defRPr lang="zh-CN" sz="1000" b="0" i="0" u="none" strike="noStrike" kern="1200" baseline="0">
              <a:solidFill>
                <a:schemeClr val="tx1"/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</c:chart>
  <c:spPr>
    <a:ln w="22225" cap="flat" cmpd="sng" algn="ctr">
      <a:solidFill>
        <a:schemeClr val="tx1">
          <a:tint val="75000"/>
          <a:shade val="95000"/>
          <a:satMod val="105000"/>
        </a:schemeClr>
      </a:solidFill>
      <a:prstDash val="solid"/>
      <a:round/>
    </a:ln>
  </c:spPr>
  <c:txPr>
    <a:bodyPr/>
    <a:lstStyle/>
    <a:p>
      <a:pPr>
        <a:defRPr lang="zh-CN"/>
      </a:pPr>
    </a:p>
  </c:txPr>
  <c:externalData r:id="rId1">
    <c:autoUpdate val="0"/>
  </c:externalData>
  <c:userShapes r:id="rId2"/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1008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10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10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auto"/>
    </cs:lnRef>
    <cs:fillRef idx="1">
      <cs:styleClr val="auto"/>
    </cs:fillRef>
    <cs:effectRef idx="0"/>
    <cs:fontRef idx="minor">
      <a:schemeClr val="dk1"/>
    </cs:fontRef>
    <cs:spPr>
      <a:ln>
        <a:solidFill>
          <a:schemeClr val="bg1"/>
        </a:solidFill>
      </a:ln>
      <a:effectLst/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lt1">
            <a:lumMod val="902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75000"/>
        <a:lumOff val="25000"/>
      </a:schemeClr>
    </cs:fontRef>
    <cs:defRPr sz="1400" b="1" kern="120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1008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10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10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auto"/>
    </cs:lnRef>
    <cs:fillRef idx="1">
      <cs:styleClr val="auto"/>
    </cs:fillRef>
    <cs:effectRef idx="0"/>
    <cs:fontRef idx="minor">
      <a:schemeClr val="dk1"/>
    </cs:fontRef>
    <cs:spPr>
      <a:ln>
        <a:solidFill>
          <a:schemeClr val="bg1"/>
        </a:solidFill>
      </a:ln>
      <a:effectLst/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lt1">
            <a:lumMod val="902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75000"/>
        <a:lumOff val="25000"/>
      </a:schemeClr>
    </cs:fontRef>
    <cs:defRPr sz="1400" b="1" kern="120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10010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10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10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auto"/>
    </cs:lnRef>
    <cs:fillRef idx="1">
      <cs:styleClr val="auto"/>
    </cs:fillRef>
    <cs:effectRef idx="0"/>
    <cs:fontRef idx="minor">
      <a:schemeClr val="dk1"/>
    </cs:fontRef>
    <cs:spPr>
      <a:ln>
        <a:solidFill>
          <a:schemeClr val="bg1"/>
        </a:solidFill>
      </a:ln>
      <a:effectLst/>
    </cs:spPr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lt1">
            <a:lumMod val="902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75000"/>
        <a:lumOff val="25000"/>
      </a:schemeClr>
    </cs:fontRef>
    <cs:defRPr sz="1400" b="1" kern="120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0.09533</cdr:x>
      <cdr:y>0</cdr:y>
    </cdr:from>
    <cdr:to>
      <cdr:x>1</cdr:x>
      <cdr:y>0.07627</cdr:y>
    </cdr:to>
    <cdr:sp>
      <cdr:nvSpPr>
        <cdr:cNvPr id="2" name="矩形 1"/>
        <cdr:cNvSpPr/>
      </cdr:nvSpPr>
      <cdr:spPr xmlns:a="http://schemas.openxmlformats.org/drawingml/2006/main">
        <a:xfrm xmlns:a="http://schemas.openxmlformats.org/drawingml/2006/main">
          <a:off x="447676" y="0"/>
          <a:ext cx="4248150" cy="342900"/>
        </a:xfrm>
        <a:prstGeom xmlns:a="http://schemas.openxmlformats.org/drawingml/2006/main" prst="rect">
          <a:avLst/>
        </a:prstGeom>
      </cdr:spPr>
      <cdr:txBody xmlns:a="http://schemas.openxmlformats.org/drawingml/2006/main">
        <a:bodyPr vertOverflow="clip" vert="horz" wrap="square" lIns="45720" tIns="45720" rIns="45720" bIns="45720" rtlCol="0" anchor="t" anchorCtr="0">
          <a:normAutofit/>
        </a:bodyPr>
        <a:lstStyle/>
        <a:p>
          <a:pPr marL="0" marR="0" indent="0" defTabSz="914400" eaLnBrk="1" fontAlgn="auto" latinLnBrk="0" hangingPunct="1">
            <a:lnSpc>
              <a:spcPct val="100000"/>
            </a:lnSpc>
            <a:spcBef>
              <a:spcPts val="0"/>
            </a:spcBef>
            <a:spcAft>
              <a:spcPts val="0"/>
            </a:spcAft>
            <a:buClrTx/>
            <a:buSzTx/>
            <a:buFontTx/>
            <a:buNone/>
            <a:defRPr/>
          </a:pPr>
          <a:r>
            <a:rPr lang="en-US" altLang="zh-CN" sz="1400">
              <a:effectLst/>
              <a:latin typeface="+mn-lt"/>
              <a:ea typeface="+mn-ea"/>
              <a:cs typeface="+mn-cs"/>
            </a:rPr>
            <a:t>2024</a:t>
          </a:r>
          <a:r>
            <a:rPr lang="zh-CN" altLang="en-US" sz="1400">
              <a:effectLst/>
              <a:latin typeface="+mn-lt"/>
              <a:ea typeface="+mn-ea"/>
              <a:cs typeface="+mn-cs"/>
            </a:rPr>
            <a:t>年一般公共预算财政拨款支出决算结构图</a:t>
          </a:r>
          <a:endParaRPr lang="zh-CN" altLang="en-US" sz="1400">
            <a:effectLst/>
            <a:latin typeface="+mn-lt"/>
            <a:ea typeface="+mn-ea"/>
            <a:cs typeface="+mn-cs"/>
          </a:endParaRPr>
        </a:p>
        <a:p>
          <a:pPr algn="ctr"/>
          <a:endParaRPr lang="zh-CN" altLang="en-US" sz="1600"/>
        </a:p>
      </cdr:txBody>
    </cdr:sp>
  </cdr:relSizeAnchor>
</c:userShapes>
</file>

<file path=word/drawings/drawing2.xml><?xml version="1.0" encoding="utf-8"?>
<c:userShapes xmlns:c="http://schemas.openxmlformats.org/drawingml/2006/chart">
  <cdr:relSizeAnchor xmlns:cdr="http://schemas.openxmlformats.org/drawingml/2006/chartDrawing">
    <cdr:from>
      <cdr:x>0.62289</cdr:x>
      <cdr:y>0.84386</cdr:y>
    </cdr:from>
    <cdr:to>
      <cdr:x>0.72637</cdr:x>
      <cdr:y>0.90107</cdr:y>
    </cdr:to>
    <cdr:sp>
      <cdr:nvSpPr>
        <cdr:cNvPr id="2" name="矩形 1"/>
        <cdr:cNvSpPr/>
      </cdr:nvSpPr>
      <cdr:spPr xmlns:a="http://schemas.openxmlformats.org/drawingml/2006/main">
        <a:xfrm xmlns:a="http://schemas.openxmlformats.org/drawingml/2006/main">
          <a:off x="2981325" y="3371850"/>
          <a:ext cx="495300" cy="228600"/>
        </a:xfrm>
        <a:prstGeom xmlns:a="http://schemas.openxmlformats.org/drawingml/2006/main" prst="rect">
          <a:avLst/>
        </a:prstGeom>
      </cdr:spPr>
      <cdr:txBody xmlns:a="http://schemas.openxmlformats.org/drawingml/2006/main">
        <a:bodyPr vertOverflow="clip" vert="horz" wrap="square" lIns="45720" tIns="45720" rIns="45720" bIns="45720" rtlCol="0" anchor="t" anchorCtr="0">
          <a:normAutofit/>
        </a:bodyPr>
        <a:lstStyle/>
        <a:p>
          <a:r>
            <a:rPr lang="zh-CN" altLang="en-US" sz="1100"/>
            <a:t>支出</a:t>
          </a:r>
          <a:endParaRPr lang="zh-CN" altLang="en-US" sz="1100"/>
        </a:p>
      </cdr:txBody>
    </cdr:sp>
  </cdr:relSizeAnchor>
</c:userShapes>
</file>

<file path=word/drawings/drawing3.xml><?xml version="1.0" encoding="utf-8"?>
<c:userShapes xmlns:c="http://schemas.openxmlformats.org/drawingml/2006/chart">
  <cdr:relSizeAnchor xmlns:cdr="http://schemas.openxmlformats.org/drawingml/2006/chartDrawing">
    <cdr:from>
      <cdr:x>0.62289</cdr:x>
      <cdr:y>0.84386</cdr:y>
    </cdr:from>
    <cdr:to>
      <cdr:x>0.72637</cdr:x>
      <cdr:y>0.90107</cdr:y>
    </cdr:to>
    <cdr:sp>
      <cdr:nvSpPr>
        <cdr:cNvPr id="2" name="矩形 1"/>
        <cdr:cNvSpPr/>
      </cdr:nvSpPr>
      <cdr:spPr xmlns:a="http://schemas.openxmlformats.org/drawingml/2006/main">
        <a:xfrm xmlns:a="http://schemas.openxmlformats.org/drawingml/2006/main">
          <a:off x="2981325" y="3371850"/>
          <a:ext cx="495300" cy="228600"/>
        </a:xfrm>
        <a:prstGeom xmlns:a="http://schemas.openxmlformats.org/drawingml/2006/main" prst="rect">
          <a:avLst/>
        </a:prstGeom>
      </cdr:spPr>
      <cdr:txBody xmlns:a="http://schemas.openxmlformats.org/drawingml/2006/main">
        <a:bodyPr vertOverflow="clip" vert="horz" wrap="square" lIns="45720" tIns="45720" rIns="45720" bIns="45720" rtlCol="0" anchor="t" anchorCtr="0">
          <a:normAutofit/>
        </a:bodyPr>
        <a:lstStyle/>
        <a:p>
          <a:r>
            <a:rPr lang="zh-CN" altLang="en-US" sz="1100"/>
            <a:t>支出</a:t>
          </a:r>
          <a:endParaRPr lang="zh-CN" altLang="en-US" sz="1100"/>
        </a:p>
      </cdr:txBody>
    </cdr:sp>
  </cdr:relSizeAnchor>
</c:userShape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四川省财政厅</Company>
  <Pages>27</Pages>
  <Words>23</Words>
  <Characters>26</Characters>
  <Lines>61</Lines>
  <Paragraphs>17</Paragraphs>
  <TotalTime>16</TotalTime>
  <ScaleCrop>false</ScaleCrop>
  <LinksUpToDate>false</LinksUpToDate>
  <CharactersWithSpaces>26</CharactersWithSpaces>
  <Application>WPS Office_11.1.0.10314_F1E327BC-269C-435d-A152-05C5408002CA</Application>
  <DocSecurity>4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2025-08-20T01:16:00Z</dcterms:created>
  <dc:creator>曹颖</dc:creator>
  <cp:lastModifiedBy>Lenovo</cp:lastModifiedBy>
  <cp:lastPrinted>2025-08-06T17:34:00Z</cp:lastPrinted>
  <dcterms:modified xsi:type="dcterms:W3CDTF">2025-08-27T02:54:41Z</dcterms:modified>
  <dc:title>四川省***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04787F2533EB45DC91BCDE4AB213247F</vt:lpwstr>
  </property>
  <property fmtid="{D5CDD505-2E9C-101B-9397-08002B2CF9AE}" pid="4" name="KSOTemplateDocerSaveRecord">
    <vt:lpwstr>eyJoZGlkIjoiZWQ3MjAzODQyZDBmOGExNDI1OGNlZDkzOGY1MzE3OTkiLCJ1c2VySWQiOiI5MDYzNTY1MjkifQ==</vt:lpwstr>
  </property>
</Properties>
</file>