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方正小标宋简体" w:hAnsi="宋体" w:eastAsia="方正小标宋简体"/>
          <w:sz w:val="44"/>
          <w:szCs w:val="44"/>
        </w:rPr>
      </w:pPr>
    </w:p>
    <w:p>
      <w:pPr>
        <w:pStyle w:val="8"/>
        <w:jc w:val="center"/>
        <w:rPr>
          <w:rFonts w:ascii="方正小标宋简体" w:hAnsi="宋体" w:eastAsia="方正小标宋简体"/>
          <w:sz w:val="44"/>
          <w:szCs w:val="44"/>
        </w:rPr>
      </w:pPr>
    </w:p>
    <w:p>
      <w:pPr>
        <w:widowControl/>
        <w:jc w:val="center"/>
        <w:rPr>
          <w:rFonts w:ascii="黑体" w:hAnsi="黑体" w:eastAsia="黑体"/>
          <w:sz w:val="48"/>
          <w:szCs w:val="48"/>
        </w:rPr>
      </w:pPr>
      <w:r>
        <w:rPr>
          <w:rFonts w:hint="eastAsia" w:ascii="华文中宋" w:hAnsi="华文中宋" w:eastAsia="华文中宋"/>
          <w:sz w:val="72"/>
          <w:szCs w:val="72"/>
        </w:rPr>
        <w:t>2024年度四川省遂宁市安居区麻子滩水库管理所部门决算</w:t>
      </w:r>
      <w:r>
        <w:rPr>
          <w:rFonts w:ascii="方正小标宋简体" w:hAnsi="宋体" w:eastAsia="方正小标宋简体"/>
          <w:sz w:val="36"/>
          <w:szCs w:val="36"/>
        </w:rPr>
        <w:br w:type="page"/>
      </w:r>
      <w:r>
        <w:rPr>
          <w:rFonts w:hint="eastAsia" w:ascii="黑体" w:hAnsi="黑体" w:eastAsia="黑体"/>
          <w:sz w:val="48"/>
          <w:szCs w:val="48"/>
        </w:rPr>
        <w:t>目   录</w:t>
      </w:r>
    </w:p>
    <w:p>
      <w:pPr>
        <w:widowControl/>
        <w:jc w:val="center"/>
        <w:rPr>
          <w:rFonts w:ascii="黑体" w:hAnsi="黑体" w:eastAsia="黑体"/>
          <w:sz w:val="28"/>
          <w:szCs w:val="28"/>
        </w:rPr>
      </w:pPr>
    </w:p>
    <w:p>
      <w:pPr>
        <w:pStyle w:val="13"/>
      </w:pPr>
      <w:r>
        <w:rPr>
          <w:rFonts w:hint="eastAsia"/>
        </w:rPr>
        <w:t>公开时间：2025年 8 月 2</w:t>
      </w:r>
      <w:r>
        <w:rPr>
          <w:rFonts w:hint="eastAsia"/>
          <w:lang w:val="en-US" w:eastAsia="zh-CN"/>
        </w:rPr>
        <w:t>7</w:t>
      </w:r>
      <w:bookmarkStart w:id="143" w:name="_GoBack"/>
      <w:bookmarkEnd w:id="143"/>
      <w:r>
        <w:rPr>
          <w:rFonts w:hint="eastAsia"/>
        </w:rPr>
        <w:t>日</w:t>
      </w:r>
    </w:p>
    <w:p>
      <w:pPr>
        <w:pStyle w:val="13"/>
        <w:rPr>
          <w:rFonts w:ascii="仿宋_GB2312" w:hAnsi="Times New Roman" w:eastAsia="仿宋_GB2312"/>
        </w:rPr>
      </w:pPr>
      <w:r>
        <w:rPr>
          <w:rFonts w:hint="eastAsia" w:ascii="仿宋_GB2312" w:hAnsi="Times New Roman" w:eastAsia="仿宋_GB2312"/>
        </w:rPr>
        <w:fldChar w:fldCharType="begin"/>
      </w:r>
      <w:r>
        <w:rPr>
          <w:rFonts w:hint="eastAsia" w:ascii="仿宋_GB2312" w:hAnsi="Times New Roman" w:eastAsia="仿宋_GB2312"/>
        </w:rPr>
        <w:instrText xml:space="preserve">TOC \o "1-3" \h \u </w:instrText>
      </w:r>
      <w:r>
        <w:rPr>
          <w:rFonts w:hint="eastAsia" w:ascii="仿宋_GB2312" w:hAnsi="Times New Roman" w:eastAsia="仿宋_GB2312"/>
        </w:rPr>
        <w:fldChar w:fldCharType="separate"/>
      </w:r>
      <w:r>
        <w:fldChar w:fldCharType="begin"/>
      </w:r>
      <w:r>
        <w:instrText xml:space="preserve"> HYPERLINK \l "_Toc6286" </w:instrText>
      </w:r>
      <w:r>
        <w:fldChar w:fldCharType="separate"/>
      </w:r>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fldChar w:fldCharType="begin"/>
      </w:r>
      <w:r>
        <w:rPr>
          <w:rFonts w:hint="eastAsia" w:ascii="仿宋_GB2312" w:hAnsi="Times New Roman" w:eastAsia="仿宋_GB2312"/>
        </w:rPr>
        <w:instrText xml:space="preserve"> PAGEREF _Toc6286 \h </w:instrText>
      </w:r>
      <w:r>
        <w:rPr>
          <w:rFonts w:hint="eastAsia" w:ascii="仿宋_GB2312" w:hAnsi="Times New Roman" w:eastAsia="仿宋_GB2312"/>
        </w:rPr>
        <w:fldChar w:fldCharType="separate"/>
      </w:r>
      <w:r>
        <w:rPr>
          <w:rFonts w:hint="eastAsia" w:ascii="仿宋_GB2312" w:hAnsi="Times New Roman" w:eastAsia="仿宋_GB2312"/>
        </w:rPr>
        <w:t>1</w:t>
      </w:r>
      <w:r>
        <w:rPr>
          <w:rFonts w:hint="eastAsia" w:ascii="仿宋_GB2312" w:hAnsi="Times New Roman" w:eastAsia="仿宋_GB2312"/>
        </w:rPr>
        <w:fldChar w:fldCharType="end"/>
      </w:r>
      <w:r>
        <w:rPr>
          <w:rFonts w:hint="eastAsia" w:ascii="仿宋_GB2312" w:hAnsi="Times New Roman" w:eastAsia="仿宋_GB2312"/>
        </w:rPr>
        <w:fldChar w:fldCharType="end"/>
      </w:r>
    </w:p>
    <w:p>
      <w:pPr>
        <w:pStyle w:val="13"/>
        <w:ind w:firstLine="425" w:firstLineChars="152"/>
        <w:rPr>
          <w:rFonts w:ascii="仿宋_GB2312" w:hAnsi="Times New Roman" w:eastAsia="仿宋_GB2312"/>
        </w:rPr>
      </w:pPr>
      <w:r>
        <w:fldChar w:fldCharType="begin"/>
      </w:r>
      <w:r>
        <w:instrText xml:space="preserve"> HYPERLINK \l "_Toc7168" </w:instrText>
      </w:r>
      <w:r>
        <w:fldChar w:fldCharType="separate"/>
      </w:r>
      <w:r>
        <w:rPr>
          <w:rFonts w:hint="eastAsia" w:ascii="仿宋_GB2312" w:hAnsi="Times New Roman" w:eastAsia="仿宋_GB2312"/>
        </w:rPr>
        <w:t>一、部门职责</w:t>
      </w:r>
      <w:r>
        <w:rPr>
          <w:rFonts w:hint="eastAsia" w:ascii="仿宋_GB2312" w:hAnsi="Times New Roman" w:eastAsia="仿宋_GB2312"/>
        </w:rPr>
        <w:tab/>
      </w:r>
      <w:r>
        <w:rPr>
          <w:rFonts w:hint="eastAsia" w:ascii="仿宋_GB2312" w:hAnsi="Times New Roman" w:eastAsia="仿宋_GB2312"/>
        </w:rPr>
        <w:fldChar w:fldCharType="begin"/>
      </w:r>
      <w:r>
        <w:rPr>
          <w:rFonts w:hint="eastAsia" w:ascii="仿宋_GB2312" w:hAnsi="Times New Roman" w:eastAsia="仿宋_GB2312"/>
        </w:rPr>
        <w:instrText xml:space="preserve"> PAGEREF _Toc7168 \h </w:instrText>
      </w:r>
      <w:r>
        <w:rPr>
          <w:rFonts w:hint="eastAsia" w:ascii="仿宋_GB2312" w:hAnsi="Times New Roman" w:eastAsia="仿宋_GB2312"/>
        </w:rPr>
        <w:fldChar w:fldCharType="separate"/>
      </w:r>
      <w:r>
        <w:rPr>
          <w:rFonts w:hint="eastAsia" w:ascii="仿宋_GB2312" w:hAnsi="Times New Roman" w:eastAsia="仿宋_GB2312"/>
        </w:rPr>
        <w:t>1</w:t>
      </w:r>
      <w:r>
        <w:rPr>
          <w:rFonts w:hint="eastAsia" w:ascii="仿宋_GB2312" w:hAnsi="Times New Roman" w:eastAsia="仿宋_GB2312"/>
        </w:rPr>
        <w:fldChar w:fldCharType="end"/>
      </w:r>
      <w:r>
        <w:rPr>
          <w:rFonts w:hint="eastAsia" w:ascii="仿宋_GB2312" w:hAnsi="Times New Roman" w:eastAsia="仿宋_GB2312"/>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"_Toc5980" </w:instrText>
      </w:r>
      <w:r>
        <w:fldChar w:fldCharType="separate"/>
      </w:r>
      <w:r>
        <w:rPr>
          <w:rFonts w:hint="eastAsia" w:ascii="仿宋_GB2312" w:hAnsi="Times New Roman" w:eastAsia="仿宋_GB2312"/>
          <w:sz w:val="28"/>
          <w:szCs w:val="28"/>
        </w:rPr>
        <w:t>二、机构设置</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_Toc5980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3"/>
        <w:tabs>
          <w:tab w:val="right" w:leader="dot" w:pos="8306"/>
          <w:tab w:val="clear" w:pos="8296"/>
        </w:tabs>
        <w:rPr>
          <w:rFonts w:ascii="仿宋_GB2312" w:hAnsi="黑体" w:eastAsia="仿宋_GB2312" w:cs="黑体"/>
        </w:rPr>
      </w:pPr>
      <w:r>
        <w:fldChar w:fldCharType="begin"/>
      </w:r>
      <w:r>
        <w:instrText xml:space="preserve"> HYPERLINK \l "_Toc30880" </w:instrText>
      </w:r>
      <w:r>
        <w:fldChar w:fldCharType="separate"/>
      </w:r>
      <w:r>
        <w:rPr>
          <w:rFonts w:hint="eastAsia" w:ascii="仿宋_GB2312" w:hAnsi="黑体" w:eastAsia="仿宋_GB2312" w:cs="黑体"/>
        </w:rPr>
        <w:t>第二部分 2024年度部门决算情况说明</w:t>
      </w:r>
      <w:r>
        <w:rPr>
          <w:rFonts w:hint="eastAsia" w:ascii="仿宋_GB2312" w:hAnsi="黑体" w:eastAsia="仿宋_GB2312" w:cs="黑体"/>
        </w:rPr>
        <w:tab/>
      </w:r>
      <w:r>
        <w:rPr>
          <w:rFonts w:hint="eastAsia" w:ascii="仿宋_GB2312" w:hAnsi="黑体" w:eastAsia="仿宋_GB2312" w:cs="黑体"/>
        </w:rPr>
        <w:fldChar w:fldCharType="begin"/>
      </w:r>
      <w:r>
        <w:rPr>
          <w:rFonts w:hint="eastAsia" w:ascii="仿宋_GB2312" w:hAnsi="黑体" w:eastAsia="仿宋_GB2312" w:cs="黑体"/>
        </w:rPr>
        <w:instrText xml:space="preserve"> PAGEREF _Toc30880 \h </w:instrText>
      </w:r>
      <w:r>
        <w:rPr>
          <w:rFonts w:hint="eastAsia" w:ascii="仿宋_GB2312" w:hAnsi="黑体" w:eastAsia="仿宋_GB2312" w:cs="黑体"/>
        </w:rPr>
        <w:fldChar w:fldCharType="separate"/>
      </w:r>
      <w:r>
        <w:rPr>
          <w:rFonts w:hint="eastAsia" w:ascii="仿宋_GB2312" w:hAnsi="黑体" w:eastAsia="仿宋_GB2312" w:cs="黑体"/>
        </w:rPr>
        <w:t>2</w:t>
      </w:r>
      <w:r>
        <w:rPr>
          <w:rFonts w:hint="eastAsia" w:ascii="仿宋_GB2312" w:hAnsi="黑体" w:eastAsia="仿宋_GB2312" w:cs="黑体"/>
        </w:rPr>
        <w:fldChar w:fldCharType="end"/>
      </w:r>
      <w:r>
        <w:rPr>
          <w:rFonts w:hint="eastAsia" w:ascii="仿宋_GB2312" w:hAnsi="黑体" w:eastAsia="仿宋_GB2312" w:cs="黑体"/>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"_Toc21554" </w:instrText>
      </w:r>
      <w:r>
        <w:fldChar w:fldCharType="separate"/>
      </w:r>
      <w:r>
        <w:rPr>
          <w:rFonts w:hint="eastAsia" w:ascii="仿宋_GB2312" w:hAnsi="Times New Roman" w:eastAsia="仿宋_GB2312"/>
          <w:sz w:val="28"/>
          <w:szCs w:val="28"/>
        </w:rPr>
        <w:t>一、 收入支出决算总体情况说明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_Toc21554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2</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"_Toc2905" </w:instrText>
      </w:r>
      <w:r>
        <w:fldChar w:fldCharType="separate"/>
      </w:r>
      <w:r>
        <w:rPr>
          <w:rFonts w:hint="eastAsia" w:ascii="仿宋_GB2312" w:hAnsi="Times New Roman" w:eastAsia="仿宋_GB2312"/>
          <w:sz w:val="28"/>
          <w:szCs w:val="28"/>
        </w:rPr>
        <w:t>二、 收入决算情况说明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_Toc2905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2</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"_Toc31906" </w:instrText>
      </w:r>
      <w:r>
        <w:fldChar w:fldCharType="separate"/>
      </w:r>
      <w:r>
        <w:rPr>
          <w:rFonts w:hint="eastAsia" w:ascii="仿宋_GB2312" w:hAnsi="Times New Roman" w:eastAsia="仿宋_GB2312"/>
          <w:sz w:val="28"/>
          <w:szCs w:val="28"/>
        </w:rPr>
        <w:t>三、 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_Toc31906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3</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"_Toc11747" </w:instrText>
      </w:r>
      <w:r>
        <w:fldChar w:fldCharType="separate"/>
      </w:r>
      <w:r>
        <w:rPr>
          <w:rFonts w:hint="eastAsia" w:ascii="仿宋_GB2312" w:hAnsi="Times New Roman" w:eastAsia="仿宋_GB2312"/>
          <w:sz w:val="28"/>
          <w:szCs w:val="28"/>
        </w:rPr>
        <w:t>四、财政拨款收入支出决算总体情况说明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_Toc11747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4</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"_Toc28814" </w:instrText>
      </w:r>
      <w:r>
        <w:fldChar w:fldCharType="separate"/>
      </w:r>
      <w:r>
        <w:rPr>
          <w:rFonts w:hint="eastAsia" w:ascii="仿宋_GB2312" w:hAnsi="Times New Roman" w:eastAsia="仿宋_GB2312"/>
          <w:sz w:val="28"/>
          <w:szCs w:val="28"/>
        </w:rPr>
        <w:t>五、一般公共预算财政拨款支出决算情况说明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_Toc28814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4</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"_Toc22531" </w:instrText>
      </w:r>
      <w:r>
        <w:fldChar w:fldCharType="separate"/>
      </w:r>
      <w:r>
        <w:rPr>
          <w:rFonts w:hint="eastAsia" w:ascii="仿宋_GB2312" w:hAnsi="Times New Roman" w:eastAsia="仿宋_GB2312"/>
          <w:sz w:val="28"/>
          <w:szCs w:val="28"/>
        </w:rPr>
        <w:t>六、一般公共预算财政拨款基本支出决算情况说明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_Toc22531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7</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"_Toc12324" </w:instrText>
      </w:r>
      <w:r>
        <w:fldChar w:fldCharType="separate"/>
      </w:r>
      <w:r>
        <w:rPr>
          <w:rFonts w:hint="eastAsia" w:ascii="仿宋_GB2312" w:hAnsi="Times New Roman" w:eastAsia="仿宋_GB2312"/>
          <w:sz w:val="28"/>
          <w:szCs w:val="28"/>
        </w:rPr>
        <w:t>七、财政拨款“三公”经费支出决算情况说明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_Toc12324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7</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"_Toc21547" </w:instrText>
      </w:r>
      <w:r>
        <w:fldChar w:fldCharType="separate"/>
      </w:r>
      <w:r>
        <w:rPr>
          <w:rFonts w:hint="eastAsia" w:ascii="仿宋_GB2312" w:hAnsi="Times New Roman" w:eastAsia="仿宋_GB2312"/>
          <w:sz w:val="28"/>
          <w:szCs w:val="28"/>
        </w:rPr>
        <w:t>八、政府性基金预算支出决算情况说明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_Toc21547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9</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"_Toc21242" </w:instrText>
      </w:r>
      <w:r>
        <w:fldChar w:fldCharType="separate"/>
      </w:r>
      <w:r>
        <w:rPr>
          <w:rFonts w:hint="eastAsia" w:ascii="仿宋_GB2312" w:hAnsi="Times New Roman" w:eastAsia="仿宋_GB2312"/>
          <w:sz w:val="28"/>
          <w:szCs w:val="28"/>
        </w:rPr>
        <w:t>九、 国有资本经营预算支出决算情况说明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_Toc21242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9</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424" w:firstLineChars="202"/>
        <w:rPr>
          <w:rFonts w:ascii="仿宋_GB2312" w:hAnsi="Times New Roman" w:eastAsia="仿宋_GB2312"/>
          <w:sz w:val="28"/>
          <w:szCs w:val="28"/>
        </w:rPr>
      </w:pPr>
      <w:r>
        <w:fldChar w:fldCharType="begin"/>
      </w:r>
      <w:r>
        <w:instrText xml:space="preserve"> HYPERLINK \l "_Toc19400" </w:instrText>
      </w:r>
      <w:r>
        <w:fldChar w:fldCharType="separate"/>
      </w:r>
      <w:r>
        <w:rPr>
          <w:rFonts w:hint="eastAsia" w:ascii="仿宋_GB2312" w:hAnsi="Times New Roman" w:eastAsia="仿宋_GB2312"/>
          <w:sz w:val="28"/>
          <w:szCs w:val="28"/>
        </w:rPr>
        <w:t>十、 其他重要事项的情况说明</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_Toc19400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10</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3"/>
        <w:tabs>
          <w:tab w:val="right" w:leader="dot" w:pos="8306"/>
          <w:tab w:val="clear" w:pos="8296"/>
        </w:tabs>
        <w:rPr>
          <w:rFonts w:ascii="仿宋_GB2312" w:hAnsi="黑体" w:eastAsia="仿宋_GB2312" w:cs="黑体"/>
        </w:rPr>
      </w:pPr>
      <w:r>
        <w:fldChar w:fldCharType="begin"/>
      </w:r>
      <w:r>
        <w:instrText xml:space="preserve"> HYPERLINK \l "_Toc25701" </w:instrText>
      </w:r>
      <w:r>
        <w:fldChar w:fldCharType="separate"/>
      </w:r>
      <w:r>
        <w:rPr>
          <w:rFonts w:hint="eastAsia" w:ascii="仿宋_GB2312" w:hAnsi="黑体" w:eastAsia="仿宋_GB2312" w:cs="黑体"/>
        </w:rPr>
        <w:t>第三部分 名词解释</w:t>
      </w:r>
      <w:r>
        <w:rPr>
          <w:rFonts w:hint="eastAsia" w:ascii="仿宋_GB2312" w:hAnsi="黑体" w:eastAsia="仿宋_GB2312" w:cs="黑体"/>
        </w:rPr>
        <w:tab/>
      </w:r>
      <w:r>
        <w:rPr>
          <w:rFonts w:hint="eastAsia" w:ascii="仿宋_GB2312" w:hAnsi="黑体" w:eastAsia="仿宋_GB2312" w:cs="黑体"/>
        </w:rPr>
        <w:fldChar w:fldCharType="begin"/>
      </w:r>
      <w:r>
        <w:rPr>
          <w:rFonts w:hint="eastAsia" w:ascii="仿宋_GB2312" w:hAnsi="黑体" w:eastAsia="仿宋_GB2312" w:cs="黑体"/>
        </w:rPr>
        <w:instrText xml:space="preserve"> PAGEREF _Toc25701 \h </w:instrText>
      </w:r>
      <w:r>
        <w:rPr>
          <w:rFonts w:hint="eastAsia" w:ascii="仿宋_GB2312" w:hAnsi="黑体" w:eastAsia="仿宋_GB2312" w:cs="黑体"/>
        </w:rPr>
        <w:fldChar w:fldCharType="separate"/>
      </w:r>
      <w:r>
        <w:rPr>
          <w:rFonts w:hint="eastAsia" w:ascii="仿宋_GB2312" w:hAnsi="黑体" w:eastAsia="仿宋_GB2312" w:cs="黑体"/>
        </w:rPr>
        <w:t>11</w:t>
      </w:r>
      <w:r>
        <w:rPr>
          <w:rFonts w:hint="eastAsia" w:ascii="仿宋_GB2312" w:hAnsi="黑体" w:eastAsia="仿宋_GB2312" w:cs="黑体"/>
        </w:rPr>
        <w:fldChar w:fldCharType="end"/>
      </w:r>
      <w:r>
        <w:rPr>
          <w:rFonts w:hint="eastAsia" w:ascii="仿宋_GB2312" w:hAnsi="黑体" w:eastAsia="仿宋_GB2312" w:cs="黑体"/>
        </w:rPr>
        <w:fldChar w:fldCharType="end"/>
      </w:r>
    </w:p>
    <w:p>
      <w:pPr>
        <w:pStyle w:val="13"/>
        <w:tabs>
          <w:tab w:val="right" w:leader="dot" w:pos="8306"/>
          <w:tab w:val="clear" w:pos="8296"/>
        </w:tabs>
        <w:rPr>
          <w:rFonts w:ascii="仿宋_GB2312" w:hAnsi="黑体" w:eastAsia="仿宋_GB2312" w:cs="黑体"/>
        </w:rPr>
      </w:pPr>
      <w:r>
        <w:fldChar w:fldCharType="begin"/>
      </w:r>
      <w:r>
        <w:instrText xml:space="preserve"> HYPERLINK \l "_Toc5275" </w:instrText>
      </w:r>
      <w:r>
        <w:fldChar w:fldCharType="separate"/>
      </w:r>
      <w:r>
        <w:rPr>
          <w:rFonts w:hint="eastAsia" w:ascii="仿宋_GB2312" w:hAnsi="黑体" w:eastAsia="仿宋_GB2312" w:cs="黑体"/>
        </w:rPr>
        <w:t>第四部分 附件</w:t>
      </w:r>
      <w:r>
        <w:rPr>
          <w:rFonts w:hint="eastAsia" w:ascii="仿宋_GB2312" w:hAnsi="黑体" w:eastAsia="仿宋_GB2312" w:cs="黑体"/>
        </w:rPr>
        <w:tab/>
      </w:r>
      <w:r>
        <w:rPr>
          <w:rFonts w:hint="eastAsia" w:ascii="仿宋_GB2312" w:hAnsi="黑体" w:eastAsia="仿宋_GB2312" w:cs="黑体"/>
        </w:rPr>
        <w:fldChar w:fldCharType="begin"/>
      </w:r>
      <w:r>
        <w:rPr>
          <w:rFonts w:hint="eastAsia" w:ascii="仿宋_GB2312" w:hAnsi="黑体" w:eastAsia="仿宋_GB2312" w:cs="黑体"/>
        </w:rPr>
        <w:instrText xml:space="preserve"> PAGEREF _Toc5275 \h </w:instrText>
      </w:r>
      <w:r>
        <w:rPr>
          <w:rFonts w:hint="eastAsia" w:ascii="仿宋_GB2312" w:hAnsi="黑体" w:eastAsia="仿宋_GB2312" w:cs="黑体"/>
        </w:rPr>
        <w:fldChar w:fldCharType="separate"/>
      </w:r>
      <w:r>
        <w:rPr>
          <w:rFonts w:hint="eastAsia" w:ascii="仿宋_GB2312" w:hAnsi="黑体" w:eastAsia="仿宋_GB2312" w:cs="黑体"/>
        </w:rPr>
        <w:t>12</w:t>
      </w:r>
      <w:r>
        <w:rPr>
          <w:rFonts w:hint="eastAsia" w:ascii="仿宋_GB2312" w:hAnsi="黑体" w:eastAsia="仿宋_GB2312" w:cs="黑体"/>
        </w:rPr>
        <w:fldChar w:fldCharType="end"/>
      </w:r>
      <w:r>
        <w:rPr>
          <w:rFonts w:hint="eastAsia" w:ascii="仿宋_GB2312" w:hAnsi="黑体" w:eastAsia="仿宋_GB2312" w:cs="黑体"/>
        </w:rPr>
        <w:fldChar w:fldCharType="end"/>
      </w:r>
    </w:p>
    <w:p>
      <w:pPr>
        <w:pStyle w:val="13"/>
        <w:tabs>
          <w:tab w:val="right" w:leader="dot" w:pos="8306"/>
          <w:tab w:val="clear" w:pos="8296"/>
        </w:tabs>
        <w:rPr>
          <w:rFonts w:ascii="仿宋_GB2312" w:hAnsi="黑体" w:eastAsia="仿宋_GB2312" w:cs="黑体"/>
        </w:rPr>
      </w:pPr>
      <w:r>
        <w:fldChar w:fldCharType="begin"/>
      </w:r>
      <w:r>
        <w:instrText xml:space="preserve"> HYPERLINK \l "_Toc13739" </w:instrText>
      </w:r>
      <w:r>
        <w:fldChar w:fldCharType="separate"/>
      </w:r>
      <w:r>
        <w:rPr>
          <w:rFonts w:hint="eastAsia" w:ascii="仿宋_GB2312" w:hAnsi="黑体" w:eastAsia="仿宋_GB2312" w:cs="黑体"/>
        </w:rPr>
        <w:t>第五部分 附表</w:t>
      </w:r>
      <w:r>
        <w:rPr>
          <w:rFonts w:hint="eastAsia" w:ascii="仿宋_GB2312" w:hAnsi="黑体" w:eastAsia="仿宋_GB2312" w:cs="黑体"/>
        </w:rPr>
        <w:tab/>
      </w:r>
      <w:r>
        <w:rPr>
          <w:rFonts w:hint="eastAsia" w:ascii="仿宋_GB2312" w:hAnsi="黑体" w:eastAsia="仿宋_GB2312" w:cs="黑体"/>
        </w:rPr>
        <w:fldChar w:fldCharType="begin"/>
      </w:r>
      <w:r>
        <w:rPr>
          <w:rFonts w:hint="eastAsia" w:ascii="仿宋_GB2312" w:hAnsi="黑体" w:eastAsia="仿宋_GB2312" w:cs="黑体"/>
        </w:rPr>
        <w:instrText xml:space="preserve"> PAGEREF _Toc13739 \h </w:instrText>
      </w:r>
      <w:r>
        <w:rPr>
          <w:rFonts w:hint="eastAsia" w:ascii="仿宋_GB2312" w:hAnsi="黑体" w:eastAsia="仿宋_GB2312" w:cs="黑体"/>
        </w:rPr>
        <w:fldChar w:fldCharType="separate"/>
      </w:r>
      <w:r>
        <w:rPr>
          <w:rFonts w:hint="eastAsia" w:ascii="仿宋_GB2312" w:hAnsi="黑体" w:eastAsia="仿宋_GB2312" w:cs="黑体"/>
        </w:rPr>
        <w:t>16</w:t>
      </w:r>
      <w:r>
        <w:rPr>
          <w:rFonts w:hint="eastAsia" w:ascii="仿宋_GB2312" w:hAnsi="黑体" w:eastAsia="仿宋_GB2312" w:cs="黑体"/>
        </w:rPr>
        <w:fldChar w:fldCharType="end"/>
      </w:r>
      <w:r>
        <w:rPr>
          <w:rFonts w:hint="eastAsia" w:ascii="仿宋_GB2312" w:hAnsi="黑体" w:eastAsia="仿宋_GB2312" w:cs="黑体"/>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"_Toc5890" </w:instrText>
      </w:r>
      <w:r>
        <w:fldChar w:fldCharType="separate"/>
      </w:r>
      <w:r>
        <w:rPr>
          <w:rFonts w:hint="eastAsia" w:ascii="仿宋_GB2312" w:hAnsi="Times New Roman" w:eastAsia="仿宋_GB2312"/>
          <w:sz w:val="28"/>
          <w:szCs w:val="28"/>
        </w:rPr>
        <w:t>一、收入支出决算总表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_Toc5890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"_Toc21423" </w:instrText>
      </w:r>
      <w:r>
        <w:fldChar w:fldCharType="separate"/>
      </w:r>
      <w:r>
        <w:rPr>
          <w:rFonts w:hint="eastAsia" w:ascii="仿宋_GB2312" w:hAnsi="Times New Roman" w:eastAsia="仿宋_GB2312"/>
          <w:sz w:val="28"/>
          <w:szCs w:val="28"/>
        </w:rPr>
        <w:t>二、收入决算表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_Toc21423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"_Toc7937" </w:instrText>
      </w:r>
      <w:r>
        <w:fldChar w:fldCharType="separate"/>
      </w:r>
      <w:r>
        <w:rPr>
          <w:rFonts w:hint="eastAsia" w:ascii="仿宋_GB2312" w:hAnsi="Times New Roman" w:eastAsia="仿宋_GB2312"/>
          <w:sz w:val="28"/>
          <w:szCs w:val="28"/>
        </w:rPr>
        <w:t>三、支出决算表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_Toc7937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"_Toc3758" </w:instrText>
      </w:r>
      <w:r>
        <w:fldChar w:fldCharType="separate"/>
      </w:r>
      <w:r>
        <w:rPr>
          <w:rFonts w:hint="eastAsia" w:ascii="仿宋_GB2312" w:hAnsi="Times New Roman" w:eastAsia="仿宋_GB2312"/>
          <w:sz w:val="28"/>
          <w:szCs w:val="28"/>
        </w:rPr>
        <w:t>四、财政拨款收入支出决算总表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_Toc3758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"_Toc2476" </w:instrText>
      </w:r>
      <w:r>
        <w:fldChar w:fldCharType="separate"/>
      </w:r>
      <w:r>
        <w:rPr>
          <w:rFonts w:hint="eastAsia" w:ascii="仿宋_GB2312" w:hAnsi="Times New Roman" w:eastAsia="仿宋_GB2312"/>
          <w:sz w:val="28"/>
          <w:szCs w:val="28"/>
        </w:rPr>
        <w:t>五、财政拨款支出决算明细表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_Toc2476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"_Toc26758" </w:instrText>
      </w:r>
      <w:r>
        <w:fldChar w:fldCharType="separate"/>
      </w:r>
      <w:r>
        <w:rPr>
          <w:rFonts w:hint="eastAsia" w:ascii="仿宋_GB2312" w:hAnsi="Times New Roman" w:eastAsia="仿宋_GB2312"/>
          <w:sz w:val="28"/>
          <w:szCs w:val="28"/>
        </w:rPr>
        <w:t>六、一般公共预算财政拨款支出决算表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_Toc26758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"_Toc12208" </w:instrText>
      </w:r>
      <w:r>
        <w:fldChar w:fldCharType="separate"/>
      </w:r>
      <w:r>
        <w:rPr>
          <w:rFonts w:hint="eastAsia" w:ascii="仿宋_GB2312" w:hAnsi="Times New Roman" w:eastAsia="仿宋_GB2312"/>
          <w:sz w:val="28"/>
          <w:szCs w:val="28"/>
        </w:rPr>
        <w:t>七、一般公共预算财政拨款支出决算明细表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_Toc12208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"_Toc28204" </w:instrText>
      </w:r>
      <w:r>
        <w:fldChar w:fldCharType="separate"/>
      </w:r>
      <w:r>
        <w:rPr>
          <w:rFonts w:hint="eastAsia" w:ascii="仿宋_GB2312" w:hAnsi="Times New Roman" w:eastAsia="仿宋_GB2312"/>
          <w:sz w:val="28"/>
          <w:szCs w:val="28"/>
        </w:rPr>
        <w:t>八、一般公共预算财政拨款基本支出决算表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_Toc28204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"_Toc30968" </w:instrText>
      </w:r>
      <w:r>
        <w:fldChar w:fldCharType="separate"/>
      </w:r>
      <w:r>
        <w:rPr>
          <w:rFonts w:hint="eastAsia" w:ascii="仿宋_GB2312" w:hAnsi="Times New Roman" w:eastAsia="仿宋_GB2312"/>
          <w:sz w:val="28"/>
          <w:szCs w:val="28"/>
        </w:rPr>
        <w:t>九、一般公共预算财政拨款项目支出决算表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_Toc30968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"_Toc16198" </w:instrText>
      </w:r>
      <w:r>
        <w:fldChar w:fldCharType="separate"/>
      </w:r>
      <w:r>
        <w:rPr>
          <w:rFonts w:hint="eastAsia" w:ascii="仿宋_GB2312" w:hAnsi="Times New Roman" w:eastAsia="仿宋_GB2312"/>
          <w:sz w:val="28"/>
          <w:szCs w:val="28"/>
        </w:rPr>
        <w:t>十、政府性基金预算财政拨款收入支出决算表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_Toc16198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"_Toc19449" </w:instrText>
      </w:r>
      <w:r>
        <w:fldChar w:fldCharType="separate"/>
      </w:r>
      <w:r>
        <w:rPr>
          <w:rFonts w:hint="eastAsia" w:ascii="仿宋_GB2312" w:hAnsi="Times New Roman" w:eastAsia="仿宋_GB2312"/>
          <w:sz w:val="28"/>
          <w:szCs w:val="28"/>
        </w:rPr>
        <w:t>十一、国有资本经营预算财政拨款收入支出决算表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_Toc19449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"_Toc3067" </w:instrText>
      </w:r>
      <w:r>
        <w:fldChar w:fldCharType="separate"/>
      </w:r>
      <w:r>
        <w:rPr>
          <w:rFonts w:hint="eastAsia" w:ascii="仿宋_GB2312" w:hAnsi="Times New Roman" w:eastAsia="仿宋_GB2312"/>
          <w:sz w:val="28"/>
          <w:szCs w:val="28"/>
        </w:rPr>
        <w:t>十二、国有资本经营预算财政拨款支出决算表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_Toc3067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pStyle w:val="15"/>
        <w:tabs>
          <w:tab w:val="right" w:leader="dot" w:pos="8306"/>
          <w:tab w:val="clear" w:pos="8296"/>
        </w:tabs>
        <w:ind w:left="0" w:leftChars="0" w:firstLine="283" w:firstLineChars="135"/>
        <w:rPr>
          <w:rFonts w:ascii="仿宋_GB2312" w:hAnsi="Times New Roman" w:eastAsia="仿宋_GB2312"/>
          <w:sz w:val="28"/>
          <w:szCs w:val="28"/>
        </w:rPr>
      </w:pPr>
      <w:r>
        <w:fldChar w:fldCharType="begin"/>
      </w:r>
      <w:r>
        <w:instrText xml:space="preserve"> HYPERLINK \l "_Toc19157" </w:instrText>
      </w:r>
      <w:r>
        <w:fldChar w:fldCharType="separate"/>
      </w:r>
      <w:r>
        <w:rPr>
          <w:rFonts w:hint="eastAsia" w:ascii="仿宋_GB2312" w:hAnsi="Times New Roman" w:eastAsia="仿宋_GB2312"/>
          <w:sz w:val="28"/>
          <w:szCs w:val="28"/>
        </w:rPr>
        <w:t>十三、财政拨款“三公”经费支出决算表</w:t>
      </w:r>
      <w:r>
        <w:rPr>
          <w:rFonts w:hint="eastAsia" w:ascii="仿宋_GB2312" w:hAnsi="Times New Roman" w:eastAsia="仿宋_GB2312"/>
          <w:sz w:val="28"/>
          <w:szCs w:val="28"/>
        </w:rPr>
        <w:tab/>
      </w:r>
      <w:r>
        <w:rPr>
          <w:rFonts w:hint="eastAsia" w:ascii="仿宋_GB2312" w:hAnsi="Times New Roman" w:eastAsia="仿宋_GB2312"/>
          <w:sz w:val="28"/>
          <w:szCs w:val="28"/>
        </w:rPr>
        <w:fldChar w:fldCharType="begin"/>
      </w:r>
      <w:r>
        <w:rPr>
          <w:rFonts w:hint="eastAsia" w:ascii="仿宋_GB2312" w:hAnsi="Times New Roman" w:eastAsia="仿宋_GB2312"/>
          <w:sz w:val="28"/>
          <w:szCs w:val="28"/>
        </w:rPr>
        <w:instrText xml:space="preserve"> PAGEREF _Toc19157 \h </w:instrText>
      </w:r>
      <w:r>
        <w:rPr>
          <w:rFonts w:hint="eastAsia" w:ascii="仿宋_GB2312" w:hAnsi="Times New Roman" w:eastAsia="仿宋_GB2312"/>
          <w:sz w:val="28"/>
          <w:szCs w:val="28"/>
        </w:rPr>
        <w:fldChar w:fldCharType="separate"/>
      </w:r>
      <w:r>
        <w:rPr>
          <w:rFonts w:hint="eastAsia" w:ascii="仿宋_GB2312" w:hAnsi="Times New Roman" w:eastAsia="仿宋_GB2312"/>
          <w:sz w:val="28"/>
          <w:szCs w:val="28"/>
        </w:rPr>
        <w:t>16</w:t>
      </w:r>
      <w:r>
        <w:rPr>
          <w:rFonts w:hint="eastAsia" w:ascii="仿宋_GB2312" w:hAnsi="Times New Roman" w:eastAsia="仿宋_GB2312"/>
          <w:sz w:val="28"/>
          <w:szCs w:val="28"/>
        </w:rPr>
        <w:fldChar w:fldCharType="end"/>
      </w:r>
      <w:r>
        <w:rPr>
          <w:rFonts w:hint="eastAsia" w:ascii="仿宋_GB2312" w:hAnsi="Times New Roman" w:eastAsia="仿宋_GB2312"/>
          <w:sz w:val="28"/>
          <w:szCs w:val="28"/>
        </w:rPr>
        <w:fldChar w:fldCharType="end"/>
      </w:r>
    </w:p>
    <w:p>
      <w:pPr>
        <w:spacing w:line="576" w:lineRule="exact"/>
      </w:pPr>
      <w:r>
        <w:rPr>
          <w:rFonts w:hint="eastAsia" w:ascii="仿宋_GB2312" w:hAnsi="Times New Roman" w:eastAsia="仿宋_GB2312"/>
          <w:sz w:val="28"/>
          <w:szCs w:val="28"/>
        </w:rPr>
        <w:fldChar w:fldCharType="end"/>
      </w:r>
    </w:p>
    <w:p>
      <w:pPr>
        <w:pStyle w:val="5"/>
        <w:rPr>
          <w:rFonts w:ascii="黑体" w:hAnsi="黑体" w:eastAsia="黑体"/>
          <w:bCs w:val="0"/>
        </w:rPr>
        <w:sectPr>
          <w:pgSz w:w="11906" w:h="16838"/>
          <w:pgMar w:top="1440" w:right="1800" w:bottom="1440" w:left="1800" w:header="720" w:footer="720" w:gutter="0"/>
          <w:pgNumType w:fmt="decimal"/>
          <w:cols w:space="720" w:num="1"/>
          <w:docGrid w:type="lines" w:linePitch="312" w:charSpace="0"/>
        </w:sectPr>
      </w:pPr>
      <w:bookmarkStart w:id="0" w:name="_Toc15396599"/>
      <w:bookmarkStart w:id="1" w:name="_Toc15377196"/>
    </w:p>
    <w:p>
      <w:pPr>
        <w:pStyle w:val="5"/>
        <w:rPr>
          <w:rStyle w:val="20"/>
          <w:rFonts w:ascii="黑体" w:hAnsi="黑体" w:eastAsia="黑体"/>
          <w:bCs w:val="0"/>
        </w:rPr>
      </w:pPr>
      <w:bookmarkStart w:id="2" w:name="_Toc6286"/>
      <w:r>
        <w:rPr>
          <w:rFonts w:hint="eastAsia" w:ascii="黑体" w:hAnsi="黑体" w:eastAsia="黑体"/>
          <w:bCs w:val="0"/>
        </w:rPr>
        <w:t xml:space="preserve">第一部分 </w:t>
      </w:r>
      <w:r>
        <w:rPr>
          <w:rStyle w:val="20"/>
          <w:rFonts w:hint="eastAsia" w:ascii="黑体" w:hAnsi="黑体" w:eastAsia="黑体"/>
          <w:bCs w:val="0"/>
        </w:rPr>
        <w:t>部门概况</w:t>
      </w:r>
      <w:bookmarkEnd w:id="0"/>
      <w:bookmarkEnd w:id="1"/>
      <w:bookmarkEnd w:id="2"/>
    </w:p>
    <w:p>
      <w:pPr>
        <w:widowControl/>
        <w:jc w:val="left"/>
        <w:rPr>
          <w:rFonts w:ascii="黑体" w:eastAsia="黑体"/>
          <w:sz w:val="32"/>
          <w:szCs w:val="32"/>
        </w:rPr>
      </w:pPr>
    </w:p>
    <w:p>
      <w:pPr>
        <w:pStyle w:val="6"/>
        <w:keepNext w:val="0"/>
        <w:keepLines w:val="0"/>
        <w:spacing w:line="576" w:lineRule="exact"/>
        <w:ind w:firstLine="640" w:firstLineChars="200"/>
        <w:rPr>
          <w:rFonts w:ascii="Times New Roman" w:hAnsi="Times New Roman"/>
          <w:bCs w:val="0"/>
        </w:rPr>
      </w:pPr>
      <w:bookmarkStart w:id="3" w:name="_Toc15377197"/>
      <w:bookmarkStart w:id="4" w:name="_Toc13906"/>
      <w:bookmarkStart w:id="5" w:name="_Toc15396600"/>
      <w:bookmarkStart w:id="6" w:name="_Toc16323"/>
      <w:bookmarkStart w:id="7" w:name="_Toc7168"/>
      <w:r>
        <w:rPr>
          <w:rFonts w:ascii="Times New Roman" w:hAnsi="Times New Roman"/>
          <w:bCs w:val="0"/>
        </w:rPr>
        <w:t>一、</w:t>
      </w:r>
      <w:bookmarkEnd w:id="3"/>
      <w:bookmarkEnd w:id="4"/>
      <w:bookmarkEnd w:id="5"/>
      <w:r>
        <w:rPr>
          <w:rFonts w:hint="eastAsia" w:ascii="Times New Roman" w:hAnsi="Times New Roman"/>
          <w:bCs w:val="0"/>
        </w:rPr>
        <w:t>部门职责</w:t>
      </w:r>
      <w:bookmarkEnd w:id="6"/>
      <w:bookmarkEnd w:id="7"/>
    </w:p>
    <w:p>
      <w:pPr>
        <w:pStyle w:val="8"/>
        <w:adjustRightInd w:val="0"/>
        <w:snapToGrid w:val="0"/>
        <w:spacing w:line="576" w:lineRule="exact"/>
        <w:ind w:firstLine="640" w:firstLineChars="200"/>
        <w:outlineLvl w:val="2"/>
        <w:rPr>
          <w:rFonts w:ascii="Times New Roman" w:hAnsi="Times New Roman" w:eastAsia="楷体_GB2312"/>
          <w:sz w:val="32"/>
          <w:szCs w:val="32"/>
        </w:rPr>
      </w:pPr>
      <w:bookmarkStart w:id="8" w:name="_Toc22799"/>
      <w:bookmarkStart w:id="9" w:name="_Toc29809"/>
      <w:bookmarkStart w:id="10" w:name="_Toc15377198"/>
      <w:bookmarkStart w:id="11" w:name="_Toc31751"/>
      <w:bookmarkStart w:id="12" w:name="_Toc15378445"/>
      <w:r>
        <w:rPr>
          <w:rFonts w:ascii="Times New Roman" w:hAnsi="Times New Roman" w:eastAsia="楷体_GB2312"/>
          <w:sz w:val="32"/>
          <w:szCs w:val="32"/>
        </w:rPr>
        <w:t>（一）主要职能。</w:t>
      </w:r>
      <w:bookmarkEnd w:id="8"/>
      <w:bookmarkEnd w:id="9"/>
      <w:bookmarkEnd w:id="10"/>
      <w:bookmarkEnd w:id="11"/>
      <w:bookmarkEnd w:id="12"/>
    </w:p>
    <w:p>
      <w:pPr>
        <w:pStyle w:val="8"/>
        <w:adjustRightInd w:val="0"/>
        <w:snapToGrid w:val="0"/>
        <w:spacing w:line="576" w:lineRule="exact"/>
        <w:ind w:firstLine="640" w:firstLineChars="200"/>
        <w:outlineLvl w:val="2"/>
        <w:rPr>
          <w:rFonts w:ascii="仿宋" w:hAnsi="仿宋" w:eastAsia="仿宋" w:cs="仿宋"/>
          <w:sz w:val="32"/>
          <w:szCs w:val="32"/>
        </w:rPr>
      </w:pPr>
      <w:bookmarkStart w:id="13" w:name="_Toc14816"/>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hint="eastAsia" w:ascii="仿宋" w:hAnsi="仿宋" w:eastAsia="仿宋" w:cs="仿宋"/>
          <w:sz w:val="32"/>
          <w:szCs w:val="32"/>
        </w:rPr>
        <w:t>负责对已成水利工程设施设备进行维修养护和管理，确保水库和渠道工程运行及度汛安全。</w:t>
      </w:r>
      <w:bookmarkEnd w:id="13"/>
    </w:p>
    <w:p>
      <w:pPr>
        <w:pStyle w:val="8"/>
        <w:adjustRightInd w:val="0"/>
        <w:snapToGrid w:val="0"/>
        <w:spacing w:line="576" w:lineRule="exact"/>
        <w:ind w:firstLine="640" w:firstLineChars="200"/>
        <w:outlineLvl w:val="2"/>
        <w:rPr>
          <w:rFonts w:ascii="仿宋" w:hAnsi="仿宋" w:eastAsia="仿宋" w:cs="仿宋"/>
          <w:sz w:val="32"/>
          <w:szCs w:val="32"/>
        </w:rPr>
      </w:pPr>
      <w:bookmarkStart w:id="14" w:name="_Toc17634"/>
      <w:r>
        <w:rPr>
          <w:rFonts w:hint="eastAsia" w:ascii="Times New Roman" w:hAnsi="Times New Roman" w:eastAsia="仿宋_GB2312"/>
          <w:color w:val="000000"/>
          <w:sz w:val="32"/>
          <w:szCs w:val="32"/>
        </w:rPr>
        <w:t>2.</w:t>
      </w:r>
      <w:r>
        <w:rPr>
          <w:rFonts w:hint="eastAsia" w:ascii="仿宋" w:hAnsi="仿宋" w:eastAsia="仿宋" w:cs="仿宋"/>
          <w:sz w:val="32"/>
          <w:szCs w:val="32"/>
        </w:rPr>
        <w:t>负责组织协调灌区各镇的农业灌溉用水、防洪调度、抢险工作。</w:t>
      </w:r>
      <w:bookmarkEnd w:id="14"/>
    </w:p>
    <w:p>
      <w:pPr>
        <w:pStyle w:val="8"/>
        <w:adjustRightInd w:val="0"/>
        <w:snapToGrid w:val="0"/>
        <w:spacing w:line="576" w:lineRule="exact"/>
        <w:ind w:firstLine="640" w:firstLineChars="200"/>
        <w:outlineLvl w:val="2"/>
        <w:rPr>
          <w:rFonts w:ascii="仿宋" w:hAnsi="仿宋" w:eastAsia="仿宋" w:cs="仿宋"/>
          <w:sz w:val="32"/>
          <w:szCs w:val="32"/>
        </w:rPr>
      </w:pPr>
      <w:bookmarkStart w:id="15" w:name="_Toc31534"/>
      <w:r>
        <w:rPr>
          <w:rFonts w:hint="eastAsia" w:ascii="Times New Roman" w:hAnsi="Times New Roman" w:eastAsia="仿宋_GB2312"/>
          <w:color w:val="000000"/>
          <w:sz w:val="32"/>
          <w:szCs w:val="32"/>
        </w:rPr>
        <w:t>3.</w:t>
      </w:r>
      <w:r>
        <w:rPr>
          <w:rFonts w:hint="eastAsia" w:ascii="仿宋" w:hAnsi="仿宋" w:eastAsia="仿宋" w:cs="仿宋"/>
          <w:sz w:val="32"/>
          <w:szCs w:val="32"/>
        </w:rPr>
        <w:t>负责水利工程的勘测设计施工、管理及水毁工程整治。</w:t>
      </w:r>
      <w:bookmarkEnd w:id="15"/>
    </w:p>
    <w:p>
      <w:pPr>
        <w:pStyle w:val="8"/>
        <w:adjustRightInd w:val="0"/>
        <w:snapToGrid w:val="0"/>
        <w:spacing w:line="576" w:lineRule="exact"/>
        <w:ind w:firstLine="640" w:firstLineChars="200"/>
        <w:outlineLvl w:val="2"/>
        <w:rPr>
          <w:rFonts w:ascii="仿宋" w:hAnsi="仿宋" w:eastAsia="仿宋" w:cs="仿宋"/>
          <w:sz w:val="32"/>
          <w:szCs w:val="32"/>
        </w:rPr>
      </w:pPr>
      <w:bookmarkStart w:id="16" w:name="_Toc29503"/>
      <w:r>
        <w:rPr>
          <w:rFonts w:hint="eastAsia" w:ascii="Times New Roman" w:hAnsi="Times New Roman" w:eastAsia="仿宋_GB2312"/>
          <w:color w:val="000000"/>
          <w:sz w:val="32"/>
          <w:szCs w:val="32"/>
        </w:rPr>
        <w:t>4.</w:t>
      </w:r>
      <w:r>
        <w:rPr>
          <w:rFonts w:hint="eastAsia" w:ascii="仿宋" w:hAnsi="仿宋" w:eastAsia="仿宋" w:cs="仿宋"/>
          <w:sz w:val="32"/>
          <w:szCs w:val="32"/>
        </w:rPr>
        <w:t>负责水库蓄水保水、水文观测、计划统计、科技情报、技术档案、资料保管等工作。</w:t>
      </w:r>
      <w:bookmarkEnd w:id="16"/>
      <w:bookmarkStart w:id="17" w:name="_Toc15377200"/>
      <w:bookmarkStart w:id="18" w:name="_Toc15396601"/>
    </w:p>
    <w:p>
      <w:pPr>
        <w:pStyle w:val="6"/>
        <w:keepNext w:val="0"/>
        <w:keepLines w:val="0"/>
        <w:spacing w:line="576" w:lineRule="exact"/>
        <w:ind w:firstLine="640" w:firstLineChars="200"/>
        <w:rPr>
          <w:rFonts w:ascii="Times New Roman" w:hAnsi="Times New Roman"/>
          <w:bCs w:val="0"/>
        </w:rPr>
      </w:pPr>
      <w:bookmarkStart w:id="19" w:name="_Toc5980"/>
      <w:r>
        <w:rPr>
          <w:rFonts w:hint="eastAsia" w:ascii="Times New Roman" w:hAnsi="Times New Roman"/>
          <w:bCs w:val="0"/>
        </w:rPr>
        <w:t>二、机构设置</w:t>
      </w:r>
      <w:bookmarkEnd w:id="17"/>
      <w:bookmarkEnd w:id="18"/>
      <w:bookmarkEnd w:id="19"/>
    </w:p>
    <w:p>
      <w:pPr>
        <w:pStyle w:val="8"/>
        <w:adjustRightInd w:val="0"/>
        <w:snapToGrid w:val="0"/>
        <w:spacing w:line="576" w:lineRule="exact"/>
        <w:ind w:firstLine="640" w:firstLineChars="200"/>
        <w:outlineLvl w:val="2"/>
        <w:rPr>
          <w:rFonts w:ascii="仿宋" w:hAnsi="仿宋" w:eastAsia="仿宋"/>
          <w:sz w:val="32"/>
          <w:szCs w:val="32"/>
        </w:rPr>
      </w:pPr>
      <w:bookmarkStart w:id="20" w:name="_Toc11910"/>
      <w:r>
        <w:rPr>
          <w:rFonts w:hint="eastAsia" w:ascii="仿宋" w:hAnsi="仿宋" w:eastAsia="仿宋"/>
          <w:sz w:val="32"/>
          <w:szCs w:val="32"/>
        </w:rPr>
        <w:t>本部门下属二级预算单位0个，其中行政单位0个，参照公务员法管理的事业单位0个，其他事业单位0个。</w:t>
      </w:r>
      <w:bookmarkEnd w:id="20"/>
    </w:p>
    <w:p>
      <w:pPr>
        <w:pStyle w:val="8"/>
        <w:adjustRightInd w:val="0"/>
        <w:snapToGrid w:val="0"/>
        <w:spacing w:line="576" w:lineRule="exact"/>
        <w:ind w:firstLine="640" w:firstLineChars="200"/>
        <w:outlineLvl w:val="2"/>
        <w:rPr>
          <w:rFonts w:ascii="仿宋" w:hAnsi="仿宋" w:eastAsia="仿宋"/>
          <w:sz w:val="32"/>
          <w:szCs w:val="32"/>
        </w:rPr>
      </w:pPr>
      <w:bookmarkStart w:id="21" w:name="_Toc21228"/>
      <w:bookmarkStart w:id="22" w:name="_Toc9522"/>
      <w:bookmarkStart w:id="23" w:name="_Toc31053"/>
      <w:r>
        <w:rPr>
          <w:rFonts w:hint="eastAsia" w:ascii="仿宋" w:hAnsi="仿宋" w:eastAsia="仿宋"/>
          <w:sz w:val="32"/>
          <w:szCs w:val="32"/>
        </w:rPr>
        <w:t>纳入2024年度部门决算编制范围的二级预算单位无</w:t>
      </w:r>
      <w:bookmarkEnd w:id="21"/>
      <w:r>
        <w:rPr>
          <w:rFonts w:hint="eastAsia" w:ascii="仿宋" w:hAnsi="仿宋" w:eastAsia="仿宋"/>
          <w:sz w:val="32"/>
          <w:szCs w:val="32"/>
        </w:rPr>
        <w:t>。</w:t>
      </w:r>
      <w:bookmarkEnd w:id="22"/>
      <w:bookmarkEnd w:id="23"/>
    </w:p>
    <w:p>
      <w:pPr>
        <w:widowControl/>
        <w:suppressAutoHyphens w:val="0"/>
        <w:jc w:val="left"/>
        <w:rPr>
          <w:rFonts w:ascii="黑体" w:hAnsi="黑体" w:eastAsia="黑体"/>
          <w:kern w:val="44"/>
          <w:sz w:val="44"/>
          <w:szCs w:val="44"/>
        </w:rPr>
      </w:pPr>
      <w:bookmarkStart w:id="24" w:name="_Toc15396602"/>
      <w:bookmarkStart w:id="25" w:name="_Toc15377204"/>
      <w:r>
        <w:rPr>
          <w:rFonts w:ascii="黑体" w:hAnsi="黑体" w:eastAsia="黑体"/>
        </w:rPr>
        <w:br w:type="page"/>
      </w:r>
    </w:p>
    <w:p>
      <w:pPr>
        <w:pStyle w:val="5"/>
        <w:ind w:right="440"/>
        <w:rPr>
          <w:rStyle w:val="20"/>
          <w:rFonts w:ascii="黑体" w:hAnsi="黑体" w:eastAsia="黑体"/>
          <w:bCs w:val="0"/>
        </w:rPr>
      </w:pPr>
      <w:bookmarkStart w:id="26" w:name="_Toc30880"/>
      <w:r>
        <w:rPr>
          <w:rFonts w:hint="eastAsia" w:ascii="黑体" w:hAnsi="黑体" w:eastAsia="黑体"/>
          <w:bCs w:val="0"/>
        </w:rPr>
        <w:t>第二部分 2024年度</w:t>
      </w:r>
      <w:r>
        <w:rPr>
          <w:rStyle w:val="20"/>
          <w:rFonts w:hint="eastAsia" w:ascii="黑体" w:hAnsi="黑体" w:eastAsia="黑体"/>
          <w:bCs w:val="0"/>
        </w:rPr>
        <w:t>部门决算情况说明</w:t>
      </w:r>
      <w:bookmarkEnd w:id="24"/>
      <w:bookmarkEnd w:id="25"/>
      <w:bookmarkEnd w:id="26"/>
    </w:p>
    <w:p/>
    <w:p>
      <w:pPr>
        <w:pStyle w:val="25"/>
        <w:numPr>
          <w:ilvl w:val="0"/>
          <w:numId w:val="1"/>
        </w:numPr>
        <w:spacing w:line="600" w:lineRule="exact"/>
        <w:ind w:firstLineChars="0"/>
        <w:outlineLvl w:val="1"/>
        <w:rPr>
          <w:rStyle w:val="21"/>
          <w:rFonts w:ascii="黑体" w:hAnsi="黑体"/>
          <w:bCs w:val="0"/>
        </w:rPr>
      </w:pPr>
      <w:bookmarkStart w:id="27" w:name="_Toc15377205"/>
      <w:bookmarkStart w:id="28" w:name="_Toc15396603"/>
      <w:bookmarkStart w:id="29" w:name="_Toc21554"/>
      <w:r>
        <w:rPr>
          <w:rFonts w:hint="eastAsia" w:ascii="黑体" w:hAnsi="黑体" w:eastAsia="黑体"/>
          <w:sz w:val="32"/>
          <w:szCs w:val="32"/>
        </w:rPr>
        <w:t>收</w:t>
      </w:r>
      <w:r>
        <w:rPr>
          <w:rStyle w:val="21"/>
          <w:rFonts w:hint="eastAsia" w:ascii="黑体" w:hAnsi="黑体"/>
          <w:bCs w:val="0"/>
        </w:rPr>
        <w:t>入支出决算总体情况说明</w:t>
      </w:r>
      <w:bookmarkEnd w:id="27"/>
      <w:bookmarkEnd w:id="28"/>
      <w:bookmarkEnd w:id="29"/>
    </w:p>
    <w:p>
      <w:pPr>
        <w:spacing w:line="600" w:lineRule="exact"/>
        <w:ind w:firstLine="640" w:firstLineChars="200"/>
        <w:rPr>
          <w:rFonts w:ascii="仿宋" w:hAnsi="仿宋" w:eastAsia="仿宋"/>
          <w:sz w:val="32"/>
          <w:szCs w:val="32"/>
        </w:rPr>
      </w:pPr>
      <w:r>
        <w:rPr>
          <w:rFonts w:hint="eastAsia" w:ascii="仿宋" w:hAnsi="仿宋" w:eastAsia="仿宋"/>
          <w:sz w:val="32"/>
          <w:szCs w:val="32"/>
        </w:rPr>
        <w:t>2024年度收、支总计均为701.40万元。与2023年度相比，收、支总计各增加1.16万元，增长0.17</w:t>
      </w:r>
      <w:r>
        <w:rPr>
          <w:rFonts w:ascii="仿宋" w:hAnsi="仿宋" w:eastAsia="仿宋"/>
          <w:sz w:val="32"/>
          <w:szCs w:val="32"/>
        </w:rPr>
        <w:t>%</w:t>
      </w:r>
      <w:r>
        <w:rPr>
          <w:rFonts w:hint="eastAsia" w:ascii="仿宋" w:hAnsi="仿宋" w:eastAsia="仿宋"/>
          <w:sz w:val="32"/>
          <w:szCs w:val="32"/>
        </w:rPr>
        <w:t>。主要变动原因是因社会保障和就业支出缴费基数提高。</w:t>
      </w:r>
    </w:p>
    <w:p>
      <w:pPr>
        <w:pStyle w:val="8"/>
      </w:pPr>
      <w:r>
        <w:rPr>
          <w:rFonts w:hint="eastAsia" w:ascii="仿宋" w:hAnsi="仿宋" w:eastAsia="仿宋"/>
          <w:sz w:val="32"/>
          <w:szCs w:val="32"/>
        </w:rPr>
        <w:drawing>
          <wp:inline distT="0" distB="0" distL="0" distR="0">
            <wp:extent cx="5276850" cy="4248150"/>
            <wp:effectExtent l="4445" t="4445" r="14605" b="14605"/>
            <wp:docPr id="1"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pPr>
    </w:p>
    <w:p>
      <w:pPr>
        <w:pStyle w:val="25"/>
        <w:numPr>
          <w:ilvl w:val="0"/>
          <w:numId w:val="1"/>
        </w:numPr>
        <w:spacing w:line="600" w:lineRule="exact"/>
        <w:ind w:firstLineChars="0"/>
        <w:outlineLvl w:val="1"/>
        <w:rPr>
          <w:rStyle w:val="21"/>
          <w:rFonts w:ascii="黑体" w:hAnsi="黑体"/>
          <w:bCs w:val="0"/>
        </w:rPr>
      </w:pPr>
      <w:bookmarkStart w:id="30" w:name="_Toc15377206"/>
      <w:bookmarkStart w:id="31" w:name="_Toc2905"/>
      <w:bookmarkStart w:id="32" w:name="_Toc15396604"/>
      <w:r>
        <w:rPr>
          <w:rFonts w:hint="eastAsia" w:ascii="黑体" w:hAnsi="黑体" w:eastAsia="黑体"/>
          <w:sz w:val="32"/>
          <w:szCs w:val="32"/>
        </w:rPr>
        <w:t>收</w:t>
      </w:r>
      <w:r>
        <w:rPr>
          <w:rStyle w:val="21"/>
          <w:rFonts w:hint="eastAsia" w:ascii="黑体" w:hAnsi="黑体"/>
          <w:bCs w:val="0"/>
        </w:rPr>
        <w:t>入决算情况说明</w:t>
      </w:r>
      <w:bookmarkEnd w:id="30"/>
      <w:bookmarkEnd w:id="31"/>
      <w:bookmarkEnd w:id="32"/>
    </w:p>
    <w:p>
      <w:pPr>
        <w:spacing w:line="600" w:lineRule="exact"/>
        <w:ind w:firstLine="640" w:firstLineChars="200"/>
        <w:outlineLvl w:val="1"/>
        <w:rPr>
          <w:rFonts w:ascii="仿宋" w:hAnsi="仿宋" w:eastAsia="仿宋"/>
          <w:sz w:val="32"/>
          <w:szCs w:val="32"/>
        </w:rPr>
      </w:pPr>
      <w:bookmarkStart w:id="33" w:name="_Toc29879"/>
      <w:bookmarkStart w:id="34" w:name="_Toc14935"/>
      <w:bookmarkStart w:id="35" w:name="_Toc26113"/>
      <w:r>
        <w:rPr>
          <w:rFonts w:hint="eastAsia" w:ascii="仿宋" w:hAnsi="仿宋" w:eastAsia="仿宋"/>
          <w:sz w:val="32"/>
          <w:szCs w:val="32"/>
        </w:rPr>
        <w:t>2024年度本年收入合计701.40万元，其中：一般公共预算财政拨款收入701.40万元，占100</w:t>
      </w:r>
      <w:r>
        <w:rPr>
          <w:rFonts w:ascii="仿宋" w:hAnsi="仿宋" w:eastAsia="仿宋"/>
          <w:sz w:val="32"/>
          <w:szCs w:val="32"/>
        </w:rPr>
        <w:t>%</w:t>
      </w:r>
      <w:r>
        <w:rPr>
          <w:rFonts w:hint="eastAsia" w:ascii="仿宋" w:hAnsi="仿宋" w:eastAsia="仿宋"/>
          <w:sz w:val="32"/>
          <w:szCs w:val="32"/>
          <w:lang w:eastAsia="zh-CN"/>
        </w:rPr>
        <w:t>。</w:t>
      </w:r>
      <w:bookmarkEnd w:id="33"/>
      <w:bookmarkEnd w:id="34"/>
      <w:bookmarkEnd w:id="35"/>
    </w:p>
    <w:p>
      <w:pPr>
        <w:pStyle w:val="8"/>
        <w:jc w:val="center"/>
      </w:pPr>
      <w:r>
        <w:rPr>
          <w:rFonts w:ascii="仿宋" w:hAnsi="仿宋" w:eastAsia="仿宋"/>
          <w:sz w:val="32"/>
          <w:szCs w:val="32"/>
        </w:rPr>
        <w:drawing>
          <wp:inline distT="0" distB="0" distL="0" distR="0">
            <wp:extent cx="4658360" cy="3163570"/>
            <wp:effectExtent l="4445" t="5080" r="23495" b="12700"/>
            <wp:docPr id="2"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（图2：收入决算结构图）</w:t>
      </w:r>
    </w:p>
    <w:p>
      <w:pPr>
        <w:pStyle w:val="25"/>
        <w:numPr>
          <w:ilvl w:val="0"/>
          <w:numId w:val="1"/>
        </w:numPr>
        <w:spacing w:line="600" w:lineRule="exact"/>
        <w:ind w:firstLineChars="0"/>
        <w:outlineLvl w:val="1"/>
        <w:rPr>
          <w:rStyle w:val="21"/>
          <w:rFonts w:ascii="黑体" w:hAnsi="黑体"/>
          <w:bCs w:val="0"/>
        </w:rPr>
      </w:pPr>
      <w:bookmarkStart w:id="36" w:name="_Toc15377207"/>
      <w:bookmarkStart w:id="37" w:name="_Toc31906"/>
      <w:bookmarkStart w:id="38" w:name="_Toc15396605"/>
      <w:r>
        <w:rPr>
          <w:rFonts w:hint="eastAsia" w:ascii="黑体" w:hAnsi="黑体" w:eastAsia="黑体"/>
          <w:sz w:val="32"/>
          <w:szCs w:val="32"/>
        </w:rPr>
        <w:t>支</w:t>
      </w:r>
      <w:r>
        <w:rPr>
          <w:rStyle w:val="21"/>
          <w:rFonts w:hint="eastAsia" w:ascii="黑体" w:hAnsi="黑体"/>
          <w:bCs w:val="0"/>
        </w:rPr>
        <w:t>出决算情况说明</w:t>
      </w:r>
      <w:bookmarkEnd w:id="36"/>
      <w:bookmarkEnd w:id="37"/>
      <w:bookmarkEnd w:id="38"/>
    </w:p>
    <w:p>
      <w:pPr>
        <w:spacing w:line="600" w:lineRule="exact"/>
        <w:ind w:firstLine="640" w:firstLineChars="200"/>
        <w:outlineLvl w:val="1"/>
        <w:rPr>
          <w:rFonts w:ascii="仿宋" w:hAnsi="仿宋" w:eastAsia="仿宋"/>
          <w:sz w:val="32"/>
          <w:szCs w:val="32"/>
        </w:rPr>
      </w:pPr>
      <w:bookmarkStart w:id="39" w:name="_Toc5419"/>
      <w:bookmarkStart w:id="40" w:name="_Toc15540"/>
      <w:bookmarkStart w:id="41" w:name="_Toc4131"/>
      <w:r>
        <w:rPr>
          <w:rFonts w:hint="eastAsia" w:ascii="仿宋" w:hAnsi="仿宋" w:eastAsia="仿宋"/>
          <w:sz w:val="32"/>
          <w:szCs w:val="32"/>
        </w:rPr>
        <w:t>2024年度本年支出合计701.40万元，其中：基本支出701.40万元，占100</w:t>
      </w:r>
      <w:r>
        <w:rPr>
          <w:rFonts w:ascii="仿宋" w:hAnsi="仿宋" w:eastAsia="仿宋"/>
          <w:sz w:val="32"/>
          <w:szCs w:val="32"/>
        </w:rPr>
        <w:t>%</w:t>
      </w:r>
      <w:r>
        <w:rPr>
          <w:rFonts w:hint="eastAsia" w:ascii="仿宋" w:hAnsi="仿宋" w:eastAsia="仿宋"/>
          <w:sz w:val="32"/>
          <w:szCs w:val="32"/>
        </w:rPr>
        <w:t>。</w:t>
      </w:r>
      <w:bookmarkEnd w:id="39"/>
      <w:bookmarkEnd w:id="40"/>
      <w:bookmarkEnd w:id="41"/>
    </w:p>
    <w:p>
      <w:pPr>
        <w:jc w:val="center"/>
        <w:rPr>
          <w:rFonts w:ascii="仿宋" w:hAnsi="仿宋" w:eastAsia="仿宋"/>
          <w:sz w:val="32"/>
          <w:szCs w:val="32"/>
          <w:shd w:val="pct10" w:color="auto" w:fill="FFFFFF"/>
        </w:rPr>
      </w:pPr>
      <w:r>
        <w:rPr>
          <w:rFonts w:ascii="仿宋" w:hAnsi="仿宋" w:eastAsia="仿宋"/>
          <w:sz w:val="32"/>
          <w:szCs w:val="32"/>
        </w:rPr>
        <w:drawing>
          <wp:inline distT="0" distB="0" distL="0" distR="0">
            <wp:extent cx="4549140" cy="3188335"/>
            <wp:effectExtent l="47625" t="4445" r="51435" b="1028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pPr>
        <w:pStyle w:val="2"/>
      </w:pPr>
    </w:p>
    <w:p>
      <w:pPr>
        <w:spacing w:line="600" w:lineRule="exact"/>
        <w:ind w:firstLine="640" w:firstLineChars="200"/>
        <w:outlineLvl w:val="1"/>
        <w:rPr>
          <w:rStyle w:val="21"/>
          <w:rFonts w:ascii="黑体" w:hAnsi="黑体"/>
          <w:bCs w:val="0"/>
        </w:rPr>
      </w:pPr>
      <w:bookmarkStart w:id="42" w:name="_Toc15377208"/>
      <w:bookmarkStart w:id="43" w:name="_Toc11747"/>
      <w:bookmarkStart w:id="44" w:name="_Toc15396606"/>
      <w:r>
        <w:rPr>
          <w:rFonts w:hint="eastAsia" w:ascii="黑体" w:hAnsi="黑体" w:eastAsia="黑体"/>
          <w:sz w:val="32"/>
          <w:szCs w:val="32"/>
        </w:rPr>
        <w:t>四、财</w:t>
      </w:r>
      <w:r>
        <w:rPr>
          <w:rStyle w:val="21"/>
          <w:rFonts w:hint="eastAsia" w:ascii="黑体" w:hAnsi="黑体"/>
          <w:bCs w:val="0"/>
        </w:rPr>
        <w:t>政拨款收入支出决算总体情况说明</w:t>
      </w:r>
      <w:bookmarkEnd w:id="42"/>
      <w:bookmarkEnd w:id="43"/>
      <w:bookmarkEnd w:id="44"/>
    </w:p>
    <w:p>
      <w:pPr>
        <w:spacing w:line="600" w:lineRule="exact"/>
        <w:ind w:firstLine="640"/>
        <w:rPr>
          <w:rFonts w:ascii="仿宋" w:hAnsi="仿宋" w:eastAsia="仿宋"/>
          <w:sz w:val="32"/>
          <w:szCs w:val="32"/>
        </w:rPr>
      </w:pPr>
      <w:r>
        <w:rPr>
          <w:rFonts w:hint="eastAsia" w:ascii="仿宋" w:hAnsi="仿宋" w:eastAsia="仿宋"/>
          <w:sz w:val="32"/>
          <w:szCs w:val="32"/>
        </w:rPr>
        <w:t>2024年度财政拨款收、支总计均为701.40万元。与2023年度相比，财政拨款收、支总计各增加1.16万元，增长0.17</w:t>
      </w:r>
      <w:r>
        <w:rPr>
          <w:rFonts w:ascii="仿宋" w:hAnsi="仿宋" w:eastAsia="仿宋"/>
          <w:sz w:val="32"/>
          <w:szCs w:val="32"/>
        </w:rPr>
        <w:t>%</w:t>
      </w:r>
      <w:r>
        <w:rPr>
          <w:rFonts w:hint="eastAsia" w:ascii="仿宋" w:hAnsi="仿宋" w:eastAsia="仿宋"/>
          <w:sz w:val="32"/>
          <w:szCs w:val="32"/>
        </w:rPr>
        <w:t>。主要变动原因是因社会保障和就业支出缴费基数提高。</w:t>
      </w:r>
    </w:p>
    <w:p>
      <w:pPr>
        <w:jc w:val="center"/>
        <w:rPr>
          <w:rFonts w:ascii="仿宋" w:hAnsi="仿宋" w:eastAsia="仿宋"/>
          <w:sz w:val="32"/>
          <w:szCs w:val="32"/>
        </w:rPr>
      </w:pPr>
      <w:r>
        <w:rPr>
          <w:rFonts w:hint="eastAsia" w:ascii="仿宋" w:hAnsi="仿宋" w:eastAsia="仿宋"/>
          <w:sz w:val="32"/>
          <w:szCs w:val="32"/>
        </w:rPr>
        <w:drawing>
          <wp:inline distT="0" distB="0" distL="0" distR="0">
            <wp:extent cx="5274310" cy="4568825"/>
            <wp:effectExtent l="4445" t="4445" r="17145" b="17780"/>
            <wp:docPr id="8"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left" w:pos="1182"/>
        </w:tabs>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1"/>
          <w:rFonts w:ascii="黑体" w:hAnsi="黑体"/>
          <w:bCs w:val="0"/>
        </w:rPr>
      </w:pPr>
      <w:bookmarkStart w:id="45" w:name="_Toc15377209"/>
      <w:bookmarkStart w:id="46" w:name="_Toc15396607"/>
      <w:bookmarkStart w:id="47" w:name="_Toc28814"/>
      <w:r>
        <w:rPr>
          <w:rFonts w:hint="eastAsia" w:ascii="黑体" w:hAnsi="黑体" w:eastAsia="黑体"/>
          <w:sz w:val="32"/>
          <w:szCs w:val="32"/>
        </w:rPr>
        <w:t>五、一</w:t>
      </w:r>
      <w:r>
        <w:rPr>
          <w:rStyle w:val="21"/>
          <w:rFonts w:hint="eastAsia" w:ascii="黑体" w:hAnsi="黑体"/>
          <w:bCs w:val="0"/>
        </w:rPr>
        <w:t>般公共预算财政拨款支出决算情况说明</w:t>
      </w:r>
      <w:bookmarkEnd w:id="45"/>
      <w:bookmarkEnd w:id="46"/>
      <w:bookmarkEnd w:id="47"/>
    </w:p>
    <w:p>
      <w:pPr>
        <w:spacing w:line="600" w:lineRule="exact"/>
        <w:ind w:firstLine="640" w:firstLineChars="200"/>
        <w:outlineLvl w:val="2"/>
        <w:rPr>
          <w:rFonts w:ascii="楷体_GB2312" w:hAnsi="楷体_GB2312" w:eastAsia="楷体_GB2312" w:cs="楷体_GB2312"/>
          <w:sz w:val="32"/>
          <w:szCs w:val="32"/>
        </w:rPr>
      </w:pPr>
      <w:bookmarkStart w:id="48" w:name="_Toc9913"/>
      <w:bookmarkStart w:id="49" w:name="_Toc16335"/>
      <w:bookmarkStart w:id="50" w:name="_Toc32169"/>
      <w:bookmarkStart w:id="51" w:name="_Toc15377210"/>
      <w:r>
        <w:rPr>
          <w:rFonts w:hint="eastAsia" w:ascii="楷体_GB2312" w:hAnsi="楷体_GB2312" w:eastAsia="楷体_GB2312" w:cs="楷体_GB2312"/>
          <w:sz w:val="32"/>
          <w:szCs w:val="32"/>
        </w:rPr>
        <w:t>（一）一般公共预算财政拨款支出决算总体情况</w:t>
      </w:r>
      <w:bookmarkEnd w:id="48"/>
      <w:bookmarkEnd w:id="49"/>
      <w:bookmarkEnd w:id="50"/>
      <w:bookmarkEnd w:id="51"/>
    </w:p>
    <w:p>
      <w:pPr>
        <w:ind w:firstLine="640" w:firstLineChars="200"/>
        <w:rPr>
          <w:rFonts w:ascii="仿宋" w:hAnsi="仿宋" w:eastAsia="仿宋"/>
          <w:sz w:val="32"/>
          <w:szCs w:val="32"/>
        </w:rPr>
      </w:pPr>
      <w:r>
        <w:rPr>
          <w:rFonts w:hint="eastAsia" w:ascii="仿宋" w:hAnsi="仿宋" w:eastAsia="仿宋"/>
          <w:sz w:val="32"/>
          <w:szCs w:val="32"/>
        </w:rPr>
        <w:t>2024年度一般公共预算财政拨款支出701.40万元，占本年支出合计的100</w:t>
      </w:r>
      <w:r>
        <w:rPr>
          <w:rFonts w:ascii="仿宋" w:hAnsi="仿宋" w:eastAsia="仿宋"/>
          <w:sz w:val="32"/>
          <w:szCs w:val="32"/>
        </w:rPr>
        <w:t>%</w:t>
      </w:r>
      <w:r>
        <w:rPr>
          <w:rFonts w:hint="eastAsia" w:ascii="仿宋" w:hAnsi="仿宋" w:eastAsia="仿宋"/>
          <w:sz w:val="32"/>
          <w:szCs w:val="32"/>
        </w:rPr>
        <w:t>。与2023年度相比，一般公共预算财政拨款支出增加1.16万元，增长0.17</w:t>
      </w:r>
      <w:r>
        <w:rPr>
          <w:rFonts w:ascii="仿宋" w:hAnsi="仿宋" w:eastAsia="仿宋"/>
          <w:sz w:val="32"/>
          <w:szCs w:val="32"/>
        </w:rPr>
        <w:t>%</w:t>
      </w:r>
      <w:r>
        <w:rPr>
          <w:rFonts w:hint="eastAsia" w:ascii="仿宋" w:hAnsi="仿宋" w:eastAsia="仿宋"/>
          <w:sz w:val="32"/>
          <w:szCs w:val="32"/>
        </w:rPr>
        <w:t>。主要变动原因是因社会保障和就业支出缴费基数提高。</w:t>
      </w:r>
    </w:p>
    <w:p>
      <w:pPr>
        <w:rPr>
          <w:rFonts w:ascii="仿宋" w:hAnsi="仿宋" w:eastAsia="仿宋"/>
          <w:sz w:val="32"/>
          <w:szCs w:val="32"/>
        </w:rPr>
      </w:pPr>
      <w:r>
        <w:rPr>
          <w:rFonts w:hint="eastAsia" w:ascii="仿宋" w:hAnsi="仿宋" w:eastAsia="仿宋"/>
          <w:sz w:val="32"/>
          <w:szCs w:val="32"/>
        </w:rPr>
        <w:drawing>
          <wp:inline distT="0" distB="0" distL="0" distR="0">
            <wp:extent cx="5274310" cy="5684520"/>
            <wp:effectExtent l="4445" t="4445" r="17145" b="69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楷体_GB2312" w:hAnsi="楷体_GB2312" w:eastAsia="楷体_GB2312" w:cs="楷体_GB2312"/>
          <w:sz w:val="32"/>
          <w:szCs w:val="32"/>
        </w:rPr>
      </w:pPr>
      <w:bookmarkStart w:id="52" w:name="_Toc21601"/>
      <w:bookmarkStart w:id="53" w:name="_Toc21473"/>
      <w:bookmarkStart w:id="54" w:name="_Toc15377211"/>
      <w:bookmarkStart w:id="55" w:name="_Toc691"/>
      <w:r>
        <w:rPr>
          <w:rFonts w:hint="eastAsia" w:ascii="楷体_GB2312" w:hAnsi="楷体_GB2312" w:eastAsia="楷体_GB2312" w:cs="楷体_GB2312"/>
          <w:sz w:val="32"/>
          <w:szCs w:val="32"/>
        </w:rPr>
        <w:t>（二）一般公共预算财政拨款支出决算结构情况</w:t>
      </w:r>
      <w:bookmarkEnd w:id="52"/>
      <w:bookmarkEnd w:id="53"/>
      <w:bookmarkEnd w:id="54"/>
      <w:bookmarkEnd w:id="55"/>
    </w:p>
    <w:p>
      <w:pPr>
        <w:spacing w:line="600" w:lineRule="exact"/>
        <w:ind w:firstLine="640"/>
        <w:rPr>
          <w:rFonts w:ascii="仿宋" w:hAnsi="仿宋" w:eastAsia="仿宋"/>
          <w:sz w:val="32"/>
          <w:szCs w:val="32"/>
        </w:rPr>
      </w:pPr>
      <w:r>
        <w:rPr>
          <w:rFonts w:hint="eastAsia" w:ascii="仿宋" w:hAnsi="仿宋" w:eastAsia="仿宋"/>
          <w:sz w:val="32"/>
          <w:szCs w:val="32"/>
        </w:rPr>
        <w:t>2024年度一般公共预算财政拨款支出701.40万元，主要用于以下方面</w:t>
      </w:r>
      <w:r>
        <w:rPr>
          <w:rFonts w:ascii="仿宋" w:hAnsi="仿宋" w:eastAsia="仿宋"/>
          <w:sz w:val="32"/>
          <w:szCs w:val="32"/>
        </w:rPr>
        <w:t>:</w:t>
      </w:r>
      <w:r>
        <w:rPr>
          <w:rFonts w:hint="eastAsia" w:ascii="仿宋" w:hAnsi="仿宋" w:eastAsia="仿宋"/>
          <w:sz w:val="32"/>
          <w:szCs w:val="32"/>
        </w:rPr>
        <w:t>社会保障和就业支出157.59万元，占22.47</w:t>
      </w:r>
      <w:r>
        <w:rPr>
          <w:rFonts w:ascii="仿宋" w:hAnsi="仿宋" w:eastAsia="仿宋"/>
          <w:sz w:val="32"/>
          <w:szCs w:val="32"/>
        </w:rPr>
        <w:t>%</w:t>
      </w:r>
      <w:r>
        <w:rPr>
          <w:rFonts w:hint="eastAsia" w:ascii="仿宋" w:hAnsi="仿宋" w:eastAsia="仿宋"/>
          <w:sz w:val="32"/>
          <w:szCs w:val="32"/>
        </w:rPr>
        <w:t>；卫生健康支出29.10万元，占4.15</w:t>
      </w:r>
      <w:r>
        <w:rPr>
          <w:rFonts w:ascii="仿宋" w:hAnsi="仿宋" w:eastAsia="仿宋"/>
          <w:sz w:val="32"/>
          <w:szCs w:val="32"/>
        </w:rPr>
        <w:t>%</w:t>
      </w:r>
      <w:r>
        <w:rPr>
          <w:rFonts w:hint="eastAsia" w:ascii="仿宋" w:hAnsi="仿宋" w:eastAsia="仿宋"/>
          <w:sz w:val="32"/>
          <w:szCs w:val="32"/>
        </w:rPr>
        <w:t>；农林水支出468.49万元，占66.79%；住房保障支出46.23万元，占6.59</w:t>
      </w:r>
      <w:r>
        <w:rPr>
          <w:rFonts w:ascii="仿宋" w:hAnsi="仿宋" w:eastAsia="仿宋"/>
          <w:sz w:val="32"/>
          <w:szCs w:val="32"/>
        </w:rPr>
        <w:t>%</w:t>
      </w:r>
      <w:r>
        <w:rPr>
          <w:rFonts w:hint="eastAsia" w:ascii="仿宋" w:hAnsi="仿宋" w:eastAsia="仿宋"/>
          <w:sz w:val="32"/>
          <w:szCs w:val="32"/>
        </w:rPr>
        <w:t>。</w:t>
      </w:r>
    </w:p>
    <w:p>
      <w:pPr>
        <w:ind w:firstLine="641"/>
        <w:rPr>
          <w:rFonts w:ascii="仿宋" w:hAnsi="仿宋" w:eastAsia="仿宋"/>
          <w:sz w:val="32"/>
          <w:szCs w:val="32"/>
        </w:rPr>
      </w:pPr>
    </w:p>
    <w:p>
      <w:pPr>
        <w:rPr>
          <w:rFonts w:ascii="仿宋" w:hAnsi="仿宋" w:eastAsia="仿宋"/>
          <w:sz w:val="32"/>
          <w:szCs w:val="32"/>
        </w:rPr>
      </w:pPr>
      <w:r>
        <w:rPr>
          <w:rFonts w:ascii="仿宋" w:hAnsi="仿宋" w:eastAsia="仿宋"/>
          <w:sz w:val="32"/>
          <w:szCs w:val="32"/>
        </w:rPr>
        <w:drawing>
          <wp:inline distT="0" distB="0" distL="0" distR="0">
            <wp:extent cx="5274310" cy="462661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1"/>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outlineLvl w:val="2"/>
        <w:rPr>
          <w:rFonts w:ascii="楷体_GB2312" w:hAnsi="楷体_GB2312" w:eastAsia="楷体_GB2312" w:cs="楷体_GB2312"/>
          <w:sz w:val="32"/>
          <w:szCs w:val="32"/>
        </w:rPr>
      </w:pPr>
      <w:bookmarkStart w:id="56" w:name="_Toc16093"/>
      <w:bookmarkStart w:id="57" w:name="_Toc28760"/>
      <w:bookmarkStart w:id="58" w:name="_Toc30455"/>
      <w:bookmarkStart w:id="59" w:name="_Toc15377212"/>
      <w:r>
        <w:rPr>
          <w:rFonts w:hint="eastAsia" w:ascii="楷体_GB2312" w:hAnsi="楷体_GB2312" w:eastAsia="楷体_GB2312" w:cs="楷体_GB2312"/>
          <w:sz w:val="32"/>
          <w:szCs w:val="32"/>
        </w:rPr>
        <w:t>（三）一般公共预算财政拨款支出决算具体情况</w:t>
      </w:r>
      <w:bookmarkEnd w:id="56"/>
      <w:bookmarkEnd w:id="57"/>
      <w:bookmarkEnd w:id="58"/>
      <w:bookmarkEnd w:id="59"/>
    </w:p>
    <w:p>
      <w:pPr>
        <w:spacing w:line="600" w:lineRule="exact"/>
        <w:ind w:firstLine="640" w:firstLineChars="200"/>
        <w:outlineLvl w:val="2"/>
        <w:rPr>
          <w:rFonts w:ascii="仿宋" w:hAnsi="仿宋" w:eastAsia="仿宋"/>
          <w:sz w:val="32"/>
          <w:szCs w:val="32"/>
        </w:rPr>
      </w:pPr>
      <w:bookmarkStart w:id="60" w:name="_Toc10640"/>
      <w:bookmarkStart w:id="61" w:name="_Toc15377213"/>
      <w:bookmarkStart w:id="62" w:name="_Toc15378460"/>
      <w:bookmarkStart w:id="63" w:name="_Toc16960"/>
      <w:bookmarkStart w:id="64" w:name="_Toc15377444"/>
      <w:bookmarkStart w:id="65" w:name="_Toc5761"/>
      <w:r>
        <w:rPr>
          <w:rFonts w:hint="eastAsia" w:ascii="仿宋" w:hAnsi="仿宋" w:eastAsia="仿宋"/>
          <w:sz w:val="32"/>
          <w:szCs w:val="32"/>
        </w:rPr>
        <w:t>2024年度一般公共预算支出决算数为701.40万元，</w:t>
      </w:r>
      <w:r>
        <w:rPr>
          <w:rStyle w:val="18"/>
          <w:rFonts w:hint="eastAsia" w:ascii="仿宋" w:hAnsi="仿宋" w:eastAsia="仿宋"/>
          <w:b w:val="0"/>
          <w:sz w:val="32"/>
          <w:szCs w:val="32"/>
        </w:rPr>
        <w:t>完成预算100</w:t>
      </w:r>
      <w:r>
        <w:rPr>
          <w:rStyle w:val="18"/>
          <w:rFonts w:ascii="仿宋" w:hAnsi="仿宋" w:eastAsia="仿宋"/>
          <w:b w:val="0"/>
          <w:sz w:val="32"/>
          <w:szCs w:val="32"/>
        </w:rPr>
        <w:t>%</w:t>
      </w:r>
      <w:r>
        <w:rPr>
          <w:rStyle w:val="18"/>
          <w:rFonts w:hint="eastAsia" w:ascii="仿宋" w:hAnsi="仿宋" w:eastAsia="仿宋"/>
          <w:b w:val="0"/>
          <w:sz w:val="32"/>
          <w:szCs w:val="32"/>
        </w:rPr>
        <w:t>。其中：</w:t>
      </w:r>
      <w:bookmarkEnd w:id="60"/>
      <w:bookmarkEnd w:id="61"/>
      <w:bookmarkEnd w:id="62"/>
      <w:bookmarkEnd w:id="63"/>
      <w:bookmarkEnd w:id="64"/>
      <w:bookmarkEnd w:id="65"/>
    </w:p>
    <w:p>
      <w:pPr>
        <w:spacing w:line="600" w:lineRule="exact"/>
        <w:ind w:firstLine="640" w:firstLineChars="200"/>
        <w:rPr>
          <w:rStyle w:val="18"/>
          <w:rFonts w:ascii="仿宋" w:hAnsi="仿宋" w:eastAsia="仿宋"/>
          <w:b w:val="0"/>
          <w:sz w:val="32"/>
          <w:szCs w:val="32"/>
        </w:rPr>
      </w:pPr>
      <w:r>
        <w:rPr>
          <w:rStyle w:val="18"/>
          <w:rFonts w:hint="eastAsia" w:ascii="仿宋" w:hAnsi="仿宋" w:eastAsia="仿宋"/>
          <w:b w:val="0"/>
          <w:sz w:val="32"/>
          <w:szCs w:val="32"/>
        </w:rPr>
        <w:t>1.社会保障和就业（类）行政事业单位离退休（款）机关事业单位基本养老保险、抚恤（项）:支出决算为157.59万元，完成预算100%，决算数等于预算数。</w:t>
      </w:r>
    </w:p>
    <w:p>
      <w:pPr>
        <w:spacing w:line="600" w:lineRule="exact"/>
        <w:ind w:firstLine="640" w:firstLineChars="200"/>
        <w:rPr>
          <w:rStyle w:val="18"/>
          <w:rFonts w:ascii="仿宋" w:hAnsi="仿宋" w:eastAsia="仿宋"/>
          <w:b w:val="0"/>
          <w:sz w:val="32"/>
          <w:szCs w:val="32"/>
        </w:rPr>
      </w:pPr>
      <w:r>
        <w:rPr>
          <w:rStyle w:val="18"/>
          <w:rFonts w:hint="eastAsia" w:ascii="仿宋" w:hAnsi="仿宋" w:eastAsia="仿宋"/>
          <w:b w:val="0"/>
          <w:sz w:val="32"/>
          <w:szCs w:val="32"/>
        </w:rPr>
        <w:t>2.卫生健康（类）行政事业单位医疗（款）行政单位医疗、事业单位医疗、公务员医疗补助（项）:支出决算为29.10万元，完成预算100%，决算数等于预算数。</w:t>
      </w:r>
    </w:p>
    <w:p>
      <w:pPr>
        <w:spacing w:line="600" w:lineRule="exact"/>
        <w:ind w:firstLine="640" w:firstLineChars="200"/>
        <w:rPr>
          <w:rStyle w:val="18"/>
          <w:rFonts w:ascii="仿宋" w:hAnsi="仿宋" w:eastAsia="仿宋"/>
          <w:b w:val="0"/>
          <w:sz w:val="32"/>
          <w:szCs w:val="32"/>
        </w:rPr>
      </w:pPr>
      <w:r>
        <w:rPr>
          <w:rStyle w:val="18"/>
          <w:rFonts w:hint="eastAsia" w:ascii="仿宋" w:hAnsi="仿宋" w:eastAsia="仿宋"/>
          <w:b w:val="0"/>
          <w:sz w:val="32"/>
          <w:szCs w:val="32"/>
        </w:rPr>
        <w:t xml:space="preserve">3.农林水支出（类）水利（款）其他水利支出（项）: 支出决算为468.49万元，完成预算100%，决算数等于预算数。   </w:t>
      </w:r>
    </w:p>
    <w:p>
      <w:pPr>
        <w:pStyle w:val="8"/>
        <w:spacing w:before="93"/>
      </w:pPr>
      <w:r>
        <w:rPr>
          <w:rStyle w:val="18"/>
          <w:rFonts w:hint="eastAsia" w:ascii="仿宋" w:hAnsi="仿宋" w:eastAsia="仿宋"/>
          <w:b w:val="0"/>
          <w:sz w:val="32"/>
          <w:szCs w:val="32"/>
        </w:rPr>
        <w:t xml:space="preserve">     4.住房保障支出（类）住房改革支出（款）住房公积金（项）: 支出决算为46.23万元，完成预算100%，决算数等于预算数。</w:t>
      </w:r>
    </w:p>
    <w:p>
      <w:pPr>
        <w:tabs>
          <w:tab w:val="right" w:pos="8306"/>
        </w:tabs>
        <w:spacing w:line="600" w:lineRule="exact"/>
        <w:ind w:firstLine="640"/>
        <w:outlineLvl w:val="1"/>
        <w:rPr>
          <w:rStyle w:val="21"/>
          <w:bCs w:val="0"/>
        </w:rPr>
      </w:pPr>
      <w:bookmarkStart w:id="66" w:name="_Toc22531"/>
      <w:bookmarkStart w:id="67" w:name="_Toc15377214"/>
      <w:bookmarkStart w:id="68" w:name="_Toc15396608"/>
      <w:r>
        <w:rPr>
          <w:rFonts w:hint="eastAsia" w:ascii="黑体" w:eastAsia="黑体"/>
          <w:sz w:val="32"/>
          <w:szCs w:val="32"/>
        </w:rPr>
        <w:t>六、</w:t>
      </w:r>
      <w:r>
        <w:rPr>
          <w:rFonts w:hint="eastAsia" w:ascii="黑体" w:hAnsi="黑体" w:eastAsia="黑体"/>
          <w:sz w:val="32"/>
          <w:szCs w:val="32"/>
        </w:rPr>
        <w:t>一</w:t>
      </w:r>
      <w:r>
        <w:rPr>
          <w:rStyle w:val="21"/>
          <w:rFonts w:hint="eastAsia" w:ascii="黑体" w:hAnsi="黑体"/>
          <w:bCs w:val="0"/>
        </w:rPr>
        <w:t>般公共预算财政拨款基本支出决算情况说明</w:t>
      </w:r>
      <w:bookmarkEnd w:id="66"/>
      <w:bookmarkEnd w:id="67"/>
      <w:bookmarkEnd w:id="68"/>
      <w:r>
        <w:rPr>
          <w:rStyle w:val="21"/>
          <w:rFonts w:ascii="黑体" w:hAnsi="黑体"/>
          <w:bCs w:val="0"/>
        </w:rPr>
        <w:tab/>
      </w:r>
    </w:p>
    <w:p>
      <w:pPr>
        <w:spacing w:line="600" w:lineRule="exact"/>
        <w:ind w:firstLine="645"/>
        <w:rPr>
          <w:rFonts w:ascii="仿宋" w:hAnsi="仿宋" w:eastAsia="仿宋"/>
          <w:sz w:val="32"/>
          <w:szCs w:val="32"/>
        </w:rPr>
      </w:pPr>
      <w:r>
        <w:rPr>
          <w:rFonts w:hint="eastAsia" w:ascii="仿宋" w:hAnsi="仿宋" w:eastAsia="仿宋"/>
          <w:sz w:val="32"/>
          <w:szCs w:val="32"/>
        </w:rPr>
        <w:t>2024年度一般公共预算财政拨款基本支出701.40万元，其中：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644.10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57.30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sz w:val="32"/>
          <w:szCs w:val="32"/>
        </w:rPr>
      </w:pPr>
    </w:p>
    <w:p>
      <w:pPr>
        <w:spacing w:line="600" w:lineRule="exact"/>
        <w:outlineLvl w:val="1"/>
        <w:rPr>
          <w:rStyle w:val="21"/>
          <w:rFonts w:ascii="黑体" w:hAnsi="黑体"/>
          <w:bCs w:val="0"/>
        </w:rPr>
      </w:pPr>
      <w:bookmarkStart w:id="69" w:name="_Toc15396609"/>
      <w:bookmarkStart w:id="70" w:name="_Toc15377215"/>
      <w:r>
        <w:rPr>
          <w:rFonts w:hint="eastAsia" w:ascii="黑体" w:eastAsia="黑体"/>
          <w:sz w:val="32"/>
          <w:szCs w:val="32"/>
        </w:rPr>
        <w:t xml:space="preserve">    </w:t>
      </w:r>
      <w:bookmarkStart w:id="71" w:name="_Toc12324"/>
      <w:r>
        <w:rPr>
          <w:rFonts w:hint="eastAsia" w:ascii="黑体" w:eastAsia="黑体"/>
          <w:sz w:val="32"/>
          <w:szCs w:val="32"/>
        </w:rPr>
        <w:t>七、</w:t>
      </w:r>
      <w:r>
        <w:rPr>
          <w:rStyle w:val="21"/>
          <w:rFonts w:hint="eastAsia" w:ascii="黑体" w:hAnsi="黑体"/>
          <w:bCs w:val="0"/>
        </w:rPr>
        <w:t>财政拨款“三公”经费支出决算情况说明</w:t>
      </w:r>
      <w:bookmarkEnd w:id="69"/>
      <w:bookmarkEnd w:id="70"/>
      <w:bookmarkEnd w:id="71"/>
    </w:p>
    <w:p>
      <w:pPr>
        <w:spacing w:line="600" w:lineRule="exact"/>
        <w:ind w:firstLine="640" w:firstLineChars="200"/>
        <w:outlineLvl w:val="2"/>
        <w:rPr>
          <w:rFonts w:ascii="楷体_GB2312" w:hAnsi="楷体_GB2312" w:eastAsia="楷体_GB2312" w:cs="楷体_GB2312"/>
          <w:sz w:val="32"/>
          <w:szCs w:val="32"/>
        </w:rPr>
      </w:pPr>
      <w:bookmarkStart w:id="72" w:name="_Toc15822"/>
      <w:bookmarkStart w:id="73" w:name="_Toc12275"/>
      <w:bookmarkStart w:id="74" w:name="_Toc13557"/>
      <w:bookmarkStart w:id="75" w:name="_Toc15377216"/>
      <w:r>
        <w:rPr>
          <w:rFonts w:hint="eastAsia" w:ascii="楷体_GB2312" w:hAnsi="楷体_GB2312" w:eastAsia="楷体_GB2312" w:cs="楷体_GB2312"/>
          <w:sz w:val="32"/>
          <w:szCs w:val="32"/>
        </w:rPr>
        <w:t>（一）“三公”经费财政拨款支出决算总体情况说明</w:t>
      </w:r>
      <w:bookmarkEnd w:id="72"/>
      <w:bookmarkEnd w:id="73"/>
      <w:bookmarkEnd w:id="74"/>
      <w:bookmarkEnd w:id="75"/>
    </w:p>
    <w:p>
      <w:pPr>
        <w:spacing w:line="600" w:lineRule="exact"/>
        <w:ind w:firstLine="640"/>
        <w:rPr>
          <w:rFonts w:ascii="仿宋" w:hAnsi="仿宋" w:eastAsia="仿宋"/>
          <w:sz w:val="32"/>
          <w:szCs w:val="32"/>
        </w:rPr>
      </w:pPr>
      <w:r>
        <w:rPr>
          <w:rFonts w:hint="eastAsia" w:ascii="仿宋" w:hAnsi="仿宋" w:eastAsia="仿宋"/>
          <w:sz w:val="32"/>
          <w:szCs w:val="32"/>
        </w:rPr>
        <w:t>2024年度“三公”经费财政拨款支出决算为0.57万元，完成预算100</w:t>
      </w:r>
      <w:r>
        <w:rPr>
          <w:rFonts w:ascii="仿宋" w:hAnsi="仿宋" w:eastAsia="仿宋"/>
          <w:sz w:val="32"/>
          <w:szCs w:val="32"/>
        </w:rPr>
        <w:t>%</w:t>
      </w:r>
      <w:r>
        <w:rPr>
          <w:rFonts w:hint="eastAsia" w:ascii="仿宋" w:hAnsi="仿宋" w:eastAsia="仿宋"/>
          <w:sz w:val="32"/>
          <w:szCs w:val="32"/>
        </w:rPr>
        <w:t>，较上年度减少0.95万元，下降62.5%。决算数与预算数持平。</w:t>
      </w:r>
    </w:p>
    <w:p>
      <w:pPr>
        <w:spacing w:line="600" w:lineRule="exact"/>
        <w:ind w:firstLine="640" w:firstLineChars="200"/>
        <w:outlineLvl w:val="2"/>
        <w:rPr>
          <w:rFonts w:ascii="楷体_GB2312" w:hAnsi="楷体_GB2312" w:eastAsia="楷体_GB2312" w:cs="楷体_GB2312"/>
          <w:sz w:val="32"/>
          <w:szCs w:val="32"/>
        </w:rPr>
      </w:pPr>
      <w:bookmarkStart w:id="76" w:name="_Toc4739"/>
      <w:bookmarkStart w:id="77" w:name="_Toc8944"/>
      <w:bookmarkStart w:id="78" w:name="_Toc23203"/>
      <w:bookmarkStart w:id="79" w:name="_Toc15377217"/>
      <w:r>
        <w:rPr>
          <w:rFonts w:hint="eastAsia" w:ascii="楷体_GB2312" w:hAnsi="楷体_GB2312" w:eastAsia="楷体_GB2312" w:cs="楷体_GB2312"/>
          <w:sz w:val="32"/>
          <w:szCs w:val="32"/>
        </w:rPr>
        <w:t>（二）“三公”经费财政拨款支出决算具体情况说明</w:t>
      </w:r>
      <w:bookmarkEnd w:id="76"/>
      <w:bookmarkEnd w:id="77"/>
      <w:bookmarkEnd w:id="78"/>
      <w:bookmarkEnd w:id="79"/>
    </w:p>
    <w:p>
      <w:pPr>
        <w:spacing w:line="600" w:lineRule="exact"/>
        <w:ind w:firstLine="640"/>
        <w:rPr>
          <w:rFonts w:ascii="仿宋" w:hAnsi="仿宋" w:eastAsia="仿宋"/>
          <w:sz w:val="32"/>
          <w:szCs w:val="32"/>
        </w:rPr>
      </w:pPr>
      <w:r>
        <w:rPr>
          <w:rFonts w:hint="eastAsia" w:ascii="仿宋" w:hAnsi="仿宋" w:eastAsia="仿宋"/>
          <w:sz w:val="32"/>
          <w:szCs w:val="32"/>
        </w:rPr>
        <w:t>2024年度“三公”经费财政拨款支出决算中，因公出国（境）费支出决算0万元，占0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；公务接待费支出决算0.57万元，占100</w:t>
      </w:r>
      <w:r>
        <w:rPr>
          <w:rFonts w:ascii="仿宋" w:hAnsi="仿宋" w:eastAsia="仿宋"/>
          <w:sz w:val="32"/>
          <w:szCs w:val="32"/>
        </w:rPr>
        <w:t>%</w:t>
      </w:r>
      <w:r>
        <w:rPr>
          <w:rFonts w:hint="eastAsia" w:ascii="仿宋" w:hAnsi="仿宋" w:eastAsia="仿宋"/>
          <w:sz w:val="32"/>
          <w:szCs w:val="32"/>
        </w:rPr>
        <w:t>。具体情况如下：</w:t>
      </w:r>
    </w:p>
    <w:p>
      <w:pPr>
        <w:pStyle w:val="8"/>
      </w:pPr>
      <w:r>
        <w:rPr>
          <w:rFonts w:ascii="仿宋" w:hAnsi="仿宋" w:eastAsia="仿宋"/>
          <w:sz w:val="32"/>
          <w:szCs w:val="32"/>
        </w:rPr>
        <w:drawing>
          <wp:inline distT="0" distB="0" distL="0" distR="0">
            <wp:extent cx="5279390" cy="4375785"/>
            <wp:effectExtent l="0" t="0" r="16510" b="24765"/>
            <wp:docPr id="4"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因公出国（境）经费支出0万元，</w:t>
      </w:r>
      <w:r>
        <w:rPr>
          <w:rStyle w:val="18"/>
          <w:rFonts w:hint="eastAsia" w:ascii="仿宋" w:hAnsi="仿宋" w:eastAsia="仿宋"/>
          <w:b w:val="0"/>
          <w:sz w:val="32"/>
          <w:szCs w:val="32"/>
        </w:rPr>
        <w:t>完成预算100</w:t>
      </w:r>
      <w:r>
        <w:rPr>
          <w:rStyle w:val="18"/>
          <w:rFonts w:ascii="仿宋" w:hAnsi="仿宋" w:eastAsia="仿宋"/>
          <w:b w:val="0"/>
          <w:sz w:val="32"/>
          <w:szCs w:val="32"/>
        </w:rPr>
        <w:t>%</w:t>
      </w:r>
      <w:r>
        <w:rPr>
          <w:rStyle w:val="18"/>
          <w:rFonts w:hint="eastAsia" w:ascii="仿宋" w:hAnsi="仿宋" w:eastAsia="仿宋"/>
          <w:b w:val="0"/>
          <w:sz w:val="32"/>
          <w:szCs w:val="32"/>
        </w:rPr>
        <w:t>。</w:t>
      </w:r>
      <w:r>
        <w:rPr>
          <w:rFonts w:hint="eastAsia" w:ascii="仿宋_GB2312" w:eastAsia="仿宋_GB2312"/>
          <w:sz w:val="32"/>
          <w:szCs w:val="32"/>
        </w:rPr>
        <w:t>全年安排因公出国（境）团组0次，出国（境）0人。因公出国（境）支出决算与2023年度持平。</w:t>
      </w:r>
    </w:p>
    <w:p>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公务用车购置及运行维护费支出0万元,</w:t>
      </w:r>
      <w:r>
        <w:rPr>
          <w:rStyle w:val="18"/>
          <w:rFonts w:hint="eastAsia" w:ascii="仿宋" w:hAnsi="仿宋" w:eastAsia="仿宋"/>
          <w:b w:val="0"/>
          <w:sz w:val="32"/>
          <w:szCs w:val="32"/>
        </w:rPr>
        <w:t>完成预算100</w:t>
      </w:r>
      <w:r>
        <w:rPr>
          <w:rStyle w:val="18"/>
          <w:rFonts w:ascii="仿宋" w:hAnsi="仿宋" w:eastAsia="仿宋"/>
          <w:b w:val="0"/>
          <w:sz w:val="32"/>
          <w:szCs w:val="32"/>
        </w:rPr>
        <w:t>%</w:t>
      </w:r>
      <w:r>
        <w:rPr>
          <w:rStyle w:val="18"/>
          <w:rFonts w:hint="eastAsia" w:ascii="仿宋" w:hAnsi="仿宋" w:eastAsia="仿宋"/>
          <w:b w:val="0"/>
          <w:sz w:val="32"/>
          <w:szCs w:val="32"/>
        </w:rPr>
        <w:t>。</w:t>
      </w:r>
      <w:r>
        <w:rPr>
          <w:rFonts w:hint="eastAsia" w:ascii="仿宋_GB2312" w:eastAsia="仿宋_GB2312"/>
          <w:sz w:val="32"/>
          <w:szCs w:val="32"/>
        </w:rPr>
        <w:t>公务用车购置及运行维护费支出决算2023年度持平。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其中：公务用车购置支出0万元。全年按规定更新购置公务用车0辆，其中：轿车0辆、金额0万元，越野车0辆、金额0万元，载客汽车0辆、金额0万元。截至2024年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公务用车运行维护费支出0万元。</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公务接待费支出0.57万元，</w:t>
      </w:r>
      <w:r>
        <w:rPr>
          <w:rStyle w:val="18"/>
          <w:rFonts w:hint="eastAsia" w:ascii="仿宋" w:hAnsi="仿宋" w:eastAsia="仿宋"/>
          <w:b w:val="0"/>
          <w:sz w:val="32"/>
          <w:szCs w:val="32"/>
        </w:rPr>
        <w:t>完成预算100</w:t>
      </w:r>
      <w:r>
        <w:rPr>
          <w:rStyle w:val="18"/>
          <w:rFonts w:ascii="仿宋" w:hAnsi="仿宋" w:eastAsia="仿宋"/>
          <w:b w:val="0"/>
          <w:sz w:val="32"/>
          <w:szCs w:val="32"/>
        </w:rPr>
        <w:t>%</w:t>
      </w:r>
      <w:r>
        <w:rPr>
          <w:rStyle w:val="18"/>
          <w:rFonts w:hint="eastAsia" w:ascii="仿宋" w:hAnsi="仿宋" w:eastAsia="仿宋"/>
          <w:b w:val="0"/>
          <w:sz w:val="32"/>
          <w:szCs w:val="32"/>
        </w:rPr>
        <w:t>。</w:t>
      </w:r>
      <w:r>
        <w:rPr>
          <w:rFonts w:hint="eastAsia" w:ascii="仿宋_GB2312" w:eastAsia="仿宋_GB2312"/>
          <w:sz w:val="32"/>
          <w:szCs w:val="32"/>
        </w:rPr>
        <w:t>公务接待费支出决算比2023年度减少0.95万元，下降62.5</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厉行节约。</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国内公务接待支出0.57</w:t>
      </w:r>
      <w:r>
        <w:rPr>
          <w:rFonts w:hint="eastAsia" w:ascii="仿宋_GB2312" w:eastAsia="仿宋_GB2312"/>
          <w:sz w:val="32"/>
          <w:szCs w:val="32"/>
        </w:rPr>
        <w:t>万元，主要用于执行公务、开展业务活动开支的交通费、住宿费、用餐费等。国内公务接待6批次，54人次（不包括陪同人员），共计支出0.57万元，具体内容包括：上级防洪防汛安全检查、项目实施。</w:t>
      </w:r>
    </w:p>
    <w:p>
      <w:pPr>
        <w:spacing w:line="600" w:lineRule="exact"/>
        <w:ind w:firstLine="640"/>
        <w:outlineLvl w:val="1"/>
        <w:rPr>
          <w:rFonts w:ascii="仿宋" w:hAnsi="仿宋" w:eastAsia="仿宋"/>
          <w:sz w:val="32"/>
          <w:szCs w:val="32"/>
        </w:rPr>
      </w:pPr>
      <w:bookmarkStart w:id="80" w:name="_Toc21547"/>
      <w:bookmarkStart w:id="81" w:name="_Toc15396610"/>
      <w:bookmarkStart w:id="82" w:name="_Toc15377218"/>
      <w:r>
        <w:rPr>
          <w:rFonts w:hint="eastAsia" w:ascii="仿宋" w:hAnsi="仿宋" w:eastAsia="仿宋"/>
          <w:sz w:val="32"/>
          <w:szCs w:val="32"/>
        </w:rPr>
        <w:t>外事接待支出0万元，外事接待0批次，0人次（不包括陪同人员），共计支出0万元。</w:t>
      </w:r>
    </w:p>
    <w:p>
      <w:pPr>
        <w:spacing w:line="600" w:lineRule="exact"/>
        <w:ind w:firstLine="640"/>
        <w:outlineLvl w:val="1"/>
        <w:rPr>
          <w:rStyle w:val="21"/>
          <w:rFonts w:ascii="黑体" w:hAnsi="黑体"/>
          <w:bCs w:val="0"/>
        </w:rPr>
      </w:pPr>
      <w:r>
        <w:rPr>
          <w:rFonts w:hint="eastAsia" w:ascii="黑体" w:eastAsia="黑体"/>
          <w:sz w:val="32"/>
          <w:szCs w:val="32"/>
        </w:rPr>
        <w:t>八、</w:t>
      </w:r>
      <w:r>
        <w:rPr>
          <w:rStyle w:val="21"/>
          <w:rFonts w:hint="eastAsia" w:ascii="黑体" w:hAnsi="黑体"/>
          <w:bCs w:val="0"/>
        </w:rPr>
        <w:t>政府性基金预算支出决算情况说明</w:t>
      </w:r>
      <w:bookmarkEnd w:id="80"/>
      <w:bookmarkEnd w:id="81"/>
      <w:bookmarkEnd w:id="82"/>
    </w:p>
    <w:p>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2024年度政府性基金预算财政拨款支出0万元。</w:t>
      </w:r>
    </w:p>
    <w:p>
      <w:pPr>
        <w:numPr>
          <w:ilvl w:val="0"/>
          <w:numId w:val="2"/>
        </w:numPr>
        <w:spacing w:line="600" w:lineRule="exact"/>
        <w:ind w:firstLine="640"/>
        <w:outlineLvl w:val="1"/>
        <w:rPr>
          <w:rStyle w:val="21"/>
          <w:rFonts w:ascii="黑体" w:hAnsi="黑体"/>
          <w:bCs w:val="0"/>
        </w:rPr>
      </w:pPr>
      <w:bookmarkStart w:id="83" w:name="_Toc21242"/>
      <w:bookmarkStart w:id="84" w:name="_Toc15396611"/>
      <w:bookmarkStart w:id="85" w:name="_Toc15377219"/>
      <w:r>
        <w:rPr>
          <w:rStyle w:val="21"/>
          <w:rFonts w:hint="eastAsia" w:ascii="黑体" w:hAnsi="黑体"/>
          <w:bCs w:val="0"/>
        </w:rPr>
        <w:t>国有资本经营预算支出决算情况说明</w:t>
      </w:r>
      <w:bookmarkEnd w:id="83"/>
      <w:bookmarkEnd w:id="84"/>
      <w:bookmarkEnd w:id="85"/>
    </w:p>
    <w:p>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2024年度国有资本经营预算财政拨款支出0万元。</w:t>
      </w:r>
    </w:p>
    <w:p>
      <w:pPr>
        <w:numPr>
          <w:ilvl w:val="0"/>
          <w:numId w:val="2"/>
        </w:numPr>
        <w:spacing w:line="600" w:lineRule="exact"/>
        <w:ind w:firstLine="640"/>
        <w:outlineLvl w:val="1"/>
        <w:rPr>
          <w:rStyle w:val="21"/>
          <w:rFonts w:ascii="黑体" w:hAnsi="黑体"/>
          <w:bCs w:val="0"/>
        </w:rPr>
      </w:pPr>
      <w:bookmarkStart w:id="86" w:name="_Toc19400"/>
      <w:bookmarkStart w:id="87" w:name="_Toc15377221"/>
      <w:bookmarkStart w:id="88" w:name="_Toc15396612"/>
      <w:r>
        <w:rPr>
          <w:rStyle w:val="21"/>
          <w:rFonts w:hint="eastAsia" w:ascii="黑体" w:hAnsi="黑体"/>
          <w:bCs w:val="0"/>
        </w:rPr>
        <w:t>其他重要事项的情况说明</w:t>
      </w:r>
      <w:bookmarkEnd w:id="86"/>
      <w:bookmarkEnd w:id="87"/>
      <w:bookmarkEnd w:id="88"/>
    </w:p>
    <w:p>
      <w:pPr>
        <w:spacing w:line="600" w:lineRule="exact"/>
        <w:ind w:firstLine="640" w:firstLineChars="200"/>
        <w:outlineLvl w:val="2"/>
        <w:rPr>
          <w:rFonts w:ascii="楷体_GB2312" w:hAnsi="楷体_GB2312" w:eastAsia="楷体_GB2312" w:cs="楷体_GB2312"/>
          <w:sz w:val="32"/>
          <w:szCs w:val="32"/>
        </w:rPr>
      </w:pPr>
      <w:bookmarkStart w:id="89" w:name="_Toc5113"/>
      <w:bookmarkStart w:id="90" w:name="_Toc7006"/>
      <w:bookmarkStart w:id="91" w:name="_Toc15377222"/>
      <w:bookmarkStart w:id="92" w:name="_Toc30892"/>
      <w:r>
        <w:rPr>
          <w:rFonts w:hint="eastAsia" w:ascii="楷体_GB2312" w:hAnsi="楷体_GB2312" w:eastAsia="楷体_GB2312" w:cs="楷体_GB2312"/>
          <w:sz w:val="32"/>
          <w:szCs w:val="32"/>
        </w:rPr>
        <w:t>（一）机关运行经费支出情况</w:t>
      </w:r>
      <w:bookmarkEnd w:id="89"/>
      <w:bookmarkEnd w:id="90"/>
      <w:bookmarkEnd w:id="91"/>
      <w:bookmarkEnd w:id="92"/>
    </w:p>
    <w:p>
      <w:pPr>
        <w:spacing w:line="600" w:lineRule="exact"/>
        <w:ind w:firstLine="640" w:firstLineChars="200"/>
        <w:rPr>
          <w:rFonts w:ascii="仿宋" w:hAnsi="仿宋" w:eastAsia="仿宋"/>
          <w:sz w:val="32"/>
          <w:szCs w:val="32"/>
        </w:rPr>
      </w:pPr>
      <w:r>
        <w:rPr>
          <w:rFonts w:hint="eastAsia" w:ascii="仿宋_GB2312" w:eastAsia="仿宋_GB2312"/>
          <w:sz w:val="32"/>
          <w:szCs w:val="32"/>
        </w:rPr>
        <w:t>2024年度，麻管所机关运行经费支出0万元。</w:t>
      </w:r>
    </w:p>
    <w:p>
      <w:pPr>
        <w:spacing w:line="600" w:lineRule="exact"/>
        <w:ind w:firstLine="640" w:firstLineChars="200"/>
        <w:outlineLvl w:val="2"/>
        <w:rPr>
          <w:rFonts w:ascii="楷体_GB2312" w:hAnsi="楷体_GB2312" w:eastAsia="楷体_GB2312" w:cs="楷体_GB2312"/>
          <w:sz w:val="32"/>
          <w:szCs w:val="32"/>
        </w:rPr>
      </w:pPr>
      <w:bookmarkStart w:id="93" w:name="_Toc7594"/>
      <w:bookmarkStart w:id="94" w:name="_Toc30908"/>
      <w:bookmarkStart w:id="95" w:name="_Toc15377223"/>
      <w:bookmarkStart w:id="96" w:name="_Toc29069"/>
      <w:r>
        <w:rPr>
          <w:rFonts w:hint="eastAsia" w:ascii="楷体_GB2312" w:hAnsi="楷体_GB2312" w:eastAsia="楷体_GB2312" w:cs="楷体_GB2312"/>
          <w:sz w:val="32"/>
          <w:szCs w:val="32"/>
        </w:rPr>
        <w:t>（二）政府采购支出情况</w:t>
      </w:r>
      <w:bookmarkEnd w:id="93"/>
      <w:bookmarkEnd w:id="94"/>
      <w:bookmarkEnd w:id="95"/>
      <w:bookmarkEnd w:id="9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2024年度，麻管所政府采购支出总额0万元。</w:t>
      </w:r>
    </w:p>
    <w:p>
      <w:pPr>
        <w:spacing w:line="600" w:lineRule="exact"/>
        <w:ind w:firstLine="640" w:firstLineChars="200"/>
        <w:outlineLvl w:val="2"/>
        <w:rPr>
          <w:rFonts w:ascii="楷体_GB2312" w:hAnsi="楷体_GB2312" w:eastAsia="楷体_GB2312" w:cs="楷体_GB2312"/>
          <w:sz w:val="32"/>
          <w:szCs w:val="32"/>
        </w:rPr>
      </w:pPr>
      <w:bookmarkStart w:id="97" w:name="_Toc18253"/>
      <w:bookmarkStart w:id="98" w:name="_Toc15377224"/>
      <w:bookmarkStart w:id="99" w:name="_Toc23268"/>
      <w:bookmarkStart w:id="100" w:name="_Toc1886"/>
      <w:r>
        <w:rPr>
          <w:rFonts w:hint="eastAsia" w:ascii="楷体_GB2312" w:hAnsi="楷体_GB2312" w:eastAsia="楷体_GB2312" w:cs="楷体_GB2312"/>
          <w:sz w:val="32"/>
          <w:szCs w:val="32"/>
        </w:rPr>
        <w:t>（三）国有资产占有使用情况</w:t>
      </w:r>
      <w:bookmarkEnd w:id="97"/>
      <w:bookmarkEnd w:id="98"/>
      <w:bookmarkEnd w:id="99"/>
      <w:bookmarkEnd w:id="100"/>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_GB2312" w:eastAsia="仿宋_GB2312"/>
          <w:sz w:val="32"/>
          <w:szCs w:val="32"/>
        </w:rPr>
        <w:t>截至2024年12月31日，麻管所共有车辆0辆。</w:t>
      </w:r>
    </w:p>
    <w:p>
      <w:pPr>
        <w:spacing w:line="600" w:lineRule="exact"/>
        <w:ind w:firstLine="640" w:firstLineChars="200"/>
        <w:outlineLvl w:val="2"/>
        <w:rPr>
          <w:rFonts w:ascii="楷体_GB2312" w:hAnsi="楷体_GB2312" w:eastAsia="楷体_GB2312" w:cs="楷体_GB2312"/>
          <w:sz w:val="32"/>
          <w:szCs w:val="32"/>
        </w:rPr>
      </w:pPr>
      <w:bookmarkStart w:id="101" w:name="_Toc18812"/>
      <w:bookmarkStart w:id="102" w:name="_Toc1851"/>
      <w:bookmarkStart w:id="103" w:name="_Toc23881"/>
      <w:r>
        <w:rPr>
          <w:rFonts w:hint="eastAsia" w:ascii="楷体_GB2312" w:hAnsi="楷体_GB2312" w:eastAsia="楷体_GB2312" w:cs="楷体_GB2312"/>
          <w:sz w:val="32"/>
          <w:szCs w:val="32"/>
        </w:rPr>
        <w:t>（四）预算绩效管理情况</w:t>
      </w:r>
      <w:bookmarkEnd w:id="101"/>
      <w:bookmarkEnd w:id="102"/>
      <w:bookmarkEnd w:id="103"/>
    </w:p>
    <w:p>
      <w:pPr>
        <w:widowControl/>
        <w:suppressAutoHyphens w:val="0"/>
        <w:ind w:firstLine="640" w:firstLineChars="200"/>
        <w:jc w:val="left"/>
      </w:pPr>
      <w:r>
        <w:rPr>
          <w:rFonts w:hint="eastAsia" w:ascii="仿宋_GB2312" w:hAnsi="仿宋_GB2312" w:eastAsia="仿宋_GB2312" w:cs="仿宋_GB2312"/>
          <w:sz w:val="32"/>
          <w:szCs w:val="32"/>
        </w:rPr>
        <w:t>根据预算绩效管理要求，本部门在2024年度预算编制阶段，组织对2024年度一般公共预算、全面开展绩效自评，形成遂宁市安居区麻子滩水库管理所部门整体绩效自评报告，其中，遂宁市安居区麻子滩水库管理所部门整体绩效自评得分为100分，绩效自评综述：当年财政拨款保障了部门职工基本工资，津补贴，绩效工资、奖金、五险一金等人员经费，保障部门正常运转及各个项目正常推进。</w:t>
      </w:r>
      <w:r>
        <w:rPr>
          <w:rFonts w:ascii="仿宋_GB2312" w:hAnsi="仿宋_GB2312" w:eastAsia="仿宋_GB2312" w:cs="仿宋_GB2312"/>
          <w:sz w:val="32"/>
          <w:szCs w:val="32"/>
        </w:rPr>
        <w:t> </w:t>
      </w:r>
      <w:r>
        <w:br w:type="page"/>
      </w:r>
    </w:p>
    <w:p>
      <w:pPr>
        <w:pStyle w:val="5"/>
        <w:numPr>
          <w:ilvl w:val="0"/>
          <w:numId w:val="3"/>
        </w:numPr>
        <w:rPr>
          <w:bCs w:val="0"/>
        </w:rPr>
      </w:pPr>
      <w:bookmarkStart w:id="104" w:name="_Toc15396613"/>
      <w:bookmarkStart w:id="105" w:name="_Toc15377225"/>
      <w:bookmarkStart w:id="106" w:name="_Toc25701"/>
      <w:r>
        <w:rPr>
          <w:rFonts w:hint="eastAsia"/>
          <w:bCs w:val="0"/>
        </w:rPr>
        <w:t>名词解释</w:t>
      </w:r>
      <w:bookmarkEnd w:id="104"/>
      <w:bookmarkEnd w:id="105"/>
      <w:bookmarkEnd w:id="106"/>
    </w:p>
    <w:p>
      <w:pPr>
        <w:spacing w:line="600" w:lineRule="exact"/>
        <w:ind w:firstLine="64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spacing w:line="600" w:lineRule="exact"/>
        <w:ind w:firstLine="640"/>
        <w:rPr>
          <w:rFonts w:ascii="仿宋_GB2312" w:eastAsia="仿宋_GB2312"/>
          <w:sz w:val="32"/>
          <w:szCs w:val="32"/>
        </w:rPr>
      </w:pPr>
      <w:r>
        <w:rPr>
          <w:rFonts w:hint="eastAsia" w:ascii="仿宋_GB2312" w:eastAsia="仿宋_GB2312"/>
          <w:sz w:val="32"/>
          <w:szCs w:val="32"/>
        </w:rPr>
        <w:t>2.社会保障和就业（类）行政事业单位离退休（款）机关事业单位基本养老保险、抚恤（项）</w:t>
      </w:r>
    </w:p>
    <w:p>
      <w:pPr>
        <w:spacing w:line="600" w:lineRule="exact"/>
        <w:ind w:firstLine="640"/>
        <w:rPr>
          <w:rFonts w:ascii="仿宋_GB2312" w:eastAsia="仿宋_GB2312"/>
          <w:sz w:val="32"/>
          <w:szCs w:val="32"/>
        </w:rPr>
      </w:pPr>
      <w:r>
        <w:rPr>
          <w:rFonts w:hint="eastAsia" w:ascii="仿宋_GB2312" w:eastAsia="仿宋_GB2312"/>
          <w:sz w:val="32"/>
          <w:szCs w:val="32"/>
        </w:rPr>
        <w:t>3.医疗卫生与计划生育（类）行政事业单位医疗（款）行政单位医疗、事业单位医疗、公务员医疗补助（项）</w:t>
      </w:r>
    </w:p>
    <w:p>
      <w:pPr>
        <w:spacing w:line="600" w:lineRule="exact"/>
        <w:ind w:firstLine="640"/>
        <w:rPr>
          <w:rFonts w:ascii="仿宋_GB2312" w:eastAsia="仿宋_GB2312"/>
          <w:sz w:val="32"/>
          <w:szCs w:val="32"/>
        </w:rPr>
      </w:pPr>
      <w:r>
        <w:rPr>
          <w:rFonts w:hint="eastAsia" w:ascii="仿宋_GB2312" w:eastAsia="仿宋_GB2312"/>
          <w:sz w:val="32"/>
          <w:szCs w:val="32"/>
        </w:rPr>
        <w:t>4.农林水支出（类）水利（款）其他水利支出（项）</w:t>
      </w:r>
    </w:p>
    <w:p>
      <w:pPr>
        <w:spacing w:line="600" w:lineRule="exact"/>
        <w:ind w:firstLine="640"/>
        <w:rPr>
          <w:rFonts w:ascii="仿宋_GB2312" w:eastAsia="仿宋_GB2312"/>
          <w:sz w:val="32"/>
          <w:szCs w:val="32"/>
        </w:rPr>
      </w:pPr>
      <w:r>
        <w:rPr>
          <w:rFonts w:hint="eastAsia" w:ascii="仿宋_GB2312" w:eastAsia="仿宋_GB2312"/>
          <w:sz w:val="32"/>
          <w:szCs w:val="32"/>
        </w:rPr>
        <w:t>5.住房保障支出（类）住房改革支出（款）住房公积金（项）。</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黑体" w:hAnsi="黑体" w:eastAsia="黑体"/>
          <w:sz w:val="44"/>
          <w:szCs w:val="44"/>
        </w:rPr>
      </w:pPr>
    </w:p>
    <w:p>
      <w:pPr>
        <w:spacing w:line="600" w:lineRule="exact"/>
        <w:jc w:val="center"/>
        <w:outlineLvl w:val="0"/>
        <w:rPr>
          <w:rStyle w:val="20"/>
          <w:rFonts w:ascii="黑体" w:hAnsi="黑体" w:eastAsia="黑体"/>
          <w:bCs w:val="0"/>
        </w:rPr>
      </w:pPr>
      <w:bookmarkStart w:id="107" w:name="_Toc5275"/>
      <w:r>
        <w:rPr>
          <w:rFonts w:hint="eastAsia" w:ascii="黑体" w:hAnsi="黑体" w:eastAsia="黑体"/>
          <w:sz w:val="44"/>
          <w:szCs w:val="44"/>
        </w:rPr>
        <w:t>第</w:t>
      </w:r>
      <w:r>
        <w:rPr>
          <w:rStyle w:val="20"/>
          <w:rFonts w:hint="eastAsia" w:ascii="黑体" w:hAnsi="黑体" w:eastAsia="黑体"/>
          <w:bCs w:val="0"/>
        </w:rPr>
        <w:t>四部分 附件</w:t>
      </w:r>
      <w:bookmarkEnd w:id="107"/>
    </w:p>
    <w:p>
      <w:pPr>
        <w:spacing w:line="572" w:lineRule="exact"/>
        <w:jc w:val="left"/>
        <w:outlineLvl w:val="0"/>
        <w:rPr>
          <w:rFonts w:ascii="黑体" w:hAnsi="黑体" w:eastAsia="黑体" w:cs="黑体"/>
          <w:color w:val="FF0000"/>
          <w:sz w:val="32"/>
          <w:szCs w:val="32"/>
        </w:rPr>
      </w:pPr>
    </w:p>
    <w:p>
      <w:pPr>
        <w:pStyle w:val="5"/>
      </w:pPr>
      <w:bookmarkStart w:id="108" w:name="_Toc21261"/>
      <w:r>
        <w:rPr>
          <w:rFonts w:hint="eastAsia"/>
        </w:rPr>
        <w:t>遂宁市安居区麻子滩水库管理所</w:t>
      </w:r>
      <w:bookmarkEnd w:id="108"/>
    </w:p>
    <w:p>
      <w:pPr>
        <w:pStyle w:val="5"/>
      </w:pPr>
      <w:bookmarkStart w:id="109" w:name="_Toc30697"/>
      <w:r>
        <w:rPr>
          <w:rFonts w:hint="eastAsia"/>
        </w:rPr>
        <w:t>2024年整体支出绩效报告</w:t>
      </w:r>
      <w:bookmarkEnd w:id="109"/>
    </w:p>
    <w:p>
      <w:pPr>
        <w:widowControl/>
        <w:adjustRightInd w:val="0"/>
        <w:snapToGrid w:val="0"/>
        <w:spacing w:line="578" w:lineRule="exact"/>
        <w:ind w:firstLine="880" w:firstLineChars="200"/>
        <w:contextualSpacing/>
        <w:jc w:val="left"/>
        <w:rPr>
          <w:rFonts w:ascii="Times New Roman" w:hAnsi="Times New Roman" w:eastAsia="方正小标宋简体"/>
          <w:sz w:val="44"/>
          <w:szCs w:val="44"/>
          <w:shd w:val="clear" w:color="auto" w:fill="FFFFFF"/>
        </w:rPr>
      </w:pPr>
    </w:p>
    <w:p>
      <w:pPr>
        <w:pStyle w:val="6"/>
        <w:ind w:firstLine="640" w:firstLineChars="200"/>
        <w:rPr>
          <w:lang w:val="zh-CN"/>
        </w:rPr>
      </w:pPr>
      <w:bookmarkStart w:id="110" w:name="_Toc16495"/>
      <w:r>
        <w:rPr>
          <w:rFonts w:hint="eastAsia"/>
          <w:lang w:val="zh-CN"/>
        </w:rPr>
        <w:t>一、部门（单位）基本情况</w:t>
      </w:r>
      <w:bookmarkEnd w:id="110"/>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widowControl/>
        <w:adjustRightInd w:val="0"/>
        <w:snapToGrid w:val="0"/>
        <w:spacing w:line="578" w:lineRule="exact"/>
        <w:ind w:firstLine="640" w:firstLineChars="200"/>
        <w:contextualSpacing/>
        <w:jc w:val="left"/>
        <w:rPr>
          <w:rFonts w:ascii="仿宋_GB2312" w:eastAsia="仿宋_GB2312"/>
          <w:color w:val="000000"/>
          <w:kern w:val="0"/>
          <w:sz w:val="32"/>
          <w:szCs w:val="32"/>
          <w:shd w:val="clear" w:color="auto" w:fill="FFFFFF"/>
          <w:lang w:val="zh-CN"/>
        </w:rPr>
      </w:pPr>
      <w:r>
        <w:rPr>
          <w:rFonts w:hint="eastAsia" w:ascii="仿宋_GB2312" w:eastAsia="仿宋_GB2312"/>
          <w:color w:val="000000"/>
          <w:kern w:val="0"/>
          <w:sz w:val="32"/>
          <w:szCs w:val="32"/>
          <w:shd w:val="clear" w:color="auto" w:fill="FFFFFF"/>
          <w:lang w:val="zh-CN"/>
        </w:rPr>
        <w:t>遂宁市安居区麻子滩水库管理所,其中:</w:t>
      </w:r>
      <w:r>
        <w:rPr>
          <w:rFonts w:hint="eastAsia" w:ascii="仿宋_GB2312" w:eastAsia="仿宋_GB2312"/>
        </w:rPr>
        <w:t xml:space="preserve"> </w:t>
      </w:r>
      <w:r>
        <w:rPr>
          <w:rFonts w:hint="eastAsia" w:ascii="仿宋_GB2312" w:eastAsia="仿宋_GB2312"/>
          <w:color w:val="000000"/>
          <w:kern w:val="0"/>
          <w:sz w:val="32"/>
          <w:szCs w:val="32"/>
          <w:shd w:val="clear" w:color="auto" w:fill="FFFFFF"/>
          <w:lang w:val="zh-CN"/>
        </w:rPr>
        <w:t>本部门下属二级预算单位0个，其中行政单位0个，参照公务员法管理的事业单位0个，其他事业单位0个。</w:t>
      </w:r>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1、负责对已成水利工程设施设备进行维修养护和管理，确保水库和渠道工程运行及度汛安全。</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2、负责组织协调灌区各镇的农业灌溉用水、防洪调度、抢险工作。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3、负责水利工程的勘测设计施工、管理及水毁工程整治。</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4、负责水库蓄水保水、水文观测、计划统计、科技情报、技术档案、资料保管等工作。</w:t>
      </w:r>
    </w:p>
    <w:p>
      <w:pPr>
        <w:pStyle w:val="2"/>
        <w:rPr>
          <w:lang w:val="zh-CN"/>
        </w:rPr>
      </w:pPr>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pPr>
        <w:spacing w:line="560" w:lineRule="exact"/>
        <w:ind w:firstLine="800" w:firstLineChars="250"/>
        <w:rPr>
          <w:sz w:val="32"/>
          <w:szCs w:val="32"/>
        </w:rPr>
      </w:pPr>
      <w:r>
        <w:rPr>
          <w:rFonts w:hint="eastAsia" w:ascii="Times New Roman" w:hAnsi="Times New Roman" w:eastAsia="仿宋_GB2312"/>
          <w:sz w:val="32"/>
          <w:szCs w:val="32"/>
        </w:rPr>
        <w:t>遂宁市安居区麻子滩水库管理所属区水利局下属事业单位。截止2024年12月31日，单位</w:t>
      </w:r>
      <w:r>
        <w:rPr>
          <w:rFonts w:ascii="Times New Roman" w:hAnsi="Times New Roman" w:eastAsia="仿宋_GB2312"/>
          <w:sz w:val="32"/>
          <w:szCs w:val="32"/>
        </w:rPr>
        <w:t>实有人数</w:t>
      </w:r>
      <w:r>
        <w:rPr>
          <w:rFonts w:hint="eastAsia" w:ascii="Times New Roman" w:hAnsi="Times New Roman" w:eastAsia="仿宋_GB2312"/>
          <w:sz w:val="32"/>
          <w:szCs w:val="32"/>
        </w:rPr>
        <w:t>29</w:t>
      </w:r>
      <w:r>
        <w:rPr>
          <w:rFonts w:ascii="Times New Roman" w:hAnsi="Times New Roman" w:eastAsia="仿宋_GB2312"/>
          <w:sz w:val="32"/>
          <w:szCs w:val="32"/>
        </w:rPr>
        <w:t>人。</w:t>
      </w:r>
    </w:p>
    <w:p>
      <w:pPr>
        <w:pStyle w:val="6"/>
        <w:ind w:firstLine="640" w:firstLineChars="200"/>
        <w:rPr>
          <w:lang w:val="zh-CN"/>
        </w:rPr>
      </w:pPr>
      <w:bookmarkStart w:id="111" w:name="_Toc31359"/>
      <w:r>
        <w:rPr>
          <w:rFonts w:hint="eastAsia"/>
          <w:lang w:val="zh-CN"/>
        </w:rPr>
        <w:t>二、部门资金收支情况</w:t>
      </w:r>
      <w:bookmarkEnd w:id="111"/>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（一）收入情况</w:t>
      </w:r>
    </w:p>
    <w:p>
      <w:pPr>
        <w:widowControl/>
        <w:adjustRightInd w:val="0"/>
        <w:snapToGrid w:val="0"/>
        <w:spacing w:line="578" w:lineRule="exact"/>
        <w:ind w:firstLine="640" w:firstLineChars="200"/>
        <w:contextualSpacing/>
        <w:jc w:val="left"/>
        <w:rPr>
          <w:rFonts w:eastAsia="楷体_GB2312"/>
          <w:color w:val="000000"/>
          <w:kern w:val="0"/>
          <w:szCs w:val="32"/>
          <w:shd w:val="clear" w:color="auto" w:fill="FFFFFF"/>
        </w:rPr>
      </w:pPr>
      <w:r>
        <w:rPr>
          <w:rFonts w:hint="eastAsia" w:ascii="Times New Roman" w:hAnsi="Times New Roman" w:eastAsia="仿宋_GB2312"/>
          <w:sz w:val="32"/>
          <w:szCs w:val="32"/>
        </w:rPr>
        <w:t>遂宁市安居区麻子滩水库管理所</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年年初预算收入</w:t>
      </w:r>
      <w:r>
        <w:rPr>
          <w:rFonts w:hint="eastAsia" w:ascii="Times New Roman" w:hAnsi="Times New Roman" w:eastAsia="仿宋_GB2312"/>
          <w:sz w:val="32"/>
          <w:szCs w:val="32"/>
        </w:rPr>
        <w:t>701.40万元，</w:t>
      </w:r>
      <w:r>
        <w:rPr>
          <w:rFonts w:ascii="Times New Roman" w:hAnsi="Times New Roman" w:eastAsia="仿宋_GB2312"/>
          <w:sz w:val="32"/>
          <w:szCs w:val="32"/>
        </w:rPr>
        <w:t>决算报表收入</w:t>
      </w:r>
      <w:r>
        <w:rPr>
          <w:rFonts w:hint="eastAsia" w:ascii="Times New Roman" w:hAnsi="Times New Roman" w:eastAsia="仿宋_GB2312"/>
          <w:sz w:val="32"/>
          <w:szCs w:val="32"/>
        </w:rPr>
        <w:t>701.40万元</w:t>
      </w:r>
      <w:r>
        <w:rPr>
          <w:rFonts w:ascii="Times New Roman" w:hAnsi="Times New Roman" w:eastAsia="仿宋_GB2312"/>
          <w:sz w:val="32"/>
          <w:szCs w:val="32"/>
        </w:rPr>
        <w:t>。</w:t>
      </w:r>
    </w:p>
    <w:p>
      <w:pPr>
        <w:pStyle w:val="2"/>
        <w:rPr>
          <w:lang w:val="zh-CN"/>
        </w:rPr>
      </w:pPr>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（二）支出情况</w:t>
      </w:r>
    </w:p>
    <w:p>
      <w:pPr>
        <w:widowControl/>
        <w:adjustRightInd w:val="0"/>
        <w:snapToGrid w:val="0"/>
        <w:spacing w:line="578" w:lineRule="exact"/>
        <w:ind w:firstLine="640" w:firstLineChars="200"/>
        <w:contextualSpacing/>
        <w:jc w:val="left"/>
        <w:rPr>
          <w:rFonts w:eastAsia="楷体_GB2312"/>
          <w:color w:val="000000"/>
          <w:kern w:val="0"/>
          <w:szCs w:val="32"/>
          <w:shd w:val="clear" w:color="auto" w:fill="FFFFFF"/>
        </w:rPr>
      </w:pPr>
      <w:r>
        <w:rPr>
          <w:rFonts w:hint="eastAsia" w:ascii="Times New Roman" w:hAnsi="Times New Roman" w:eastAsia="仿宋_GB2312"/>
          <w:sz w:val="32"/>
          <w:szCs w:val="32"/>
        </w:rPr>
        <w:t>遂宁市安居区麻子滩水库管理所</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年年初预算</w:t>
      </w:r>
      <w:r>
        <w:rPr>
          <w:rFonts w:hint="eastAsia" w:ascii="Times New Roman" w:hAnsi="Times New Roman" w:eastAsia="仿宋_GB2312"/>
          <w:sz w:val="32"/>
          <w:szCs w:val="32"/>
        </w:rPr>
        <w:t>支出701.40万元，</w:t>
      </w:r>
      <w:r>
        <w:rPr>
          <w:rFonts w:ascii="Times New Roman" w:hAnsi="Times New Roman" w:eastAsia="仿宋_GB2312"/>
          <w:sz w:val="32"/>
          <w:szCs w:val="32"/>
        </w:rPr>
        <w:t>决算报表</w:t>
      </w:r>
      <w:r>
        <w:rPr>
          <w:rFonts w:hint="eastAsia" w:ascii="Times New Roman" w:hAnsi="Times New Roman" w:eastAsia="仿宋_GB2312"/>
          <w:sz w:val="32"/>
          <w:szCs w:val="32"/>
        </w:rPr>
        <w:t>支出701.40万元</w:t>
      </w:r>
      <w:r>
        <w:rPr>
          <w:rFonts w:ascii="Times New Roman" w:hAnsi="Times New Roman" w:eastAsia="仿宋_GB2312"/>
          <w:sz w:val="32"/>
          <w:szCs w:val="32"/>
        </w:rPr>
        <w:t>。</w:t>
      </w:r>
    </w:p>
    <w:p>
      <w:pPr>
        <w:widowControl/>
        <w:adjustRightInd w:val="0"/>
        <w:snapToGrid w:val="0"/>
        <w:spacing w:line="560" w:lineRule="exact"/>
        <w:ind w:firstLine="480" w:firstLineChars="150"/>
        <w:contextualSpacing/>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w:t>
      </w:r>
      <w:r>
        <w:rPr>
          <w:rFonts w:hint="eastAsia" w:ascii="Times New Roman" w:hAnsi="Times New Roman" w:eastAsia="楷体_GB2312"/>
          <w:color w:val="000000"/>
          <w:kern w:val="0"/>
          <w:sz w:val="32"/>
          <w:szCs w:val="32"/>
          <w:shd w:val="clear" w:color="auto" w:fill="FFFFFF"/>
          <w:lang w:val="zh-CN"/>
        </w:rPr>
        <w:t>三</w:t>
      </w:r>
      <w:r>
        <w:rPr>
          <w:rFonts w:ascii="Times New Roman" w:hAnsi="Times New Roman" w:eastAsia="楷体_GB2312"/>
          <w:color w:val="000000"/>
          <w:kern w:val="0"/>
          <w:sz w:val="32"/>
          <w:szCs w:val="32"/>
          <w:shd w:val="clear" w:color="auto" w:fill="FFFFFF"/>
          <w:lang w:val="zh-CN"/>
        </w:rPr>
        <w:t>）结余分配和结转结余情况</w:t>
      </w:r>
    </w:p>
    <w:p>
      <w:pPr>
        <w:widowControl/>
        <w:adjustRightInd w:val="0"/>
        <w:snapToGrid w:val="0"/>
        <w:spacing w:line="560" w:lineRule="exact"/>
        <w:ind w:firstLine="480" w:firstLineChars="150"/>
        <w:contextualSpacing/>
        <w:rPr>
          <w:rFonts w:eastAsia="仿宋_GB2312"/>
          <w:color w:val="000000"/>
          <w:kern w:val="0"/>
          <w:sz w:val="32"/>
          <w:szCs w:val="32"/>
          <w:shd w:val="clear" w:color="auto" w:fill="FFFFFF"/>
          <w:lang w:val="zh-CN"/>
        </w:rPr>
      </w:pPr>
      <w:r>
        <w:rPr>
          <w:rFonts w:hint="eastAsia" w:ascii="Times New Roman" w:hAnsi="Times New Roman" w:eastAsia="仿宋_GB2312"/>
          <w:sz w:val="32"/>
          <w:szCs w:val="32"/>
        </w:rPr>
        <w:t>遂宁市安居区麻子滩水库管理所2024年决算报表无</w:t>
      </w:r>
      <w:r>
        <w:rPr>
          <w:rFonts w:ascii="Times New Roman" w:hAnsi="Times New Roman" w:eastAsia="仿宋_GB2312"/>
          <w:sz w:val="32"/>
          <w:szCs w:val="32"/>
        </w:rPr>
        <w:t>结转结余。</w:t>
      </w:r>
    </w:p>
    <w:p>
      <w:pPr>
        <w:pStyle w:val="6"/>
        <w:ind w:firstLine="640" w:firstLineChars="200"/>
        <w:rPr>
          <w:lang w:val="zh-CN"/>
        </w:rPr>
      </w:pPr>
      <w:bookmarkStart w:id="112" w:name="_Toc9877"/>
      <w:r>
        <w:rPr>
          <w:rFonts w:hint="eastAsia"/>
          <w:lang w:val="zh-CN"/>
        </w:rPr>
        <w:t>三、部门预算绩效分析</w:t>
      </w:r>
      <w:bookmarkEnd w:id="112"/>
    </w:p>
    <w:p>
      <w:pPr>
        <w:adjustRightInd w:val="0"/>
        <w:snapToGrid w:val="0"/>
        <w:spacing w:line="578" w:lineRule="exact"/>
        <w:ind w:firstLine="640" w:firstLineChars="200"/>
        <w:contextualSpacing/>
        <w:jc w:val="left"/>
        <w:rPr>
          <w:rFonts w:ascii="Times New Roman" w:hAnsi="Times New Roman"/>
          <w:color w:val="000000"/>
          <w:kern w:val="0"/>
          <w:szCs w:val="32"/>
          <w:shd w:val="clear" w:color="auto" w:fill="FFFFFF"/>
          <w:lang w:val="zh-CN"/>
        </w:rPr>
      </w:pPr>
      <w:r>
        <w:rPr>
          <w:rFonts w:ascii="Times New Roman" w:hAnsi="Times New Roman" w:eastAsia="楷体_GB2312"/>
          <w:color w:val="000000"/>
          <w:kern w:val="0"/>
          <w:sz w:val="32"/>
          <w:szCs w:val="32"/>
          <w:shd w:val="clear" w:color="auto" w:fill="FFFFFF"/>
          <w:lang w:val="zh-CN"/>
        </w:rPr>
        <w:t>（一）</w:t>
      </w:r>
      <w:r>
        <w:rPr>
          <w:rFonts w:hint="eastAsia" w:ascii="Times New Roman" w:hAnsi="Times New Roman" w:eastAsia="楷体_GB2312"/>
          <w:color w:val="000000"/>
          <w:kern w:val="0"/>
          <w:sz w:val="32"/>
          <w:szCs w:val="32"/>
          <w:shd w:val="clear" w:color="auto" w:fill="FFFFFF"/>
          <w:lang w:val="zh-CN"/>
        </w:rPr>
        <w:t>部门预算</w:t>
      </w:r>
      <w:r>
        <w:rPr>
          <w:rFonts w:ascii="Times New Roman" w:hAnsi="Times New Roman" w:eastAsia="楷体_GB2312"/>
          <w:color w:val="000000"/>
          <w:kern w:val="0"/>
          <w:sz w:val="32"/>
          <w:szCs w:val="32"/>
          <w:shd w:val="clear" w:color="auto" w:fill="FFFFFF"/>
          <w:lang w:val="zh-CN"/>
        </w:rPr>
        <w:t>总体绩效分析。</w:t>
      </w:r>
      <w:r>
        <w:rPr>
          <w:rFonts w:ascii="Times New Roman" w:hAnsi="Times New Roman" w:eastAsia="仿宋_GB2312"/>
          <w:sz w:val="32"/>
          <w:szCs w:val="32"/>
          <w:lang w:val="zh-CN"/>
        </w:rPr>
        <w:t>根据部门预算绩效评价指标体系“总体绩效”涉及</w:t>
      </w:r>
      <w:r>
        <w:rPr>
          <w:rFonts w:hint="eastAsia" w:ascii="Times New Roman" w:hAnsi="Times New Roman" w:eastAsia="仿宋_GB2312"/>
          <w:sz w:val="32"/>
          <w:szCs w:val="32"/>
          <w:lang w:val="zh-CN"/>
        </w:rPr>
        <w:t>二、三级</w:t>
      </w:r>
      <w:r>
        <w:rPr>
          <w:rFonts w:ascii="Times New Roman" w:hAnsi="Times New Roman" w:eastAsia="仿宋_GB2312"/>
          <w:sz w:val="32"/>
          <w:szCs w:val="32"/>
          <w:lang w:val="zh-CN"/>
        </w:rPr>
        <w:t>指标进行</w:t>
      </w:r>
      <w:r>
        <w:rPr>
          <w:rFonts w:hint="eastAsia" w:ascii="Times New Roman" w:hAnsi="Times New Roman" w:eastAsia="仿宋_GB2312"/>
          <w:sz w:val="32"/>
          <w:szCs w:val="32"/>
          <w:lang w:val="zh-CN"/>
        </w:rPr>
        <w:t>逐项</w:t>
      </w:r>
      <w:r>
        <w:rPr>
          <w:rFonts w:ascii="Times New Roman" w:hAnsi="Times New Roman" w:eastAsia="仿宋_GB2312"/>
          <w:sz w:val="32"/>
          <w:szCs w:val="32"/>
          <w:lang w:val="zh-CN"/>
        </w:rPr>
        <w:t>绩效分析</w:t>
      </w:r>
      <w:r>
        <w:rPr>
          <w:rFonts w:hint="eastAsia" w:ascii="Times New Roman" w:hAnsi="Times New Roman" w:eastAsia="仿宋_GB2312"/>
          <w:sz w:val="32"/>
          <w:szCs w:val="32"/>
          <w:lang w:val="zh-CN"/>
        </w:rPr>
        <w:t>并评分</w:t>
      </w:r>
      <w:r>
        <w:rPr>
          <w:rFonts w:ascii="Times New Roman" w:hAnsi="Times New Roman" w:eastAsia="仿宋_GB2312"/>
          <w:sz w:val="32"/>
          <w:szCs w:val="32"/>
          <w:lang w:val="zh-CN"/>
        </w:rPr>
        <w:t>，依次包括履职效能、预算管理、财务管理、资产管理、采购管理等情况。</w:t>
      </w:r>
    </w:p>
    <w:p>
      <w:pPr>
        <w:adjustRightInd w:val="0"/>
        <w:snapToGrid w:val="0"/>
        <w:spacing w:line="578" w:lineRule="exact"/>
        <w:ind w:firstLine="640" w:firstLineChars="200"/>
        <w:contextualSpacing/>
        <w:jc w:val="left"/>
        <w:rPr>
          <w:rFonts w:ascii="Times New Roman" w:hAnsi="Times New Roman"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r>
        <w:rPr>
          <w:rFonts w:hint="eastAsia" w:ascii="Times New Roman" w:hAnsi="Times New Roman" w:eastAsia="仿宋_GB2312"/>
          <w:sz w:val="32"/>
          <w:szCs w:val="32"/>
          <w:lang w:val="zh-CN"/>
        </w:rPr>
        <w:t>区麻管所在202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年保障了部门职工基本工资，津补贴，绩效工资、奖金、五险一金等人员经费正常发放，公用经费保障了部门正常运转，所有经费都达到了绩效目标。</w:t>
      </w:r>
    </w:p>
    <w:p>
      <w:p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w:t>
      </w:r>
      <w:r>
        <w:rPr>
          <w:rFonts w:ascii="楷体_GB2312" w:hAnsi="楷体_GB2312" w:eastAsia="楷体_GB2312" w:cs="楷体_GB2312"/>
          <w:color w:val="000000"/>
          <w:kern w:val="0"/>
          <w:sz w:val="32"/>
          <w:szCs w:val="32"/>
          <w:shd w:val="clear" w:color="auto" w:fill="FFFFFF"/>
          <w:lang w:val="zh-CN"/>
        </w:rPr>
        <w:t>预算管理</w:t>
      </w:r>
      <w:r>
        <w:rPr>
          <w:rFonts w:hint="eastAsia" w:ascii="楷体_GB2312" w:hAnsi="楷体_GB2312" w:eastAsia="楷体_GB2312" w:cs="楷体_GB2312"/>
          <w:color w:val="000000"/>
          <w:kern w:val="0"/>
          <w:sz w:val="32"/>
          <w:szCs w:val="32"/>
          <w:shd w:val="clear" w:color="auto" w:fill="FFFFFF"/>
          <w:lang w:val="zh-CN"/>
        </w:rPr>
        <w:t>。</w:t>
      </w:r>
      <w:r>
        <w:rPr>
          <w:rFonts w:hint="eastAsia" w:ascii="Times New Roman" w:hAnsi="Times New Roman" w:eastAsia="仿宋_GB2312"/>
          <w:sz w:val="32"/>
          <w:szCs w:val="32"/>
          <w:lang w:val="zh-CN"/>
        </w:rPr>
        <w:t>本部门预算金额结合资金下达情况准确编制。单位收入实行收支两条线，加强预算执行管理，根据实际情况定期做好预算执行分析，掌握预算执行进度，及时找出预算实际执行情况与预算绩效目标之间存在的差异，采取有效措施纠正偏差，提高预算执行的时效性和均衡性。</w:t>
      </w:r>
    </w:p>
    <w:p>
      <w:p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ascii="楷体_GB2312" w:hAnsi="楷体_GB2312" w:eastAsia="楷体_GB2312" w:cs="楷体_GB2312"/>
          <w:color w:val="000000"/>
          <w:kern w:val="0"/>
          <w:sz w:val="32"/>
          <w:szCs w:val="32"/>
          <w:shd w:val="clear" w:color="auto" w:fill="FFFFFF"/>
          <w:lang w:val="zh-CN"/>
        </w:rPr>
        <w:t>财务管理</w:t>
      </w:r>
      <w:r>
        <w:rPr>
          <w:rFonts w:hint="eastAsia" w:ascii="楷体_GB2312" w:hAnsi="楷体_GB2312" w:eastAsia="楷体_GB2312" w:cs="楷体_GB2312"/>
          <w:color w:val="000000"/>
          <w:kern w:val="0"/>
          <w:sz w:val="32"/>
          <w:szCs w:val="32"/>
          <w:shd w:val="clear" w:color="auto" w:fill="FFFFFF"/>
          <w:lang w:val="zh-CN"/>
        </w:rPr>
        <w:t>。</w:t>
      </w:r>
      <w:r>
        <w:rPr>
          <w:rFonts w:hint="eastAsia" w:ascii="Times New Roman" w:hAnsi="Times New Roman" w:eastAsia="仿宋_GB2312"/>
          <w:sz w:val="32"/>
          <w:szCs w:val="32"/>
          <w:lang w:val="zh-CN"/>
        </w:rPr>
        <w:t>本单位202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年进一步完善了公用经费报销审批手续等各项财务管理制度，严格控制三公经费支出，逐步完善了内控制度。各项资金使用严格按照使用范围和方案执行。</w:t>
      </w:r>
    </w:p>
    <w:p>
      <w:p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4.</w:t>
      </w:r>
      <w:r>
        <w:rPr>
          <w:rFonts w:ascii="楷体_GB2312" w:hAnsi="楷体_GB2312" w:eastAsia="楷体_GB2312" w:cs="楷体_GB2312"/>
          <w:color w:val="000000"/>
          <w:kern w:val="0"/>
          <w:sz w:val="32"/>
          <w:szCs w:val="32"/>
          <w:shd w:val="clear" w:color="auto" w:fill="FFFFFF"/>
          <w:lang w:val="zh-CN"/>
        </w:rPr>
        <w:t>资产管理</w:t>
      </w:r>
      <w:r>
        <w:rPr>
          <w:rFonts w:hint="eastAsia" w:ascii="楷体_GB2312" w:hAnsi="楷体_GB2312" w:eastAsia="楷体_GB2312" w:cs="楷体_GB2312"/>
          <w:color w:val="000000"/>
          <w:kern w:val="0"/>
          <w:sz w:val="32"/>
          <w:szCs w:val="32"/>
          <w:shd w:val="clear" w:color="auto" w:fill="FFFFFF"/>
          <w:lang w:val="zh-CN"/>
        </w:rPr>
        <w:t>。</w:t>
      </w:r>
      <w:r>
        <w:rPr>
          <w:rFonts w:hint="eastAsia" w:ascii="Times New Roman" w:hAnsi="Times New Roman" w:eastAsia="仿宋_GB2312"/>
          <w:sz w:val="32"/>
          <w:szCs w:val="32"/>
          <w:lang w:val="zh-CN"/>
        </w:rPr>
        <w:t>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年在用资产利用率100%，在用资产发挥了效用，保障了各项工作正常开展。</w:t>
      </w:r>
    </w:p>
    <w:p>
      <w:p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ascii="楷体_GB2312" w:hAnsi="楷体_GB2312" w:eastAsia="楷体_GB2312" w:cs="楷体_GB2312"/>
          <w:color w:val="000000"/>
          <w:kern w:val="0"/>
          <w:sz w:val="32"/>
          <w:szCs w:val="32"/>
          <w:shd w:val="clear" w:color="auto" w:fill="FFFFFF"/>
          <w:lang w:val="zh-CN"/>
        </w:rPr>
        <w:t>采购管理</w:t>
      </w:r>
      <w:r>
        <w:rPr>
          <w:rFonts w:hint="eastAsia" w:ascii="楷体_GB2312" w:hAnsi="楷体_GB2312" w:eastAsia="楷体_GB2312" w:cs="楷体_GB2312"/>
          <w:color w:val="000000"/>
          <w:kern w:val="0"/>
          <w:sz w:val="32"/>
          <w:szCs w:val="32"/>
          <w:shd w:val="clear" w:color="auto" w:fill="FFFFFF"/>
          <w:lang w:val="zh-CN"/>
        </w:rPr>
        <w:t>。</w:t>
      </w:r>
      <w:r>
        <w:rPr>
          <w:rFonts w:hint="eastAsia" w:ascii="Times New Roman" w:hAnsi="Times New Roman" w:eastAsia="仿宋_GB2312"/>
          <w:sz w:val="32"/>
          <w:szCs w:val="32"/>
          <w:lang w:val="zh-CN"/>
        </w:rPr>
        <w:t>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年，安居区麻子滩水库管理所无政府采购支出，无授予小微企业。</w:t>
      </w:r>
    </w:p>
    <w:p>
      <w:pPr>
        <w:adjustRightInd w:val="0"/>
        <w:snapToGrid w:val="0"/>
        <w:spacing w:line="578" w:lineRule="exact"/>
        <w:ind w:firstLine="640" w:firstLineChars="200"/>
        <w:contextualSpacing/>
        <w:jc w:val="left"/>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（二）部门预算项目绩效分析</w:t>
      </w:r>
    </w:p>
    <w:p>
      <w:pPr>
        <w:pStyle w:val="2"/>
        <w:ind w:firstLine="640" w:firstLineChars="200"/>
        <w:rPr>
          <w:lang w:val="zh-CN"/>
        </w:rPr>
      </w:pPr>
      <w:r>
        <w:rPr>
          <w:rFonts w:hint="eastAsia" w:ascii="Times New Roman" w:hAnsi="Times New Roman" w:eastAsia="仿宋_GB2312"/>
          <w:sz w:val="32"/>
          <w:szCs w:val="32"/>
          <w:lang w:val="zh-CN"/>
        </w:rPr>
        <w:t>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年，安居区麻子滩水库管理所无项目预算。</w:t>
      </w:r>
    </w:p>
    <w:p>
      <w:pPr>
        <w:widowControl/>
        <w:adjustRightInd w:val="0"/>
        <w:snapToGrid w:val="0"/>
        <w:spacing w:line="578" w:lineRule="exact"/>
        <w:ind w:firstLine="640" w:firstLineChars="200"/>
        <w:contextualSpacing/>
        <w:jc w:val="left"/>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w:t>
      </w:r>
      <w:r>
        <w:rPr>
          <w:rFonts w:hint="eastAsia" w:ascii="Times New Roman" w:hAnsi="Times New Roman" w:eastAsia="楷体_GB2312"/>
          <w:color w:val="000000"/>
          <w:kern w:val="0"/>
          <w:sz w:val="32"/>
          <w:szCs w:val="32"/>
          <w:shd w:val="clear" w:color="auto" w:fill="FFFFFF"/>
          <w:lang w:val="zh-CN"/>
        </w:rPr>
        <w:t>三</w:t>
      </w:r>
      <w:r>
        <w:rPr>
          <w:rFonts w:ascii="Times New Roman" w:hAnsi="Times New Roman" w:eastAsia="楷体_GB2312"/>
          <w:color w:val="000000"/>
          <w:kern w:val="0"/>
          <w:sz w:val="32"/>
          <w:szCs w:val="32"/>
          <w:shd w:val="clear" w:color="auto" w:fill="FFFFFF"/>
          <w:lang w:val="zh-CN"/>
        </w:rPr>
        <w:t>）重点领域绩效分析</w:t>
      </w:r>
    </w:p>
    <w:p>
      <w:pPr>
        <w:widowControl/>
        <w:adjustRightInd w:val="0"/>
        <w:snapToGrid w:val="0"/>
        <w:spacing w:line="578" w:lineRule="exact"/>
        <w:ind w:firstLine="640" w:firstLineChars="200"/>
        <w:contextualSpacing/>
        <w:jc w:val="left"/>
        <w:rPr>
          <w:rFonts w:ascii="Times New Roman" w:hAnsi="Times New Roman" w:eastAsia="仿宋_GB2312"/>
          <w:sz w:val="32"/>
          <w:szCs w:val="32"/>
          <w:lang w:val="zh-CN"/>
        </w:rPr>
      </w:pPr>
      <w:r>
        <w:rPr>
          <w:rFonts w:hint="eastAsia" w:ascii="Times New Roman" w:hAnsi="Times New Roman" w:eastAsia="仿宋_GB2312"/>
          <w:sz w:val="32"/>
          <w:szCs w:val="32"/>
          <w:lang w:val="zh-CN"/>
        </w:rPr>
        <w:t>202</w:t>
      </w:r>
      <w:r>
        <w:rPr>
          <w:rFonts w:hint="eastAsia" w:ascii="Times New Roman" w:hAnsi="Times New Roman" w:eastAsia="仿宋_GB2312"/>
          <w:sz w:val="32"/>
          <w:szCs w:val="32"/>
        </w:rPr>
        <w:t>4</w:t>
      </w:r>
      <w:r>
        <w:rPr>
          <w:rFonts w:hint="eastAsia" w:ascii="Times New Roman" w:hAnsi="Times New Roman" w:eastAsia="仿宋_GB2312"/>
          <w:sz w:val="32"/>
          <w:szCs w:val="32"/>
          <w:lang w:val="zh-CN"/>
        </w:rPr>
        <w:t>年，安居区麻子滩水库管理所无重点领域。</w:t>
      </w:r>
    </w:p>
    <w:p>
      <w:pPr>
        <w:snapToGrid w:val="0"/>
        <w:spacing w:line="560" w:lineRule="exact"/>
        <w:ind w:firstLine="640" w:firstLineChars="200"/>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（四）绩效结果应用情况</w:t>
      </w:r>
    </w:p>
    <w:p>
      <w:pPr>
        <w:snapToGrid w:val="0"/>
        <w:spacing w:line="560" w:lineRule="exact"/>
        <w:ind w:firstLine="640" w:firstLineChars="200"/>
        <w:rPr>
          <w:rFonts w:eastAsia="仿宋_GB2312"/>
          <w:sz w:val="32"/>
          <w:szCs w:val="32"/>
        </w:rPr>
      </w:pPr>
      <w:r>
        <w:rPr>
          <w:rFonts w:ascii="Times New Roman" w:hAnsi="Times New Roman" w:eastAsia="仿宋_GB2312"/>
          <w:sz w:val="32"/>
          <w:szCs w:val="32"/>
        </w:rPr>
        <w:t>及时在区政府网站公开全办202</w:t>
      </w:r>
      <w:r>
        <w:rPr>
          <w:rFonts w:hint="eastAsia" w:ascii="Times New Roman" w:hAnsi="Times New Roman" w:eastAsia="仿宋_GB2312"/>
          <w:sz w:val="32"/>
          <w:szCs w:val="32"/>
        </w:rPr>
        <w:t>4</w:t>
      </w:r>
      <w:r>
        <w:rPr>
          <w:rFonts w:ascii="Times New Roman" w:hAnsi="Times New Roman" w:eastAsia="仿宋_GB2312"/>
          <w:sz w:val="32"/>
          <w:szCs w:val="32"/>
        </w:rPr>
        <w:t>年部门预算、“三公经费”预算和202</w:t>
      </w:r>
      <w:r>
        <w:rPr>
          <w:rFonts w:hint="eastAsia" w:ascii="Times New Roman" w:hAnsi="Times New Roman" w:eastAsia="仿宋_GB2312"/>
          <w:sz w:val="32"/>
          <w:szCs w:val="32"/>
        </w:rPr>
        <w:t>3</w:t>
      </w:r>
      <w:r>
        <w:rPr>
          <w:rFonts w:ascii="Times New Roman" w:hAnsi="Times New Roman" w:eastAsia="仿宋_GB2312"/>
          <w:sz w:val="32"/>
          <w:szCs w:val="32"/>
        </w:rPr>
        <w:t>年部门决算、“三公经费”决算，并安排做好了跟踪舆情，主动引导，及时解疑释惑的各项应对工作，自觉接受社会监督</w:t>
      </w:r>
      <w:r>
        <w:rPr>
          <w:rFonts w:hint="eastAsia" w:ascii="Times New Roman" w:hAnsi="Times New Roman" w:eastAsia="仿宋_GB2312"/>
          <w:sz w:val="32"/>
          <w:szCs w:val="32"/>
        </w:rPr>
        <w:t>，</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年度部门预算执行及绩效管理具有明确的用途和目标，通过细致的执行计划，使各项资金及时到位并严格按照财政有关规定使用。预算决策、管理、执行过程逐渐规范，能较好地满足工作需要，保障</w:t>
      </w:r>
      <w:r>
        <w:rPr>
          <w:rFonts w:hint="eastAsia" w:ascii="Times New Roman" w:hAnsi="Times New Roman" w:eastAsia="仿宋_GB2312"/>
          <w:color w:val="000000"/>
          <w:sz w:val="32"/>
          <w:szCs w:val="32"/>
        </w:rPr>
        <w:t>经费</w:t>
      </w:r>
      <w:r>
        <w:rPr>
          <w:rFonts w:ascii="Times New Roman" w:hAnsi="Times New Roman" w:eastAsia="仿宋_GB2312"/>
          <w:color w:val="000000"/>
          <w:sz w:val="32"/>
          <w:szCs w:val="32"/>
        </w:rPr>
        <w:t>顺利开展时效，并取得了较为满意的社会效益</w:t>
      </w:r>
      <w:r>
        <w:rPr>
          <w:rFonts w:ascii="Times New Roman" w:hAnsi="Times New Roman" w:eastAsia="仿宋_GB2312"/>
          <w:sz w:val="32"/>
          <w:szCs w:val="32"/>
        </w:rPr>
        <w:t>。</w:t>
      </w:r>
    </w:p>
    <w:p>
      <w:pPr>
        <w:pStyle w:val="6"/>
        <w:ind w:firstLine="640" w:firstLineChars="200"/>
        <w:rPr>
          <w:lang w:val="zh-CN"/>
        </w:rPr>
      </w:pPr>
      <w:bookmarkStart w:id="113" w:name="_Toc5106"/>
      <w:r>
        <w:rPr>
          <w:rFonts w:hint="eastAsia"/>
          <w:lang w:val="zh-CN"/>
        </w:rPr>
        <w:t>四、评价结论及建议</w:t>
      </w:r>
      <w:bookmarkEnd w:id="113"/>
    </w:p>
    <w:p>
      <w:pPr>
        <w:widowControl/>
        <w:adjustRightInd w:val="0"/>
        <w:snapToGrid w:val="0"/>
        <w:spacing w:line="578" w:lineRule="exact"/>
        <w:ind w:firstLine="640" w:firstLineChars="200"/>
        <w:contextualSpacing/>
        <w:jc w:val="left"/>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ascii="Times New Roman" w:hAnsi="Times New Roman" w:eastAsia="仿宋_GB2312"/>
          <w:sz w:val="32"/>
          <w:szCs w:val="32"/>
        </w:rPr>
      </w:pPr>
      <w:r>
        <w:rPr>
          <w:rFonts w:hint="eastAsia" w:ascii="Times New Roman" w:hAnsi="Times New Roman" w:eastAsia="仿宋_GB2312"/>
          <w:sz w:val="32"/>
          <w:szCs w:val="32"/>
        </w:rPr>
        <w:t>按照预算绩效管理要求，本部门对2024年整体支出开展绩效自评，绩效自评较为准确。自评得分100分。管理意识增强，资金使用和管理逐年规范。</w:t>
      </w:r>
    </w:p>
    <w:p>
      <w:pPr>
        <w:widowControl/>
        <w:adjustRightInd w:val="0"/>
        <w:snapToGrid w:val="0"/>
        <w:spacing w:line="578" w:lineRule="exact"/>
        <w:ind w:firstLine="640" w:firstLineChars="200"/>
        <w:contextualSpacing/>
        <w:jc w:val="left"/>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（二）存在问题</w:t>
      </w:r>
    </w:p>
    <w:p>
      <w:pPr>
        <w:widowControl/>
        <w:adjustRightInd w:val="0"/>
        <w:snapToGrid w:val="0"/>
        <w:spacing w:line="578" w:lineRule="exact"/>
        <w:ind w:firstLine="640" w:firstLineChars="200"/>
        <w:contextualSpacing/>
        <w:jc w:val="left"/>
        <w:rPr>
          <w:rFonts w:ascii="Times New Roman" w:hAnsi="Times New Roman" w:eastAsia="仿宋_GB2312"/>
          <w:sz w:val="32"/>
          <w:szCs w:val="32"/>
        </w:rPr>
      </w:pPr>
      <w:r>
        <w:rPr>
          <w:rFonts w:hint="eastAsia" w:ascii="Times New Roman" w:hAnsi="Times New Roman" w:eastAsia="仿宋_GB2312"/>
          <w:sz w:val="32"/>
          <w:szCs w:val="32"/>
        </w:rPr>
        <w:t>一是资金使用效益有待进一步提高。二是个别会计核算科目不精准。</w:t>
      </w:r>
    </w:p>
    <w:p>
      <w:pPr>
        <w:widowControl/>
        <w:adjustRightInd w:val="0"/>
        <w:snapToGrid w:val="0"/>
        <w:spacing w:line="578" w:lineRule="exact"/>
        <w:ind w:firstLine="640" w:firstLineChars="200"/>
        <w:contextualSpacing/>
        <w:jc w:val="left"/>
        <w:rPr>
          <w:rFonts w:ascii="Times New Roman" w:hAnsi="Times New Roman" w:eastAsia="楷体_GB2312"/>
          <w:color w:val="000000"/>
          <w:kern w:val="0"/>
          <w:sz w:val="32"/>
          <w:szCs w:val="32"/>
          <w:shd w:val="clear" w:color="auto" w:fill="FFFFFF"/>
          <w:lang w:val="zh-CN"/>
        </w:rPr>
      </w:pPr>
      <w:r>
        <w:rPr>
          <w:rFonts w:ascii="Times New Roman" w:hAnsi="Times New Roman" w:eastAsia="楷体_GB2312"/>
          <w:color w:val="000000"/>
          <w:kern w:val="0"/>
          <w:sz w:val="32"/>
          <w:szCs w:val="32"/>
          <w:shd w:val="clear" w:color="auto" w:fill="FFFFFF"/>
          <w:lang w:val="zh-CN"/>
        </w:rPr>
        <w:t>（三）改进建议</w:t>
      </w:r>
    </w:p>
    <w:p>
      <w:pPr>
        <w:widowControl/>
        <w:adjustRightInd w:val="0"/>
        <w:snapToGrid w:val="0"/>
        <w:spacing w:line="578" w:lineRule="exact"/>
        <w:ind w:firstLine="640" w:firstLineChars="200"/>
        <w:contextualSpacing/>
        <w:jc w:val="left"/>
        <w:rPr>
          <w:rFonts w:ascii="Times New Roman" w:hAnsi="Times New Roman" w:eastAsia="仿宋_GB2312"/>
          <w:sz w:val="32"/>
          <w:szCs w:val="32"/>
        </w:rPr>
      </w:pPr>
      <w:r>
        <w:rPr>
          <w:rFonts w:hint="eastAsia" w:ascii="Times New Roman" w:hAnsi="Times New Roman" w:eastAsia="仿宋_GB2312"/>
          <w:sz w:val="32"/>
          <w:szCs w:val="32"/>
        </w:rPr>
        <w:t>1、进一步结合单位实际，完善相关制度，切实抓好部门预算和执行等管理工作，促进财政资金使用绩效的不断提高。</w:t>
      </w:r>
    </w:p>
    <w:p>
      <w:pPr>
        <w:widowControl/>
        <w:adjustRightInd w:val="0"/>
        <w:snapToGrid w:val="0"/>
        <w:spacing w:line="578" w:lineRule="exact"/>
        <w:ind w:firstLine="640" w:firstLineChars="200"/>
        <w:contextualSpacing/>
        <w:jc w:val="left"/>
        <w:rPr>
          <w:rFonts w:ascii="Times New Roman" w:hAnsi="Times New Roman" w:eastAsia="仿宋_GB2312"/>
          <w:sz w:val="32"/>
          <w:szCs w:val="32"/>
        </w:rPr>
      </w:pPr>
      <w:r>
        <w:rPr>
          <w:rFonts w:hint="eastAsia" w:ascii="Times New Roman" w:hAnsi="Times New Roman" w:eastAsia="仿宋_GB2312"/>
          <w:sz w:val="32"/>
          <w:szCs w:val="32"/>
        </w:rPr>
        <w:t>2、进一步完善单位内部的会计控制体系，特别是在资金使用的规范方面，加强内控管理。</w:t>
      </w:r>
    </w:p>
    <w:p>
      <w:pPr>
        <w:widowControl/>
        <w:jc w:val="center"/>
        <w:rPr>
          <w:rFonts w:ascii="黑体" w:hAnsi="黑体" w:eastAsia="黑体"/>
          <w:sz w:val="44"/>
          <w:szCs w:val="44"/>
        </w:rPr>
      </w:pPr>
      <w:bookmarkStart w:id="114" w:name="_Toc15377226"/>
      <w:bookmarkStart w:id="115" w:name="_Toc15396618"/>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widowControl/>
        <w:jc w:val="center"/>
        <w:rPr>
          <w:rFonts w:ascii="黑体" w:hAnsi="黑体" w:eastAsia="黑体"/>
          <w:sz w:val="44"/>
          <w:szCs w:val="44"/>
        </w:rPr>
      </w:pPr>
    </w:p>
    <w:p>
      <w:pPr>
        <w:pStyle w:val="5"/>
        <w:rPr>
          <w:rFonts w:ascii="仿宋" w:hAnsi="仿宋" w:eastAsia="仿宋"/>
          <w:bCs w:val="0"/>
        </w:rPr>
      </w:pPr>
      <w:bookmarkStart w:id="116" w:name="_Toc13739"/>
      <w:r>
        <w:rPr>
          <w:rFonts w:hint="eastAsia" w:ascii="黑体" w:hAnsi="黑体" w:eastAsia="黑体"/>
          <w:bCs w:val="0"/>
        </w:rPr>
        <w:t>第</w:t>
      </w:r>
      <w:r>
        <w:rPr>
          <w:rStyle w:val="20"/>
          <w:rFonts w:hint="eastAsia" w:ascii="黑体" w:hAnsi="黑体" w:eastAsia="黑体"/>
          <w:bCs w:val="0"/>
        </w:rPr>
        <w:t>五部分 附表</w:t>
      </w:r>
      <w:bookmarkEnd w:id="114"/>
      <w:bookmarkEnd w:id="115"/>
      <w:bookmarkEnd w:id="116"/>
      <w:bookmarkStart w:id="117" w:name="_Toc15396619"/>
    </w:p>
    <w:p>
      <w:pPr>
        <w:pStyle w:val="6"/>
        <w:rPr>
          <w:rFonts w:ascii="仿宋" w:hAnsi="仿宋" w:eastAsia="仿宋"/>
          <w:bCs w:val="0"/>
        </w:rPr>
      </w:pPr>
    </w:p>
    <w:p>
      <w:pPr>
        <w:pStyle w:val="6"/>
        <w:rPr>
          <w:rFonts w:ascii="仿宋" w:hAnsi="仿宋" w:eastAsia="仿宋"/>
          <w:bCs w:val="0"/>
        </w:rPr>
      </w:pPr>
      <w:bookmarkStart w:id="118" w:name="_Toc5890"/>
      <w:r>
        <w:rPr>
          <w:rFonts w:hint="eastAsia" w:ascii="仿宋" w:hAnsi="仿宋" w:eastAsia="仿宋"/>
          <w:bCs w:val="0"/>
        </w:rPr>
        <w:t>一、收</w:t>
      </w:r>
      <w:r>
        <w:rPr>
          <w:rStyle w:val="21"/>
          <w:rFonts w:hint="eastAsia" w:ascii="仿宋" w:hAnsi="仿宋" w:eastAsia="仿宋"/>
          <w:bCs w:val="0"/>
        </w:rPr>
        <w:t>入支出决算总表</w:t>
      </w:r>
      <w:bookmarkEnd w:id="117"/>
      <w:bookmarkEnd w:id="118"/>
    </w:p>
    <w:p>
      <w:pPr>
        <w:pStyle w:val="6"/>
        <w:rPr>
          <w:rFonts w:ascii="仿宋" w:hAnsi="仿宋" w:eastAsia="仿宋"/>
          <w:bCs w:val="0"/>
        </w:rPr>
      </w:pPr>
      <w:bookmarkStart w:id="119" w:name="_Toc21423"/>
      <w:bookmarkStart w:id="120" w:name="_Toc15396620"/>
      <w:r>
        <w:rPr>
          <w:rFonts w:hint="eastAsia" w:ascii="仿宋" w:hAnsi="仿宋" w:eastAsia="仿宋"/>
          <w:bCs w:val="0"/>
        </w:rPr>
        <w:t>二、收</w:t>
      </w:r>
      <w:r>
        <w:rPr>
          <w:rStyle w:val="21"/>
          <w:rFonts w:hint="eastAsia" w:ascii="仿宋" w:hAnsi="仿宋" w:eastAsia="仿宋"/>
          <w:bCs w:val="0"/>
        </w:rPr>
        <w:t>入决算表</w:t>
      </w:r>
      <w:bookmarkEnd w:id="119"/>
      <w:bookmarkEnd w:id="120"/>
    </w:p>
    <w:p>
      <w:pPr>
        <w:pStyle w:val="6"/>
        <w:rPr>
          <w:rFonts w:ascii="仿宋" w:hAnsi="仿宋" w:eastAsia="仿宋"/>
          <w:bCs w:val="0"/>
        </w:rPr>
      </w:pPr>
      <w:bookmarkStart w:id="121" w:name="_Toc15396621"/>
      <w:bookmarkStart w:id="122" w:name="_Toc7937"/>
      <w:r>
        <w:rPr>
          <w:rStyle w:val="21"/>
          <w:rFonts w:hint="eastAsia" w:ascii="仿宋" w:hAnsi="仿宋" w:eastAsia="仿宋"/>
          <w:bCs w:val="0"/>
        </w:rPr>
        <w:t>三、</w:t>
      </w:r>
      <w:r>
        <w:rPr>
          <w:rFonts w:hint="eastAsia" w:ascii="仿宋" w:hAnsi="仿宋" w:eastAsia="仿宋"/>
          <w:bCs w:val="0"/>
        </w:rPr>
        <w:t>支</w:t>
      </w:r>
      <w:r>
        <w:rPr>
          <w:rStyle w:val="21"/>
          <w:rFonts w:hint="eastAsia" w:ascii="仿宋" w:hAnsi="仿宋" w:eastAsia="仿宋"/>
          <w:bCs w:val="0"/>
        </w:rPr>
        <w:t>出决算表</w:t>
      </w:r>
      <w:bookmarkEnd w:id="121"/>
      <w:bookmarkEnd w:id="122"/>
    </w:p>
    <w:p>
      <w:pPr>
        <w:pStyle w:val="6"/>
        <w:rPr>
          <w:rFonts w:ascii="仿宋" w:hAnsi="仿宋" w:eastAsia="仿宋"/>
          <w:bCs w:val="0"/>
        </w:rPr>
      </w:pPr>
      <w:bookmarkStart w:id="123" w:name="_Toc3758"/>
      <w:bookmarkStart w:id="124" w:name="_Toc15396622"/>
      <w:r>
        <w:rPr>
          <w:rStyle w:val="21"/>
          <w:rFonts w:hint="eastAsia" w:ascii="仿宋" w:hAnsi="仿宋" w:eastAsia="仿宋"/>
          <w:bCs w:val="0"/>
        </w:rPr>
        <w:t>四、</w:t>
      </w:r>
      <w:r>
        <w:rPr>
          <w:rFonts w:hint="eastAsia" w:ascii="仿宋" w:hAnsi="仿宋" w:eastAsia="仿宋"/>
          <w:bCs w:val="0"/>
        </w:rPr>
        <w:t>财</w:t>
      </w:r>
      <w:r>
        <w:rPr>
          <w:rStyle w:val="21"/>
          <w:rFonts w:hint="eastAsia" w:ascii="仿宋" w:hAnsi="仿宋" w:eastAsia="仿宋"/>
          <w:bCs w:val="0"/>
        </w:rPr>
        <w:t>政拨款收入支出决算总表</w:t>
      </w:r>
      <w:bookmarkEnd w:id="123"/>
      <w:bookmarkEnd w:id="124"/>
    </w:p>
    <w:p>
      <w:pPr>
        <w:pStyle w:val="6"/>
        <w:rPr>
          <w:rStyle w:val="21"/>
          <w:rFonts w:ascii="仿宋" w:hAnsi="仿宋" w:eastAsia="仿宋"/>
          <w:bCs w:val="0"/>
        </w:rPr>
      </w:pPr>
      <w:bookmarkStart w:id="125" w:name="_Toc15396623"/>
      <w:bookmarkStart w:id="126" w:name="_Toc2476"/>
      <w:r>
        <w:rPr>
          <w:rStyle w:val="21"/>
          <w:rFonts w:hint="eastAsia" w:ascii="仿宋" w:hAnsi="仿宋" w:eastAsia="仿宋"/>
          <w:bCs w:val="0"/>
        </w:rPr>
        <w:t>五、</w:t>
      </w:r>
      <w:r>
        <w:rPr>
          <w:rFonts w:hint="eastAsia" w:ascii="仿宋" w:hAnsi="仿宋" w:eastAsia="仿宋"/>
          <w:bCs w:val="0"/>
        </w:rPr>
        <w:t>财</w:t>
      </w:r>
      <w:r>
        <w:rPr>
          <w:rStyle w:val="21"/>
          <w:rFonts w:hint="eastAsia" w:ascii="仿宋" w:hAnsi="仿宋" w:eastAsia="仿宋"/>
          <w:bCs w:val="0"/>
        </w:rPr>
        <w:t>政拨款支出决算明细表</w:t>
      </w:r>
      <w:bookmarkEnd w:id="125"/>
      <w:bookmarkEnd w:id="126"/>
      <w:bookmarkStart w:id="127" w:name="_Toc15396624"/>
    </w:p>
    <w:p>
      <w:pPr>
        <w:pStyle w:val="6"/>
        <w:rPr>
          <w:rFonts w:ascii="仿宋" w:hAnsi="仿宋" w:eastAsia="仿宋"/>
          <w:bCs w:val="0"/>
        </w:rPr>
      </w:pPr>
      <w:bookmarkStart w:id="128" w:name="_Toc26758"/>
      <w:r>
        <w:rPr>
          <w:rStyle w:val="21"/>
          <w:rFonts w:hint="eastAsia" w:ascii="仿宋" w:hAnsi="仿宋" w:eastAsia="仿宋"/>
          <w:bCs w:val="0"/>
        </w:rPr>
        <w:t>六、</w:t>
      </w:r>
      <w:r>
        <w:rPr>
          <w:rFonts w:hint="eastAsia" w:ascii="仿宋" w:hAnsi="仿宋" w:eastAsia="仿宋"/>
          <w:bCs w:val="0"/>
        </w:rPr>
        <w:t>一</w:t>
      </w:r>
      <w:r>
        <w:rPr>
          <w:rStyle w:val="21"/>
          <w:rFonts w:hint="eastAsia" w:ascii="仿宋" w:hAnsi="仿宋" w:eastAsia="仿宋"/>
          <w:bCs w:val="0"/>
        </w:rPr>
        <w:t>般公共预算财政拨款支出决算表</w:t>
      </w:r>
      <w:bookmarkEnd w:id="127"/>
      <w:bookmarkEnd w:id="128"/>
    </w:p>
    <w:p>
      <w:pPr>
        <w:pStyle w:val="6"/>
        <w:rPr>
          <w:rFonts w:ascii="仿宋" w:hAnsi="仿宋" w:eastAsia="仿宋"/>
          <w:bCs w:val="0"/>
        </w:rPr>
      </w:pPr>
      <w:bookmarkStart w:id="129" w:name="_Toc12208"/>
      <w:bookmarkStart w:id="130" w:name="_Toc15396625"/>
      <w:r>
        <w:rPr>
          <w:rStyle w:val="21"/>
          <w:rFonts w:hint="eastAsia" w:ascii="仿宋" w:hAnsi="仿宋" w:eastAsia="仿宋"/>
          <w:bCs w:val="0"/>
        </w:rPr>
        <w:t>七、</w:t>
      </w:r>
      <w:r>
        <w:rPr>
          <w:rFonts w:hint="eastAsia" w:ascii="仿宋" w:hAnsi="仿宋" w:eastAsia="仿宋"/>
          <w:bCs w:val="0"/>
        </w:rPr>
        <w:t>一</w:t>
      </w:r>
      <w:r>
        <w:rPr>
          <w:rStyle w:val="21"/>
          <w:rFonts w:hint="eastAsia" w:ascii="仿宋" w:hAnsi="仿宋" w:eastAsia="仿宋"/>
          <w:bCs w:val="0"/>
        </w:rPr>
        <w:t>般公共预算财政拨款支出决算明细表</w:t>
      </w:r>
      <w:bookmarkEnd w:id="129"/>
      <w:bookmarkEnd w:id="130"/>
    </w:p>
    <w:p>
      <w:pPr>
        <w:pStyle w:val="6"/>
        <w:rPr>
          <w:rFonts w:ascii="仿宋" w:hAnsi="仿宋" w:eastAsia="仿宋"/>
          <w:bCs w:val="0"/>
        </w:rPr>
      </w:pPr>
      <w:bookmarkStart w:id="131" w:name="_Toc28204"/>
      <w:bookmarkStart w:id="132" w:name="_Toc15396626"/>
      <w:r>
        <w:rPr>
          <w:rStyle w:val="21"/>
          <w:rFonts w:hint="eastAsia" w:ascii="仿宋" w:hAnsi="仿宋" w:eastAsia="仿宋"/>
          <w:bCs w:val="0"/>
        </w:rPr>
        <w:t>八、</w:t>
      </w:r>
      <w:r>
        <w:rPr>
          <w:rFonts w:hint="eastAsia" w:ascii="仿宋" w:hAnsi="仿宋" w:eastAsia="仿宋"/>
          <w:bCs w:val="0"/>
        </w:rPr>
        <w:t>一</w:t>
      </w:r>
      <w:r>
        <w:rPr>
          <w:rStyle w:val="21"/>
          <w:rFonts w:hint="eastAsia" w:ascii="仿宋" w:hAnsi="仿宋" w:eastAsia="仿宋"/>
          <w:bCs w:val="0"/>
        </w:rPr>
        <w:t>般公共预算财政拨款基本支出决算表</w:t>
      </w:r>
      <w:bookmarkEnd w:id="131"/>
      <w:bookmarkEnd w:id="132"/>
    </w:p>
    <w:p>
      <w:pPr>
        <w:pStyle w:val="6"/>
        <w:rPr>
          <w:rFonts w:ascii="仿宋" w:hAnsi="仿宋" w:eastAsia="仿宋"/>
          <w:bCs w:val="0"/>
        </w:rPr>
      </w:pPr>
      <w:bookmarkStart w:id="133" w:name="_Toc30968"/>
      <w:bookmarkStart w:id="134" w:name="_Toc15396627"/>
      <w:r>
        <w:rPr>
          <w:rStyle w:val="21"/>
          <w:rFonts w:hint="eastAsia" w:ascii="仿宋" w:hAnsi="仿宋" w:eastAsia="仿宋"/>
          <w:bCs w:val="0"/>
        </w:rPr>
        <w:t>九、</w:t>
      </w:r>
      <w:r>
        <w:rPr>
          <w:rFonts w:hint="eastAsia" w:ascii="仿宋" w:hAnsi="仿宋" w:eastAsia="仿宋"/>
          <w:bCs w:val="0"/>
        </w:rPr>
        <w:t>一</w:t>
      </w:r>
      <w:r>
        <w:rPr>
          <w:rStyle w:val="21"/>
          <w:rFonts w:hint="eastAsia" w:ascii="仿宋" w:hAnsi="仿宋" w:eastAsia="仿宋"/>
          <w:bCs w:val="0"/>
        </w:rPr>
        <w:t>般公共预算财政拨款项目支出决算表</w:t>
      </w:r>
      <w:bookmarkEnd w:id="133"/>
      <w:bookmarkEnd w:id="134"/>
    </w:p>
    <w:p>
      <w:pPr>
        <w:pStyle w:val="6"/>
        <w:rPr>
          <w:rFonts w:ascii="仿宋" w:hAnsi="仿宋" w:eastAsia="仿宋"/>
          <w:bCs w:val="0"/>
        </w:rPr>
      </w:pPr>
      <w:bookmarkStart w:id="135" w:name="_Toc15396628"/>
      <w:bookmarkStart w:id="136" w:name="_Toc16198"/>
      <w:r>
        <w:rPr>
          <w:rStyle w:val="21"/>
          <w:rFonts w:hint="eastAsia" w:ascii="仿宋" w:hAnsi="仿宋" w:eastAsia="仿宋"/>
          <w:bCs w:val="0"/>
        </w:rPr>
        <w:t>十、</w:t>
      </w:r>
      <w:bookmarkEnd w:id="135"/>
      <w:r>
        <w:rPr>
          <w:rFonts w:hint="eastAsia" w:ascii="仿宋" w:hAnsi="仿宋" w:eastAsia="仿宋"/>
          <w:bCs w:val="0"/>
        </w:rPr>
        <w:t>政</w:t>
      </w:r>
      <w:r>
        <w:rPr>
          <w:rStyle w:val="21"/>
          <w:rFonts w:hint="eastAsia" w:ascii="仿宋" w:hAnsi="仿宋" w:eastAsia="仿宋"/>
          <w:bCs w:val="0"/>
        </w:rPr>
        <w:t>府性基金预算财政拨款收入支出决算表</w:t>
      </w:r>
      <w:bookmarkEnd w:id="136"/>
    </w:p>
    <w:p>
      <w:pPr>
        <w:pStyle w:val="6"/>
        <w:rPr>
          <w:rFonts w:ascii="仿宋" w:hAnsi="仿宋" w:eastAsia="仿宋"/>
          <w:bCs w:val="0"/>
        </w:rPr>
      </w:pPr>
      <w:bookmarkStart w:id="137" w:name="_Toc15396629"/>
      <w:bookmarkStart w:id="138" w:name="_Toc19449"/>
      <w:r>
        <w:rPr>
          <w:rStyle w:val="21"/>
          <w:rFonts w:hint="eastAsia" w:ascii="仿宋" w:hAnsi="仿宋" w:eastAsia="仿宋"/>
          <w:bCs w:val="0"/>
        </w:rPr>
        <w:t>十一、</w:t>
      </w:r>
      <w:bookmarkEnd w:id="137"/>
      <w:r>
        <w:rPr>
          <w:rFonts w:hint="eastAsia" w:ascii="仿宋" w:hAnsi="仿宋" w:eastAsia="仿宋"/>
          <w:bCs w:val="0"/>
        </w:rPr>
        <w:t>国</w:t>
      </w:r>
      <w:r>
        <w:rPr>
          <w:rStyle w:val="21"/>
          <w:rFonts w:hint="eastAsia" w:ascii="仿宋" w:hAnsi="仿宋" w:eastAsia="仿宋"/>
          <w:bCs w:val="0"/>
        </w:rPr>
        <w:t>有资本经营预算财政拨款收入支出决算表</w:t>
      </w:r>
      <w:bookmarkEnd w:id="138"/>
    </w:p>
    <w:p>
      <w:pPr>
        <w:pStyle w:val="6"/>
        <w:rPr>
          <w:rFonts w:ascii="仿宋" w:hAnsi="仿宋" w:eastAsia="仿宋"/>
          <w:bCs w:val="0"/>
        </w:rPr>
      </w:pPr>
      <w:bookmarkStart w:id="139" w:name="_Toc15396630"/>
      <w:bookmarkStart w:id="140" w:name="_Toc3067"/>
      <w:r>
        <w:rPr>
          <w:rStyle w:val="21"/>
          <w:rFonts w:hint="eastAsia" w:ascii="仿宋" w:hAnsi="仿宋" w:eastAsia="仿宋"/>
          <w:bCs w:val="0"/>
        </w:rPr>
        <w:t>十二、</w:t>
      </w:r>
      <w:bookmarkEnd w:id="139"/>
      <w:r>
        <w:rPr>
          <w:rStyle w:val="21"/>
          <w:rFonts w:hint="eastAsia" w:ascii="仿宋" w:hAnsi="仿宋" w:eastAsia="仿宋"/>
          <w:bCs w:val="0"/>
        </w:rPr>
        <w:t>国有资本经营预算财政拨款支出决算表</w:t>
      </w:r>
      <w:bookmarkEnd w:id="140"/>
    </w:p>
    <w:p>
      <w:pPr>
        <w:pStyle w:val="6"/>
        <w:rPr>
          <w:rStyle w:val="21"/>
          <w:rFonts w:ascii="仿宋" w:hAnsi="仿宋" w:eastAsia="仿宋"/>
          <w:bCs w:val="0"/>
        </w:rPr>
      </w:pPr>
      <w:bookmarkStart w:id="141" w:name="_Toc15396631"/>
      <w:bookmarkStart w:id="142" w:name="_Toc19157"/>
      <w:r>
        <w:rPr>
          <w:rStyle w:val="21"/>
          <w:rFonts w:hint="eastAsia" w:ascii="仿宋" w:hAnsi="仿宋" w:eastAsia="仿宋"/>
          <w:bCs w:val="0"/>
        </w:rPr>
        <w:t>十三、</w:t>
      </w:r>
      <w:bookmarkEnd w:id="141"/>
      <w:r>
        <w:rPr>
          <w:rStyle w:val="21"/>
          <w:rFonts w:hint="eastAsia" w:ascii="仿宋" w:hAnsi="仿宋" w:eastAsia="仿宋"/>
          <w:bCs w:val="0"/>
        </w:rPr>
        <w:t>财政拨款“三公”经费支出决算表</w:t>
      </w:r>
      <w:bookmarkEnd w:id="142"/>
    </w:p>
    <w:p/>
    <w:sectPr>
      <w:footerReference r:id="rId3" w:type="default"/>
      <w:pgSz w:w="11906" w:h="16838"/>
      <w:pgMar w:top="1440" w:right="1800" w:bottom="1440" w:left="1800" w:header="0" w:footer="124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Segoe Print"/>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Text Box 1025" o:spid="_x0000_s1026" o:spt="202" type="#_x0000_t202" style="position:absolute;left:0pt;margin-top:0pt;height:18.15pt;width:49.0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lYWYwN2NmMGNjNTY5OGUxZTk3YzdkYmZjZDI0ZjMifQ=="/>
  </w:docVars>
  <w:rsids>
    <w:rsidRoot w:val="00A8603A"/>
    <w:rsid w:val="000110FA"/>
    <w:rsid w:val="000A7976"/>
    <w:rsid w:val="000C632A"/>
    <w:rsid w:val="00134D11"/>
    <w:rsid w:val="0013605B"/>
    <w:rsid w:val="001443F0"/>
    <w:rsid w:val="00171599"/>
    <w:rsid w:val="001A5CBF"/>
    <w:rsid w:val="001B106F"/>
    <w:rsid w:val="001B1D98"/>
    <w:rsid w:val="001B4DA2"/>
    <w:rsid w:val="001D019E"/>
    <w:rsid w:val="001F71DC"/>
    <w:rsid w:val="002100EF"/>
    <w:rsid w:val="00236E99"/>
    <w:rsid w:val="00253D84"/>
    <w:rsid w:val="00256388"/>
    <w:rsid w:val="00270941"/>
    <w:rsid w:val="00270E59"/>
    <w:rsid w:val="00285E82"/>
    <w:rsid w:val="00296C9F"/>
    <w:rsid w:val="002F461C"/>
    <w:rsid w:val="002F5E59"/>
    <w:rsid w:val="002F6F90"/>
    <w:rsid w:val="002F7F62"/>
    <w:rsid w:val="003C3F38"/>
    <w:rsid w:val="003D1B2B"/>
    <w:rsid w:val="003D46DA"/>
    <w:rsid w:val="00403B65"/>
    <w:rsid w:val="00420D96"/>
    <w:rsid w:val="00426766"/>
    <w:rsid w:val="00447AA1"/>
    <w:rsid w:val="00452426"/>
    <w:rsid w:val="004623EB"/>
    <w:rsid w:val="004B7BB4"/>
    <w:rsid w:val="00514671"/>
    <w:rsid w:val="005234E0"/>
    <w:rsid w:val="00525F2C"/>
    <w:rsid w:val="00556B73"/>
    <w:rsid w:val="00566AD4"/>
    <w:rsid w:val="005945CF"/>
    <w:rsid w:val="005A5DF0"/>
    <w:rsid w:val="005B050E"/>
    <w:rsid w:val="005B0945"/>
    <w:rsid w:val="005B7813"/>
    <w:rsid w:val="005D1D35"/>
    <w:rsid w:val="005E7D02"/>
    <w:rsid w:val="00657164"/>
    <w:rsid w:val="006922F9"/>
    <w:rsid w:val="00696B9E"/>
    <w:rsid w:val="006A5CC8"/>
    <w:rsid w:val="006B0255"/>
    <w:rsid w:val="006C2263"/>
    <w:rsid w:val="006D60E2"/>
    <w:rsid w:val="006E2EF2"/>
    <w:rsid w:val="007104B9"/>
    <w:rsid w:val="00713439"/>
    <w:rsid w:val="00722026"/>
    <w:rsid w:val="00797439"/>
    <w:rsid w:val="007A1B61"/>
    <w:rsid w:val="007B25E0"/>
    <w:rsid w:val="007C4096"/>
    <w:rsid w:val="007E5A45"/>
    <w:rsid w:val="00844951"/>
    <w:rsid w:val="00846591"/>
    <w:rsid w:val="0089052A"/>
    <w:rsid w:val="00891B82"/>
    <w:rsid w:val="008B114A"/>
    <w:rsid w:val="00945847"/>
    <w:rsid w:val="009673AB"/>
    <w:rsid w:val="00967D9A"/>
    <w:rsid w:val="0097204D"/>
    <w:rsid w:val="0099039A"/>
    <w:rsid w:val="009A266C"/>
    <w:rsid w:val="009A6E7B"/>
    <w:rsid w:val="009D16F3"/>
    <w:rsid w:val="009E77D0"/>
    <w:rsid w:val="009F77DE"/>
    <w:rsid w:val="00A337FA"/>
    <w:rsid w:val="00A62854"/>
    <w:rsid w:val="00A8603A"/>
    <w:rsid w:val="00AD3784"/>
    <w:rsid w:val="00AD686E"/>
    <w:rsid w:val="00AE1393"/>
    <w:rsid w:val="00B207B5"/>
    <w:rsid w:val="00B54C2F"/>
    <w:rsid w:val="00B66A05"/>
    <w:rsid w:val="00B71AB8"/>
    <w:rsid w:val="00B779F4"/>
    <w:rsid w:val="00B86530"/>
    <w:rsid w:val="00BF502B"/>
    <w:rsid w:val="00C7497E"/>
    <w:rsid w:val="00CC4C7C"/>
    <w:rsid w:val="00CC66D5"/>
    <w:rsid w:val="00CE28F1"/>
    <w:rsid w:val="00CF4C98"/>
    <w:rsid w:val="00D165F3"/>
    <w:rsid w:val="00D534C4"/>
    <w:rsid w:val="00DF1F36"/>
    <w:rsid w:val="00E001CE"/>
    <w:rsid w:val="00E034DC"/>
    <w:rsid w:val="00E07ACC"/>
    <w:rsid w:val="00E67E61"/>
    <w:rsid w:val="00E732E1"/>
    <w:rsid w:val="00EE31EA"/>
    <w:rsid w:val="00EE43C0"/>
    <w:rsid w:val="00F06D79"/>
    <w:rsid w:val="00F34B94"/>
    <w:rsid w:val="00F87412"/>
    <w:rsid w:val="00FC7554"/>
    <w:rsid w:val="00FF623E"/>
    <w:rsid w:val="01893E94"/>
    <w:rsid w:val="03261705"/>
    <w:rsid w:val="08BD2038"/>
    <w:rsid w:val="117B4D0B"/>
    <w:rsid w:val="152D46A0"/>
    <w:rsid w:val="15FB5C7A"/>
    <w:rsid w:val="18AE6BE3"/>
    <w:rsid w:val="1A58180E"/>
    <w:rsid w:val="22D27D0D"/>
    <w:rsid w:val="25137AD5"/>
    <w:rsid w:val="28D50E13"/>
    <w:rsid w:val="2A6D7B0F"/>
    <w:rsid w:val="2B4B1CB0"/>
    <w:rsid w:val="2C1728F6"/>
    <w:rsid w:val="2DD61B45"/>
    <w:rsid w:val="33962ABA"/>
    <w:rsid w:val="33F34DBC"/>
    <w:rsid w:val="39872B95"/>
    <w:rsid w:val="3A634956"/>
    <w:rsid w:val="3B9151E7"/>
    <w:rsid w:val="3E3D5617"/>
    <w:rsid w:val="409A3119"/>
    <w:rsid w:val="40CE26B4"/>
    <w:rsid w:val="43E11C02"/>
    <w:rsid w:val="476207CD"/>
    <w:rsid w:val="494F1C4C"/>
    <w:rsid w:val="4EC62B6A"/>
    <w:rsid w:val="50F53523"/>
    <w:rsid w:val="53A2219F"/>
    <w:rsid w:val="54C7042A"/>
    <w:rsid w:val="5A381F96"/>
    <w:rsid w:val="5C7D7618"/>
    <w:rsid w:val="5E9F33E7"/>
    <w:rsid w:val="5F586965"/>
    <w:rsid w:val="5F993599"/>
    <w:rsid w:val="60520277"/>
    <w:rsid w:val="624819F5"/>
    <w:rsid w:val="636208CA"/>
    <w:rsid w:val="6D393F8D"/>
    <w:rsid w:val="6E3D339B"/>
    <w:rsid w:val="73C33B42"/>
    <w:rsid w:val="764B7A4E"/>
    <w:rsid w:val="78E2769D"/>
    <w:rsid w:val="7BAC6BAE"/>
    <w:rsid w:val="7BB25CD6"/>
    <w:rsid w:val="AFEF86A5"/>
    <w:rsid w:val="F7DF8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5">
    <w:name w:val="heading 1"/>
    <w:basedOn w:val="1"/>
    <w:next w:val="1"/>
    <w:link w:val="20"/>
    <w:qFormat/>
    <w:uiPriority w:val="9"/>
    <w:pPr>
      <w:keepNext/>
      <w:keepLines/>
      <w:spacing w:line="560" w:lineRule="exact"/>
      <w:jc w:val="center"/>
      <w:outlineLvl w:val="0"/>
    </w:pPr>
    <w:rPr>
      <w:rFonts w:eastAsia="方正小标宋简体"/>
      <w:bCs/>
      <w:kern w:val="44"/>
      <w:sz w:val="44"/>
      <w:szCs w:val="44"/>
    </w:rPr>
  </w:style>
  <w:style w:type="paragraph" w:styleId="6">
    <w:name w:val="heading 2"/>
    <w:basedOn w:val="1"/>
    <w:next w:val="1"/>
    <w:link w:val="21"/>
    <w:qFormat/>
    <w:uiPriority w:val="9"/>
    <w:pPr>
      <w:keepNext/>
      <w:keepLines/>
      <w:spacing w:line="600" w:lineRule="exact"/>
      <w:outlineLvl w:val="1"/>
    </w:pPr>
    <w:rPr>
      <w:rFonts w:ascii="Cambria" w:hAnsi="Cambria" w:eastAsia="黑体"/>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caption"/>
    <w:basedOn w:val="1"/>
    <w:next w:val="1"/>
    <w:qFormat/>
    <w:uiPriority w:val="0"/>
    <w:pPr>
      <w:suppressLineNumbers/>
      <w:spacing w:before="120" w:after="120"/>
    </w:pPr>
    <w:rPr>
      <w:i/>
      <w:iCs/>
      <w:sz w:val="24"/>
    </w:rPr>
  </w:style>
  <w:style w:type="paragraph" w:styleId="8">
    <w:name w:val="Body Text"/>
    <w:basedOn w:val="1"/>
    <w:qFormat/>
    <w:uiPriority w:val="0"/>
    <w:pPr>
      <w:spacing w:after="140" w:line="276" w:lineRule="auto"/>
    </w:pPr>
  </w:style>
  <w:style w:type="paragraph" w:styleId="9">
    <w:name w:val="toc 3"/>
    <w:basedOn w:val="1"/>
    <w:next w:val="1"/>
    <w:qFormat/>
    <w:uiPriority w:val="0"/>
    <w:pPr>
      <w:ind w:left="840" w:leftChars="400"/>
    </w:p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List"/>
    <w:basedOn w:val="8"/>
    <w:qFormat/>
    <w:uiPriority w:val="0"/>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character" w:customStyle="1" w:styleId="20">
    <w:name w:val="标题 1 Char"/>
    <w:basedOn w:val="17"/>
    <w:link w:val="5"/>
    <w:qFormat/>
    <w:uiPriority w:val="9"/>
    <w:rPr>
      <w:rFonts w:eastAsia="方正小标宋简体"/>
      <w:bCs/>
      <w:kern w:val="44"/>
      <w:sz w:val="44"/>
      <w:szCs w:val="44"/>
    </w:rPr>
  </w:style>
  <w:style w:type="character" w:customStyle="1" w:styleId="21">
    <w:name w:val="标题 2 Char"/>
    <w:basedOn w:val="17"/>
    <w:link w:val="6"/>
    <w:qFormat/>
    <w:uiPriority w:val="9"/>
    <w:rPr>
      <w:rFonts w:ascii="Cambria" w:hAnsi="Cambria" w:eastAsia="黑体" w:cs="Times New Roman"/>
      <w:bCs/>
      <w:sz w:val="32"/>
      <w:szCs w:val="32"/>
    </w:rPr>
  </w:style>
  <w:style w:type="character" w:customStyle="1" w:styleId="22">
    <w:name w:val="默认段落字体1"/>
    <w:qFormat/>
    <w:uiPriority w:val="0"/>
  </w:style>
  <w:style w:type="paragraph" w:customStyle="1" w:styleId="23">
    <w:name w:val="Heading"/>
    <w:basedOn w:val="1"/>
    <w:next w:val="8"/>
    <w:qFormat/>
    <w:uiPriority w:val="0"/>
    <w:pPr>
      <w:keepNext/>
      <w:spacing w:before="240" w:after="120"/>
    </w:pPr>
    <w:rPr>
      <w:rFonts w:ascii="Liberation Sans" w:hAnsi="Liberation Sans" w:eastAsia="Noto Sans CJK SC Regular" w:cs="Noto Sans CJK SC Regular"/>
      <w:sz w:val="28"/>
      <w:szCs w:val="28"/>
    </w:rPr>
  </w:style>
  <w:style w:type="paragraph" w:customStyle="1" w:styleId="24">
    <w:name w:val="四号正文"/>
    <w:basedOn w:val="1"/>
    <w:qFormat/>
    <w:uiPriority w:val="0"/>
    <w:pPr>
      <w:spacing w:line="360" w:lineRule="auto"/>
    </w:pPr>
    <w:rPr>
      <w:rFonts w:ascii="??" w:hAnsi="??"/>
      <w:color w:val="000000"/>
      <w:kern w:val="0"/>
      <w:sz w:val="28"/>
      <w:szCs w:val="21"/>
      <w:lang w:val="zh-CN"/>
    </w:rPr>
  </w:style>
  <w:style w:type="paragraph" w:styleId="25">
    <w:name w:val="List Paragraph"/>
    <w:basedOn w:val="1"/>
    <w:qFormat/>
    <w:uiPriority w:val="34"/>
    <w:pPr>
      <w:ind w:firstLine="420" w:firstLineChars="200"/>
    </w:pPr>
  </w:style>
  <w:style w:type="paragraph" w:customStyle="1" w:styleId="26">
    <w:name w:val="Index"/>
    <w:basedOn w:val="1"/>
    <w:qFormat/>
    <w:uiPriority w:val="0"/>
    <w:pPr>
      <w:suppressLineNumbers/>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8">
    <w:name w:val="批注框文本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Sheet1!$B$3:$B$4</c:f>
              <c:numCache>
                <c:formatCode>General</c:formatCode>
                <c:ptCount val="2"/>
                <c:pt idx="0">
                  <c:v>700.24</c:v>
                </c:pt>
                <c:pt idx="1">
                  <c:v>700.24</c:v>
                </c:pt>
              </c:numCache>
            </c:numRef>
          </c:val>
        </c:ser>
        <c:ser>
          <c:idx val="1"/>
          <c:order val="1"/>
          <c:tx>
            <c:strRef>
              <c:f>Sheet1!$C$2</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Sheet1!$C$3:$C$4</c:f>
              <c:numCache>
                <c:formatCode>0.00_ </c:formatCode>
                <c:ptCount val="2"/>
                <c:pt idx="0">
                  <c:v>701.4</c:v>
                </c:pt>
                <c:pt idx="1">
                  <c:v>701.4</c:v>
                </c:pt>
              </c:numCache>
            </c:numRef>
          </c:val>
        </c:ser>
        <c:dLbls>
          <c:showLegendKey val="0"/>
          <c:showVal val="1"/>
          <c:showCatName val="0"/>
          <c:showSerName val="0"/>
          <c:showPercent val="0"/>
          <c:showBubbleSize val="0"/>
        </c:dLbls>
        <c:gapWidth val="335"/>
        <c:overlap val="-30"/>
        <c:axId val="224425088"/>
        <c:axId val="224426624"/>
      </c:barChart>
      <c:catAx>
        <c:axId val="2244250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224426624"/>
        <c:crosses val="autoZero"/>
        <c:auto val="1"/>
        <c:lblAlgn val="ctr"/>
        <c:lblOffset val="100"/>
        <c:noMultiLvlLbl val="0"/>
      </c:catAx>
      <c:valAx>
        <c:axId val="22442662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endParaRPr lang="zh-CN" altLang="en-US"/>
              </a:p>
            </c:rich>
          </c:tx>
          <c:layout>
            <c:manualLayout>
              <c:xMode val="edge"/>
              <c:yMode val="edge"/>
              <c:x val="0.0240673886883273"/>
              <c:y val="0.27490082315561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22442508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dTable>
    </c:plotArea>
    <c:plotVisOnly val="1"/>
    <c:dispBlanksAs val="gap"/>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spPr>
            <a:effectLst>
              <a:glow rad="127000">
                <a:srgbClr val="DDD9C3">
                  <a:lumMod val="90000"/>
                </a:srgbClr>
              </a:glow>
              <a:innerShdw blurRad="63500" dist="50800" dir="10800000">
                <a:prstClr val="black">
                  <a:alpha val="46000"/>
                </a:prstClr>
              </a:innerShdw>
            </a:effectLst>
          </c:spPr>
          <c:explosion val="0"/>
          <c:dPt>
            <c:idx val="0"/>
            <c:bubble3D val="0"/>
            <c:spPr>
              <a:effectLst>
                <a:glow rad="127000">
                  <a:srgbClr val="DDD9C3">
                    <a:lumMod val="90000"/>
                  </a:srgbClr>
                </a:glow>
                <a:innerShdw blurRad="63500" dist="50800" dir="10800000">
                  <a:prstClr val="black">
                    <a:alpha val="46000"/>
                  </a:prstClr>
                </a:innerShdw>
              </a:effectLst>
            </c:spPr>
          </c:dPt>
          <c:dPt>
            <c:idx val="1"/>
            <c:bubble3D val="0"/>
            <c:spPr>
              <a:solidFill>
                <a:schemeClr val="accent4">
                  <a:lumMod val="60000"/>
                  <a:lumOff val="40000"/>
                </a:schemeClr>
              </a:solidFill>
              <a:effectLst>
                <a:glow rad="127000">
                  <a:srgbClr val="DDD9C3">
                    <a:lumMod val="90000"/>
                  </a:srgbClr>
                </a:glow>
                <a:innerShdw blurRad="63500" dist="50800" dir="10800000">
                  <a:prstClr val="black">
                    <a:alpha val="46000"/>
                  </a:prstClr>
                </a:innerShdw>
              </a:effectLst>
            </c:spPr>
          </c:dPt>
          <c:dPt>
            <c:idx val="2"/>
            <c:bubble3D val="0"/>
            <c:spPr>
              <a:solidFill>
                <a:schemeClr val="accent3">
                  <a:lumMod val="60000"/>
                  <a:lumOff val="40000"/>
                </a:schemeClr>
              </a:solidFill>
              <a:effectLst>
                <a:glow rad="127000">
                  <a:srgbClr val="DDD9C3">
                    <a:lumMod val="90000"/>
                  </a:srgbClr>
                </a:glow>
                <a:innerShdw blurRad="63500" dist="50800" dir="10800000">
                  <a:prstClr val="black">
                    <a:alpha val="46000"/>
                  </a:prstClr>
                </a:innerShdw>
              </a:effectLst>
            </c:spPr>
          </c:dPt>
          <c:dPt>
            <c:idx val="3"/>
            <c:bubble3D val="0"/>
            <c:spPr>
              <a:solidFill>
                <a:schemeClr val="accent6">
                  <a:lumMod val="75000"/>
                </a:schemeClr>
              </a:solidFill>
              <a:effectLst>
                <a:glow rad="127000">
                  <a:srgbClr val="DDD9C3">
                    <a:lumMod val="90000"/>
                  </a:srgbClr>
                </a:glow>
                <a:innerShdw blurRad="63500" dist="50800" dir="10800000">
                  <a:prstClr val="black">
                    <a:alpha val="46000"/>
                  </a:prstClr>
                </a:innerShdw>
              </a:effectLst>
            </c:spPr>
          </c:dPt>
          <c:dPt>
            <c:idx val="4"/>
            <c:bubble3D val="0"/>
            <c:spPr>
              <a:solidFill>
                <a:schemeClr val="accent5"/>
              </a:solidFill>
              <a:effectLst>
                <a:glow rad="127000">
                  <a:srgbClr val="DDD9C3">
                    <a:lumMod val="90000"/>
                  </a:srgbClr>
                </a:glow>
                <a:innerShdw blurRad="63500" dist="50800" dir="10800000">
                  <a:prstClr val="black">
                    <a:alpha val="46000"/>
                  </a:prstClr>
                </a:innerShdw>
              </a:effectLst>
            </c:spPr>
          </c:dPt>
          <c:dPt>
            <c:idx val="5"/>
            <c:bubble3D val="0"/>
            <c:spPr>
              <a:solidFill>
                <a:schemeClr val="accent2">
                  <a:lumMod val="40000"/>
                  <a:lumOff val="60000"/>
                </a:schemeClr>
              </a:solidFill>
              <a:effectLst>
                <a:glow rad="127000">
                  <a:srgbClr val="DDD9C3">
                    <a:lumMod val="90000"/>
                  </a:srgbClr>
                </a:glow>
                <a:innerShdw blurRad="63500" dist="50800" dir="10800000">
                  <a:prstClr val="black">
                    <a:alpha val="46000"/>
                  </a:prstClr>
                </a:innerShdw>
              </a:effectLst>
            </c:spPr>
          </c:dPt>
          <c:dPt>
            <c:idx val="6"/>
            <c:bubble3D val="0"/>
            <c:spPr>
              <a:solidFill>
                <a:schemeClr val="accent4">
                  <a:lumMod val="40000"/>
                  <a:lumOff val="60000"/>
                </a:schemeClr>
              </a:solidFill>
              <a:effectLst>
                <a:glow rad="127000">
                  <a:srgbClr val="DDD9C3">
                    <a:lumMod val="90000"/>
                  </a:srgbClr>
                </a:glow>
                <a:innerShdw blurRad="63500" dist="50800" dir="10800000">
                  <a:prstClr val="black">
                    <a:alpha val="46000"/>
                  </a:prstClr>
                </a:innerShdw>
              </a:effectLst>
            </c:spPr>
          </c:dPt>
          <c:dPt>
            <c:idx val="7"/>
            <c:bubble3D val="0"/>
            <c:spPr>
              <a:solidFill>
                <a:schemeClr val="accent6">
                  <a:lumMod val="60000"/>
                  <a:lumOff val="40000"/>
                </a:schemeClr>
              </a:solidFill>
              <a:effectLst>
                <a:glow rad="127000">
                  <a:srgbClr val="DDD9C3">
                    <a:lumMod val="90000"/>
                  </a:srgbClr>
                </a:glow>
                <a:innerShdw blurRad="63500" dist="50800" dir="10800000">
                  <a:prstClr val="black">
                    <a:alpha val="46000"/>
                  </a:prstClr>
                </a:innerShdw>
              </a:effectLst>
            </c:spPr>
          </c:dPt>
          <c:dLbls>
            <c:dLbl>
              <c:idx val="0"/>
              <c:layout/>
              <c:numFmt formatCode="General" sourceLinked="1"/>
              <c:spPr>
                <a:solidFill>
                  <a:schemeClr val="bg1">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1"/>
              <c:showPercent val="1"/>
              <c:showBubbleSize val="0"/>
              <c:extLst>
                <c:ext xmlns:c15="http://schemas.microsoft.com/office/drawing/2012/chart" uri="{CE6537A1-D6FC-4f65-9D91-7224C49458BB}"/>
              </c:extLst>
            </c:dLbl>
            <c:dLbl>
              <c:idx val="1"/>
              <c:layout>
                <c:manualLayout>
                  <c:x val="-0.0755353633893108"/>
                  <c:y val="0.171237970253718"/>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政府性基金预算财政拨款收入</a:t>
                    </a:r>
                    <a:r>
                      <a:rPr lang="en-US" altLang="zh-CN"/>
                      <a:t>0, 0, 0%</a:t>
                    </a:r>
                    <a:endParaRPr lang="zh-CN" altLang="en-US"/>
                  </a:p>
                </c:rich>
              </c:tx>
              <c:numFmt formatCode="General" sourceLinked="1"/>
              <c:spPr>
                <a:solidFill>
                  <a:schemeClr val="accent4">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45152254198314"/>
                  <c:y val="0.296968964405765"/>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国有资本经营预算财政拨款收入</a:t>
                    </a:r>
                    <a:r>
                      <a:rPr lang="en-US" altLang="zh-CN"/>
                      <a:t>0, 0, 0%</a:t>
                    </a:r>
                    <a:endParaRPr lang="zh-CN" altLang="en-US"/>
                  </a:p>
                </c:rich>
              </c:tx>
              <c:numFmt formatCode="General" sourceLinked="1"/>
              <c:spPr>
                <a:solidFill>
                  <a:schemeClr val="accent3">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46921794067777"/>
                  <c:y val="0.39053621586775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上级补助收入</a:t>
                    </a:r>
                    <a:r>
                      <a:rPr lang="en-US" altLang="zh-CN"/>
                      <a:t>0, 0, 0%</a:t>
                    </a:r>
                    <a:endParaRPr lang="zh-CN" altLang="en-US"/>
                  </a:p>
                </c:rich>
              </c:tx>
              <c:numFmt formatCode="General" sourceLinked="1"/>
              <c:spPr>
                <a:solidFill>
                  <a:schemeClr val="accent6">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30364341625438"/>
                  <c:y val="0.177217387300272"/>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事业收入</a:t>
                    </a:r>
                    <a:r>
                      <a:rPr lang="en-US" altLang="zh-CN"/>
                      <a:t>0, 0, 0%</a:t>
                    </a:r>
                    <a:endParaRPr lang="zh-CN" altLang="en-US"/>
                  </a:p>
                </c:rich>
              </c:tx>
              <c:numFmt formatCode="General" sourceLinked="1"/>
              <c:spPr>
                <a:solidFill>
                  <a:schemeClr val="accent5">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33904164634288"/>
                  <c:y val="0.265667679697932"/>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经营收入</a:t>
                    </a:r>
                    <a:r>
                      <a:rPr lang="en-US" altLang="zh-CN"/>
                      <a:t>0, 0, 0%</a:t>
                    </a:r>
                    <a:endParaRPr lang="zh-CN" altLang="en-US"/>
                  </a:p>
                </c:rich>
              </c:tx>
              <c:numFmt formatCode="General" sourceLinked="1"/>
              <c:spPr>
                <a:solidFill>
                  <a:schemeClr val="accent2">
                    <a:lumMod val="20000"/>
                    <a:lumOff val="8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120629735442362"/>
                  <c:y val="0.41405949256343"/>
                </c:manualLayout>
              </c:layout>
              <c:numFmt formatCode="General" sourceLinked="1"/>
              <c:spPr>
                <a:solidFill>
                  <a:schemeClr val="accent4">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138033958144612"/>
                  <c:y val="0.31098931712483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zh-CN" altLang="en-US"/>
                      <a:t>其他收入</a:t>
                    </a:r>
                    <a:r>
                      <a:rPr lang="en-US" altLang="zh-CN"/>
                      <a:t>0, 0, 0%</a:t>
                    </a:r>
                    <a:endParaRPr lang="zh-CN" altLang="en-US"/>
                  </a:p>
                </c:rich>
              </c:tx>
              <c:numFmt formatCode="General" sourceLinked="1"/>
              <c:spPr>
                <a:solidFill>
                  <a:schemeClr val="accent6">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solidFill>
                <a:schemeClr val="accent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0.00_ </c:formatCode>
                <c:ptCount val="8"/>
                <c:pt idx="0">
                  <c:v>701.4</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1"/>
          <c:showBubbleSize val="0"/>
          <c:showLeaderLines val="1"/>
        </c:dLbls>
        <c:firstSliceAng val="0"/>
      </c:pieChart>
      <c:spPr>
        <a:noFill/>
      </c:spPr>
    </c:plotArea>
    <c:legend>
      <c:legendPos val="r"/>
      <c:layout>
        <c:manualLayout>
          <c:xMode val="edge"/>
          <c:yMode val="edge"/>
          <c:x val="0.655493833182357"/>
          <c:y val="0.185779803840309"/>
          <c:w val="0.323267228764546"/>
          <c:h val="0.705633374775521"/>
        </c:manualLayout>
      </c:layout>
      <c:overlay val="0"/>
      <c:spPr>
        <a:solidFill>
          <a:schemeClr val="accent4">
            <a:lumMod val="40000"/>
            <a:lumOff val="60000"/>
          </a:schemeClr>
        </a:solidFill>
      </c:spPr>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支出决算情况</a:t>
            </a:r>
            <a:endParaRPr lang="zh-CN" altLang="en-US"/>
          </a:p>
        </c:rich>
      </c:tx>
      <c:layout/>
      <c:overlay val="0"/>
    </c:title>
    <c:autoTitleDeleted val="0"/>
    <c:plotArea>
      <c:layout/>
      <c:pieChart>
        <c:varyColors val="1"/>
        <c:ser>
          <c:idx val="0"/>
          <c:order val="0"/>
          <c:tx>
            <c:strRef>
              <c:f>Sheet1!$B$1</c:f>
              <c:strCache>
                <c:ptCount val="1"/>
                <c:pt idx="0">
                  <c:v>支出决算情况</c:v>
                </c:pt>
              </c:strCache>
            </c:strRef>
          </c:tx>
          <c:spPr>
            <a:solidFill>
              <a:srgbClr val="9BBB59">
                <a:lumMod val="75000"/>
              </a:srgbClr>
            </a:solidFill>
            <a:effectLst>
              <a:glow rad="127000">
                <a:srgbClr val="EEECE1">
                  <a:lumMod val="90000"/>
                </a:srgbClr>
              </a:glow>
              <a:innerShdw blurRad="63500" dist="50800" dir="10800000">
                <a:srgbClr val="C0504D">
                  <a:lumMod val="60000"/>
                  <a:lumOff val="40000"/>
                  <a:alpha val="46000"/>
                </a:srgbClr>
              </a:innerShdw>
            </a:effectLst>
          </c:spPr>
          <c:explosion val="0"/>
          <c:dPt>
            <c:idx val="0"/>
            <c:bubble3D val="0"/>
            <c:spPr>
              <a:solidFill>
                <a:srgbClr val="1F497D">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1"/>
            <c:bubble3D val="0"/>
            <c:spPr>
              <a:solidFill>
                <a:srgbClr val="F79646">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2"/>
            <c:bubble3D val="0"/>
            <c:spPr>
              <a:solidFill>
                <a:srgbClr val="1F497D">
                  <a:lumMod val="40000"/>
                  <a:lumOff val="60000"/>
                </a:srgbClr>
              </a:solidFill>
              <a:effectLst>
                <a:glow rad="127000">
                  <a:srgbClr val="EEECE1">
                    <a:lumMod val="90000"/>
                  </a:srgbClr>
                </a:glow>
                <a:innerShdw blurRad="63500" dist="50800" dir="10800000">
                  <a:srgbClr val="C0504D">
                    <a:lumMod val="60000"/>
                    <a:lumOff val="40000"/>
                    <a:alpha val="46000"/>
                  </a:srgbClr>
                </a:innerShdw>
              </a:effectLst>
            </c:spPr>
          </c:dPt>
          <c:dPt>
            <c:idx val="3"/>
            <c:bubble3D val="0"/>
            <c:spPr>
              <a:solidFill>
                <a:srgbClr val="F79646">
                  <a:lumMod val="60000"/>
                  <a:lumOff val="40000"/>
                </a:srgbClr>
              </a:solidFill>
              <a:effectLst>
                <a:glow rad="127000">
                  <a:srgbClr val="EEECE1">
                    <a:lumMod val="90000"/>
                  </a:srgbClr>
                </a:glow>
                <a:innerShdw blurRad="63500" dist="50800" dir="10800000">
                  <a:srgbClr val="C0504D">
                    <a:lumMod val="60000"/>
                    <a:lumOff val="40000"/>
                    <a:alpha val="46000"/>
                  </a:srgbClr>
                </a:innerShdw>
              </a:effectLst>
            </c:spPr>
          </c:dPt>
          <c:dPt>
            <c:idx val="4"/>
            <c:bubble3D val="0"/>
            <c:spPr>
              <a:solidFill>
                <a:srgbClr val="F79646">
                  <a:lumMod val="75000"/>
                </a:srgbClr>
              </a:solidFill>
              <a:effectLst>
                <a:glow rad="127000">
                  <a:srgbClr val="EEECE1">
                    <a:lumMod val="90000"/>
                  </a:srgbClr>
                </a:glow>
                <a:innerShdw blurRad="63500" dist="50800" dir="10800000">
                  <a:srgbClr val="C0504D">
                    <a:lumMod val="60000"/>
                    <a:lumOff val="40000"/>
                    <a:alpha val="46000"/>
                  </a:srgbClr>
                </a:innerShdw>
              </a:effectLst>
            </c:spPr>
          </c:dPt>
          <c:dLbls>
            <c:dLbl>
              <c:idx val="0"/>
              <c:layout>
                <c:manualLayout>
                  <c:x val="-0.00086240574696949"/>
                  <c:y val="-0.19890967930084"/>
                </c:manualLayout>
              </c:layout>
              <c:numFmt formatCode="General" sourceLinked="1"/>
              <c:spPr>
                <a:solidFill>
                  <a:srgbClr val="1F497D">
                    <a:lumMod val="40000"/>
                    <a:lumOff val="6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28483849266134"/>
                  <c:y val="0.19211799867298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0, 0, 0%</a:t>
                    </a:r>
                    <a:endParaRPr lang="zh-CN" altLang="en-US"/>
                  </a:p>
                </c:rich>
              </c:tx>
              <c:numFmt formatCode="General" sourceLinked="1"/>
              <c:spPr>
                <a:solidFill>
                  <a:srgbClr val="F79646">
                    <a:lumMod val="60000"/>
                    <a:lumOff val="4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65316997830145"/>
                  <c:y val="0.3357459176663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对附属单位补助支出</a:t>
                    </a:r>
                    <a:r>
                      <a:rPr lang="en-US" altLang="zh-CN"/>
                      <a:t>0, 0, 0%</a:t>
                    </a:r>
                    <a:endParaRPr lang="zh-CN" altLang="en-US"/>
                  </a:p>
                </c:rich>
              </c:tx>
              <c:numFmt formatCode="General" sourceLinked="1"/>
              <c:spPr>
                <a:solidFill>
                  <a:srgbClr val="C0504D">
                    <a:lumMod val="60000"/>
                    <a:lumOff val="4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46921743085363"/>
                  <c:y val="0.3786047549425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上缴上级支出</a:t>
                    </a:r>
                    <a:r>
                      <a:rPr lang="en-US" altLang="zh-CN"/>
                      <a:t>0, 0, 0%</a:t>
                    </a:r>
                    <a:endParaRPr lang="zh-CN" altLang="en-US"/>
                  </a:p>
                </c:rich>
              </c:tx>
              <c:numFmt formatCode="General" sourceLinked="1"/>
              <c:spPr>
                <a:solidFill>
                  <a:srgbClr val="1F497D">
                    <a:lumMod val="40000"/>
                    <a:lumOff val="6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30364341625438"/>
                  <c:y val="0.1772173873002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经营支出</a:t>
                    </a:r>
                    <a:r>
                      <a:rPr lang="en-US" altLang="zh-CN"/>
                      <a:t>0, 0, 0%</a:t>
                    </a:r>
                    <a:endParaRPr lang="zh-CN" altLang="en-US"/>
                  </a:p>
                </c:rich>
              </c:tx>
              <c:numFmt formatCode="General" sourceLinked="1"/>
              <c:spPr>
                <a:solidFill>
                  <a:srgbClr val="9BBB59">
                    <a:lumMod val="60000"/>
                    <a:lumOff val="4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solidFill>
                <a:schemeClr val="tx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0.00_ </c:formatCode>
                <c:ptCount val="5"/>
                <c:pt idx="0">
                  <c:v>701.4</c:v>
                </c:pt>
                <c:pt idx="1" c:formatCode="General">
                  <c:v>0</c:v>
                </c:pt>
                <c:pt idx="2" c:formatCode="General">
                  <c:v>0</c:v>
                </c:pt>
                <c:pt idx="3" c:formatCode="General">
                  <c:v>0</c:v>
                </c:pt>
                <c:pt idx="4" c:formatCode="General">
                  <c:v>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4213024815941"/>
          <c:y val="0.188514015935984"/>
          <c:w val="0.344292049576153"/>
          <c:h val="0.719840758160263"/>
        </c:manualLayout>
      </c:layout>
      <c:overlay val="0"/>
      <c:txPr>
        <a:bodyPr rot="0" spcFirstLastPara="0" vertOverflow="ellipsis" vert="horz" wrap="square" anchor="ctr" anchorCtr="1"/>
        <a:lstStyle/>
        <a:p>
          <a:pPr>
            <a:defRPr lang="zh-CN" sz="1000" b="0" i="0" u="none" strike="noStrike" kern="600" baseline="0">
              <a:solidFill>
                <a:schemeClr val="tx1"/>
              </a:solidFill>
              <a:latin typeface="+mn-lt"/>
              <a:ea typeface="+mn-ea"/>
              <a:cs typeface="+mn-cs"/>
            </a:defRPr>
          </a:pPr>
        </a:p>
      </c:txPr>
    </c:legend>
    <c:plotVisOnly val="1"/>
    <c:dispBlanksAs val="zero"/>
    <c:showDLblsOverMax val="0"/>
  </c:chart>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3500000" scaled="1"/>
      <a:tileRect/>
    </a:gradFill>
    <a:effectLst>
      <a:outerShdw blurRad="50800" dist="50800" dir="5400000" algn="ctr" rotWithShape="0">
        <a:srgbClr val="1F497D">
          <a:lumMod val="60000"/>
          <a:lumOff val="40000"/>
        </a:srgbClr>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Sheet1!$B$3:$B$4</c:f>
              <c:numCache>
                <c:formatCode>General</c:formatCode>
                <c:ptCount val="2"/>
                <c:pt idx="0">
                  <c:v>700.24</c:v>
                </c:pt>
                <c:pt idx="1">
                  <c:v>700.24</c:v>
                </c:pt>
              </c:numCache>
            </c:numRef>
          </c:val>
        </c:ser>
        <c:ser>
          <c:idx val="1"/>
          <c:order val="1"/>
          <c:tx>
            <c:strRef>
              <c:f>Sheet1!$C$2</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Sheet1!$A$3:$A$4</c:f>
              <c:strCache>
                <c:ptCount val="2"/>
                <c:pt idx="0">
                  <c:v>收入</c:v>
                </c:pt>
                <c:pt idx="1">
                  <c:v>支出</c:v>
                </c:pt>
              </c:strCache>
            </c:strRef>
          </c:cat>
          <c:val>
            <c:numRef>
              <c:f>Sheet1!$C$3:$C$4</c:f>
              <c:numCache>
                <c:formatCode>0.00_ </c:formatCode>
                <c:ptCount val="2"/>
                <c:pt idx="0">
                  <c:v>701.4</c:v>
                </c:pt>
                <c:pt idx="1">
                  <c:v>701.4</c:v>
                </c:pt>
              </c:numCache>
            </c:numRef>
          </c:val>
        </c:ser>
        <c:dLbls>
          <c:showLegendKey val="0"/>
          <c:showVal val="1"/>
          <c:showCatName val="0"/>
          <c:showSerName val="0"/>
          <c:showPercent val="0"/>
          <c:showBubbleSize val="0"/>
        </c:dLbls>
        <c:gapWidth val="335"/>
        <c:overlap val="-30"/>
        <c:axId val="225329152"/>
        <c:axId val="225330688"/>
      </c:barChart>
      <c:catAx>
        <c:axId val="2253291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225330688"/>
        <c:crosses val="autoZero"/>
        <c:auto val="1"/>
        <c:lblAlgn val="ctr"/>
        <c:lblOffset val="100"/>
        <c:noMultiLvlLbl val="0"/>
      </c:catAx>
      <c:valAx>
        <c:axId val="225330688"/>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rgbClr val="000000"/>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endParaRPr lang="zh-CN" altLang="en-US"/>
              </a:p>
            </c:rich>
          </c:tx>
          <c:layout>
            <c:manualLayout>
              <c:xMode val="edge"/>
              <c:yMode val="edge"/>
              <c:x val="0.0240673886883273"/>
              <c:y val="0.27490082315561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22532915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dTable>
    </c:plotArea>
    <c:plotVisOnly val="1"/>
    <c:dispBlanksAs val="gap"/>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Sheet1!$B$2</c:f>
              <c:numCache>
                <c:formatCode>General</c:formatCode>
                <c:ptCount val="1"/>
                <c:pt idx="0">
                  <c:v>700.24</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Sheet1!$C$2</c:f>
              <c:numCache>
                <c:formatCode>0.00_ </c:formatCode>
                <c:ptCount val="1"/>
                <c:pt idx="0">
                  <c:v>701.4</c:v>
                </c:pt>
              </c:numCache>
            </c:numRef>
          </c:val>
        </c:ser>
        <c:dLbls>
          <c:showLegendKey val="0"/>
          <c:showVal val="1"/>
          <c:showCatName val="0"/>
          <c:showSerName val="0"/>
          <c:showPercent val="0"/>
          <c:showBubbleSize val="0"/>
        </c:dLbls>
        <c:gapWidth val="335"/>
        <c:overlap val="-30"/>
        <c:axId val="225427456"/>
        <c:axId val="225428992"/>
      </c:barChart>
      <c:catAx>
        <c:axId val="2254274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428992"/>
        <c:crosses val="autoZero"/>
        <c:auto val="1"/>
        <c:lblAlgn val="ctr"/>
        <c:lblOffset val="100"/>
        <c:noMultiLvlLbl val="0"/>
      </c:catAx>
      <c:valAx>
        <c:axId val="22542899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100" b="0">
                    <a:latin typeface="仿宋_GB2312" panose="02010609030101010101" pitchFamily="3" charset="-122"/>
                    <a:ea typeface="仿宋_GB2312" panose="02010609030101010101" pitchFamily="3" charset="-122"/>
                  </a:rPr>
                  <a:t>总量（万元</a:t>
                </a:r>
                <a:r>
                  <a:rPr lang="zh-CN" altLang="en-US"/>
                  <a:t>）</a:t>
                </a:r>
                <a:endParaRPr lang="zh-CN" altLang="en-US"/>
              </a:p>
            </c:rich>
          </c:tx>
          <c:layout>
            <c:manualLayout>
              <c:xMode val="edge"/>
              <c:yMode val="edge"/>
              <c:x val="0.0240673886883273"/>
              <c:y val="0.27490082315561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42745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一般公共预算财政拨款支出决算结构表</c:v>
                </c:pt>
              </c:strCache>
            </c:strRef>
          </c:tx>
          <c:explosion val="1"/>
          <c:dPt>
            <c:idx val="0"/>
            <c:bubble3D val="0"/>
          </c:dPt>
          <c:dPt>
            <c:idx val="1"/>
            <c:bubble3D val="0"/>
          </c:dPt>
          <c:dPt>
            <c:idx val="2"/>
            <c:bubble3D val="0"/>
          </c:dPt>
          <c:dPt>
            <c:idx val="3"/>
            <c:bubble3D val="0"/>
          </c:dPt>
          <c:dPt>
            <c:idx val="4"/>
            <c:bubble3D val="0"/>
          </c:dPt>
          <c:dPt>
            <c:idx val="5"/>
            <c:bubble3D val="0"/>
          </c:dPt>
          <c:dPt>
            <c:idx val="6"/>
            <c:bubble3D val="0"/>
          </c:dPt>
          <c:dPt>
            <c:idx val="7"/>
            <c:bubble3D val="0"/>
            <c:spPr>
              <a:solidFill>
                <a:schemeClr val="accent2">
                  <a:lumMod val="20000"/>
                  <a:lumOff val="80000"/>
                </a:schemeClr>
              </a:solidFill>
            </c:spPr>
          </c:dPt>
          <c:dLbls>
            <c:dLbl>
              <c:idx val="0"/>
              <c:layout>
                <c:manualLayout>
                  <c:x val="0.100523228820224"/>
                  <c:y val="0.084115658382208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7150004263907"/>
                  <c:y val="-0.00430856636747567"/>
                </c:manualLayout>
              </c:layout>
              <c:numFmt formatCode="0.00%" sourceLinked="0"/>
              <c:spPr>
                <a:solidFill>
                  <a:schemeClr val="accent6">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numFmt formatCode="0.00%" sourceLinked="0"/>
              <c:spPr>
                <a:solidFill>
                  <a:schemeClr val="accent3">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1"/>
              <c:showPercent val="1"/>
              <c:showBubbleSize val="0"/>
              <c:extLst>
                <c:ext xmlns:c15="http://schemas.microsoft.com/office/drawing/2012/chart" uri="{CE6537A1-D6FC-4f65-9D91-7224C49458BB}"/>
              </c:extLst>
            </c:dLbl>
            <c:dLbl>
              <c:idx val="3"/>
              <c:layout>
                <c:manualLayout>
                  <c:x val="0.00877322645138673"/>
                  <c:y val="0.121145998725468"/>
                </c:manualLayout>
              </c:layout>
              <c:numFmt formatCode="0.00%" sourceLinked="0"/>
              <c:spPr>
                <a:solidFill>
                  <a:schemeClr val="accent4">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07721083601012"/>
                  <c:y val="-0.0323467591242453"/>
                </c:manualLayout>
              </c:layout>
              <c:numFmt formatCode="0.00%" sourceLinked="0"/>
              <c:spPr>
                <a:solidFill>
                  <a:schemeClr val="tx2">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42317860086984"/>
                  <c:y val="0.0436527224220429"/>
                </c:manualLayout>
              </c:layout>
              <c:numFmt formatCode="0.00%" sourceLinked="0"/>
              <c:spPr>
                <a:solidFill>
                  <a:schemeClr val="accent6">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149198290646882"/>
                  <c:y val="-0.0338507069332383"/>
                </c:manualLayout>
              </c:layout>
              <c:numFmt formatCode="0.00%" sourceLinked="0"/>
              <c:spPr>
                <a:solidFill>
                  <a:schemeClr val="accent1">
                    <a:lumMod val="40000"/>
                    <a:lumOff val="6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201845798156097"/>
                  <c:y val="0.0481725586770789"/>
                </c:manualLayout>
              </c:layout>
              <c:numFmt formatCode="0.00%" sourceLinked="0"/>
              <c:spPr>
                <a:solidFill>
                  <a:schemeClr val="accent6">
                    <a:lumMod val="20000"/>
                    <a:lumOff val="8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solidFill>
                <a:schemeClr val="tx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社会保障和就业</c:v>
                </c:pt>
                <c:pt idx="1">
                  <c:v>卫生健康</c:v>
                </c:pt>
                <c:pt idx="2">
                  <c:v>农林水支出</c:v>
                </c:pt>
                <c:pt idx="3">
                  <c:v>住房保障支出</c:v>
                </c:pt>
                <c:pt idx="4">
                  <c:v>一般公共服务</c:v>
                </c:pt>
                <c:pt idx="5">
                  <c:v>教育支出</c:v>
                </c:pt>
                <c:pt idx="6">
                  <c:v>科学技术支出</c:v>
                </c:pt>
                <c:pt idx="7">
                  <c:v>文化旅游体育与传媒</c:v>
                </c:pt>
              </c:strCache>
            </c:strRef>
          </c:cat>
          <c:val>
            <c:numRef>
              <c:f>Sheet1!$B$2:$B$9</c:f>
              <c:numCache>
                <c:formatCode>0.00_ </c:formatCode>
                <c:ptCount val="8"/>
                <c:pt idx="0">
                  <c:v>157.59</c:v>
                </c:pt>
                <c:pt idx="1">
                  <c:v>29.1</c:v>
                </c:pt>
                <c:pt idx="2">
                  <c:v>468.49</c:v>
                </c:pt>
                <c:pt idx="3">
                  <c:v>46.23</c:v>
                </c:pt>
                <c:pt idx="4">
                  <c:v>0</c:v>
                </c:pt>
                <c:pt idx="5">
                  <c:v>0</c:v>
                </c:pt>
                <c:pt idx="6">
                  <c:v>0</c:v>
                </c:pt>
                <c:pt idx="7">
                  <c:v>0</c:v>
                </c:pt>
              </c:numCache>
            </c:numRef>
          </c:val>
        </c:ser>
        <c:dLbls>
          <c:showLegendKey val="0"/>
          <c:showVal val="1"/>
          <c:showCatName val="1"/>
          <c:showSerName val="0"/>
          <c:showPercent val="1"/>
          <c:showBubbleSize val="0"/>
          <c:showLeaderLines val="1"/>
        </c:dLbls>
        <c:firstSliceAng val="0"/>
      </c:pieChart>
      <c:spPr>
        <a:no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zh-CN" altLang="en-US"/>
              <a:t>“三公”经费财政拨款支出决算结构表</a:t>
            </a:r>
            <a:endParaRPr lang="zh-CN" altLang="en-US"/>
          </a:p>
        </c:rich>
      </c:tx>
      <c:layout/>
      <c:overlay val="0"/>
    </c:title>
    <c:autoTitleDeleted val="0"/>
    <c:plotArea>
      <c:layout/>
      <c:pieChart>
        <c:varyColors val="1"/>
        <c:ser>
          <c:idx val="0"/>
          <c:order val="0"/>
          <c:tx>
            <c:strRef>
              <c:f>Sheet1!$B$1</c:f>
              <c:strCache>
                <c:ptCount val="1"/>
                <c:pt idx="0">
                  <c:v>“三公”经费财政拨款支出决算具体情况表</c:v>
                </c:pt>
              </c:strCache>
            </c:strRef>
          </c:tx>
          <c:explosion val="0"/>
          <c:dPt>
            <c:idx val="0"/>
            <c:bubble3D val="0"/>
          </c:dPt>
          <c:dPt>
            <c:idx val="1"/>
            <c:bubble3D val="0"/>
          </c:dPt>
          <c:dPt>
            <c:idx val="2"/>
            <c:bubble3D val="0"/>
          </c:dPt>
          <c:dLbls>
            <c:dLbl>
              <c:idx val="0"/>
              <c:layout>
                <c:manualLayout>
                  <c:x val="0.13421776249088"/>
                  <c:y val="0.21580290118056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3308261557558"/>
                  <c:y val="0.245348498104404"/>
                </c:manualLayout>
              </c:layout>
              <c:numFmt formatCode="General" sourceLinked="1"/>
              <c:spPr>
                <a:solidFill>
                  <a:schemeClr val="accent6">
                    <a:lumMod val="75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numFmt formatCode="General" sourceLinked="1"/>
              <c:spPr>
                <a:solidFill>
                  <a:schemeClr val="accent3">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1"/>
              <c:showPercent val="1"/>
              <c:showBubbleSize val="0"/>
              <c:extLst>
                <c:ext xmlns:c15="http://schemas.microsoft.com/office/drawing/2012/chart" uri="{CE6537A1-D6FC-4f65-9D91-7224C49458BB}"/>
              </c:extLst>
            </c:dLbl>
            <c:spPr>
              <a:solidFill>
                <a:srgbClr val="558ED5">
                  <a:lumMod val="60000"/>
                  <a:lumOff val="40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0.57</c:v>
                </c:pt>
              </c:numCache>
            </c:numRef>
          </c:val>
        </c:ser>
        <c:dLbls>
          <c:showLegendKey val="0"/>
          <c:showVal val="1"/>
          <c:showCatName val="1"/>
          <c:showSerName val="0"/>
          <c:showPercent val="1"/>
          <c:showBubbleSize val="0"/>
          <c:showLeaderLines val="1"/>
        </c:dLbls>
        <c:firstSliceAng val="0"/>
      </c:pieChart>
      <c:spPr>
        <a:noFill/>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spPr>
    <a:gradFill flip="none" rotWithShape="1">
      <a:gsLst>
        <a:gs pos="0">
          <a:srgbClr val="9AB5E4">
            <a:tint val="66000"/>
            <a:satMod val="160000"/>
          </a:srgbClr>
        </a:gs>
        <a:gs pos="50000">
          <a:srgbClr val="C2D1ED">
            <a:tint val="44500"/>
            <a:satMod val="160000"/>
          </a:srgbClr>
        </a:gs>
        <a:gs pos="100000">
          <a:srgbClr val="E1E8F5">
            <a:tint val="23500"/>
            <a:satMod val="160000"/>
          </a:srgbClr>
        </a:gs>
      </a:gsLst>
      <a:lin ang="16200000" scaled="1"/>
      <a:tileRect/>
    </a:gra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4974</Words>
  <Characters>5387</Characters>
  <Lines>19</Lines>
  <Paragraphs>15</Paragraphs>
  <TotalTime>7</TotalTime>
  <ScaleCrop>false</ScaleCrop>
  <LinksUpToDate>false</LinksUpToDate>
  <CharactersWithSpaces>5455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2025-08-18T13:41:00Z</dcterms:created>
  <dc:creator>user</dc:creator>
  <cp:lastModifiedBy>Administrator</cp:lastModifiedBy>
  <dcterms:modified xsi:type="dcterms:W3CDTF">2025-08-27T01:45:34Z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C0BBBE127306467DAFDFD722905E21A2_12</vt:lpwstr>
  </property>
  <property fmtid="{D5CDD505-2E9C-101B-9397-08002B2CF9AE}" pid="4" name="KSOTemplateDocerSaveRecord">
    <vt:lpwstr>eyJoZGlkIjoiODhlMmVkZDg5OTM4YjljYWZjZWZiNTZkYjE1MmI0M2YiLCJ1c2VySWQiOiIxMjQzMjEwNzgwIn0=</vt:lpwstr>
  </property>
</Properties>
</file>