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78441"/>
      <w:bookmarkStart w:id="2" w:name="_Toc15396597"/>
      <w:bookmarkStart w:id="3" w:name="_Toc15306267"/>
      <w:bookmarkStart w:id="4" w:name="_Toc15396475"/>
      <w:bookmarkStart w:id="5" w:name="_Toc15377425"/>
    </w:p>
    <w:p>
      <w:pPr>
        <w:pStyle w:val="9"/>
        <w:rPr>
          <w:rFonts w:hint="eastAsia" w:ascii="Times New Roman" w:hAnsi="Times New Roman" w:eastAsia="方正小标宋简体" w:cs="Times New Roman"/>
          <w:color w:val="auto"/>
          <w:kern w:val="2"/>
          <w:sz w:val="72"/>
          <w:szCs w:val="72"/>
          <w:highlight w:val="none"/>
          <w:lang w:val="en-US" w:eastAsia="zh-CN" w:bidi="ar-SA"/>
        </w:rPr>
      </w:pPr>
    </w:p>
    <w:p>
      <w:pPr>
        <w:pStyle w:val="9"/>
        <w:jc w:val="center"/>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w:t>
      </w: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年度</w:t>
      </w:r>
    </w:p>
    <w:p>
      <w:pPr>
        <w:pStyle w:val="9"/>
        <w:jc w:val="cente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四川省</w:t>
      </w:r>
      <w:r>
        <w:rPr>
          <w:rFonts w:hint="eastAsia" w:ascii="Times New Roman" w:hAnsi="Times New Roman" w:eastAsia="方正小标宋简体" w:cs="Times New Roman"/>
          <w:b w:val="0"/>
          <w:bCs w:val="0"/>
          <w:i w:val="0"/>
          <w:iCs w:val="0"/>
          <w:color w:val="auto"/>
          <w:kern w:val="2"/>
          <w:sz w:val="44"/>
          <w:szCs w:val="44"/>
          <w:highlight w:val="none"/>
          <w:lang w:val="en-US" w:eastAsia="zh-CN" w:bidi="ar-SA"/>
        </w:rPr>
        <w:t>遂宁市安居区西眉镇人民政府</w:t>
      </w:r>
    </w:p>
    <w:p>
      <w:pPr>
        <w:pStyle w:val="9"/>
        <w:jc w:val="center"/>
        <w:rPr>
          <w:rFonts w:hint="default" w:ascii="Times New Roman" w:hAnsi="Times New Roman" w:eastAsia="方正小标宋简体" w:cs="Times New Roman"/>
          <w:b w:val="0"/>
          <w:bCs w:val="0"/>
          <w:i w:val="0"/>
          <w:iCs w:val="0"/>
          <w:color w:val="auto"/>
          <w:kern w:val="2"/>
          <w:sz w:val="44"/>
          <w:szCs w:val="44"/>
          <w:highlight w:val="none"/>
          <w:lang w:val="en-US"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SA"/>
        </w:rPr>
        <w:t>部门决算</w:t>
      </w: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4"/>
        <w:rPr>
          <w:rFonts w:ascii="Times New Roman" w:hAnsi="Times New Roman"/>
          <w:color w:val="auto"/>
          <w:highlight w:val="none"/>
        </w:rPr>
      </w:pPr>
      <w:r>
        <w:rPr>
          <w:rFonts w:hint="eastAsia" w:ascii="Times New Roman" w:hAnsi="Times New Roman" w:eastAsia="仿宋_GB2312" w:cs="仿宋_GB2312"/>
          <w:color w:val="auto"/>
          <w:sz w:val="32"/>
          <w:szCs w:val="32"/>
          <w:highlight w:val="none"/>
        </w:rPr>
        <w:t>公开时间：</w:t>
      </w:r>
      <w:r>
        <w:rPr>
          <w:rFonts w:hint="eastAsia" w:ascii="Times New Roman" w:hAnsi="Times New Roman" w:eastAsia="仿宋_GB2312" w:cs="仿宋_GB2312"/>
          <w:color w:val="auto"/>
          <w:sz w:val="32"/>
          <w:szCs w:val="32"/>
          <w:highlight w:val="none"/>
          <w:lang w:val="en-US" w:eastAsia="zh-CN"/>
        </w:rPr>
        <w:t>2025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8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27 </w:t>
      </w:r>
      <w:r>
        <w:rPr>
          <w:rFonts w:hint="eastAsia" w:ascii="Times New Roman" w:hAnsi="Times New Roman" w:eastAsia="仿宋_GB2312" w:cs="仿宋_GB2312"/>
          <w:color w:val="auto"/>
          <w:sz w:val="32"/>
          <w:szCs w:val="32"/>
          <w:highlight w:val="none"/>
        </w:rPr>
        <w:t>日</w:t>
      </w:r>
    </w:p>
    <w:p>
      <w:pPr>
        <w:pStyle w:val="14"/>
        <w:tabs>
          <w:tab w:val="right" w:leader="middleDot" w:pos="8306"/>
          <w:tab w:val="clear" w:pos="8296"/>
        </w:tabs>
        <w:rPr>
          <w:rFonts w:ascii="Times New Roman" w:hAnsi="Times New Roman"/>
        </w:rPr>
      </w:pP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color w:val="auto"/>
          <w:sz w:val="32"/>
          <w:szCs w:val="32"/>
          <w:highlight w:val="none"/>
        </w:rPr>
        <w:instrText xml:space="preserve">TOC \o "1-2" \h \u </w:instrText>
      </w:r>
      <w:r>
        <w:rPr>
          <w:rFonts w:hint="default" w:ascii="Times New Roman" w:hAnsi="Times New Roman" w:eastAsia="黑体" w:cs="Times New Roman"/>
          <w:color w:val="auto"/>
          <w:sz w:val="32"/>
          <w:szCs w:val="32"/>
          <w:highlight w:val="none"/>
        </w:rPr>
        <w:fldChar w:fldCharType="separate"/>
      </w: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sz w:val="32"/>
          <w:szCs w:val="32"/>
          <w:highlight w:val="none"/>
        </w:rPr>
        <w:instrText xml:space="preserve"> HYPERLINK \l _Toc17381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32"/>
          <w:szCs w:val="32"/>
          <w:highlight w:val="none"/>
        </w:rPr>
        <w:t>第一部分</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bCs w:val="0"/>
          <w:sz w:val="32"/>
          <w:szCs w:val="32"/>
          <w:highlight w:val="none"/>
        </w:rPr>
        <w:t>部门概况</w:t>
      </w:r>
      <w:r>
        <w:rPr>
          <w:rFonts w:hint="default" w:ascii="Times New Roman" w:hAnsi="Times New Roman" w:eastAsia="仿宋_GB2312" w:cs="Times New Roman"/>
          <w:sz w:val="32"/>
          <w:szCs w:val="32"/>
        </w:rPr>
        <w:tab/>
      </w:r>
      <w:r>
        <w:rPr>
          <w:rFonts w:hint="default" w:ascii="Times New Roman" w:hAnsi="Times New Roman" w:eastAsia="黑体"/>
          <w:sz w:val="32"/>
          <w:szCs w:val="32"/>
        </w:rPr>
        <w:fldChar w:fldCharType="begin"/>
      </w:r>
      <w:r>
        <w:rPr>
          <w:rFonts w:hint="default" w:ascii="Times New Roman" w:hAnsi="Times New Roman" w:eastAsia="黑体"/>
          <w:sz w:val="32"/>
          <w:szCs w:val="32"/>
        </w:rPr>
        <w:instrText xml:space="preserve"> PAGEREF _Toc17381 \h </w:instrText>
      </w:r>
      <w:r>
        <w:rPr>
          <w:rFonts w:hint="default" w:ascii="Times New Roman" w:hAnsi="Times New Roman" w:eastAsia="黑体"/>
          <w:sz w:val="32"/>
          <w:szCs w:val="32"/>
        </w:rPr>
        <w:fldChar w:fldCharType="separate"/>
      </w:r>
      <w:r>
        <w:rPr>
          <w:rFonts w:hint="default" w:ascii="Times New Roman" w:hAnsi="Times New Roman" w:eastAsia="黑体"/>
          <w:sz w:val="32"/>
          <w:szCs w:val="32"/>
        </w:rPr>
        <w:t>1</w:t>
      </w:r>
      <w:r>
        <w:rPr>
          <w:rFonts w:hint="default" w:ascii="Times New Roman" w:hAnsi="Times New Roman" w:eastAsia="黑体"/>
          <w:sz w:val="32"/>
          <w:szCs w:val="32"/>
        </w:rPr>
        <w:fldChar w:fldCharType="end"/>
      </w:r>
      <w:r>
        <w:rPr>
          <w:rFonts w:hint="default" w:ascii="Times New Roman" w:hAnsi="Times New Roman" w:eastAsia="黑体" w:cs="Times New Roman"/>
          <w:color w:val="auto"/>
          <w:sz w:val="32"/>
          <w:szCs w:val="32"/>
          <w:highlight w:val="none"/>
        </w:rPr>
        <w:fldChar w:fldCharType="end"/>
      </w:r>
    </w:p>
    <w:p>
      <w:pPr>
        <w:pStyle w:val="15"/>
        <w:tabs>
          <w:tab w:val="right" w:leader="middleDot" w:pos="8306"/>
          <w:tab w:val="clear" w:pos="8296"/>
        </w:tabs>
        <w:rPr>
          <w:rFonts w:hint="default" w:eastAsia="仿宋_GB2312"/>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_Toc13345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sz w:val="32"/>
          <w:szCs w:val="32"/>
          <w:lang w:eastAsia="zh-CN"/>
        </w:rPr>
        <w:t xml:space="preserve">一、 </w:t>
      </w:r>
      <w:r>
        <w:rPr>
          <w:rFonts w:hint="default" w:ascii="Times New Roman" w:hAnsi="Times New Roman" w:eastAsia="仿宋_GB2312"/>
          <w:sz w:val="32"/>
          <w:szCs w:val="32"/>
          <w:highlight w:val="none"/>
          <w:lang w:eastAsia="zh-CN"/>
        </w:rPr>
        <w:t>部门职责</w:t>
      </w:r>
      <w:r>
        <w:rPr>
          <w:rFonts w:hint="default" w:ascii="Times New Roman" w:hAnsi="Times New Roman" w:eastAsia="仿宋_GB2312" w:cs="Times New Roman"/>
          <w:sz w:val="32"/>
          <w:szCs w:val="32"/>
        </w:rPr>
        <w:tab/>
      </w:r>
      <w:r>
        <w:rPr>
          <w:rFonts w:hint="default" w:eastAsia="仿宋_GB2312"/>
          <w:sz w:val="32"/>
          <w:szCs w:val="32"/>
        </w:rPr>
        <w:fldChar w:fldCharType="begin"/>
      </w:r>
      <w:r>
        <w:rPr>
          <w:rFonts w:hint="default" w:eastAsia="仿宋_GB2312"/>
          <w:sz w:val="32"/>
          <w:szCs w:val="32"/>
        </w:rPr>
        <w:instrText xml:space="preserve"> PAGEREF _Toc13345 \h </w:instrText>
      </w:r>
      <w:r>
        <w:rPr>
          <w:rFonts w:hint="default" w:eastAsia="仿宋_GB2312"/>
          <w:sz w:val="32"/>
          <w:szCs w:val="32"/>
        </w:rPr>
        <w:fldChar w:fldCharType="separate"/>
      </w:r>
      <w:r>
        <w:rPr>
          <w:rFonts w:hint="default" w:eastAsia="仿宋_GB2312"/>
          <w:sz w:val="32"/>
          <w:szCs w:val="32"/>
        </w:rPr>
        <w:t>1</w:t>
      </w:r>
      <w:r>
        <w:rPr>
          <w:rFonts w:hint="default" w:eastAsia="仿宋_GB2312"/>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5"/>
        <w:tabs>
          <w:tab w:val="right" w:leader="middleDot" w:pos="8306"/>
          <w:tab w:val="clear" w:pos="8296"/>
        </w:tabs>
        <w:rPr>
          <w:rFonts w:hint="default" w:eastAsia="仿宋_GB2312"/>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_Toc11778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sz w:val="32"/>
          <w:szCs w:val="32"/>
          <w:highlight w:val="none"/>
        </w:rPr>
        <w:t>二、机</w:t>
      </w:r>
      <w:r>
        <w:rPr>
          <w:rFonts w:hint="default" w:ascii="Times New Roman" w:hAnsi="Times New Roman" w:eastAsia="仿宋_GB2312"/>
          <w:bCs w:val="0"/>
          <w:sz w:val="32"/>
          <w:szCs w:val="32"/>
          <w:highlight w:val="none"/>
        </w:rPr>
        <w:t>构设置</w:t>
      </w:r>
      <w:r>
        <w:rPr>
          <w:rFonts w:hint="default" w:ascii="Times New Roman" w:hAnsi="Times New Roman" w:eastAsia="仿宋_GB2312" w:cs="Times New Roman"/>
          <w:sz w:val="32"/>
          <w:szCs w:val="32"/>
        </w:rPr>
        <w:tab/>
      </w:r>
      <w:r>
        <w:rPr>
          <w:rFonts w:hint="default" w:eastAsia="仿宋_GB2312"/>
          <w:sz w:val="32"/>
          <w:szCs w:val="32"/>
        </w:rPr>
        <w:fldChar w:fldCharType="begin"/>
      </w:r>
      <w:r>
        <w:rPr>
          <w:rFonts w:hint="default" w:eastAsia="仿宋_GB2312"/>
          <w:sz w:val="32"/>
          <w:szCs w:val="32"/>
        </w:rPr>
        <w:instrText xml:space="preserve"> PAGEREF _Toc11778 \h </w:instrText>
      </w:r>
      <w:r>
        <w:rPr>
          <w:rFonts w:hint="default" w:eastAsia="仿宋_GB2312"/>
          <w:sz w:val="32"/>
          <w:szCs w:val="32"/>
        </w:rPr>
        <w:fldChar w:fldCharType="separate"/>
      </w:r>
      <w:r>
        <w:rPr>
          <w:rFonts w:hint="default" w:eastAsia="仿宋_GB2312"/>
          <w:sz w:val="32"/>
          <w:szCs w:val="32"/>
        </w:rPr>
        <w:t>2</w:t>
      </w:r>
      <w:r>
        <w:rPr>
          <w:rFonts w:hint="default" w:eastAsia="仿宋_GB2312"/>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4"/>
        <w:tabs>
          <w:tab w:val="right" w:leader="middleDot" w:pos="8306"/>
          <w:tab w:val="clear" w:pos="8296"/>
        </w:tabs>
        <w:rPr>
          <w:rFonts w:hint="default" w:ascii="Times New Roman" w:hAnsi="Times New Roman" w:eastAsia="黑体"/>
          <w:sz w:val="32"/>
          <w:szCs w:val="32"/>
        </w:rPr>
      </w:pP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sz w:val="32"/>
          <w:szCs w:val="32"/>
          <w:highlight w:val="none"/>
        </w:rPr>
        <w:instrText xml:space="preserve"> HYPERLINK \l _Toc24469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32"/>
          <w:szCs w:val="32"/>
          <w:highlight w:val="none"/>
        </w:rPr>
        <w:t>第二部分</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sz w:val="32"/>
          <w:szCs w:val="32"/>
          <w:highlight w:val="none"/>
          <w:lang w:val="en-US" w:eastAsia="zh-CN"/>
        </w:rPr>
        <w:t>2024年度</w:t>
      </w:r>
      <w:r>
        <w:rPr>
          <w:rFonts w:hint="default" w:ascii="Times New Roman" w:hAnsi="Times New Roman" w:eastAsia="黑体" w:cs="Times New Roman"/>
          <w:sz w:val="32"/>
          <w:szCs w:val="32"/>
          <w:highlight w:val="none"/>
        </w:rPr>
        <w:t>部门决算情况说明</w:t>
      </w:r>
      <w:r>
        <w:rPr>
          <w:rFonts w:hint="default" w:ascii="Times New Roman" w:hAnsi="Times New Roman" w:eastAsia="仿宋_GB2312" w:cs="Times New Roman"/>
          <w:sz w:val="32"/>
          <w:szCs w:val="32"/>
        </w:rPr>
        <w:tab/>
      </w:r>
      <w:r>
        <w:rPr>
          <w:rFonts w:hint="default" w:ascii="Times New Roman" w:hAnsi="Times New Roman" w:eastAsia="黑体"/>
          <w:sz w:val="32"/>
          <w:szCs w:val="32"/>
        </w:rPr>
        <w:fldChar w:fldCharType="begin"/>
      </w:r>
      <w:r>
        <w:rPr>
          <w:rFonts w:hint="default" w:ascii="Times New Roman" w:hAnsi="Times New Roman" w:eastAsia="黑体"/>
          <w:sz w:val="32"/>
          <w:szCs w:val="32"/>
        </w:rPr>
        <w:instrText xml:space="preserve"> PAGEREF _Toc24469 \h </w:instrText>
      </w:r>
      <w:r>
        <w:rPr>
          <w:rFonts w:hint="default" w:ascii="Times New Roman" w:hAnsi="Times New Roman" w:eastAsia="黑体"/>
          <w:sz w:val="32"/>
          <w:szCs w:val="32"/>
        </w:rPr>
        <w:fldChar w:fldCharType="separate"/>
      </w:r>
      <w:r>
        <w:rPr>
          <w:rFonts w:hint="default" w:ascii="Times New Roman" w:hAnsi="Times New Roman" w:eastAsia="黑体"/>
          <w:sz w:val="32"/>
          <w:szCs w:val="32"/>
        </w:rPr>
        <w:t>3</w:t>
      </w:r>
      <w:r>
        <w:rPr>
          <w:rFonts w:hint="default" w:ascii="Times New Roman" w:hAnsi="Times New Roman" w:eastAsia="黑体"/>
          <w:sz w:val="32"/>
          <w:szCs w:val="32"/>
        </w:rPr>
        <w:fldChar w:fldCharType="end"/>
      </w:r>
      <w:r>
        <w:rPr>
          <w:rFonts w:hint="default" w:ascii="Times New Roman" w:hAnsi="Times New Roman" w:eastAsia="黑体" w:cs="Times New Roman"/>
          <w:color w:val="auto"/>
          <w:sz w:val="32"/>
          <w:szCs w:val="32"/>
          <w:highlight w:val="none"/>
        </w:rPr>
        <w:fldChar w:fldCharType="end"/>
      </w:r>
    </w:p>
    <w:p>
      <w:pPr>
        <w:pStyle w:val="15"/>
        <w:tabs>
          <w:tab w:val="right" w:leader="middleDot" w:pos="8306"/>
          <w:tab w:val="clear" w:pos="8296"/>
        </w:tabs>
        <w:rPr>
          <w:rFonts w:hint="default" w:eastAsia="仿宋_GB2312"/>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_Toc12391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sz w:val="32"/>
          <w:szCs w:val="32"/>
          <w:highlight w:val="none"/>
          <w:lang w:eastAsia="zh-CN"/>
        </w:rPr>
        <w:t>一、</w:t>
      </w:r>
      <w:r>
        <w:rPr>
          <w:rFonts w:hint="default" w:ascii="Times New Roman" w:hAnsi="Times New Roman" w:eastAsia="仿宋_GB2312"/>
          <w:sz w:val="32"/>
          <w:szCs w:val="32"/>
          <w:highlight w:val="none"/>
        </w:rPr>
        <w:t>收入支出决算总体情况说明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_Toc12391 \h </w:instrText>
      </w:r>
      <w:r>
        <w:rPr>
          <w:rFonts w:hint="default" w:eastAsia="仿宋_GB2312"/>
          <w:sz w:val="32"/>
          <w:szCs w:val="32"/>
        </w:rPr>
        <w:fldChar w:fldCharType="separate"/>
      </w:r>
      <w:r>
        <w:rPr>
          <w:rFonts w:hint="default" w:eastAsia="仿宋_GB2312"/>
          <w:sz w:val="32"/>
          <w:szCs w:val="32"/>
        </w:rPr>
        <w:t>3</w:t>
      </w:r>
      <w:r>
        <w:rPr>
          <w:rFonts w:hint="default" w:eastAsia="仿宋_GB2312"/>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5"/>
        <w:tabs>
          <w:tab w:val="right" w:leader="middleDot" w:pos="8306"/>
          <w:tab w:val="clear" w:pos="8296"/>
        </w:tabs>
        <w:rPr>
          <w:rFonts w:hint="default" w:eastAsia="仿宋_GB2312"/>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_Toc5369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sz w:val="32"/>
          <w:szCs w:val="32"/>
          <w:highlight w:val="none"/>
          <w:lang w:eastAsia="zh-CN"/>
        </w:rPr>
        <w:t>二、收入决算情况说明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_Toc5369 \h </w:instrText>
      </w:r>
      <w:r>
        <w:rPr>
          <w:rFonts w:hint="default" w:eastAsia="仿宋_GB2312"/>
          <w:sz w:val="32"/>
          <w:szCs w:val="32"/>
        </w:rPr>
        <w:fldChar w:fldCharType="separate"/>
      </w:r>
      <w:r>
        <w:rPr>
          <w:rFonts w:hint="default" w:eastAsia="仿宋_GB2312"/>
          <w:sz w:val="32"/>
          <w:szCs w:val="32"/>
        </w:rPr>
        <w:t>3</w:t>
      </w:r>
      <w:r>
        <w:rPr>
          <w:rFonts w:hint="default" w:eastAsia="仿宋_GB2312"/>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5"/>
        <w:tabs>
          <w:tab w:val="right" w:leader="middleDot" w:pos="8306"/>
          <w:tab w:val="clear" w:pos="8296"/>
        </w:tabs>
        <w:rPr>
          <w:rFonts w:hint="default" w:eastAsia="仿宋_GB2312"/>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_Toc5548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sz w:val="32"/>
          <w:szCs w:val="32"/>
          <w:highlight w:val="none"/>
          <w:lang w:eastAsia="zh-CN"/>
        </w:rPr>
        <w:t>三、</w:t>
      </w:r>
      <w:r>
        <w:rPr>
          <w:rFonts w:hint="default" w:ascii="Times New Roman" w:hAnsi="Times New Roman" w:eastAsia="仿宋_GB2312"/>
          <w:sz w:val="32"/>
          <w:szCs w:val="32"/>
          <w:highlight w:val="none"/>
        </w:rPr>
        <w:t>支出决算情况说明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_Toc5548 \h </w:instrText>
      </w:r>
      <w:r>
        <w:rPr>
          <w:rFonts w:hint="default" w:eastAsia="仿宋_GB2312"/>
          <w:sz w:val="32"/>
          <w:szCs w:val="32"/>
        </w:rPr>
        <w:fldChar w:fldCharType="separate"/>
      </w:r>
      <w:r>
        <w:rPr>
          <w:rFonts w:hint="default" w:eastAsia="仿宋_GB2312"/>
          <w:sz w:val="32"/>
          <w:szCs w:val="32"/>
        </w:rPr>
        <w:t>4</w:t>
      </w:r>
      <w:r>
        <w:rPr>
          <w:rFonts w:hint="default" w:eastAsia="仿宋_GB2312"/>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5"/>
        <w:tabs>
          <w:tab w:val="right" w:leader="middleDot" w:pos="8306"/>
          <w:tab w:val="clear" w:pos="8296"/>
        </w:tabs>
        <w:rPr>
          <w:rFonts w:hint="default" w:eastAsia="仿宋_GB2312"/>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_Toc1207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sz w:val="32"/>
          <w:szCs w:val="32"/>
          <w:highlight w:val="none"/>
        </w:rPr>
        <w:t>四、财政拨款收入支出决算总体情况说明</w:t>
      </w:r>
      <w:r>
        <w:rPr>
          <w:rFonts w:hint="default" w:eastAsia="仿宋_GB2312"/>
          <w:sz w:val="32"/>
          <w:szCs w:val="32"/>
        </w:rPr>
        <w:tab/>
      </w:r>
      <w:r>
        <w:rPr>
          <w:rFonts w:hint="eastAsia" w:eastAsia="仿宋_GB2312"/>
          <w:sz w:val="32"/>
          <w:szCs w:val="32"/>
          <w:lang w:val="en-US" w:eastAsia="zh-CN"/>
        </w:rPr>
        <w:t>4</w:t>
      </w:r>
      <w:r>
        <w:rPr>
          <w:rFonts w:hint="default" w:ascii="Times New Roman" w:hAnsi="Times New Roman" w:eastAsia="仿宋_GB2312" w:cs="Times New Roman"/>
          <w:color w:val="auto"/>
          <w:sz w:val="32"/>
          <w:szCs w:val="32"/>
          <w:highlight w:val="none"/>
        </w:rPr>
        <w:fldChar w:fldCharType="end"/>
      </w:r>
    </w:p>
    <w:p>
      <w:pPr>
        <w:pStyle w:val="15"/>
        <w:tabs>
          <w:tab w:val="right" w:leader="middleDot" w:pos="8306"/>
          <w:tab w:val="clear" w:pos="8296"/>
        </w:tabs>
        <w:rPr>
          <w:rFonts w:hint="default" w:eastAsia="仿宋_GB2312"/>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_Toc18468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sz w:val="32"/>
          <w:szCs w:val="32"/>
          <w:highlight w:val="none"/>
        </w:rPr>
        <w:t>五、一般公共预算财政拨款支出决算情况说明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_Toc18468 \h </w:instrText>
      </w:r>
      <w:r>
        <w:rPr>
          <w:rFonts w:hint="default" w:eastAsia="仿宋_GB2312"/>
          <w:sz w:val="32"/>
          <w:szCs w:val="32"/>
        </w:rPr>
        <w:fldChar w:fldCharType="separate"/>
      </w:r>
      <w:r>
        <w:rPr>
          <w:rFonts w:hint="default" w:eastAsia="仿宋_GB2312"/>
          <w:sz w:val="32"/>
          <w:szCs w:val="32"/>
        </w:rPr>
        <w:t>5</w:t>
      </w:r>
      <w:r>
        <w:rPr>
          <w:rFonts w:hint="default" w:eastAsia="仿宋_GB2312"/>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5"/>
        <w:tabs>
          <w:tab w:val="right" w:leader="middleDot" w:pos="8306"/>
          <w:tab w:val="clear" w:pos="8296"/>
        </w:tabs>
        <w:rPr>
          <w:rFonts w:hint="default" w:eastAsia="仿宋_GB2312"/>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_Toc29486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sz w:val="32"/>
          <w:szCs w:val="32"/>
          <w:highlight w:val="none"/>
        </w:rPr>
        <w:t>六、一般公共预算财政拨款基本支出决算情况说明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_Toc29486 \h </w:instrText>
      </w:r>
      <w:r>
        <w:rPr>
          <w:rFonts w:hint="default" w:eastAsia="仿宋_GB2312"/>
          <w:sz w:val="32"/>
          <w:szCs w:val="32"/>
        </w:rPr>
        <w:fldChar w:fldCharType="separate"/>
      </w:r>
      <w:r>
        <w:rPr>
          <w:rFonts w:hint="default" w:eastAsia="仿宋_GB2312"/>
          <w:sz w:val="32"/>
          <w:szCs w:val="32"/>
        </w:rPr>
        <w:t>9</w:t>
      </w:r>
      <w:r>
        <w:rPr>
          <w:rFonts w:hint="default" w:eastAsia="仿宋_GB2312"/>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5"/>
        <w:tabs>
          <w:tab w:val="right" w:leader="middleDot" w:pos="8306"/>
          <w:tab w:val="clear" w:pos="8296"/>
        </w:tabs>
        <w:rPr>
          <w:rFonts w:hint="default" w:eastAsia="仿宋_GB2312"/>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_Toc32400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sz w:val="32"/>
          <w:szCs w:val="32"/>
          <w:highlight w:val="none"/>
        </w:rPr>
        <w:t>七、财政拨款“三公”经费支出决算情况说明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_Toc32400 \h </w:instrText>
      </w:r>
      <w:r>
        <w:rPr>
          <w:rFonts w:hint="default" w:eastAsia="仿宋_GB2312"/>
          <w:sz w:val="32"/>
          <w:szCs w:val="32"/>
        </w:rPr>
        <w:fldChar w:fldCharType="separate"/>
      </w:r>
      <w:r>
        <w:rPr>
          <w:rFonts w:hint="default" w:eastAsia="仿宋_GB2312"/>
          <w:sz w:val="32"/>
          <w:szCs w:val="32"/>
        </w:rPr>
        <w:t>10</w:t>
      </w:r>
      <w:r>
        <w:rPr>
          <w:rFonts w:hint="default" w:eastAsia="仿宋_GB2312"/>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5"/>
        <w:tabs>
          <w:tab w:val="right" w:leader="middleDot" w:pos="8306"/>
          <w:tab w:val="clear" w:pos="8296"/>
        </w:tabs>
        <w:rPr>
          <w:rFonts w:hint="default" w:eastAsia="仿宋_GB2312"/>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_Toc12699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sz w:val="32"/>
          <w:szCs w:val="32"/>
          <w:highlight w:val="none"/>
        </w:rPr>
        <w:t>八、政府性基金预算支出决算情况说明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_Toc12699 \h </w:instrText>
      </w:r>
      <w:r>
        <w:rPr>
          <w:rFonts w:hint="default" w:eastAsia="仿宋_GB2312"/>
          <w:sz w:val="32"/>
          <w:szCs w:val="32"/>
        </w:rPr>
        <w:fldChar w:fldCharType="separate"/>
      </w:r>
      <w:r>
        <w:rPr>
          <w:rFonts w:hint="default" w:eastAsia="仿宋_GB2312"/>
          <w:sz w:val="32"/>
          <w:szCs w:val="32"/>
        </w:rPr>
        <w:t>11</w:t>
      </w:r>
      <w:r>
        <w:rPr>
          <w:rFonts w:hint="default" w:eastAsia="仿宋_GB2312"/>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5"/>
        <w:tabs>
          <w:tab w:val="right" w:leader="middleDot" w:pos="8306"/>
          <w:tab w:val="clear" w:pos="8296"/>
        </w:tabs>
        <w:rPr>
          <w:rFonts w:hint="default" w:eastAsia="仿宋_GB2312"/>
          <w:sz w:val="32"/>
          <w:szCs w:val="32"/>
        </w:rPr>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_Toc26833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sz w:val="32"/>
          <w:szCs w:val="32"/>
          <w:highlight w:val="none"/>
          <w:lang w:eastAsia="zh-CN"/>
        </w:rPr>
        <w:t>九、</w:t>
      </w:r>
      <w:r>
        <w:rPr>
          <w:rFonts w:hint="default" w:ascii="Times New Roman" w:hAnsi="Times New Roman" w:eastAsia="仿宋_GB2312"/>
          <w:sz w:val="32"/>
          <w:szCs w:val="32"/>
          <w:highlight w:val="none"/>
        </w:rPr>
        <w:t>国有资本经营预算支出决算情况说明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_Toc26833 \h </w:instrText>
      </w:r>
      <w:r>
        <w:rPr>
          <w:rFonts w:hint="default" w:eastAsia="仿宋_GB2312"/>
          <w:sz w:val="32"/>
          <w:szCs w:val="32"/>
        </w:rPr>
        <w:fldChar w:fldCharType="separate"/>
      </w:r>
      <w:r>
        <w:rPr>
          <w:rFonts w:hint="default" w:eastAsia="仿宋_GB2312"/>
          <w:sz w:val="32"/>
          <w:szCs w:val="32"/>
        </w:rPr>
        <w:t>11</w:t>
      </w:r>
      <w:r>
        <w:rPr>
          <w:rFonts w:hint="default" w:eastAsia="仿宋_GB2312"/>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5"/>
        <w:tabs>
          <w:tab w:val="right" w:leader="middleDot" w:pos="8306"/>
          <w:tab w:val="clear" w:pos="8296"/>
        </w:tabs>
      </w:pPr>
      <w:r>
        <w:rPr>
          <w:rFonts w:hint="default" w:ascii="Times New Roman" w:hAnsi="Times New Roman" w:eastAsia="仿宋_GB2312" w:cs="Times New Roman"/>
          <w:color w:val="auto"/>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\l _Toc8796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sz w:val="32"/>
          <w:szCs w:val="32"/>
          <w:highlight w:val="none"/>
          <w:lang w:eastAsia="zh-CN"/>
        </w:rPr>
        <w:t>十、</w:t>
      </w:r>
      <w:r>
        <w:rPr>
          <w:rFonts w:hint="default" w:ascii="Times New Roman" w:hAnsi="Times New Roman" w:eastAsia="仿宋_GB2312"/>
          <w:sz w:val="32"/>
          <w:szCs w:val="32"/>
          <w:highlight w:val="none"/>
        </w:rPr>
        <w:t>其他重要事项的情况说明</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_Toc8796 \h </w:instrText>
      </w:r>
      <w:r>
        <w:rPr>
          <w:rFonts w:hint="default" w:eastAsia="仿宋_GB2312"/>
          <w:sz w:val="32"/>
          <w:szCs w:val="32"/>
        </w:rPr>
        <w:fldChar w:fldCharType="separate"/>
      </w:r>
      <w:r>
        <w:rPr>
          <w:rFonts w:hint="default" w:eastAsia="仿宋_GB2312"/>
          <w:sz w:val="32"/>
          <w:szCs w:val="32"/>
        </w:rPr>
        <w:t>11</w:t>
      </w:r>
      <w:r>
        <w:rPr>
          <w:rFonts w:hint="default" w:eastAsia="仿宋_GB2312"/>
          <w:sz w:val="32"/>
          <w:szCs w:val="32"/>
        </w:rPr>
        <w:fldChar w:fldCharType="end"/>
      </w:r>
      <w:r>
        <w:rPr>
          <w:rFonts w:hint="default" w:ascii="Times New Roman" w:hAnsi="Times New Roman" w:eastAsia="仿宋_GB2312" w:cs="Times New Roman"/>
          <w:color w:val="auto"/>
          <w:sz w:val="32"/>
          <w:szCs w:val="32"/>
          <w:highlight w:val="none"/>
        </w:rPr>
        <w:fldChar w:fldCharType="end"/>
      </w:r>
    </w:p>
    <w:p>
      <w:pPr>
        <w:pStyle w:val="14"/>
        <w:tabs>
          <w:tab w:val="right" w:leader="middleDot" w:pos="8306"/>
          <w:tab w:val="clear" w:pos="8296"/>
        </w:tabs>
        <w:rPr>
          <w:rFonts w:hint="eastAsia" w:ascii="Times New Roman" w:hAnsi="Times New Roman" w:eastAsia="黑体"/>
          <w:lang w:val="en-US" w:eastAsia="zh-CN"/>
        </w:rPr>
      </w:pPr>
      <w:r>
        <w:rPr>
          <w:rFonts w:hint="default" w:ascii="Times New Roman" w:hAnsi="Times New Roman" w:eastAsia="黑体" w:cs="Times New Roman"/>
          <w:color w:val="auto"/>
          <w:sz w:val="32"/>
          <w:szCs w:val="32"/>
          <w:highlight w:val="none"/>
        </w:rPr>
        <w:fldChar w:fldCharType="begin"/>
      </w:r>
      <w:r>
        <w:rPr>
          <w:rFonts w:hint="default" w:ascii="Times New Roman" w:hAnsi="Times New Roman" w:eastAsia="黑体" w:cs="Times New Roman"/>
          <w:sz w:val="32"/>
          <w:szCs w:val="32"/>
          <w:highlight w:val="none"/>
        </w:rPr>
        <w:instrText xml:space="preserve"> HYPERLINK \l _Toc10150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sz w:val="32"/>
          <w:szCs w:val="32"/>
          <w:highlight w:val="none"/>
        </w:rPr>
        <w:t>第</w:t>
      </w:r>
      <w:r>
        <w:rPr>
          <w:rFonts w:hint="default" w:ascii="Times New Roman" w:hAnsi="Times New Roman" w:eastAsia="黑体"/>
          <w:sz w:val="32"/>
          <w:szCs w:val="32"/>
          <w:highlight w:val="none"/>
          <w:lang w:eastAsia="zh-CN"/>
        </w:rPr>
        <w:t>三</w:t>
      </w:r>
      <w:r>
        <w:rPr>
          <w:rFonts w:hint="default" w:ascii="Times New Roman" w:hAnsi="Times New Roman" w:eastAsia="黑体"/>
          <w:sz w:val="32"/>
          <w:szCs w:val="32"/>
          <w:highlight w:val="none"/>
        </w:rPr>
        <w:t>部分</w:t>
      </w:r>
      <w:r>
        <w:rPr>
          <w:rFonts w:hint="default" w:ascii="Times New Roman" w:hAnsi="Times New Roman" w:eastAsia="黑体"/>
          <w:sz w:val="32"/>
          <w:szCs w:val="32"/>
          <w:highlight w:val="none"/>
          <w:lang w:val="en-US" w:eastAsia="zh-CN"/>
        </w:rPr>
        <w:t xml:space="preserve">  </w:t>
      </w:r>
      <w:r>
        <w:rPr>
          <w:rFonts w:hint="default" w:ascii="Times New Roman" w:hAnsi="Times New Roman" w:eastAsia="黑体"/>
          <w:sz w:val="32"/>
          <w:szCs w:val="32"/>
          <w:highlight w:val="none"/>
        </w:rPr>
        <w:t>名词解释</w:t>
      </w:r>
      <w:r>
        <w:rPr>
          <w:rFonts w:ascii="Times New Roman" w:hAnsi="Times New Roman"/>
          <w:sz w:val="32"/>
          <w:szCs w:val="32"/>
        </w:rPr>
        <w:tab/>
      </w:r>
      <w:r>
        <w:rPr>
          <w:rFonts w:hint="eastAsia" w:ascii="Times New Roman" w:hAnsi="Times New Roman"/>
          <w:sz w:val="32"/>
          <w:szCs w:val="32"/>
          <w:lang w:val="en-US" w:eastAsia="zh-CN"/>
        </w:rPr>
        <w:t>1</w:t>
      </w:r>
      <w:r>
        <w:rPr>
          <w:rFonts w:hint="default" w:ascii="Times New Roman" w:hAnsi="Times New Roman" w:eastAsia="黑体" w:cs="Times New Roman"/>
          <w:color w:val="auto"/>
          <w:sz w:val="32"/>
          <w:szCs w:val="32"/>
          <w:highlight w:val="none"/>
        </w:rPr>
        <w:fldChar w:fldCharType="end"/>
      </w:r>
      <w:r>
        <w:rPr>
          <w:rFonts w:hint="eastAsia" w:ascii="Times New Roman" w:hAnsi="Times New Roman" w:eastAsia="黑体" w:cs="Times New Roman"/>
          <w:color w:val="auto"/>
          <w:sz w:val="32"/>
          <w:szCs w:val="32"/>
          <w:highlight w:val="none"/>
          <w:lang w:val="en-US" w:eastAsia="zh-CN"/>
        </w:rPr>
        <w:t>5</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default" w:ascii="Times New Roman" w:hAnsi="Times New Roman" w:eastAsia="黑体" w:cs="Times New Roman"/>
          <w:color w:val="auto"/>
          <w:szCs w:val="32"/>
          <w:highlight w:val="none"/>
        </w:rPr>
        <w:fldChar w:fldCharType="end"/>
      </w:r>
      <w:r>
        <w:rPr>
          <w:rFonts w:hint="eastAsia" w:ascii="Times New Roman" w:hAnsi="Times New Roman" w:eastAsia="黑体" w:cs="黑体"/>
          <w:color w:val="auto"/>
          <w:sz w:val="32"/>
          <w:szCs w:val="32"/>
          <w:highlight w:val="none"/>
        </w:rPr>
        <w:t>第四部分 附件</w:t>
      </w:r>
      <w:r>
        <w:rPr>
          <w:rFonts w:ascii="Times New Roman" w:hAnsi="Times New Roman" w:cs="Times New Roman"/>
        </w:rPr>
        <w:tab/>
      </w:r>
      <w:r>
        <w:rPr>
          <w:rFonts w:hint="eastAsia" w:ascii="Times New Roman" w:hAnsi="Times New Roman" w:cs="Times New Roman"/>
          <w:sz w:val="32"/>
          <w:szCs w:val="32"/>
          <w:lang w:val="en-US" w:eastAsia="zh-CN"/>
        </w:rPr>
        <w:t>21</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ascii="Times New Roman" w:hAnsi="Times New Roman" w:cs="Times New Roman"/>
        </w:rPr>
        <w:tab/>
      </w:r>
      <w:r>
        <w:rPr>
          <w:rFonts w:hint="eastAsia" w:ascii="Times New Roman" w:hAnsi="Times New Roman" w:cs="Times New Roman"/>
          <w:sz w:val="32"/>
          <w:szCs w:val="32"/>
          <w:lang w:val="en-US" w:eastAsia="zh-CN"/>
        </w:rPr>
        <w:t>97</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pStyle w:val="5"/>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6" w:name="_Toc15377196"/>
      <w:bookmarkStart w:id="7" w:name="_Toc15396599"/>
    </w:p>
    <w:p>
      <w:pPr>
        <w:pStyle w:val="5"/>
        <w:jc w:val="center"/>
        <w:rPr>
          <w:rStyle w:val="30"/>
          <w:rFonts w:hint="eastAsia" w:ascii="Times New Roman" w:hAnsi="Times New Roman" w:eastAsia="方正小标宋简体" w:cs="方正小标宋简体"/>
          <w:b/>
          <w:bCs w:val="0"/>
          <w:color w:val="auto"/>
          <w:highlight w:val="none"/>
        </w:rPr>
      </w:pPr>
      <w:bookmarkStart w:id="8" w:name="_Toc14798"/>
      <w:bookmarkStart w:id="9" w:name="_Toc17381"/>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bookmarkEnd w:id="8"/>
      <w:bookmarkEnd w:id="9"/>
    </w:p>
    <w:p>
      <w:pPr>
        <w:widowControl/>
        <w:jc w:val="left"/>
        <w:rPr>
          <w:rFonts w:ascii="Times New Roman" w:hAnsi="Times New Roman" w:eastAsia="黑体"/>
          <w:color w:val="auto"/>
          <w:sz w:val="32"/>
          <w:szCs w:val="32"/>
          <w:highlight w:val="none"/>
        </w:rPr>
      </w:pPr>
    </w:p>
    <w:p>
      <w:pPr>
        <w:pStyle w:val="6"/>
        <w:keepNext/>
        <w:keepLines/>
        <w:pageBreakBefore w:val="0"/>
        <w:widowControl w:val="0"/>
        <w:numPr>
          <w:ilvl w:val="0"/>
          <w:numId w:val="1"/>
        </w:numPr>
        <w:kinsoku/>
        <w:wordWrap/>
        <w:overflowPunct/>
        <w:topLinePunct w:val="0"/>
        <w:autoSpaceDE/>
        <w:autoSpaceDN/>
        <w:bidi w:val="0"/>
        <w:adjustRightInd/>
        <w:snapToGrid/>
        <w:spacing w:before="0" w:after="0" w:line="416" w:lineRule="auto"/>
        <w:ind w:firstLine="640" w:firstLineChars="200"/>
        <w:textAlignment w:val="auto"/>
        <w:rPr>
          <w:rFonts w:hint="eastAsia" w:ascii="Times New Roman" w:hAnsi="Times New Roman" w:eastAsia="黑体"/>
          <w:b w:val="0"/>
          <w:color w:val="auto"/>
          <w:highlight w:val="none"/>
          <w:lang w:eastAsia="zh-CN"/>
        </w:rPr>
      </w:pPr>
      <w:bookmarkStart w:id="10" w:name="_Toc21071"/>
      <w:bookmarkStart w:id="11" w:name="_Toc13345"/>
      <w:r>
        <w:rPr>
          <w:rFonts w:hint="eastAsia" w:ascii="Times New Roman" w:hAnsi="Times New Roman" w:eastAsia="黑体"/>
          <w:b w:val="0"/>
          <w:color w:val="auto"/>
          <w:highlight w:val="none"/>
          <w:lang w:eastAsia="zh-CN"/>
        </w:rPr>
        <w:t>部门职责</w:t>
      </w:r>
      <w:bookmarkEnd w:id="10"/>
      <w:bookmarkEnd w:id="11"/>
    </w:p>
    <w:p>
      <w:pPr>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（一）贯政策、落法规。对国家的</w:t>
      </w:r>
      <w:r>
        <w:rPr>
          <w:rFonts w:hint="default" w:ascii="仿宋_GB2312" w:hAnsi="宋体" w:eastAsia="仿宋_GB2312" w:cs="宋体"/>
          <w:color w:val="000000"/>
          <w:kern w:val="0"/>
          <w:sz w:val="32"/>
          <w:szCs w:val="32"/>
          <w:shd w:val="clear" w:color="auto" w:fill="FFFFFF"/>
          <w:lang w:val="zh-CN" w:eastAsia="zh-CN" w:bidi="ar-SA"/>
        </w:rPr>
        <w:t>路线</w:t>
      </w:r>
      <w:r>
        <w:rPr>
          <w:rFonts w:hint="default" w:ascii="Times New Roman" w:hAnsi="Times New Roman" w:eastAsia="仿宋_GB2312" w:cs="Times New Roman"/>
          <w:b w:val="0"/>
          <w:bCs w:val="0"/>
          <w:i w:val="0"/>
          <w:iCs w:val="0"/>
          <w:color w:val="auto"/>
          <w:sz w:val="32"/>
          <w:szCs w:val="32"/>
          <w:highlight w:val="none"/>
        </w:rPr>
        <w:t>方针、政策法规进行贯彻落实，把各项具体行政工作直接地落实到辖区群众，以稳定农村基本经济制度为职责，加快推动依法行政、法治建设、政务公开，加强对辖区内村民委员会的工作给予指导、支持和帮助，提高、培育村民委员会自治能力。</w:t>
      </w:r>
    </w:p>
    <w:p>
      <w:pPr>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二）抓经济、促发展。制定和组织实施经济、科技和社会发展计划，制定资源和产业发展方案，组织指导好各业生产，搞好商品流通，协调好本镇与外地区的经济交流与合作，抓好招商引资，人才引进项目开发，不断培育市场体系，组织经济运行，促进经济发展。推广农业技术，完善农业社会化服务体系，引导本镇农民发展现代农业，调整产业结构，加强农村劳动力技能培训，引导农村劳动力转移和就业，不断提高社会主义新农村建设水平。</w:t>
      </w:r>
    </w:p>
    <w:p>
      <w:pPr>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三）惠民生、提环境。负责本行政区域内的劳动保障、民政、计划生育、文化教育、卫生、体育等社会公益事业的综合性工作的建设，制定并组织实施镇村建设规划，部署重点工程建设，地方道路建设及公共设施，水利设施的管理，加强社会主义精神文明建设，做好防灾减灾工作，加强环境保护，努力改善农村人居环境，不断提高本镇农村人口素质和农民生活质量。</w:t>
      </w:r>
    </w:p>
    <w:p>
      <w:pPr>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四）树文明、强公益。抓好镇级精神文明建设，丰富群众文化生活水平，提倡移风易俗，反对封建迷信，破除陈规陋习，树立社会主义新风尚。积极加强农村社会公益事业和集体公益事业的发展，推动农村基础设施的建设，强化公共服务体系的建设，提供政策、科技、市场信息的宣传。</w:t>
      </w:r>
    </w:p>
    <w:p>
      <w:pPr>
        <w:ind w:firstLine="640" w:firstLineChars="200"/>
        <w:rPr>
          <w:rFonts w:hint="eastAsia"/>
          <w:lang w:eastAsia="zh-CN"/>
        </w:rPr>
      </w:pPr>
      <w:r>
        <w:rPr>
          <w:rFonts w:hint="default" w:ascii="Times New Roman" w:hAnsi="Times New Roman" w:eastAsia="仿宋_GB2312" w:cs="Times New Roman"/>
          <w:b w:val="0"/>
          <w:bCs w:val="0"/>
          <w:i w:val="0"/>
          <w:iCs w:val="0"/>
          <w:color w:val="auto"/>
          <w:sz w:val="32"/>
          <w:szCs w:val="32"/>
          <w:highlight w:val="none"/>
        </w:rPr>
        <w:t>（五）维稳定、保安全。维护辖区内一切经济单位和个人的正当经济权益，加强和巩固农村基层政权建设和民主法制建设，加强社会治安综合治理，取缔非法经济活动，调解和处理民事纠纷，加强对突发事件的预警和管理，建立、健全各种应急机制，维护基层社会稳定。</w:t>
      </w:r>
    </w:p>
    <w:p>
      <w:pPr>
        <w:pStyle w:val="6"/>
        <w:keepNext/>
        <w:keepLines/>
        <w:pageBreakBefore w:val="0"/>
        <w:widowControl w:val="0"/>
        <w:kinsoku/>
        <w:wordWrap/>
        <w:overflowPunct/>
        <w:topLinePunct w:val="0"/>
        <w:autoSpaceDE/>
        <w:autoSpaceDN/>
        <w:bidi w:val="0"/>
        <w:adjustRightInd/>
        <w:snapToGrid/>
        <w:spacing w:before="0" w:after="0" w:line="416" w:lineRule="auto"/>
        <w:ind w:firstLine="640" w:firstLineChars="200"/>
        <w:textAlignment w:val="auto"/>
        <w:rPr>
          <w:rStyle w:val="31"/>
          <w:rFonts w:ascii="Times New Roman" w:hAnsi="Times New Roman"/>
          <w:b w:val="0"/>
          <w:bCs w:val="0"/>
          <w:color w:val="auto"/>
          <w:highlight w:val="none"/>
        </w:rPr>
      </w:pPr>
      <w:bookmarkStart w:id="12" w:name="_Toc5537"/>
      <w:bookmarkStart w:id="13" w:name="_Toc11778"/>
      <w:bookmarkStart w:id="14" w:name="_Toc15396601"/>
      <w:bookmarkStart w:id="15" w:name="_Toc15377200"/>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2"/>
      <w:bookmarkEnd w:id="13"/>
      <w:bookmarkEnd w:id="14"/>
      <w:bookmarkEnd w:id="15"/>
    </w:p>
    <w:p>
      <w:pPr>
        <w:ind w:firstLine="800" w:firstLineChars="250"/>
        <w:rPr>
          <w:rFonts w:hint="default" w:ascii="Times New Roman" w:hAnsi="Times New Roman" w:eastAsia="仿宋_GB2312" w:cs="Times New Roman"/>
          <w:b w:val="0"/>
          <w:bCs w:val="0"/>
          <w:i w:val="0"/>
          <w:iCs w:val="0"/>
          <w:color w:val="auto"/>
          <w:sz w:val="32"/>
          <w:szCs w:val="32"/>
          <w:highlight w:val="none"/>
        </w:rPr>
      </w:pPr>
      <w:bookmarkStart w:id="16" w:name="_Toc17346"/>
      <w:r>
        <w:rPr>
          <w:rFonts w:hint="eastAsia" w:ascii="Times New Roman" w:hAnsi="Times New Roman" w:eastAsia="仿宋_GB2312" w:cs="Times New Roman"/>
          <w:b w:val="0"/>
          <w:bCs w:val="0"/>
          <w:i w:val="0"/>
          <w:iCs w:val="0"/>
          <w:color w:val="auto"/>
          <w:kern w:val="2"/>
          <w:sz w:val="32"/>
          <w:szCs w:val="32"/>
          <w:highlight w:val="none"/>
          <w:lang w:val="en-US" w:eastAsia="zh-CN" w:bidi="ar-SA"/>
        </w:rPr>
        <w:t>西眉镇人民政府</w:t>
      </w:r>
      <w:r>
        <w:rPr>
          <w:rFonts w:hint="default" w:ascii="Times New Roman" w:hAnsi="Times New Roman" w:eastAsia="仿宋_GB2312" w:cs="Times New Roman"/>
          <w:b w:val="0"/>
          <w:bCs w:val="0"/>
          <w:i w:val="0"/>
          <w:iCs w:val="0"/>
          <w:color w:val="auto"/>
          <w:sz w:val="32"/>
          <w:szCs w:val="32"/>
          <w:highlight w:val="none"/>
        </w:rPr>
        <w:t>下属二级</w:t>
      </w:r>
      <w:r>
        <w:rPr>
          <w:rFonts w:hint="default" w:ascii="Times New Roman" w:hAnsi="Times New Roman" w:eastAsia="仿宋_GB2312" w:cs="Times New Roman"/>
          <w:b w:val="0"/>
          <w:bCs w:val="0"/>
          <w:i w:val="0"/>
          <w:iCs w:val="0"/>
          <w:color w:val="auto"/>
          <w:sz w:val="32"/>
          <w:szCs w:val="32"/>
          <w:highlight w:val="none"/>
          <w:lang w:eastAsia="zh-CN"/>
        </w:rPr>
        <w:t>预算</w:t>
      </w:r>
      <w:r>
        <w:rPr>
          <w:rFonts w:hint="default" w:ascii="Times New Roman" w:hAnsi="Times New Roman" w:eastAsia="仿宋_GB2312" w:cs="Times New Roman"/>
          <w:b w:val="0"/>
          <w:bCs w:val="0"/>
          <w:i w:val="0"/>
          <w:iCs w:val="0"/>
          <w:color w:val="auto"/>
          <w:sz w:val="32"/>
          <w:szCs w:val="32"/>
          <w:highlight w:val="none"/>
        </w:rPr>
        <w:t>单位</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个，其中行政单位</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个，参照公务员法管理的事业单位</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个，其他事业单位</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个。</w:t>
      </w:r>
    </w:p>
    <w:bookmarkEnd w:id="16"/>
    <w:p>
      <w:pPr>
        <w:pStyle w:val="9"/>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p>
    <w:p>
      <w:pPr>
        <w:pStyle w:val="9"/>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p>
    <w:p>
      <w:pPr>
        <w:pStyle w:val="5"/>
        <w:jc w:val="both"/>
        <w:rPr>
          <w:rFonts w:hint="eastAsia" w:ascii="Times New Roman" w:hAnsi="Times New Roman" w:eastAsia="方正小标宋简体" w:cs="方正小标宋简体"/>
          <w:b w:val="0"/>
          <w:color w:val="auto"/>
          <w:highlight w:val="none"/>
        </w:rPr>
      </w:pPr>
      <w:bookmarkStart w:id="17" w:name="_Toc7318"/>
      <w:bookmarkStart w:id="18" w:name="_Toc15377204"/>
      <w:bookmarkStart w:id="19" w:name="_Toc24469"/>
      <w:bookmarkStart w:id="20" w:name="_Toc15396602"/>
    </w:p>
    <w:p>
      <w:pPr>
        <w:pStyle w:val="5"/>
        <w:jc w:val="center"/>
        <w:rPr>
          <w:rFonts w:ascii="Times New Roman" w:hAnsi="Times New Roman"/>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7"/>
      <w:bookmarkEnd w:id="18"/>
      <w:bookmarkEnd w:id="19"/>
      <w:bookmarkEnd w:id="20"/>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1" w:name="_Toc12391"/>
      <w:bookmarkStart w:id="22" w:name="_Toc28328"/>
      <w:bookmarkStart w:id="23" w:name="_Toc15396603"/>
      <w:bookmarkStart w:id="24"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1"/>
      <w:bookmarkEnd w:id="22"/>
      <w:bookmarkEnd w:id="23"/>
      <w:bookmarkEnd w:id="24"/>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25" w:name="_Toc959"/>
      <w:bookmarkStart w:id="26" w:name="_Toc30354"/>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2426.87</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625.73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20.50</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是农林水支出、城乡社区支出等项目减少。</w:t>
      </w:r>
      <w:bookmarkEnd w:id="25"/>
      <w:bookmarkEnd w:id="2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03675" cy="2622550"/>
            <wp:effectExtent l="4445" t="4445" r="11430" b="209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ind w:firstLine="1400" w:firstLineChars="50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t>图1：</w:t>
      </w:r>
      <w:r>
        <w:rPr>
          <w:rFonts w:hint="eastAsia" w:ascii="Times New Roman" w:hAnsi="Times New Roman" w:eastAsia="仿宋_GB2312" w:cs="仿宋_GB2312"/>
          <w:color w:val="auto"/>
          <w:sz w:val="28"/>
          <w:szCs w:val="28"/>
          <w:highlight w:val="none"/>
          <w:lang w:eastAsia="zh-CN"/>
        </w:rPr>
        <w:t>收入</w:t>
      </w:r>
      <w:r>
        <w:rPr>
          <w:rFonts w:hint="eastAsia" w:ascii="Times New Roman" w:hAnsi="Times New Roman" w:eastAsia="仿宋_GB2312" w:cs="仿宋_GB2312"/>
          <w:color w:val="auto"/>
          <w:sz w:val="28"/>
          <w:szCs w:val="28"/>
          <w:highlight w:val="none"/>
        </w:rPr>
        <w:t>、</w:t>
      </w:r>
      <w:r>
        <w:rPr>
          <w:rFonts w:hint="eastAsia" w:ascii="Times New Roman" w:hAnsi="Times New Roman" w:eastAsia="仿宋_GB2312" w:cs="仿宋_GB2312"/>
          <w:color w:val="auto"/>
          <w:sz w:val="28"/>
          <w:szCs w:val="28"/>
          <w:highlight w:val="none"/>
          <w:lang w:eastAsia="zh-CN"/>
        </w:rPr>
        <w:t>支出</w:t>
      </w:r>
      <w:r>
        <w:rPr>
          <w:rFonts w:hint="eastAsia" w:ascii="Times New Roman" w:hAnsi="Times New Roman" w:eastAsia="仿宋_GB2312" w:cs="仿宋_GB2312"/>
          <w:color w:val="auto"/>
          <w:sz w:val="28"/>
          <w:szCs w:val="28"/>
          <w:highlight w:val="none"/>
        </w:rPr>
        <w:t>决算总计变动情况图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7" w:name="_Toc5369"/>
      <w:bookmarkStart w:id="28" w:name="_Toc15377206"/>
      <w:bookmarkStart w:id="29" w:name="_Toc15396604"/>
      <w:bookmarkStart w:id="30" w:name="_Toc2980"/>
      <w:r>
        <w:rPr>
          <w:rFonts w:hint="eastAsia" w:ascii="Times New Roman" w:hAnsi="Times New Roman" w:eastAsia="黑体"/>
          <w:color w:val="auto"/>
          <w:sz w:val="32"/>
          <w:szCs w:val="32"/>
          <w:highlight w:val="none"/>
          <w:lang w:eastAsia="zh-CN"/>
        </w:rPr>
        <w:t>二、收入决算情况说明</w:t>
      </w:r>
      <w:bookmarkEnd w:id="27"/>
      <w:bookmarkEnd w:id="28"/>
      <w:bookmarkEnd w:id="29"/>
      <w:bookmarkEnd w:id="30"/>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bookmarkStart w:id="31" w:name="_Toc26999"/>
      <w:bookmarkStart w:id="32" w:name="_Toc4206"/>
      <w:r>
        <w:rPr>
          <w:rFonts w:hint="eastAsia" w:ascii="Times New Roman" w:hAnsi="Times New Roman" w:eastAsia="仿宋_GB2312" w:cs="仿宋_GB2312"/>
          <w:color w:val="auto"/>
          <w:sz w:val="32"/>
          <w:szCs w:val="32"/>
          <w:highlight w:val="none"/>
          <w:lang w:eastAsia="zh-CN"/>
        </w:rPr>
        <w:t>2024年度本年收入合计</w:t>
      </w:r>
      <w:r>
        <w:rPr>
          <w:rFonts w:hint="eastAsia" w:eastAsia="仿宋_GB2312" w:cs="仿宋_GB2312"/>
          <w:color w:val="auto"/>
          <w:sz w:val="32"/>
          <w:szCs w:val="32"/>
          <w:highlight w:val="none"/>
          <w:lang w:val="en-US" w:eastAsia="zh-CN"/>
        </w:rPr>
        <w:t>2426.87</w:t>
      </w:r>
      <w:r>
        <w:rPr>
          <w:rFonts w:hint="eastAsia" w:ascii="Times New Roman" w:hAnsi="Times New Roman" w:eastAsia="仿宋_GB2312" w:cs="仿宋_GB2312"/>
          <w:color w:val="auto"/>
          <w:sz w:val="32"/>
          <w:szCs w:val="32"/>
          <w:highlight w:val="none"/>
          <w:lang w:eastAsia="zh-CN"/>
        </w:rPr>
        <w:t>万元，其中：一般公共预算财政拨款收入</w:t>
      </w:r>
      <w:r>
        <w:rPr>
          <w:rFonts w:hint="eastAsia" w:eastAsia="仿宋_GB2312" w:cs="仿宋_GB2312"/>
          <w:color w:val="auto"/>
          <w:sz w:val="32"/>
          <w:szCs w:val="32"/>
          <w:highlight w:val="none"/>
          <w:lang w:val="en-US" w:eastAsia="zh-CN"/>
        </w:rPr>
        <w:t>2374.72</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97.85</w:t>
      </w:r>
      <w:r>
        <w:rPr>
          <w:rFonts w:hint="eastAsia" w:ascii="Times New Roman" w:hAnsi="Times New Roman" w:eastAsia="仿宋_GB2312" w:cs="仿宋_GB2312"/>
          <w:color w:val="auto"/>
          <w:sz w:val="32"/>
          <w:szCs w:val="32"/>
          <w:highlight w:val="none"/>
          <w:lang w:eastAsia="zh-CN"/>
        </w:rPr>
        <w:t>%；政府性基金预算财政拨款收入</w:t>
      </w:r>
      <w:r>
        <w:rPr>
          <w:rFonts w:hint="eastAsia" w:eastAsia="仿宋_GB2312" w:cs="仿宋_GB2312"/>
          <w:color w:val="auto"/>
          <w:sz w:val="32"/>
          <w:szCs w:val="32"/>
          <w:highlight w:val="none"/>
          <w:lang w:val="en-US" w:eastAsia="zh-CN"/>
        </w:rPr>
        <w:t>52.15</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2.15</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w:t>
      </w:r>
      <w:bookmarkEnd w:id="31"/>
      <w:bookmarkEnd w:id="32"/>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51300" cy="2581910"/>
            <wp:effectExtent l="4445" t="4445" r="20955"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2380" w:firstLineChars="850"/>
        <w:rPr>
          <w:rFonts w:hint="eastAsia" w:ascii="Times New Roman" w:hAnsi="Times New Roman" w:eastAsia="仿宋_GB2312" w:cs="仿宋_GB2312"/>
          <w:color w:val="auto"/>
          <w:sz w:val="28"/>
          <w:szCs w:val="28"/>
          <w:highlight w:val="none"/>
          <w:lang w:eastAsia="zh-CN"/>
        </w:rPr>
      </w:pPr>
      <w:r>
        <w:rPr>
          <w:rFonts w:hint="eastAsia" w:ascii="Times New Roman" w:hAnsi="Times New Roman" w:eastAsia="仿宋_GB2312" w:cs="仿宋_GB2312"/>
          <w:color w:val="auto"/>
          <w:sz w:val="28"/>
          <w:szCs w:val="28"/>
          <w:highlight w:val="none"/>
          <w:lang w:eastAsia="zh-CN"/>
        </w:rPr>
        <w:t>图2：收入决算结构图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33" w:name="_Toc5824"/>
      <w:bookmarkStart w:id="34" w:name="_Toc15377207"/>
      <w:bookmarkStart w:id="35" w:name="_Toc15396605"/>
      <w:bookmarkStart w:id="36" w:name="_Toc5548"/>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33"/>
      <w:bookmarkEnd w:id="34"/>
      <w:bookmarkEnd w:id="35"/>
      <w:bookmarkEnd w:id="36"/>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37" w:name="_Toc25517"/>
      <w:bookmarkStart w:id="38" w:name="_Toc3437"/>
      <w:r>
        <w:rPr>
          <w:rFonts w:hint="eastAsia" w:ascii="Times New Roman" w:hAnsi="Times New Roman" w:eastAsia="仿宋_GB2312" w:cs="仿宋_GB2312"/>
          <w:color w:val="auto"/>
          <w:sz w:val="32"/>
          <w:szCs w:val="32"/>
          <w:highlight w:val="none"/>
          <w:lang w:eastAsia="zh-CN"/>
        </w:rPr>
        <w:t>2024年度本年支出合计</w:t>
      </w:r>
      <w:r>
        <w:rPr>
          <w:rFonts w:hint="eastAsia" w:eastAsia="仿宋_GB2312" w:cs="仿宋_GB2312"/>
          <w:color w:val="auto"/>
          <w:sz w:val="32"/>
          <w:szCs w:val="32"/>
          <w:highlight w:val="none"/>
          <w:lang w:val="en-US" w:eastAsia="zh-CN"/>
        </w:rPr>
        <w:t>2426.87</w:t>
      </w:r>
      <w:r>
        <w:rPr>
          <w:rFonts w:hint="eastAsia" w:ascii="Times New Roman" w:hAnsi="Times New Roman" w:eastAsia="仿宋_GB2312" w:cs="仿宋_GB2312"/>
          <w:color w:val="auto"/>
          <w:sz w:val="32"/>
          <w:szCs w:val="32"/>
          <w:highlight w:val="none"/>
          <w:lang w:eastAsia="zh-CN"/>
        </w:rPr>
        <w:t>万元，其中：基本支出</w:t>
      </w:r>
      <w:r>
        <w:rPr>
          <w:rFonts w:hint="eastAsia" w:eastAsia="仿宋_GB2312" w:cs="仿宋_GB2312"/>
          <w:color w:val="auto"/>
          <w:sz w:val="32"/>
          <w:szCs w:val="32"/>
          <w:highlight w:val="none"/>
          <w:lang w:val="en-US" w:eastAsia="zh-CN"/>
        </w:rPr>
        <w:t>1993.97</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82.16</w:t>
      </w:r>
      <w:r>
        <w:rPr>
          <w:rFonts w:hint="eastAsia" w:ascii="Times New Roman" w:hAnsi="Times New Roman" w:eastAsia="仿宋_GB2312" w:cs="仿宋_GB2312"/>
          <w:color w:val="auto"/>
          <w:sz w:val="32"/>
          <w:szCs w:val="32"/>
          <w:highlight w:val="none"/>
          <w:lang w:eastAsia="zh-CN"/>
        </w:rPr>
        <w:t>%；项目支出</w:t>
      </w:r>
      <w:r>
        <w:rPr>
          <w:rFonts w:hint="eastAsia" w:eastAsia="仿宋_GB2312" w:cs="仿宋_GB2312"/>
          <w:color w:val="auto"/>
          <w:sz w:val="32"/>
          <w:szCs w:val="32"/>
          <w:highlight w:val="none"/>
          <w:lang w:val="en-US" w:eastAsia="zh-CN"/>
        </w:rPr>
        <w:t>432.90</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17.84</w:t>
      </w:r>
      <w:r>
        <w:rPr>
          <w:rFonts w:hint="eastAsia" w:ascii="Times New Roman" w:hAnsi="Times New Roman" w:eastAsia="仿宋_GB2312" w:cs="仿宋_GB2312"/>
          <w:color w:val="auto"/>
          <w:sz w:val="32"/>
          <w:szCs w:val="32"/>
          <w:highlight w:val="none"/>
          <w:lang w:eastAsia="zh-CN"/>
        </w:rPr>
        <w:t>%</w:t>
      </w:r>
      <w:r>
        <w:rPr>
          <w:rFonts w:hint="eastAsia" w:eastAsia="仿宋_GB2312" w:cs="仿宋_GB2312"/>
          <w:color w:val="auto"/>
          <w:sz w:val="32"/>
          <w:szCs w:val="32"/>
          <w:highlight w:val="none"/>
          <w:lang w:eastAsia="zh-CN"/>
        </w:rPr>
        <w:t>。</w:t>
      </w:r>
      <w:bookmarkEnd w:id="37"/>
      <w:bookmarkEnd w:id="38"/>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61460" cy="2735580"/>
            <wp:effectExtent l="4445" t="5080" r="10795" b="2159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2240" w:firstLineChars="800"/>
        <w:outlineLvl w:val="1"/>
        <w:rPr>
          <w:rStyle w:val="31"/>
          <w:rFonts w:ascii="Times New Roman" w:hAnsi="Times New Roman" w:eastAsia="黑体"/>
          <w:b w:val="0"/>
          <w:color w:val="auto"/>
          <w:sz w:val="28"/>
          <w:szCs w:val="28"/>
          <w:highlight w:val="none"/>
        </w:rPr>
      </w:pPr>
      <w:r>
        <w:rPr>
          <w:rFonts w:hint="eastAsia" w:ascii="Times New Roman" w:hAnsi="Times New Roman" w:eastAsia="仿宋_GB2312" w:cs="仿宋_GB2312"/>
          <w:color w:val="auto"/>
          <w:sz w:val="28"/>
          <w:szCs w:val="28"/>
          <w:highlight w:val="none"/>
          <w:lang w:eastAsia="zh-CN"/>
        </w:rPr>
        <w:t>图3：支出决算结构图</w:t>
      </w:r>
    </w:p>
    <w:p>
      <w:pPr>
        <w:spacing w:line="56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黑体" w:cs="Times New Roman"/>
          <w:b w:val="0"/>
          <w:bCs w:val="0"/>
          <w:i w:val="0"/>
          <w:iCs w:val="0"/>
          <w:color w:val="auto"/>
          <w:sz w:val="32"/>
          <w:szCs w:val="32"/>
          <w:highlight w:val="none"/>
        </w:rPr>
        <w:t>四、财</w:t>
      </w:r>
      <w:r>
        <w:rPr>
          <w:rStyle w:val="31"/>
          <w:rFonts w:hint="default" w:ascii="Times New Roman" w:hAnsi="Times New Roman" w:eastAsia="黑体" w:cs="Times New Roman"/>
          <w:b w:val="0"/>
          <w:bCs w:val="0"/>
          <w:i w:val="0"/>
          <w:iCs w:val="0"/>
          <w:color w:val="auto"/>
          <w:highlight w:val="none"/>
        </w:rPr>
        <w:t>政拨款收入支出决算总体情况说明</w:t>
      </w:r>
    </w:p>
    <w:p>
      <w:pPr>
        <w:spacing w:line="600" w:lineRule="exact"/>
        <w:ind w:firstLine="640"/>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2426.87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w:t>
      </w:r>
      <w:r>
        <w:rPr>
          <w:rFonts w:hint="eastAsia" w:eastAsia="仿宋_GB2312" w:cs="仿宋_GB2312"/>
          <w:color w:val="auto"/>
          <w:kern w:val="2"/>
          <w:sz w:val="32"/>
          <w:szCs w:val="32"/>
          <w:highlight w:val="none"/>
          <w:lang w:val="en-US" w:eastAsia="zh-CN" w:bidi="ar-SA"/>
        </w:rPr>
        <w:t>各</w:t>
      </w:r>
      <w:r>
        <w:rPr>
          <w:rFonts w:hint="eastAsia" w:ascii="Times New Roman" w:hAnsi="Times New Roman" w:eastAsia="仿宋_GB2312" w:cs="仿宋_GB2312"/>
          <w:color w:val="auto"/>
          <w:kern w:val="2"/>
          <w:sz w:val="32"/>
          <w:szCs w:val="32"/>
          <w:highlight w:val="none"/>
          <w:lang w:val="en-US" w:eastAsia="zh-CN" w:bidi="ar-SA"/>
        </w:rPr>
        <w:t>减少</w:t>
      </w:r>
      <w:r>
        <w:rPr>
          <w:rFonts w:hint="eastAsia" w:eastAsia="仿宋_GB2312" w:cs="仿宋_GB2312"/>
          <w:color w:val="auto"/>
          <w:sz w:val="32"/>
          <w:szCs w:val="32"/>
          <w:highlight w:val="none"/>
          <w:lang w:val="en-US" w:eastAsia="zh-CN"/>
        </w:rPr>
        <w:t>625.73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20.50</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是农林水支出、城乡社区支出等项目减少。</w:t>
      </w:r>
    </w:p>
    <w:p>
      <w:pPr>
        <w:spacing w:line="600" w:lineRule="exact"/>
        <w:ind w:firstLine="640"/>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drawing>
          <wp:anchor distT="0" distB="0" distL="114300" distR="114300" simplePos="0" relativeHeight="251659264" behindDoc="0" locked="0" layoutInCell="1" allowOverlap="1">
            <wp:simplePos x="0" y="0"/>
            <wp:positionH relativeFrom="column">
              <wp:posOffset>620395</wp:posOffset>
            </wp:positionH>
            <wp:positionV relativeFrom="paragraph">
              <wp:posOffset>99695</wp:posOffset>
            </wp:positionV>
            <wp:extent cx="3870960" cy="2249805"/>
            <wp:effectExtent l="4445" t="4445" r="10795" b="1270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hint="eastAsia" w:eastAsia="仿宋_GB2312" w:cs="仿宋_GB2312"/>
          <w:color w:val="auto"/>
          <w:sz w:val="32"/>
          <w:szCs w:val="32"/>
          <w:highlight w:val="none"/>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0" w:firstLineChars="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1120" w:firstLineChars="400"/>
        <w:rPr>
          <w:rFonts w:hint="eastAsia" w:ascii="Times New Roman" w:hAnsi="Times New Roman" w:eastAsia="仿宋_GB2312" w:cs="仿宋_GB2312"/>
          <w:color w:val="auto"/>
          <w:kern w:val="2"/>
          <w:sz w:val="28"/>
          <w:szCs w:val="28"/>
          <w:highlight w:val="none"/>
          <w:lang w:val="en-US" w:eastAsia="zh-CN" w:bidi="ar-SA"/>
        </w:rPr>
      </w:pPr>
      <w:r>
        <w:rPr>
          <w:rFonts w:hint="eastAsia" w:ascii="Times New Roman" w:hAnsi="Times New Roman" w:eastAsia="仿宋_GB2312" w:cs="仿宋_GB2312"/>
          <w:color w:val="auto"/>
          <w:kern w:val="2"/>
          <w:sz w:val="28"/>
          <w:szCs w:val="28"/>
          <w:highlight w:val="none"/>
          <w:lang w:val="en-US" w:eastAsia="zh-CN" w:bidi="ar-SA"/>
        </w:rPr>
        <w:t>图4：财政拨款收、支决算总计变动情况</w:t>
      </w:r>
    </w:p>
    <w:p>
      <w:pPr>
        <w:spacing w:line="600" w:lineRule="exact"/>
        <w:ind w:firstLine="640" w:firstLineChars="200"/>
        <w:outlineLvl w:val="1"/>
        <w:rPr>
          <w:rStyle w:val="31"/>
          <w:rFonts w:ascii="Times New Roman" w:hAnsi="Times New Roman" w:eastAsia="黑体"/>
          <w:b w:val="0"/>
          <w:color w:val="auto"/>
          <w:highlight w:val="none"/>
        </w:rPr>
      </w:pPr>
      <w:bookmarkStart w:id="39" w:name="_Toc15396607"/>
      <w:bookmarkStart w:id="40" w:name="_Toc18468"/>
      <w:bookmarkStart w:id="41" w:name="_Toc15377209"/>
      <w:bookmarkStart w:id="42" w:name="_Toc24086"/>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9"/>
      <w:bookmarkEnd w:id="40"/>
      <w:bookmarkEnd w:id="41"/>
      <w:bookmarkEnd w:id="42"/>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4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2024年度一般公共预算财政拨款支出2374.72万元，占本年支出合计的</w:t>
      </w:r>
      <w:r>
        <w:rPr>
          <w:rFonts w:hint="eastAsia" w:eastAsia="仿宋_GB2312" w:cs="仿宋_GB2312"/>
          <w:color w:val="auto"/>
          <w:kern w:val="2"/>
          <w:sz w:val="32"/>
          <w:szCs w:val="32"/>
          <w:highlight w:val="none"/>
          <w:lang w:val="en-US" w:eastAsia="zh-CN" w:bidi="ar-SA"/>
        </w:rPr>
        <w:t>97.85</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%。与2023年度相比，一般公共预算财政拨款支出减少</w:t>
      </w:r>
      <w:r>
        <w:rPr>
          <w:rFonts w:hint="eastAsia" w:eastAsia="仿宋_GB2312" w:cs="仿宋_GB2312"/>
          <w:color w:val="auto"/>
          <w:kern w:val="2"/>
          <w:sz w:val="32"/>
          <w:szCs w:val="32"/>
          <w:highlight w:val="none"/>
          <w:lang w:val="en-US" w:eastAsia="zh-CN" w:bidi="ar-SA"/>
        </w:rPr>
        <w:t>85.88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3.49</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是农林水支出、城乡社区支出等项目减少。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306070</wp:posOffset>
            </wp:positionH>
            <wp:positionV relativeFrom="paragraph">
              <wp:posOffset>223520</wp:posOffset>
            </wp:positionV>
            <wp:extent cx="4042410" cy="2401570"/>
            <wp:effectExtent l="5080" t="4445" r="10160" b="1333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28"/>
          <w:szCs w:val="28"/>
          <w:highlight w:val="none"/>
          <w:lang w:val="en-US" w:eastAsia="zh-CN" w:bidi="ar-SA"/>
        </w:rPr>
      </w:pPr>
      <w:r>
        <w:rPr>
          <w:rFonts w:hint="eastAsia" w:ascii="Times New Roman" w:hAnsi="Times New Roman" w:eastAsia="仿宋_GB2312" w:cs="仿宋_GB2312"/>
          <w:color w:val="auto"/>
          <w:kern w:val="2"/>
          <w:sz w:val="28"/>
          <w:szCs w:val="28"/>
          <w:highlight w:val="none"/>
          <w:lang w:val="en-US" w:eastAsia="zh-CN" w:bidi="ar-SA"/>
        </w:rPr>
        <w:t>图5：一般公共预算财政拨款支出决算变动情况</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4"/>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2374.72</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一般公共服务支出862.05万元，占</w:t>
      </w:r>
      <w:r>
        <w:rPr>
          <w:rFonts w:hint="eastAsia" w:eastAsia="仿宋_GB2312" w:cs="仿宋_GB2312"/>
          <w:color w:val="auto"/>
          <w:kern w:val="2"/>
          <w:sz w:val="32"/>
          <w:szCs w:val="32"/>
          <w:highlight w:val="none"/>
          <w:lang w:val="en-US" w:eastAsia="zh-CN" w:bidi="ar-SA"/>
        </w:rPr>
        <w:t>36.30</w:t>
      </w:r>
      <w:r>
        <w:rPr>
          <w:rFonts w:hint="eastAsia" w:ascii="Times New Roman" w:hAnsi="Times New Roman" w:eastAsia="仿宋_GB2312" w:cs="仿宋_GB2312"/>
          <w:color w:val="auto"/>
          <w:kern w:val="2"/>
          <w:sz w:val="32"/>
          <w:szCs w:val="32"/>
          <w:highlight w:val="none"/>
          <w:lang w:val="en-US" w:eastAsia="zh-CN" w:bidi="ar-SA"/>
        </w:rPr>
        <w:t>%；文化旅游体育与传媒支出44.13万元，占</w:t>
      </w:r>
      <w:r>
        <w:rPr>
          <w:rFonts w:hint="eastAsia" w:eastAsia="仿宋_GB2312" w:cs="仿宋_GB2312"/>
          <w:color w:val="auto"/>
          <w:kern w:val="2"/>
          <w:sz w:val="32"/>
          <w:szCs w:val="32"/>
          <w:highlight w:val="none"/>
          <w:lang w:val="en-US" w:eastAsia="zh-CN" w:bidi="ar-SA"/>
        </w:rPr>
        <w:t>1.86</w:t>
      </w:r>
      <w:r>
        <w:rPr>
          <w:rFonts w:hint="eastAsia" w:ascii="Times New Roman" w:hAnsi="Times New Roman" w:eastAsia="仿宋_GB2312" w:cs="仿宋_GB2312"/>
          <w:color w:val="auto"/>
          <w:kern w:val="2"/>
          <w:sz w:val="32"/>
          <w:szCs w:val="32"/>
          <w:highlight w:val="none"/>
          <w:lang w:val="en-US" w:eastAsia="zh-CN" w:bidi="ar-SA"/>
        </w:rPr>
        <w:t>%；社会保障和就业支出330.50万元，占</w:t>
      </w:r>
      <w:r>
        <w:rPr>
          <w:rFonts w:hint="eastAsia" w:eastAsia="仿宋_GB2312" w:cs="仿宋_GB2312"/>
          <w:color w:val="auto"/>
          <w:kern w:val="2"/>
          <w:sz w:val="32"/>
          <w:szCs w:val="32"/>
          <w:highlight w:val="none"/>
          <w:lang w:val="en-US" w:eastAsia="zh-CN" w:bidi="ar-SA"/>
        </w:rPr>
        <w:t>13.92</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70.76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2.98</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93.04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3.92</w:t>
      </w:r>
      <w:r>
        <w:rPr>
          <w:rFonts w:hint="eastAsia" w:ascii="Times New Roman" w:hAnsi="Times New Roman" w:eastAsia="仿宋_GB2312" w:cs="仿宋_GB2312"/>
          <w:color w:val="auto"/>
          <w:kern w:val="2"/>
          <w:sz w:val="32"/>
          <w:szCs w:val="32"/>
          <w:highlight w:val="none"/>
          <w:lang w:val="en-US" w:eastAsia="zh-CN" w:bidi="ar-SA"/>
        </w:rPr>
        <w:t>%；节能环保支出</w:t>
      </w:r>
      <w:r>
        <w:rPr>
          <w:rFonts w:hint="eastAsia" w:eastAsia="仿宋_GB2312" w:cs="仿宋_GB2312"/>
          <w:color w:val="auto"/>
          <w:kern w:val="2"/>
          <w:sz w:val="32"/>
          <w:szCs w:val="32"/>
          <w:highlight w:val="none"/>
          <w:lang w:val="en-US" w:eastAsia="zh-CN" w:bidi="ar-SA"/>
        </w:rPr>
        <w:t>30万元，占1.26%；城乡社区支出27.05万元，占1.14%；农林水支出896.20万元，占37.74%；灾害防治及应急管理支出21万元，占0.88%。</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153670</wp:posOffset>
            </wp:positionH>
            <wp:positionV relativeFrom="paragraph">
              <wp:posOffset>33020</wp:posOffset>
            </wp:positionV>
            <wp:extent cx="5011420" cy="3103880"/>
            <wp:effectExtent l="4445" t="4445" r="13335" b="1587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28"/>
          <w:szCs w:val="28"/>
          <w:highlight w:val="none"/>
          <w:lang w:val="en-US" w:eastAsia="zh-CN" w:bidi="ar-SA"/>
        </w:rPr>
      </w:pPr>
    </w:p>
    <w:p>
      <w:pPr>
        <w:spacing w:line="600" w:lineRule="exact"/>
        <w:ind w:firstLine="1408" w:firstLineChars="503"/>
        <w:rPr>
          <w:rFonts w:hint="eastAsia" w:ascii="Times New Roman" w:hAnsi="Times New Roman" w:eastAsia="仿宋_GB2312" w:cs="仿宋_GB2312"/>
          <w:color w:val="auto"/>
          <w:kern w:val="2"/>
          <w:sz w:val="28"/>
          <w:szCs w:val="28"/>
          <w:highlight w:val="none"/>
          <w:lang w:val="en-US" w:eastAsia="zh-CN" w:bidi="ar-SA"/>
        </w:rPr>
      </w:pPr>
      <w:r>
        <w:rPr>
          <w:rFonts w:hint="eastAsia" w:ascii="Times New Roman" w:hAnsi="Times New Roman" w:eastAsia="仿宋_GB2312" w:cs="仿宋_GB2312"/>
          <w:color w:val="auto"/>
          <w:kern w:val="2"/>
          <w:sz w:val="28"/>
          <w:szCs w:val="28"/>
          <w:highlight w:val="none"/>
          <w:lang w:val="en-US" w:eastAsia="zh-CN" w:bidi="ar-SA"/>
        </w:rPr>
        <w:t>图6：一般公共预算财政拨款支出决算结构</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5"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5"/>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46" w:name="_Toc15378460"/>
      <w:bookmarkStart w:id="47" w:name="_Toc15377444"/>
      <w:bookmarkStart w:id="48" w:name="_Toc15377213"/>
      <w:r>
        <w:rPr>
          <w:rFonts w:hint="default" w:ascii="Times New Roman" w:hAnsi="Times New Roman" w:eastAsia="仿宋_GB2312" w:cs="Times New Roman"/>
          <w:color w:val="auto"/>
          <w:kern w:val="2"/>
          <w:sz w:val="32"/>
          <w:szCs w:val="32"/>
          <w:highlight w:val="none"/>
          <w:lang w:val="en-US" w:eastAsia="zh-CN" w:bidi="ar-SA"/>
        </w:rPr>
        <w:t>2024年度一般公共预算支出决算数为</w:t>
      </w:r>
      <w:r>
        <w:rPr>
          <w:rFonts w:hint="default" w:eastAsia="仿宋_GB2312" w:cs="Times New Roman"/>
          <w:color w:val="auto"/>
          <w:kern w:val="2"/>
          <w:sz w:val="32"/>
          <w:szCs w:val="32"/>
          <w:highlight w:val="none"/>
          <w:lang w:val="en-US" w:eastAsia="zh-CN" w:bidi="ar-SA"/>
        </w:rPr>
        <w:t>2374.72</w:t>
      </w:r>
      <w:r>
        <w:rPr>
          <w:rFonts w:hint="default" w:ascii="Times New Roman" w:hAnsi="Times New Roman" w:eastAsia="仿宋_GB2312" w:cs="Times New Roman"/>
          <w:color w:val="auto"/>
          <w:kern w:val="2"/>
          <w:sz w:val="32"/>
          <w:szCs w:val="32"/>
          <w:highlight w:val="none"/>
          <w:lang w:val="en-US" w:eastAsia="zh-CN" w:bidi="ar-SA"/>
        </w:rPr>
        <w:t>，完成预算</w:t>
      </w:r>
      <w:r>
        <w:rPr>
          <w:rFonts w:hint="default" w:eastAsia="仿宋_GB2312" w:cs="Times New Roman"/>
          <w:color w:val="auto"/>
          <w:kern w:val="2"/>
          <w:sz w:val="32"/>
          <w:szCs w:val="32"/>
          <w:highlight w:val="none"/>
          <w:lang w:val="en-US" w:eastAsia="zh-CN" w:bidi="ar-SA"/>
        </w:rPr>
        <w:t>68.70</w:t>
      </w:r>
      <w:r>
        <w:rPr>
          <w:rFonts w:hint="default" w:ascii="Times New Roman" w:hAnsi="Times New Roman" w:eastAsia="仿宋_GB2312" w:cs="Times New Roman"/>
          <w:color w:val="auto"/>
          <w:kern w:val="2"/>
          <w:sz w:val="32"/>
          <w:szCs w:val="32"/>
          <w:highlight w:val="none"/>
          <w:lang w:val="en-US" w:eastAsia="zh-CN" w:bidi="ar-SA"/>
        </w:rPr>
        <w:t>%。其中：</w:t>
      </w:r>
      <w:bookmarkEnd w:id="46"/>
      <w:bookmarkEnd w:id="47"/>
      <w:bookmarkEnd w:id="48"/>
    </w:p>
    <w:p>
      <w:pPr>
        <w:numPr>
          <w:ilvl w:val="0"/>
          <w:numId w:val="2"/>
        </w:num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一般公共服务（类）人大事务（款）人大监督（项）</w:t>
      </w:r>
      <w:r>
        <w:rPr>
          <w:rFonts w:hint="default"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支出决算为</w:t>
      </w:r>
      <w:r>
        <w:rPr>
          <w:rFonts w:hint="default"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default" w:eastAsia="仿宋_GB2312" w:cs="Times New Roman"/>
          <w:color w:val="auto"/>
          <w:kern w:val="2"/>
          <w:sz w:val="32"/>
          <w:szCs w:val="32"/>
          <w:highlight w:val="none"/>
          <w:lang w:val="en-US" w:eastAsia="zh-CN" w:bidi="ar-SA"/>
        </w:rPr>
        <w:t>。</w:t>
      </w:r>
    </w:p>
    <w:p>
      <w:pPr>
        <w:numPr>
          <w:ilvl w:val="0"/>
          <w:numId w:val="3"/>
        </w:num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一般公共服务（类）人大事务（款）代表工作（项）: 支出决算为</w:t>
      </w:r>
      <w:r>
        <w:rPr>
          <w:rFonts w:hint="default" w:eastAsia="仿宋_GB2312" w:cs="Times New Roman"/>
          <w:color w:val="auto"/>
          <w:kern w:val="2"/>
          <w:sz w:val="32"/>
          <w:szCs w:val="32"/>
          <w:highlight w:val="none"/>
          <w:lang w:val="en-US" w:eastAsia="zh-CN" w:bidi="ar-SA"/>
        </w:rPr>
        <w:t>4.95</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default" w:eastAsia="仿宋_GB2312" w:cs="Times New Roman"/>
          <w:color w:val="auto"/>
          <w:kern w:val="2"/>
          <w:sz w:val="32"/>
          <w:szCs w:val="32"/>
          <w:highlight w:val="none"/>
          <w:lang w:val="en-US" w:eastAsia="zh-CN" w:bidi="ar-SA"/>
        </w:rPr>
        <w:t>。</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w:t>
      </w:r>
      <w:r>
        <w:rPr>
          <w:rStyle w:val="19"/>
          <w:rFonts w:hint="default" w:ascii="Times New Roman" w:hAnsi="Times New Roman" w:eastAsia="仿宋_GB2312" w:cs="Times New Roman"/>
          <w:b w:val="0"/>
          <w:bCs w:val="0"/>
          <w:i w:val="0"/>
          <w:iCs w:val="0"/>
          <w:color w:val="auto"/>
          <w:sz w:val="32"/>
          <w:szCs w:val="32"/>
          <w:highlight w:val="none"/>
        </w:rPr>
        <w:t>一般公共服务（类）政协事务（款）</w:t>
      </w:r>
      <w:r>
        <w:rPr>
          <w:rStyle w:val="19"/>
          <w:rFonts w:hint="default" w:ascii="Times New Roman" w:hAnsi="Times New Roman" w:eastAsia="仿宋_GB2312" w:cs="Times New Roman"/>
          <w:b w:val="0"/>
          <w:bCs w:val="0"/>
          <w:i w:val="0"/>
          <w:iCs w:val="0"/>
          <w:color w:val="auto"/>
          <w:sz w:val="32"/>
          <w:szCs w:val="32"/>
          <w:highlight w:val="none"/>
          <w:lang w:eastAsia="zh-CN"/>
        </w:rPr>
        <w:t>其他</w:t>
      </w:r>
      <w:r>
        <w:rPr>
          <w:rStyle w:val="19"/>
          <w:rFonts w:hint="default" w:ascii="Times New Roman" w:hAnsi="Times New Roman" w:eastAsia="仿宋_GB2312" w:cs="Times New Roman"/>
          <w:b w:val="0"/>
          <w:bCs w:val="0"/>
          <w:i w:val="0"/>
          <w:iCs w:val="0"/>
          <w:color w:val="auto"/>
          <w:sz w:val="32"/>
          <w:szCs w:val="32"/>
          <w:highlight w:val="none"/>
        </w:rPr>
        <w:t>政协事务（项）:</w:t>
      </w:r>
      <w:r>
        <w:rPr>
          <w:rFonts w:hint="default" w:ascii="Times New Roman" w:hAnsi="Times New Roman" w:eastAsia="仿宋_GB2312" w:cs="Times New Roman"/>
          <w:color w:val="auto"/>
          <w:kern w:val="2"/>
          <w:sz w:val="32"/>
          <w:szCs w:val="32"/>
          <w:highlight w:val="none"/>
          <w:lang w:val="en-US" w:eastAsia="zh-CN" w:bidi="ar-SA"/>
        </w:rPr>
        <w:t>支出决算为</w:t>
      </w:r>
      <w:r>
        <w:rPr>
          <w:rFonts w:hint="default"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w:t>
      </w:r>
      <w:r>
        <w:rPr>
          <w:rFonts w:hint="default"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sz w:val="32"/>
          <w:szCs w:val="32"/>
          <w:highlight w:val="none"/>
        </w:rPr>
      </w:pPr>
      <w:r>
        <w:rPr>
          <w:rStyle w:val="19"/>
          <w:rFonts w:hint="default" w:ascii="Times New Roman" w:hAnsi="Times New Roman" w:eastAsia="仿宋_GB2312" w:cs="Times New Roman"/>
          <w:b w:val="0"/>
          <w:bCs w:val="0"/>
          <w:i w:val="0"/>
          <w:iCs w:val="0"/>
          <w:color w:val="auto"/>
          <w:sz w:val="32"/>
          <w:szCs w:val="32"/>
          <w:highlight w:val="none"/>
          <w:lang w:val="en-US" w:eastAsia="zh-CN"/>
        </w:rPr>
        <w:t>4.</w:t>
      </w:r>
      <w:r>
        <w:rPr>
          <w:rStyle w:val="19"/>
          <w:rFonts w:hint="default" w:ascii="Times New Roman" w:hAnsi="Times New Roman" w:eastAsia="仿宋_GB2312" w:cs="Times New Roman"/>
          <w:b w:val="0"/>
          <w:bCs w:val="0"/>
          <w:i w:val="0"/>
          <w:iCs w:val="0"/>
          <w:color w:val="auto"/>
          <w:sz w:val="32"/>
          <w:szCs w:val="32"/>
          <w:highlight w:val="none"/>
        </w:rPr>
        <w:t>一般公共服务（类）政府办公厅（室）及相关机构事务（款）行政运行（项）: 支出决算为</w:t>
      </w:r>
      <w:r>
        <w:rPr>
          <w:rStyle w:val="19"/>
          <w:rFonts w:hint="default" w:ascii="Times New Roman" w:hAnsi="Times New Roman" w:eastAsia="仿宋_GB2312" w:cs="Times New Roman"/>
          <w:b w:val="0"/>
          <w:bCs w:val="0"/>
          <w:i w:val="0"/>
          <w:iCs w:val="0"/>
          <w:color w:val="auto"/>
          <w:sz w:val="32"/>
          <w:szCs w:val="32"/>
          <w:highlight w:val="none"/>
          <w:lang w:val="en-US" w:eastAsia="zh-CN"/>
        </w:rPr>
        <w:t>681.76</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eastAsia="仿宋_GB2312" w:cs="Times New Roman"/>
          <w:b w:val="0"/>
          <w:bCs w:val="0"/>
          <w:i w:val="0"/>
          <w:iCs w:val="0"/>
          <w:color w:val="auto"/>
          <w:sz w:val="32"/>
          <w:szCs w:val="32"/>
          <w:highlight w:val="none"/>
          <w:lang w:val="en-US" w:eastAsia="zh-CN"/>
        </w:rPr>
        <w:t>96.58</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b w:val="0"/>
          <w:bCs/>
          <w:color w:val="auto"/>
          <w:sz w:val="32"/>
          <w:szCs w:val="32"/>
          <w:highlight w:val="none"/>
        </w:rPr>
        <w:t>主要原因是</w:t>
      </w:r>
      <w:r>
        <w:rPr>
          <w:rStyle w:val="19"/>
          <w:rFonts w:hint="default" w:ascii="Times New Roman" w:hAnsi="Times New Roman" w:eastAsia="仿宋_GB2312"/>
          <w:b w:val="0"/>
          <w:bCs/>
          <w:color w:val="auto"/>
          <w:sz w:val="32"/>
          <w:szCs w:val="32"/>
          <w:highlight w:val="none"/>
          <w:lang w:val="en-US" w:eastAsia="zh-CN"/>
        </w:rPr>
        <w:t>厉行节约</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sz w:val="32"/>
          <w:szCs w:val="32"/>
          <w:highlight w:val="none"/>
        </w:rPr>
      </w:pPr>
      <w:r>
        <w:rPr>
          <w:rStyle w:val="19"/>
          <w:rFonts w:hint="default" w:eastAsia="仿宋_GB2312" w:cs="Times New Roman"/>
          <w:b w:val="0"/>
          <w:bCs w:val="0"/>
          <w:i w:val="0"/>
          <w:iCs w:val="0"/>
          <w:color w:val="auto"/>
          <w:sz w:val="32"/>
          <w:szCs w:val="32"/>
          <w:highlight w:val="none"/>
          <w:lang w:val="en-US" w:eastAsia="zh-CN"/>
        </w:rPr>
        <w:t>5</w:t>
      </w:r>
      <w:r>
        <w:rPr>
          <w:rStyle w:val="19"/>
          <w:rFonts w:hint="default" w:ascii="Times New Roman" w:hAnsi="Times New Roman" w:eastAsia="仿宋_GB2312" w:cs="Times New Roman"/>
          <w:b w:val="0"/>
          <w:bCs w:val="0"/>
          <w:i w:val="0"/>
          <w:iCs w:val="0"/>
          <w:color w:val="auto"/>
          <w:sz w:val="32"/>
          <w:szCs w:val="32"/>
          <w:highlight w:val="none"/>
          <w:lang w:val="en-US" w:eastAsia="zh-CN"/>
        </w:rPr>
        <w:t>.</w:t>
      </w:r>
      <w:r>
        <w:rPr>
          <w:rStyle w:val="19"/>
          <w:rFonts w:hint="default" w:ascii="Times New Roman" w:hAnsi="Times New Roman" w:eastAsia="仿宋_GB2312" w:cs="Times New Roman"/>
          <w:b w:val="0"/>
          <w:bCs w:val="0"/>
          <w:i w:val="0"/>
          <w:iCs w:val="0"/>
          <w:color w:val="auto"/>
          <w:sz w:val="32"/>
          <w:szCs w:val="32"/>
          <w:highlight w:val="none"/>
        </w:rPr>
        <w:t>一般公共服务（类）政府办公厅（室）及相关机构事务（款）</w:t>
      </w:r>
      <w:r>
        <w:rPr>
          <w:rStyle w:val="19"/>
          <w:rFonts w:hint="default" w:ascii="Times New Roman" w:hAnsi="Times New Roman" w:eastAsia="仿宋_GB2312" w:cs="Times New Roman"/>
          <w:b w:val="0"/>
          <w:bCs w:val="0"/>
          <w:i w:val="0"/>
          <w:iCs w:val="0"/>
          <w:color w:val="auto"/>
          <w:sz w:val="32"/>
          <w:szCs w:val="32"/>
          <w:highlight w:val="none"/>
          <w:lang w:val="en-US" w:eastAsia="zh-CN"/>
        </w:rPr>
        <w:t>事业运行</w:t>
      </w:r>
      <w:r>
        <w:rPr>
          <w:rStyle w:val="19"/>
          <w:rFonts w:hint="default" w:ascii="Times New Roman" w:hAnsi="Times New Roman" w:eastAsia="仿宋_GB2312" w:cs="Times New Roman"/>
          <w:b w:val="0"/>
          <w:bCs w:val="0"/>
          <w:i w:val="0"/>
          <w:iCs w:val="0"/>
          <w:color w:val="auto"/>
          <w:sz w:val="32"/>
          <w:szCs w:val="32"/>
          <w:highlight w:val="none"/>
        </w:rPr>
        <w:t>（项）: 支出决算为</w:t>
      </w:r>
      <w:r>
        <w:rPr>
          <w:rStyle w:val="19"/>
          <w:rFonts w:hint="default" w:ascii="Times New Roman" w:hAnsi="Times New Roman" w:eastAsia="仿宋_GB2312" w:cs="Times New Roman"/>
          <w:b w:val="0"/>
          <w:bCs w:val="0"/>
          <w:i w:val="0"/>
          <w:iCs w:val="0"/>
          <w:color w:val="auto"/>
          <w:sz w:val="32"/>
          <w:szCs w:val="32"/>
          <w:highlight w:val="none"/>
          <w:lang w:val="en-US" w:eastAsia="zh-CN"/>
        </w:rPr>
        <w:t>119.65</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eastAsia="仿宋_GB2312" w:cs="Times New Roman"/>
          <w:b w:val="0"/>
          <w:bCs w:val="0"/>
          <w:i w:val="0"/>
          <w:iCs w:val="0"/>
          <w:color w:val="auto"/>
          <w:sz w:val="32"/>
          <w:szCs w:val="32"/>
          <w:highlight w:val="none"/>
          <w:lang w:eastAsia="zh-CN"/>
        </w:rPr>
      </w:pPr>
      <w:r>
        <w:rPr>
          <w:rStyle w:val="19"/>
          <w:rFonts w:hint="default" w:eastAsia="仿宋_GB2312" w:cs="Times New Roman"/>
          <w:b w:val="0"/>
          <w:bCs w:val="0"/>
          <w:i w:val="0"/>
          <w:iCs w:val="0"/>
          <w:color w:val="auto"/>
          <w:sz w:val="32"/>
          <w:szCs w:val="32"/>
          <w:highlight w:val="none"/>
          <w:lang w:val="en-US" w:eastAsia="zh-CN"/>
        </w:rPr>
        <w:t>6</w:t>
      </w:r>
      <w:r>
        <w:rPr>
          <w:rStyle w:val="19"/>
          <w:rFonts w:hint="default" w:ascii="Times New Roman" w:hAnsi="Times New Roman" w:eastAsia="仿宋_GB2312" w:cs="Times New Roman"/>
          <w:b w:val="0"/>
          <w:bCs w:val="0"/>
          <w:i w:val="0"/>
          <w:iCs w:val="0"/>
          <w:color w:val="auto"/>
          <w:sz w:val="32"/>
          <w:szCs w:val="32"/>
          <w:highlight w:val="none"/>
          <w:lang w:val="en-US" w:eastAsia="zh-CN"/>
        </w:rPr>
        <w:t>.</w:t>
      </w:r>
      <w:r>
        <w:rPr>
          <w:rStyle w:val="19"/>
          <w:rFonts w:hint="default" w:ascii="Times New Roman" w:hAnsi="Times New Roman" w:eastAsia="仿宋_GB2312" w:cs="Times New Roman"/>
          <w:b w:val="0"/>
          <w:bCs w:val="0"/>
          <w:i w:val="0"/>
          <w:iCs w:val="0"/>
          <w:color w:val="auto"/>
          <w:sz w:val="32"/>
          <w:szCs w:val="32"/>
          <w:highlight w:val="none"/>
        </w:rPr>
        <w:t>一般公共服务（类）政府办公厅（室）及相关机构事务（款）其他政府办公厅（室）及相关机构事务（项）: 支出决算为</w:t>
      </w:r>
      <w:r>
        <w:rPr>
          <w:rStyle w:val="19"/>
          <w:rFonts w:hint="default" w:ascii="Times New Roman" w:hAnsi="Times New Roman" w:eastAsia="仿宋_GB2312" w:cs="Times New Roman"/>
          <w:b w:val="0"/>
          <w:bCs w:val="0"/>
          <w:i w:val="0"/>
          <w:iCs w:val="0"/>
          <w:color w:val="auto"/>
          <w:sz w:val="32"/>
          <w:szCs w:val="32"/>
          <w:highlight w:val="none"/>
          <w:lang w:val="en-US" w:eastAsia="zh-CN"/>
        </w:rPr>
        <w:t>21.78</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eastAsia="仿宋_GB2312" w:cs="Times New Roman"/>
          <w:b w:val="0"/>
          <w:bCs w:val="0"/>
          <w:i w:val="0"/>
          <w:iCs w:val="0"/>
          <w:color w:val="auto"/>
          <w:sz w:val="32"/>
          <w:szCs w:val="32"/>
          <w:highlight w:val="none"/>
          <w:lang w:eastAsia="zh-CN"/>
        </w:rPr>
      </w:pPr>
      <w:r>
        <w:rPr>
          <w:rStyle w:val="19"/>
          <w:rFonts w:hint="default" w:eastAsia="仿宋_GB2312" w:cs="Times New Roman"/>
          <w:b w:val="0"/>
          <w:bCs w:val="0"/>
          <w:i w:val="0"/>
          <w:iCs w:val="0"/>
          <w:color w:val="auto"/>
          <w:sz w:val="32"/>
          <w:szCs w:val="32"/>
          <w:highlight w:val="none"/>
          <w:lang w:val="en-US" w:eastAsia="zh-CN"/>
        </w:rPr>
        <w:t>7</w:t>
      </w:r>
      <w:r>
        <w:rPr>
          <w:rStyle w:val="19"/>
          <w:rFonts w:hint="default" w:ascii="Times New Roman" w:hAnsi="Times New Roman" w:eastAsia="仿宋_GB2312" w:cs="Times New Roman"/>
          <w:b w:val="0"/>
          <w:bCs w:val="0"/>
          <w:i w:val="0"/>
          <w:iCs w:val="0"/>
          <w:color w:val="auto"/>
          <w:sz w:val="32"/>
          <w:szCs w:val="32"/>
          <w:highlight w:val="none"/>
          <w:lang w:val="en-US" w:eastAsia="zh-CN"/>
        </w:rPr>
        <w:t>.一</w:t>
      </w:r>
      <w:r>
        <w:rPr>
          <w:rStyle w:val="19"/>
          <w:rFonts w:hint="default" w:ascii="Times New Roman" w:hAnsi="Times New Roman" w:eastAsia="仿宋_GB2312" w:cs="Times New Roman"/>
          <w:b w:val="0"/>
          <w:bCs w:val="0"/>
          <w:i w:val="0"/>
          <w:iCs w:val="0"/>
          <w:color w:val="auto"/>
          <w:sz w:val="32"/>
          <w:szCs w:val="32"/>
          <w:highlight w:val="none"/>
        </w:rPr>
        <w:t>般公共服务（类）统计信息事务（款）其他统计信息事务（项）: 支出决算为</w:t>
      </w:r>
      <w:r>
        <w:rPr>
          <w:rStyle w:val="19"/>
          <w:rFonts w:hint="default" w:ascii="Times New Roman" w:hAnsi="Times New Roman" w:eastAsia="仿宋_GB2312" w:cs="Times New Roman"/>
          <w:b w:val="0"/>
          <w:bCs w:val="0"/>
          <w:i w:val="0"/>
          <w:iCs w:val="0"/>
          <w:color w:val="auto"/>
          <w:sz w:val="32"/>
          <w:szCs w:val="32"/>
          <w:highlight w:val="none"/>
          <w:lang w:val="en-US" w:eastAsia="zh-CN"/>
        </w:rPr>
        <w:t>2</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eastAsia="仿宋_GB2312" w:cs="Times New Roman"/>
          <w:b w:val="0"/>
          <w:bCs w:val="0"/>
          <w:i w:val="0"/>
          <w:iCs w:val="0"/>
          <w:color w:val="auto"/>
          <w:sz w:val="32"/>
          <w:szCs w:val="32"/>
          <w:highlight w:val="none"/>
          <w:lang w:val="en-US" w:eastAsia="zh-CN"/>
        </w:rPr>
      </w:pPr>
      <w:r>
        <w:rPr>
          <w:rStyle w:val="19"/>
          <w:rFonts w:hint="default" w:eastAsia="仿宋_GB2312" w:cs="Times New Roman"/>
          <w:b w:val="0"/>
          <w:bCs w:val="0"/>
          <w:i w:val="0"/>
          <w:iCs w:val="0"/>
          <w:color w:val="auto"/>
          <w:kern w:val="2"/>
          <w:sz w:val="32"/>
          <w:szCs w:val="32"/>
          <w:highlight w:val="none"/>
          <w:lang w:val="en-US" w:eastAsia="zh-CN" w:bidi="ar-SA"/>
        </w:rPr>
        <w:t>8</w:t>
      </w:r>
      <w:r>
        <w:rPr>
          <w:rStyle w:val="19"/>
          <w:rFonts w:hint="default" w:ascii="Times New Roman" w:hAnsi="Times New Roman" w:eastAsia="仿宋_GB2312" w:cs="Times New Roman"/>
          <w:b w:val="0"/>
          <w:bCs w:val="0"/>
          <w:i w:val="0"/>
          <w:iCs w:val="0"/>
          <w:color w:val="auto"/>
          <w:kern w:val="2"/>
          <w:sz w:val="32"/>
          <w:szCs w:val="32"/>
          <w:highlight w:val="none"/>
          <w:lang w:val="en-US" w:eastAsia="zh-CN" w:bidi="ar-SA"/>
        </w:rPr>
        <w:t>.一般公共服务（类）财政事务（款）行政运行（项）: 支出决算为</w:t>
      </w:r>
      <w:r>
        <w:rPr>
          <w:rStyle w:val="19"/>
          <w:rFonts w:hint="default" w:eastAsia="仿宋_GB2312" w:cs="Times New Roman"/>
          <w:b w:val="0"/>
          <w:bCs w:val="0"/>
          <w:i w:val="0"/>
          <w:iCs w:val="0"/>
          <w:color w:val="auto"/>
          <w:kern w:val="2"/>
          <w:sz w:val="32"/>
          <w:szCs w:val="32"/>
          <w:highlight w:val="none"/>
          <w:lang w:val="en-US" w:eastAsia="zh-CN" w:bidi="ar-SA"/>
        </w:rPr>
        <w:t>19.91</w:t>
      </w:r>
      <w:r>
        <w:rPr>
          <w:rStyle w:val="19"/>
          <w:rFonts w:hint="default" w:ascii="Times New Roman" w:hAnsi="Times New Roman" w:eastAsia="仿宋_GB2312" w:cs="Times New Roman"/>
          <w:b w:val="0"/>
          <w:bCs w:val="0"/>
          <w:i w:val="0"/>
          <w:iCs w:val="0"/>
          <w:color w:val="auto"/>
          <w:kern w:val="2"/>
          <w:sz w:val="32"/>
          <w:szCs w:val="32"/>
          <w:highlight w:val="none"/>
          <w:lang w:val="en-US" w:eastAsia="zh-CN" w:bidi="ar-SA"/>
        </w:rPr>
        <w:t>万元，完成预算</w:t>
      </w:r>
      <w:r>
        <w:rPr>
          <w:rStyle w:val="19"/>
          <w:rFonts w:hint="default" w:eastAsia="仿宋_GB2312" w:cs="Times New Roman"/>
          <w:b w:val="0"/>
          <w:bCs w:val="0"/>
          <w:i w:val="0"/>
          <w:iCs w:val="0"/>
          <w:color w:val="auto"/>
          <w:kern w:val="2"/>
          <w:sz w:val="32"/>
          <w:szCs w:val="32"/>
          <w:highlight w:val="none"/>
          <w:lang w:val="en-US" w:eastAsia="zh-CN" w:bidi="ar-SA"/>
        </w:rPr>
        <w:t>97.22</w:t>
      </w:r>
      <w:r>
        <w:rPr>
          <w:rStyle w:val="19"/>
          <w:rFonts w:hint="default" w:ascii="Times New Roman" w:hAnsi="Times New Roman" w:eastAsia="仿宋_GB2312" w:cs="Times New Roman"/>
          <w:b w:val="0"/>
          <w:bCs w:val="0"/>
          <w:i w:val="0"/>
          <w:iCs w:val="0"/>
          <w:color w:val="auto"/>
          <w:kern w:val="2"/>
          <w:sz w:val="32"/>
          <w:szCs w:val="32"/>
          <w:highlight w:val="none"/>
          <w:lang w:val="en-US" w:eastAsia="zh-CN" w:bidi="ar-SA"/>
        </w:rPr>
        <w:t>%</w:t>
      </w:r>
      <w:r>
        <w:rPr>
          <w:rStyle w:val="19"/>
          <w:rFonts w:hint="default"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b w:val="0"/>
          <w:bCs/>
          <w:color w:val="auto"/>
          <w:sz w:val="32"/>
          <w:szCs w:val="32"/>
          <w:highlight w:val="none"/>
        </w:rPr>
        <w:t>主要原因是</w:t>
      </w:r>
      <w:r>
        <w:rPr>
          <w:rStyle w:val="19"/>
          <w:rFonts w:hint="default" w:ascii="Times New Roman" w:hAnsi="Times New Roman" w:eastAsia="仿宋_GB2312"/>
          <w:b w:val="0"/>
          <w:bCs/>
          <w:color w:val="auto"/>
          <w:sz w:val="32"/>
          <w:szCs w:val="32"/>
          <w:highlight w:val="none"/>
          <w:lang w:val="en-US" w:eastAsia="zh-CN"/>
        </w:rPr>
        <w:t>厉行节约。</w:t>
      </w:r>
    </w:p>
    <w:p>
      <w:pPr>
        <w:spacing w:line="560" w:lineRule="exact"/>
        <w:ind w:firstLine="640" w:firstLineChars="200"/>
        <w:rPr>
          <w:rFonts w:hint="default" w:ascii="Times New Roman" w:hAnsi="Times New Roman" w:eastAsia="仿宋_GB2312" w:cs="Times New Roman"/>
          <w:sz w:val="32"/>
          <w:szCs w:val="32"/>
          <w:lang w:val="en-US" w:eastAsia="zh-CN"/>
        </w:rPr>
      </w:pPr>
      <w:r>
        <w:rPr>
          <w:rStyle w:val="19"/>
          <w:rFonts w:hint="default" w:ascii="Times New Roman" w:hAnsi="Times New Roman" w:eastAsia="仿宋_GB2312" w:cs="Times New Roman"/>
          <w:b w:val="0"/>
          <w:bCs w:val="0"/>
          <w:i w:val="0"/>
          <w:iCs w:val="0"/>
          <w:color w:val="auto"/>
          <w:sz w:val="32"/>
          <w:szCs w:val="32"/>
          <w:highlight w:val="none"/>
          <w:lang w:val="en-US" w:eastAsia="zh-CN"/>
        </w:rPr>
        <w:t>9.</w:t>
      </w:r>
      <w:r>
        <w:rPr>
          <w:rFonts w:hint="default" w:ascii="Times New Roman" w:hAnsi="Times New Roman" w:eastAsia="仿宋_GB2312" w:cs="Times New Roman"/>
          <w:color w:val="auto"/>
          <w:kern w:val="2"/>
          <w:sz w:val="32"/>
          <w:szCs w:val="32"/>
          <w:highlight w:val="none"/>
          <w:lang w:val="en-US" w:eastAsia="zh-CN" w:bidi="ar-SA"/>
        </w:rPr>
        <w:t>一般公共服务（类）信访事务（款）其他信访事务支出（项）：8万元，完成预算100%。</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kern w:val="2"/>
          <w:sz w:val="32"/>
          <w:szCs w:val="32"/>
          <w:highlight w:val="none"/>
          <w:lang w:val="en-US" w:eastAsia="zh-CN" w:bidi="ar-SA"/>
        </w:rPr>
      </w:pPr>
      <w:r>
        <w:rPr>
          <w:rStyle w:val="19"/>
          <w:rFonts w:hint="default" w:eastAsia="仿宋_GB2312" w:cs="Times New Roman"/>
          <w:b w:val="0"/>
          <w:bCs w:val="0"/>
          <w:i w:val="0"/>
          <w:iCs w:val="0"/>
          <w:color w:val="auto"/>
          <w:sz w:val="32"/>
          <w:szCs w:val="32"/>
          <w:highlight w:val="none"/>
          <w:lang w:val="en-US" w:eastAsia="zh-CN"/>
        </w:rPr>
        <w:t>10</w:t>
      </w:r>
      <w:r>
        <w:rPr>
          <w:rStyle w:val="19"/>
          <w:rFonts w:hint="default" w:ascii="Times New Roman" w:hAnsi="Times New Roman" w:eastAsia="仿宋_GB2312" w:cs="Times New Roman"/>
          <w:b w:val="0"/>
          <w:bCs w:val="0"/>
          <w:i w:val="0"/>
          <w:iCs w:val="0"/>
          <w:color w:val="auto"/>
          <w:sz w:val="32"/>
          <w:szCs w:val="32"/>
          <w:highlight w:val="none"/>
        </w:rPr>
        <w:t>.文化旅游体育与传媒（类）</w:t>
      </w:r>
      <w:r>
        <w:rPr>
          <w:rStyle w:val="19"/>
          <w:rFonts w:hint="default" w:eastAsia="仿宋_GB2312" w:cs="Times New Roman"/>
          <w:b w:val="0"/>
          <w:bCs w:val="0"/>
          <w:i w:val="0"/>
          <w:iCs w:val="0"/>
          <w:color w:val="auto"/>
          <w:sz w:val="32"/>
          <w:szCs w:val="32"/>
          <w:highlight w:val="none"/>
          <w:lang w:eastAsia="zh-CN"/>
        </w:rPr>
        <w:t>文化和旅游</w:t>
      </w:r>
      <w:r>
        <w:rPr>
          <w:rStyle w:val="19"/>
          <w:rFonts w:hint="default" w:ascii="Times New Roman" w:hAnsi="Times New Roman" w:eastAsia="仿宋_GB2312" w:cs="Times New Roman"/>
          <w:b w:val="0"/>
          <w:bCs w:val="0"/>
          <w:i w:val="0"/>
          <w:iCs w:val="0"/>
          <w:color w:val="auto"/>
          <w:sz w:val="32"/>
          <w:szCs w:val="32"/>
          <w:highlight w:val="none"/>
        </w:rPr>
        <w:t>（款）</w:t>
      </w:r>
      <w:r>
        <w:rPr>
          <w:rStyle w:val="19"/>
          <w:rFonts w:hint="default" w:eastAsia="仿宋_GB2312" w:cs="Times New Roman"/>
          <w:b w:val="0"/>
          <w:bCs w:val="0"/>
          <w:i w:val="0"/>
          <w:iCs w:val="0"/>
          <w:color w:val="auto"/>
          <w:sz w:val="32"/>
          <w:szCs w:val="32"/>
          <w:highlight w:val="none"/>
          <w:lang w:eastAsia="zh-CN"/>
        </w:rPr>
        <w:t>其他文化和旅游</w:t>
      </w:r>
      <w:r>
        <w:rPr>
          <w:rStyle w:val="19"/>
          <w:rFonts w:hint="default" w:ascii="Times New Roman" w:hAnsi="Times New Roman" w:eastAsia="仿宋_GB2312" w:cs="Times New Roman"/>
          <w:b w:val="0"/>
          <w:bCs w:val="0"/>
          <w:i w:val="0"/>
          <w:iCs w:val="0"/>
          <w:color w:val="auto"/>
          <w:kern w:val="2"/>
          <w:sz w:val="32"/>
          <w:szCs w:val="32"/>
          <w:highlight w:val="none"/>
          <w:lang w:val="en-US" w:eastAsia="zh-CN" w:bidi="ar-SA"/>
        </w:rPr>
        <w:t>（项）：支出决算为44.13万元，完成预算100%</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kern w:val="2"/>
          <w:sz w:val="32"/>
          <w:szCs w:val="32"/>
          <w:highlight w:val="none"/>
          <w:lang w:val="en-US" w:eastAsia="zh-CN" w:bidi="ar-SA"/>
        </w:rPr>
      </w:pPr>
      <w:r>
        <w:rPr>
          <w:rStyle w:val="19"/>
          <w:rFonts w:hint="default" w:ascii="Times New Roman" w:hAnsi="Times New Roman" w:eastAsia="仿宋_GB2312" w:cs="Times New Roman"/>
          <w:b w:val="0"/>
          <w:bCs w:val="0"/>
          <w:i w:val="0"/>
          <w:iCs w:val="0"/>
          <w:color w:val="auto"/>
          <w:kern w:val="2"/>
          <w:sz w:val="32"/>
          <w:szCs w:val="32"/>
          <w:highlight w:val="none"/>
          <w:lang w:val="en-US" w:eastAsia="zh-CN" w:bidi="ar-SA"/>
        </w:rPr>
        <w:t>11.社会保障和就业（类）行政事业单位养老（款）</w:t>
      </w:r>
      <w:r>
        <w:rPr>
          <w:rStyle w:val="19"/>
          <w:rFonts w:hint="default" w:eastAsia="仿宋_GB2312" w:cs="Times New Roman"/>
          <w:b w:val="0"/>
          <w:bCs w:val="0"/>
          <w:i w:val="0"/>
          <w:iCs w:val="0"/>
          <w:color w:val="auto"/>
          <w:kern w:val="2"/>
          <w:sz w:val="32"/>
          <w:szCs w:val="32"/>
          <w:highlight w:val="none"/>
          <w:lang w:val="en-US" w:eastAsia="zh-CN" w:bidi="ar-SA"/>
        </w:rPr>
        <w:t>行政单位离退休</w:t>
      </w:r>
      <w:r>
        <w:rPr>
          <w:rStyle w:val="19"/>
          <w:rFonts w:hint="default" w:ascii="Times New Roman" w:hAnsi="Times New Roman" w:eastAsia="仿宋_GB2312" w:cs="Times New Roman"/>
          <w:b w:val="0"/>
          <w:bCs w:val="0"/>
          <w:i w:val="0"/>
          <w:iCs w:val="0"/>
          <w:color w:val="auto"/>
          <w:kern w:val="2"/>
          <w:sz w:val="32"/>
          <w:szCs w:val="32"/>
          <w:highlight w:val="none"/>
          <w:lang w:val="en-US" w:eastAsia="zh-CN" w:bidi="ar-SA"/>
        </w:rPr>
        <w:t>（项）：支出决算为</w:t>
      </w:r>
      <w:r>
        <w:rPr>
          <w:rStyle w:val="19"/>
          <w:rFonts w:hint="default" w:eastAsia="仿宋_GB2312" w:cs="Times New Roman"/>
          <w:b w:val="0"/>
          <w:bCs w:val="0"/>
          <w:i w:val="0"/>
          <w:iCs w:val="0"/>
          <w:color w:val="auto"/>
          <w:kern w:val="2"/>
          <w:sz w:val="32"/>
          <w:szCs w:val="32"/>
          <w:highlight w:val="none"/>
          <w:lang w:val="en-US" w:eastAsia="zh-CN" w:bidi="ar-SA"/>
        </w:rPr>
        <w:t>177.33</w:t>
      </w:r>
      <w:r>
        <w:rPr>
          <w:rStyle w:val="19"/>
          <w:rFonts w:hint="default" w:ascii="Times New Roman" w:hAnsi="Times New Roman" w:eastAsia="仿宋_GB2312" w:cs="Times New Roman"/>
          <w:b w:val="0"/>
          <w:bCs w:val="0"/>
          <w:i w:val="0"/>
          <w:iCs w:val="0"/>
          <w:color w:val="auto"/>
          <w:kern w:val="2"/>
          <w:sz w:val="32"/>
          <w:szCs w:val="32"/>
          <w:highlight w:val="none"/>
          <w:lang w:val="en-US" w:eastAsia="zh-CN" w:bidi="ar-SA"/>
        </w:rPr>
        <w:t>万元，完成预算100%</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sz w:val="32"/>
          <w:szCs w:val="32"/>
          <w:highlight w:val="none"/>
        </w:rPr>
      </w:pPr>
      <w:r>
        <w:rPr>
          <w:rStyle w:val="19"/>
          <w:rFonts w:hint="default" w:eastAsia="仿宋_GB2312" w:cs="Times New Roman"/>
          <w:b w:val="0"/>
          <w:bCs w:val="0"/>
          <w:i w:val="0"/>
          <w:iCs w:val="0"/>
          <w:color w:val="auto"/>
          <w:sz w:val="32"/>
          <w:szCs w:val="32"/>
          <w:highlight w:val="none"/>
          <w:lang w:val="en-US" w:eastAsia="zh-CN"/>
        </w:rPr>
        <w:t>12</w:t>
      </w:r>
      <w:r>
        <w:rPr>
          <w:rStyle w:val="19"/>
          <w:rFonts w:hint="default" w:ascii="Times New Roman" w:hAnsi="Times New Roman" w:eastAsia="仿宋_GB2312" w:cs="Times New Roman"/>
          <w:b w:val="0"/>
          <w:bCs w:val="0"/>
          <w:i w:val="0"/>
          <w:iCs w:val="0"/>
          <w:color w:val="auto"/>
          <w:sz w:val="32"/>
          <w:szCs w:val="32"/>
          <w:highlight w:val="none"/>
        </w:rPr>
        <w:t>.社会保障和就业（类）</w:t>
      </w:r>
      <w:r>
        <w:rPr>
          <w:rStyle w:val="19"/>
          <w:rFonts w:hint="default" w:eastAsia="仿宋_GB2312" w:cs="Times New Roman"/>
          <w:b w:val="0"/>
          <w:bCs w:val="0"/>
          <w:i w:val="0"/>
          <w:iCs w:val="0"/>
          <w:color w:val="auto"/>
          <w:sz w:val="32"/>
          <w:szCs w:val="32"/>
          <w:highlight w:val="none"/>
          <w:lang w:eastAsia="zh-CN"/>
        </w:rPr>
        <w:t>行政事业单位养老</w:t>
      </w:r>
      <w:r>
        <w:rPr>
          <w:rStyle w:val="19"/>
          <w:rFonts w:hint="default" w:ascii="Times New Roman" w:hAnsi="Times New Roman" w:eastAsia="仿宋_GB2312" w:cs="Times New Roman"/>
          <w:b w:val="0"/>
          <w:bCs w:val="0"/>
          <w:i w:val="0"/>
          <w:iCs w:val="0"/>
          <w:color w:val="auto"/>
          <w:sz w:val="32"/>
          <w:szCs w:val="32"/>
          <w:highlight w:val="none"/>
        </w:rPr>
        <w:t>（款）</w:t>
      </w:r>
      <w:r>
        <w:rPr>
          <w:rStyle w:val="19"/>
          <w:rFonts w:hint="default" w:eastAsia="仿宋_GB2312" w:cs="Times New Roman"/>
          <w:b w:val="0"/>
          <w:bCs w:val="0"/>
          <w:i w:val="0"/>
          <w:iCs w:val="0"/>
          <w:color w:val="auto"/>
          <w:sz w:val="32"/>
          <w:szCs w:val="32"/>
          <w:highlight w:val="none"/>
          <w:lang w:eastAsia="zh-CN"/>
        </w:rPr>
        <w:t>机关事业单位基本养老保险缴费</w:t>
      </w:r>
      <w:r>
        <w:rPr>
          <w:rStyle w:val="19"/>
          <w:rFonts w:hint="default" w:ascii="Times New Roman" w:hAnsi="Times New Roman" w:eastAsia="仿宋_GB2312" w:cs="Times New Roman"/>
          <w:b w:val="0"/>
          <w:bCs w:val="0"/>
          <w:i w:val="0"/>
          <w:iCs w:val="0"/>
          <w:color w:val="auto"/>
          <w:sz w:val="32"/>
          <w:szCs w:val="32"/>
          <w:highlight w:val="none"/>
        </w:rPr>
        <w:t>（项）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default" w:eastAsia="仿宋_GB2312" w:cs="Times New Roman"/>
          <w:b w:val="0"/>
          <w:bCs w:val="0"/>
          <w:i w:val="0"/>
          <w:iCs w:val="0"/>
          <w:color w:val="auto"/>
          <w:sz w:val="32"/>
          <w:szCs w:val="32"/>
          <w:highlight w:val="none"/>
          <w:lang w:val="en-US" w:eastAsia="zh-CN"/>
        </w:rPr>
        <w:t>113.06</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eastAsia="仿宋_GB2312" w:cs="Times New Roman"/>
          <w:b w:val="0"/>
          <w:bCs w:val="0"/>
          <w:i w:val="0"/>
          <w:iCs w:val="0"/>
          <w:color w:val="auto"/>
          <w:sz w:val="32"/>
          <w:szCs w:val="32"/>
          <w:highlight w:val="none"/>
          <w:lang w:eastAsia="zh-CN"/>
        </w:rPr>
      </w:pPr>
      <w:r>
        <w:rPr>
          <w:rStyle w:val="19"/>
          <w:rFonts w:hint="default" w:eastAsia="仿宋_GB2312" w:cs="Times New Roman"/>
          <w:b w:val="0"/>
          <w:bCs w:val="0"/>
          <w:i w:val="0"/>
          <w:iCs w:val="0"/>
          <w:color w:val="auto"/>
          <w:sz w:val="32"/>
          <w:szCs w:val="32"/>
          <w:highlight w:val="none"/>
          <w:lang w:val="en-US" w:eastAsia="zh-CN"/>
        </w:rPr>
        <w:t>13</w:t>
      </w:r>
      <w:r>
        <w:rPr>
          <w:rStyle w:val="19"/>
          <w:rFonts w:hint="default" w:ascii="Times New Roman" w:hAnsi="Times New Roman" w:eastAsia="仿宋_GB2312" w:cs="Times New Roman"/>
          <w:b w:val="0"/>
          <w:bCs w:val="0"/>
          <w:i w:val="0"/>
          <w:iCs w:val="0"/>
          <w:color w:val="auto"/>
          <w:sz w:val="32"/>
          <w:szCs w:val="32"/>
          <w:highlight w:val="none"/>
        </w:rPr>
        <w:t>.社会保障和就业（类）</w:t>
      </w:r>
      <w:r>
        <w:rPr>
          <w:rStyle w:val="19"/>
          <w:rFonts w:hint="default" w:eastAsia="仿宋_GB2312" w:cs="Times New Roman"/>
          <w:b w:val="0"/>
          <w:bCs w:val="0"/>
          <w:i w:val="0"/>
          <w:iCs w:val="0"/>
          <w:color w:val="auto"/>
          <w:sz w:val="32"/>
          <w:szCs w:val="32"/>
          <w:highlight w:val="none"/>
          <w:lang w:eastAsia="zh-CN"/>
        </w:rPr>
        <w:t>行政事业单位养老</w:t>
      </w:r>
      <w:r>
        <w:rPr>
          <w:rStyle w:val="19"/>
          <w:rFonts w:hint="default" w:ascii="Times New Roman" w:hAnsi="Times New Roman" w:eastAsia="仿宋_GB2312" w:cs="Times New Roman"/>
          <w:b w:val="0"/>
          <w:bCs w:val="0"/>
          <w:i w:val="0"/>
          <w:iCs w:val="0"/>
          <w:color w:val="auto"/>
          <w:sz w:val="32"/>
          <w:szCs w:val="32"/>
          <w:highlight w:val="none"/>
        </w:rPr>
        <w:t>（款）</w:t>
      </w:r>
      <w:r>
        <w:rPr>
          <w:rStyle w:val="19"/>
          <w:rFonts w:hint="default" w:eastAsia="仿宋_GB2312" w:cs="Times New Roman"/>
          <w:b w:val="0"/>
          <w:bCs w:val="0"/>
          <w:i w:val="0"/>
          <w:iCs w:val="0"/>
          <w:color w:val="auto"/>
          <w:sz w:val="32"/>
          <w:szCs w:val="32"/>
          <w:highlight w:val="none"/>
          <w:lang w:eastAsia="zh-CN"/>
        </w:rPr>
        <w:t>其他行政事业单位养老</w:t>
      </w:r>
      <w:r>
        <w:rPr>
          <w:rStyle w:val="19"/>
          <w:rFonts w:hint="default" w:ascii="Times New Roman" w:hAnsi="Times New Roman" w:eastAsia="仿宋_GB2312" w:cs="Times New Roman"/>
          <w:b w:val="0"/>
          <w:bCs w:val="0"/>
          <w:i w:val="0"/>
          <w:iCs w:val="0"/>
          <w:color w:val="auto"/>
          <w:sz w:val="32"/>
          <w:szCs w:val="32"/>
          <w:highlight w:val="none"/>
        </w:rPr>
        <w:t>（项）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default" w:eastAsia="仿宋_GB2312" w:cs="Times New Roman"/>
          <w:b w:val="0"/>
          <w:bCs w:val="0"/>
          <w:i w:val="0"/>
          <w:iCs w:val="0"/>
          <w:color w:val="auto"/>
          <w:sz w:val="32"/>
          <w:szCs w:val="32"/>
          <w:highlight w:val="none"/>
          <w:lang w:val="en-US" w:eastAsia="zh-CN"/>
        </w:rPr>
        <w:t>9</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p>
    <w:p>
      <w:pPr>
        <w:pStyle w:val="9"/>
        <w:ind w:firstLine="640" w:firstLineChars="200"/>
        <w:rPr>
          <w:rFonts w:hint="default" w:ascii="Times New Roman" w:eastAsia="仿宋_GB2312"/>
          <w:color w:val="auto"/>
          <w:sz w:val="32"/>
          <w:szCs w:val="32"/>
          <w:lang w:val="en-US" w:eastAsia="zh-CN"/>
        </w:rPr>
      </w:pPr>
      <w:r>
        <w:rPr>
          <w:rStyle w:val="19"/>
          <w:rFonts w:hint="default" w:ascii="Times New Roman" w:cs="Times New Roman"/>
          <w:b w:val="0"/>
          <w:bCs w:val="0"/>
          <w:i w:val="0"/>
          <w:iCs w:val="0"/>
          <w:color w:val="auto"/>
          <w:sz w:val="32"/>
          <w:szCs w:val="32"/>
          <w:highlight w:val="none"/>
          <w:lang w:val="en-US" w:eastAsia="zh-CN"/>
        </w:rPr>
        <w:t>14.社会保障和就业支出</w:t>
      </w:r>
      <w:r>
        <w:rPr>
          <w:rStyle w:val="19"/>
          <w:rFonts w:hint="default" w:ascii="Times New Roman" w:hAnsi="Times New Roman" w:eastAsia="仿宋_GB2312" w:cs="Times New Roman"/>
          <w:b w:val="0"/>
          <w:bCs w:val="0"/>
          <w:i w:val="0"/>
          <w:iCs w:val="0"/>
          <w:color w:val="auto"/>
          <w:sz w:val="32"/>
          <w:szCs w:val="32"/>
          <w:highlight w:val="none"/>
        </w:rPr>
        <w:t>（类）抚恤</w:t>
      </w:r>
      <w:r>
        <w:rPr>
          <w:rStyle w:val="19"/>
          <w:rFonts w:hint="default" w:ascii="Times New Roman" w:cs="Times New Roman"/>
          <w:b w:val="0"/>
          <w:bCs w:val="0"/>
          <w:i w:val="0"/>
          <w:iCs w:val="0"/>
          <w:color w:val="auto"/>
          <w:sz w:val="32"/>
          <w:szCs w:val="32"/>
          <w:highlight w:val="none"/>
          <w:lang w:eastAsia="zh-CN"/>
        </w:rPr>
        <w:t>（</w:t>
      </w:r>
      <w:r>
        <w:rPr>
          <w:rStyle w:val="19"/>
          <w:rFonts w:hint="default" w:ascii="Times New Roman" w:cs="Times New Roman"/>
          <w:b w:val="0"/>
          <w:bCs w:val="0"/>
          <w:i w:val="0"/>
          <w:iCs w:val="0"/>
          <w:color w:val="auto"/>
          <w:sz w:val="32"/>
          <w:szCs w:val="32"/>
          <w:highlight w:val="none"/>
          <w:lang w:val="en-US" w:eastAsia="zh-CN"/>
        </w:rPr>
        <w:t>款</w:t>
      </w:r>
      <w:r>
        <w:rPr>
          <w:rStyle w:val="19"/>
          <w:rFonts w:hint="default" w:ascii="Times New Roman" w:cs="Times New Roman"/>
          <w:b w:val="0"/>
          <w:bCs w:val="0"/>
          <w:i w:val="0"/>
          <w:iCs w:val="0"/>
          <w:color w:val="auto"/>
          <w:sz w:val="32"/>
          <w:szCs w:val="32"/>
          <w:highlight w:val="none"/>
          <w:lang w:eastAsia="zh-CN"/>
        </w:rPr>
        <w:t>）</w:t>
      </w:r>
      <w:r>
        <w:rPr>
          <w:rStyle w:val="19"/>
          <w:rFonts w:hint="default" w:ascii="Times New Roman" w:cs="Times New Roman"/>
          <w:b w:val="0"/>
          <w:bCs w:val="0"/>
          <w:i w:val="0"/>
          <w:iCs w:val="0"/>
          <w:color w:val="auto"/>
          <w:sz w:val="32"/>
          <w:szCs w:val="32"/>
          <w:highlight w:val="none"/>
          <w:lang w:val="en-US" w:eastAsia="zh-CN"/>
        </w:rPr>
        <w:t>死亡抚恤（项）：支出决算为29.03万元</w:t>
      </w:r>
      <w:r>
        <w:rPr>
          <w:rStyle w:val="19"/>
          <w:rFonts w:hint="eastAsia" w:ascii="Times New Roman" w:cs="Times New Roman"/>
          <w:b w:val="0"/>
          <w:bCs w:val="0"/>
          <w:i w:val="0"/>
          <w:iCs w:val="0"/>
          <w:color w:val="auto"/>
          <w:sz w:val="32"/>
          <w:szCs w:val="32"/>
          <w:highlight w:val="none"/>
          <w:lang w:val="en-US" w:eastAsia="zh-CN"/>
        </w:rPr>
        <w:t>，完成预算100%。</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eastAsia="仿宋_GB2312"/>
          <w:sz w:val="32"/>
          <w:szCs w:val="32"/>
        </w:rPr>
      </w:pPr>
      <w:r>
        <w:rPr>
          <w:rStyle w:val="19"/>
          <w:rFonts w:hint="default" w:eastAsia="仿宋_GB2312" w:cs="Times New Roman"/>
          <w:b w:val="0"/>
          <w:bCs w:val="0"/>
          <w:i w:val="0"/>
          <w:iCs w:val="0"/>
          <w:color w:val="auto"/>
          <w:sz w:val="32"/>
          <w:szCs w:val="32"/>
          <w:highlight w:val="none"/>
          <w:lang w:val="en-US" w:eastAsia="zh-CN"/>
        </w:rPr>
        <w:t>15</w:t>
      </w:r>
      <w:r>
        <w:rPr>
          <w:rStyle w:val="19"/>
          <w:rFonts w:hint="default" w:ascii="Times New Roman" w:hAnsi="Times New Roman" w:eastAsia="仿宋_GB2312" w:cs="Times New Roman"/>
          <w:b w:val="0"/>
          <w:bCs w:val="0"/>
          <w:i w:val="0"/>
          <w:iCs w:val="0"/>
          <w:color w:val="auto"/>
          <w:sz w:val="32"/>
          <w:szCs w:val="32"/>
          <w:highlight w:val="none"/>
        </w:rPr>
        <w:t>.社会保障和就业（类）</w:t>
      </w:r>
      <w:r>
        <w:rPr>
          <w:rStyle w:val="19"/>
          <w:rFonts w:hint="default" w:eastAsia="仿宋_GB2312" w:cs="Times New Roman"/>
          <w:b w:val="0"/>
          <w:bCs w:val="0"/>
          <w:i w:val="0"/>
          <w:iCs w:val="0"/>
          <w:color w:val="auto"/>
          <w:sz w:val="32"/>
          <w:szCs w:val="32"/>
          <w:highlight w:val="none"/>
          <w:lang w:eastAsia="zh-CN"/>
        </w:rPr>
        <w:t>其他</w:t>
      </w:r>
      <w:r>
        <w:rPr>
          <w:rStyle w:val="19"/>
          <w:rFonts w:hint="default" w:ascii="Times New Roman" w:hAnsi="Times New Roman" w:eastAsia="仿宋_GB2312" w:cs="Times New Roman"/>
          <w:b w:val="0"/>
          <w:bCs w:val="0"/>
          <w:i w:val="0"/>
          <w:iCs w:val="0"/>
          <w:color w:val="auto"/>
          <w:sz w:val="32"/>
          <w:szCs w:val="32"/>
          <w:highlight w:val="none"/>
        </w:rPr>
        <w:t>社会保障和就业（款）</w:t>
      </w:r>
      <w:r>
        <w:rPr>
          <w:rStyle w:val="19"/>
          <w:rFonts w:hint="default" w:eastAsia="仿宋_GB2312" w:cs="Times New Roman"/>
          <w:b w:val="0"/>
          <w:bCs w:val="0"/>
          <w:i w:val="0"/>
          <w:iCs w:val="0"/>
          <w:color w:val="auto"/>
          <w:sz w:val="32"/>
          <w:szCs w:val="32"/>
          <w:highlight w:val="none"/>
          <w:lang w:eastAsia="zh-CN"/>
        </w:rPr>
        <w:t>其他</w:t>
      </w:r>
      <w:r>
        <w:rPr>
          <w:rStyle w:val="19"/>
          <w:rFonts w:hint="default" w:ascii="Times New Roman" w:hAnsi="Times New Roman" w:eastAsia="仿宋_GB2312" w:cs="Times New Roman"/>
          <w:b w:val="0"/>
          <w:bCs w:val="0"/>
          <w:i w:val="0"/>
          <w:iCs w:val="0"/>
          <w:color w:val="auto"/>
          <w:sz w:val="32"/>
          <w:szCs w:val="32"/>
          <w:highlight w:val="none"/>
        </w:rPr>
        <w:t>社会保障和就业（项）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default" w:eastAsia="仿宋_GB2312" w:cs="Times New Roman"/>
          <w:b w:val="0"/>
          <w:bCs w:val="0"/>
          <w:i w:val="0"/>
          <w:iCs w:val="0"/>
          <w:color w:val="auto"/>
          <w:sz w:val="32"/>
          <w:szCs w:val="32"/>
          <w:highlight w:val="none"/>
          <w:lang w:val="en-US" w:eastAsia="zh-CN"/>
        </w:rPr>
        <w:t>2.08</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eastAsia="仿宋_GB2312" w:cs="Times New Roman"/>
          <w:b w:val="0"/>
          <w:bCs w:val="0"/>
          <w:i w:val="0"/>
          <w:iCs w:val="0"/>
          <w:color w:val="auto"/>
          <w:sz w:val="32"/>
          <w:szCs w:val="32"/>
          <w:highlight w:val="none"/>
          <w:lang w:val="en-US" w:eastAsia="zh-CN"/>
        </w:rPr>
        <w:t>30.54</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b w:val="0"/>
          <w:bCs/>
          <w:color w:val="auto"/>
          <w:sz w:val="32"/>
          <w:szCs w:val="32"/>
          <w:highlight w:val="none"/>
        </w:rPr>
        <w:t>主要原因是</w:t>
      </w:r>
      <w:r>
        <w:rPr>
          <w:rStyle w:val="19"/>
          <w:rFonts w:hint="default" w:ascii="Times New Roman" w:hAnsi="Times New Roman" w:eastAsia="仿宋_GB2312"/>
          <w:b w:val="0"/>
          <w:bCs/>
          <w:color w:val="auto"/>
          <w:sz w:val="32"/>
          <w:szCs w:val="32"/>
          <w:highlight w:val="none"/>
          <w:lang w:val="en-US" w:eastAsia="zh-CN"/>
        </w:rPr>
        <w:t>厉行节约</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sz w:val="32"/>
          <w:szCs w:val="32"/>
          <w:highlight w:val="none"/>
        </w:rPr>
      </w:pPr>
      <w:r>
        <w:rPr>
          <w:rStyle w:val="19"/>
          <w:rFonts w:hint="default" w:eastAsia="仿宋_GB2312" w:cs="Times New Roman"/>
          <w:b w:val="0"/>
          <w:bCs w:val="0"/>
          <w:i w:val="0"/>
          <w:iCs w:val="0"/>
          <w:color w:val="auto"/>
          <w:sz w:val="32"/>
          <w:szCs w:val="32"/>
          <w:highlight w:val="none"/>
          <w:lang w:val="en-US" w:eastAsia="zh-CN"/>
        </w:rPr>
        <w:t>16</w:t>
      </w:r>
      <w:r>
        <w:rPr>
          <w:rStyle w:val="19"/>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卫生健康</w:t>
      </w:r>
      <w:r>
        <w:rPr>
          <w:rStyle w:val="19"/>
          <w:rFonts w:hint="default" w:ascii="Times New Roman" w:hAnsi="Times New Roman" w:eastAsia="仿宋_GB2312" w:cs="Times New Roman"/>
          <w:b w:val="0"/>
          <w:bCs w:val="0"/>
          <w:i w:val="0"/>
          <w:iCs w:val="0"/>
          <w:color w:val="auto"/>
          <w:sz w:val="32"/>
          <w:szCs w:val="32"/>
          <w:highlight w:val="none"/>
        </w:rPr>
        <w:t>（类）</w:t>
      </w:r>
      <w:r>
        <w:rPr>
          <w:rStyle w:val="19"/>
          <w:rFonts w:hint="default" w:eastAsia="仿宋_GB2312" w:cs="Times New Roman"/>
          <w:b w:val="0"/>
          <w:bCs w:val="0"/>
          <w:i w:val="0"/>
          <w:iCs w:val="0"/>
          <w:color w:val="auto"/>
          <w:sz w:val="32"/>
          <w:szCs w:val="32"/>
          <w:highlight w:val="none"/>
          <w:lang w:eastAsia="zh-CN"/>
        </w:rPr>
        <w:t>行政事业单位医疗</w:t>
      </w:r>
      <w:r>
        <w:rPr>
          <w:rStyle w:val="19"/>
          <w:rFonts w:hint="default" w:ascii="Times New Roman" w:hAnsi="Times New Roman" w:eastAsia="仿宋_GB2312" w:cs="Times New Roman"/>
          <w:b w:val="0"/>
          <w:bCs w:val="0"/>
          <w:i w:val="0"/>
          <w:iCs w:val="0"/>
          <w:color w:val="auto"/>
          <w:sz w:val="32"/>
          <w:szCs w:val="32"/>
          <w:highlight w:val="none"/>
        </w:rPr>
        <w:t>（款）</w:t>
      </w:r>
      <w:r>
        <w:rPr>
          <w:rStyle w:val="19"/>
          <w:rFonts w:hint="default" w:eastAsia="仿宋_GB2312" w:cs="Times New Roman"/>
          <w:b w:val="0"/>
          <w:bCs w:val="0"/>
          <w:i w:val="0"/>
          <w:iCs w:val="0"/>
          <w:color w:val="auto"/>
          <w:sz w:val="32"/>
          <w:szCs w:val="32"/>
          <w:highlight w:val="none"/>
          <w:lang w:eastAsia="zh-CN"/>
        </w:rPr>
        <w:t>行政单位医疗</w:t>
      </w:r>
      <w:r>
        <w:rPr>
          <w:rStyle w:val="19"/>
          <w:rFonts w:hint="default" w:ascii="Times New Roman" w:hAnsi="Times New Roman" w:eastAsia="仿宋_GB2312" w:cs="Times New Roman"/>
          <w:b w:val="0"/>
          <w:bCs w:val="0"/>
          <w:i w:val="0"/>
          <w:iCs w:val="0"/>
          <w:color w:val="auto"/>
          <w:sz w:val="32"/>
          <w:szCs w:val="32"/>
          <w:highlight w:val="none"/>
        </w:rPr>
        <w:t>（项）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default" w:eastAsia="仿宋_GB2312" w:cs="Times New Roman"/>
          <w:b w:val="0"/>
          <w:bCs w:val="0"/>
          <w:i w:val="0"/>
          <w:iCs w:val="0"/>
          <w:color w:val="auto"/>
          <w:sz w:val="32"/>
          <w:szCs w:val="32"/>
          <w:highlight w:val="none"/>
          <w:lang w:val="en-US" w:eastAsia="zh-CN"/>
        </w:rPr>
        <w:t>36.21</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eastAsia="仿宋_GB2312" w:cs="Times New Roman"/>
          <w:b w:val="0"/>
          <w:bCs w:val="0"/>
          <w:i w:val="0"/>
          <w:iCs w:val="0"/>
          <w:color w:val="auto"/>
          <w:sz w:val="32"/>
          <w:szCs w:val="32"/>
          <w:highlight w:val="none"/>
          <w:lang w:val="en-US" w:eastAsia="zh-CN"/>
        </w:rPr>
        <w:t>93.06</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b w:val="0"/>
          <w:bCs/>
          <w:color w:val="auto"/>
          <w:sz w:val="32"/>
          <w:szCs w:val="32"/>
          <w:highlight w:val="none"/>
        </w:rPr>
        <w:t>主要原因是</w:t>
      </w:r>
      <w:r>
        <w:rPr>
          <w:rStyle w:val="19"/>
          <w:rFonts w:hint="default" w:eastAsia="仿宋_GB2312" w:cs="Times New Roman"/>
          <w:b w:val="0"/>
          <w:bCs w:val="0"/>
          <w:i w:val="0"/>
          <w:iCs w:val="0"/>
          <w:color w:val="auto"/>
          <w:sz w:val="32"/>
          <w:szCs w:val="32"/>
          <w:highlight w:val="none"/>
          <w:lang w:val="en-US" w:eastAsia="zh-CN"/>
        </w:rPr>
        <w:t>厉行节约</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sz w:val="32"/>
          <w:szCs w:val="32"/>
          <w:highlight w:val="none"/>
        </w:rPr>
      </w:pPr>
      <w:r>
        <w:rPr>
          <w:rStyle w:val="19"/>
          <w:rFonts w:hint="default" w:eastAsia="仿宋_GB2312" w:cs="Times New Roman"/>
          <w:b w:val="0"/>
          <w:bCs w:val="0"/>
          <w:i w:val="0"/>
          <w:iCs w:val="0"/>
          <w:color w:val="auto"/>
          <w:sz w:val="32"/>
          <w:szCs w:val="32"/>
          <w:highlight w:val="none"/>
          <w:lang w:val="en-US" w:eastAsia="zh-CN"/>
        </w:rPr>
        <w:t>17</w:t>
      </w:r>
      <w:r>
        <w:rPr>
          <w:rStyle w:val="19"/>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卫生健康</w:t>
      </w:r>
      <w:r>
        <w:rPr>
          <w:rStyle w:val="19"/>
          <w:rFonts w:hint="default" w:ascii="Times New Roman" w:hAnsi="Times New Roman" w:eastAsia="仿宋_GB2312" w:cs="Times New Roman"/>
          <w:b w:val="0"/>
          <w:bCs w:val="0"/>
          <w:i w:val="0"/>
          <w:iCs w:val="0"/>
          <w:color w:val="auto"/>
          <w:sz w:val="32"/>
          <w:szCs w:val="32"/>
          <w:highlight w:val="none"/>
        </w:rPr>
        <w:t>（类）</w:t>
      </w:r>
      <w:r>
        <w:rPr>
          <w:rStyle w:val="19"/>
          <w:rFonts w:hint="default" w:eastAsia="仿宋_GB2312" w:cs="Times New Roman"/>
          <w:b w:val="0"/>
          <w:bCs w:val="0"/>
          <w:i w:val="0"/>
          <w:iCs w:val="0"/>
          <w:color w:val="auto"/>
          <w:sz w:val="32"/>
          <w:szCs w:val="32"/>
          <w:highlight w:val="none"/>
          <w:lang w:eastAsia="zh-CN"/>
        </w:rPr>
        <w:t>行政事业单位医疗</w:t>
      </w:r>
      <w:r>
        <w:rPr>
          <w:rStyle w:val="19"/>
          <w:rFonts w:hint="default" w:ascii="Times New Roman" w:hAnsi="Times New Roman" w:eastAsia="仿宋_GB2312" w:cs="Times New Roman"/>
          <w:b w:val="0"/>
          <w:bCs w:val="0"/>
          <w:i w:val="0"/>
          <w:iCs w:val="0"/>
          <w:color w:val="auto"/>
          <w:sz w:val="32"/>
          <w:szCs w:val="32"/>
          <w:highlight w:val="none"/>
        </w:rPr>
        <w:t>（款）</w:t>
      </w:r>
      <w:r>
        <w:rPr>
          <w:rStyle w:val="19"/>
          <w:rFonts w:hint="default" w:eastAsia="仿宋_GB2312" w:cs="Times New Roman"/>
          <w:b w:val="0"/>
          <w:bCs w:val="0"/>
          <w:i w:val="0"/>
          <w:iCs w:val="0"/>
          <w:color w:val="auto"/>
          <w:sz w:val="32"/>
          <w:szCs w:val="32"/>
          <w:highlight w:val="none"/>
          <w:lang w:eastAsia="zh-CN"/>
        </w:rPr>
        <w:t>事业单位医疗</w:t>
      </w:r>
      <w:r>
        <w:rPr>
          <w:rStyle w:val="19"/>
          <w:rFonts w:hint="default" w:ascii="Times New Roman" w:hAnsi="Times New Roman" w:eastAsia="仿宋_GB2312" w:cs="Times New Roman"/>
          <w:b w:val="0"/>
          <w:bCs w:val="0"/>
          <w:i w:val="0"/>
          <w:iCs w:val="0"/>
          <w:color w:val="auto"/>
          <w:sz w:val="32"/>
          <w:szCs w:val="32"/>
          <w:highlight w:val="none"/>
        </w:rPr>
        <w:t>（项）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default" w:eastAsia="仿宋_GB2312" w:cs="Times New Roman"/>
          <w:b w:val="0"/>
          <w:bCs w:val="0"/>
          <w:i w:val="0"/>
          <w:iCs w:val="0"/>
          <w:color w:val="auto"/>
          <w:sz w:val="32"/>
          <w:szCs w:val="32"/>
          <w:highlight w:val="none"/>
          <w:lang w:val="en-US" w:eastAsia="zh-CN"/>
        </w:rPr>
        <w:t>14.09</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eastAsia="仿宋_GB2312" w:cs="Times New Roman"/>
          <w:b w:val="0"/>
          <w:bCs w:val="0"/>
          <w:i w:val="0"/>
          <w:iCs w:val="0"/>
          <w:color w:val="auto"/>
          <w:sz w:val="32"/>
          <w:szCs w:val="32"/>
          <w:highlight w:val="none"/>
          <w:lang w:val="en-US" w:eastAsia="zh-CN"/>
        </w:rPr>
        <w:t>93.50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b w:val="0"/>
          <w:bCs/>
          <w:color w:val="auto"/>
          <w:sz w:val="32"/>
          <w:szCs w:val="32"/>
          <w:highlight w:val="none"/>
        </w:rPr>
        <w:t>主要原因是</w:t>
      </w:r>
      <w:r>
        <w:rPr>
          <w:rStyle w:val="19"/>
          <w:rFonts w:hint="default" w:eastAsia="仿宋_GB2312" w:cs="Times New Roman"/>
          <w:b w:val="0"/>
          <w:bCs w:val="0"/>
          <w:i w:val="0"/>
          <w:iCs w:val="0"/>
          <w:color w:val="auto"/>
          <w:sz w:val="32"/>
          <w:szCs w:val="32"/>
          <w:highlight w:val="none"/>
          <w:lang w:val="en-US" w:eastAsia="zh-CN"/>
        </w:rPr>
        <w:t>厉行节约</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sz w:val="32"/>
          <w:szCs w:val="32"/>
          <w:highlight w:val="none"/>
        </w:rPr>
      </w:pPr>
      <w:r>
        <w:rPr>
          <w:rStyle w:val="19"/>
          <w:rFonts w:hint="default" w:eastAsia="仿宋_GB2312" w:cs="Times New Roman"/>
          <w:b w:val="0"/>
          <w:bCs w:val="0"/>
          <w:i w:val="0"/>
          <w:iCs w:val="0"/>
          <w:color w:val="auto"/>
          <w:sz w:val="32"/>
          <w:szCs w:val="32"/>
          <w:highlight w:val="none"/>
          <w:lang w:val="en-US" w:eastAsia="zh-CN"/>
        </w:rPr>
        <w:t>18</w:t>
      </w:r>
      <w:r>
        <w:rPr>
          <w:rStyle w:val="19"/>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卫生健康</w:t>
      </w:r>
      <w:r>
        <w:rPr>
          <w:rStyle w:val="19"/>
          <w:rFonts w:hint="default" w:ascii="Times New Roman" w:hAnsi="Times New Roman" w:eastAsia="仿宋_GB2312" w:cs="Times New Roman"/>
          <w:b w:val="0"/>
          <w:bCs w:val="0"/>
          <w:i w:val="0"/>
          <w:iCs w:val="0"/>
          <w:color w:val="auto"/>
          <w:sz w:val="32"/>
          <w:szCs w:val="32"/>
          <w:highlight w:val="none"/>
        </w:rPr>
        <w:t>（类）</w:t>
      </w:r>
      <w:r>
        <w:rPr>
          <w:rStyle w:val="19"/>
          <w:rFonts w:hint="default" w:eastAsia="仿宋_GB2312" w:cs="Times New Roman"/>
          <w:b w:val="0"/>
          <w:bCs w:val="0"/>
          <w:i w:val="0"/>
          <w:iCs w:val="0"/>
          <w:color w:val="auto"/>
          <w:sz w:val="32"/>
          <w:szCs w:val="32"/>
          <w:highlight w:val="none"/>
          <w:lang w:eastAsia="zh-CN"/>
        </w:rPr>
        <w:t>行政事业单位医疗</w:t>
      </w:r>
      <w:r>
        <w:rPr>
          <w:rStyle w:val="19"/>
          <w:rFonts w:hint="default" w:ascii="Times New Roman" w:hAnsi="Times New Roman" w:eastAsia="仿宋_GB2312" w:cs="Times New Roman"/>
          <w:b w:val="0"/>
          <w:bCs w:val="0"/>
          <w:i w:val="0"/>
          <w:iCs w:val="0"/>
          <w:color w:val="auto"/>
          <w:sz w:val="32"/>
          <w:szCs w:val="32"/>
          <w:highlight w:val="none"/>
        </w:rPr>
        <w:t>（款）</w:t>
      </w:r>
      <w:r>
        <w:rPr>
          <w:rStyle w:val="19"/>
          <w:rFonts w:hint="default" w:eastAsia="仿宋_GB2312" w:cs="Times New Roman"/>
          <w:b w:val="0"/>
          <w:bCs w:val="0"/>
          <w:i w:val="0"/>
          <w:iCs w:val="0"/>
          <w:color w:val="auto"/>
          <w:sz w:val="32"/>
          <w:szCs w:val="32"/>
          <w:highlight w:val="none"/>
          <w:lang w:eastAsia="zh-CN"/>
        </w:rPr>
        <w:t>公务员医疗补助</w:t>
      </w:r>
      <w:r>
        <w:rPr>
          <w:rStyle w:val="19"/>
          <w:rFonts w:hint="default" w:ascii="Times New Roman" w:hAnsi="Times New Roman" w:eastAsia="仿宋_GB2312" w:cs="Times New Roman"/>
          <w:b w:val="0"/>
          <w:bCs w:val="0"/>
          <w:i w:val="0"/>
          <w:iCs w:val="0"/>
          <w:color w:val="auto"/>
          <w:sz w:val="32"/>
          <w:szCs w:val="32"/>
          <w:highlight w:val="none"/>
        </w:rPr>
        <w:t>（项）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default" w:eastAsia="仿宋_GB2312" w:cs="Times New Roman"/>
          <w:b w:val="0"/>
          <w:bCs w:val="0"/>
          <w:i w:val="0"/>
          <w:iCs w:val="0"/>
          <w:color w:val="auto"/>
          <w:sz w:val="32"/>
          <w:szCs w:val="32"/>
          <w:highlight w:val="none"/>
          <w:lang w:val="en-US" w:eastAsia="zh-CN"/>
        </w:rPr>
        <w:t>20.46</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eastAsia="仿宋_GB2312" w:cs="Times New Roman"/>
          <w:b w:val="0"/>
          <w:bCs w:val="0"/>
          <w:i w:val="0"/>
          <w:iCs w:val="0"/>
          <w:color w:val="auto"/>
          <w:sz w:val="32"/>
          <w:szCs w:val="32"/>
          <w:highlight w:val="none"/>
          <w:lang w:val="en-US" w:eastAsia="zh-CN"/>
        </w:rPr>
        <w:t>89.58</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b w:val="0"/>
          <w:bCs/>
          <w:color w:val="auto"/>
          <w:sz w:val="32"/>
          <w:szCs w:val="32"/>
          <w:highlight w:val="none"/>
        </w:rPr>
        <w:t>主要原因是</w:t>
      </w:r>
      <w:r>
        <w:rPr>
          <w:rStyle w:val="19"/>
          <w:rFonts w:hint="default" w:eastAsia="仿宋_GB2312" w:cs="Times New Roman"/>
          <w:b w:val="0"/>
          <w:bCs w:val="0"/>
          <w:i w:val="0"/>
          <w:iCs w:val="0"/>
          <w:color w:val="auto"/>
          <w:sz w:val="32"/>
          <w:szCs w:val="32"/>
          <w:highlight w:val="none"/>
          <w:lang w:val="en-US" w:eastAsia="zh-CN"/>
        </w:rPr>
        <w:t>厉行节约</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eastAsia="仿宋_GB2312" w:cs="Times New Roman"/>
          <w:b w:val="0"/>
          <w:bCs w:val="0"/>
          <w:i w:val="0"/>
          <w:iCs w:val="0"/>
          <w:color w:val="auto"/>
          <w:sz w:val="32"/>
          <w:szCs w:val="32"/>
          <w:highlight w:val="none"/>
          <w:lang w:eastAsia="zh-CN"/>
        </w:rPr>
      </w:pPr>
      <w:r>
        <w:rPr>
          <w:rStyle w:val="19"/>
          <w:rFonts w:hint="default" w:eastAsia="仿宋_GB2312" w:cs="Times New Roman"/>
          <w:b w:val="0"/>
          <w:bCs w:val="0"/>
          <w:i w:val="0"/>
          <w:iCs w:val="0"/>
          <w:color w:val="auto"/>
          <w:sz w:val="32"/>
          <w:szCs w:val="32"/>
          <w:highlight w:val="none"/>
          <w:lang w:val="en-US" w:eastAsia="zh-CN"/>
        </w:rPr>
        <w:t>19</w:t>
      </w:r>
      <w:r>
        <w:rPr>
          <w:rStyle w:val="19"/>
          <w:rFonts w:hint="default" w:ascii="Times New Roman" w:hAnsi="Times New Roman" w:eastAsia="仿宋_GB2312" w:cs="Times New Roman"/>
          <w:b w:val="0"/>
          <w:bCs w:val="0"/>
          <w:i w:val="0"/>
          <w:iCs w:val="0"/>
          <w:color w:val="auto"/>
          <w:sz w:val="32"/>
          <w:szCs w:val="32"/>
          <w:highlight w:val="none"/>
        </w:rPr>
        <w:t>.</w:t>
      </w:r>
      <w:r>
        <w:rPr>
          <w:rFonts w:hint="default" w:eastAsia="仿宋_GB2312" w:cs="Times New Roman"/>
          <w:b w:val="0"/>
          <w:bCs w:val="0"/>
          <w:i w:val="0"/>
          <w:iCs w:val="0"/>
          <w:color w:val="auto"/>
          <w:sz w:val="32"/>
          <w:szCs w:val="32"/>
          <w:highlight w:val="none"/>
          <w:lang w:eastAsia="zh-CN"/>
        </w:rPr>
        <w:t>节能环保</w:t>
      </w:r>
      <w:r>
        <w:rPr>
          <w:rStyle w:val="19"/>
          <w:rFonts w:hint="default" w:ascii="Times New Roman" w:hAnsi="Times New Roman" w:eastAsia="仿宋_GB2312" w:cs="Times New Roman"/>
          <w:b w:val="0"/>
          <w:bCs w:val="0"/>
          <w:i w:val="0"/>
          <w:iCs w:val="0"/>
          <w:color w:val="auto"/>
          <w:sz w:val="32"/>
          <w:szCs w:val="32"/>
          <w:highlight w:val="none"/>
        </w:rPr>
        <w:t>（类）</w:t>
      </w:r>
      <w:r>
        <w:rPr>
          <w:rStyle w:val="19"/>
          <w:rFonts w:hint="default" w:eastAsia="仿宋_GB2312" w:cs="Times New Roman"/>
          <w:b w:val="0"/>
          <w:bCs w:val="0"/>
          <w:i w:val="0"/>
          <w:iCs w:val="0"/>
          <w:color w:val="auto"/>
          <w:sz w:val="32"/>
          <w:szCs w:val="32"/>
          <w:highlight w:val="none"/>
          <w:lang w:eastAsia="zh-CN"/>
        </w:rPr>
        <w:t>污染防治</w:t>
      </w:r>
      <w:r>
        <w:rPr>
          <w:rStyle w:val="19"/>
          <w:rFonts w:hint="default" w:ascii="Times New Roman" w:hAnsi="Times New Roman" w:eastAsia="仿宋_GB2312" w:cs="Times New Roman"/>
          <w:b w:val="0"/>
          <w:bCs w:val="0"/>
          <w:i w:val="0"/>
          <w:iCs w:val="0"/>
          <w:color w:val="auto"/>
          <w:sz w:val="32"/>
          <w:szCs w:val="32"/>
          <w:highlight w:val="none"/>
        </w:rPr>
        <w:t>（款）</w:t>
      </w:r>
      <w:r>
        <w:rPr>
          <w:rStyle w:val="19"/>
          <w:rFonts w:hint="default" w:eastAsia="仿宋_GB2312" w:cs="Times New Roman"/>
          <w:b w:val="0"/>
          <w:bCs w:val="0"/>
          <w:i w:val="0"/>
          <w:iCs w:val="0"/>
          <w:color w:val="auto"/>
          <w:sz w:val="32"/>
          <w:szCs w:val="32"/>
          <w:highlight w:val="none"/>
          <w:lang w:eastAsia="zh-CN"/>
        </w:rPr>
        <w:t>水体</w:t>
      </w:r>
      <w:r>
        <w:rPr>
          <w:rStyle w:val="19"/>
          <w:rFonts w:hint="default" w:ascii="Times New Roman" w:hAnsi="Times New Roman" w:eastAsia="仿宋_GB2312" w:cs="Times New Roman"/>
          <w:b w:val="0"/>
          <w:bCs w:val="0"/>
          <w:i w:val="0"/>
          <w:iCs w:val="0"/>
          <w:color w:val="auto"/>
          <w:sz w:val="32"/>
          <w:szCs w:val="32"/>
          <w:highlight w:val="none"/>
        </w:rPr>
        <w:t>（项）</w:t>
      </w:r>
      <w:r>
        <w:rPr>
          <w:rStyle w:val="19"/>
          <w:rFonts w:hint="default" w:ascii="Times New Roman" w:hAnsi="Times New Roman"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cs="Times New Roman"/>
          <w:b w:val="0"/>
          <w:bCs w:val="0"/>
          <w:i w:val="0"/>
          <w:iCs w:val="0"/>
          <w:color w:val="auto"/>
          <w:sz w:val="32"/>
          <w:szCs w:val="32"/>
          <w:highlight w:val="none"/>
        </w:rPr>
        <w:t>支出决算为</w:t>
      </w:r>
      <w:r>
        <w:rPr>
          <w:rStyle w:val="19"/>
          <w:rFonts w:hint="default" w:eastAsia="仿宋_GB2312" w:cs="Times New Roman"/>
          <w:b w:val="0"/>
          <w:bCs w:val="0"/>
          <w:i w:val="0"/>
          <w:iCs w:val="0"/>
          <w:color w:val="auto"/>
          <w:sz w:val="32"/>
          <w:szCs w:val="32"/>
          <w:highlight w:val="none"/>
          <w:lang w:val="en-US" w:eastAsia="zh-CN"/>
        </w:rPr>
        <w:t>30</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eastAsia="仿宋_GB2312" w:cs="Times New Roman"/>
          <w:b w:val="0"/>
          <w:bCs w:val="0"/>
          <w:i w:val="0"/>
          <w:iCs w:val="0"/>
          <w:color w:val="auto"/>
          <w:sz w:val="32"/>
          <w:szCs w:val="32"/>
          <w:highlight w:val="none"/>
          <w:lang w:val="en-US" w:eastAsia="zh-CN"/>
        </w:rPr>
        <w:t>20</w:t>
      </w:r>
      <w:r>
        <w:rPr>
          <w:rFonts w:hint="default" w:ascii="Times New Roman" w:hAnsi="Times New Roman" w:eastAsia="仿宋_GB2312" w:cs="Times New Roman"/>
          <w:b w:val="0"/>
          <w:bCs w:val="0"/>
          <w:i w:val="0"/>
          <w:iCs w:val="0"/>
          <w:color w:val="auto"/>
          <w:sz w:val="32"/>
          <w:szCs w:val="32"/>
          <w:highlight w:val="none"/>
        </w:rPr>
        <w:t>.城乡社区（类）城乡社区公共设施（款）其他城乡社区公共设施（项）:支出决算为</w:t>
      </w:r>
      <w:r>
        <w:rPr>
          <w:rFonts w:hint="default" w:eastAsia="仿宋_GB2312" w:cs="Times New Roman"/>
          <w:b w:val="0"/>
          <w:bCs w:val="0"/>
          <w:i w:val="0"/>
          <w:iCs w:val="0"/>
          <w:color w:val="auto"/>
          <w:sz w:val="32"/>
          <w:szCs w:val="32"/>
          <w:highlight w:val="none"/>
          <w:lang w:val="en-US" w:eastAsia="zh-CN"/>
        </w:rPr>
        <w:t>27.05</w:t>
      </w:r>
      <w:r>
        <w:rPr>
          <w:rFonts w:hint="default" w:ascii="Times New Roman" w:hAnsi="Times New Roman" w:eastAsia="仿宋_GB2312" w:cs="Times New Roman"/>
          <w:b w:val="0"/>
          <w:bCs w:val="0"/>
          <w:i w:val="0"/>
          <w:iCs w:val="0"/>
          <w:color w:val="auto"/>
          <w:sz w:val="32"/>
          <w:szCs w:val="32"/>
          <w:highlight w:val="none"/>
        </w:rPr>
        <w:t>万元，完成预算</w:t>
      </w:r>
      <w:r>
        <w:rPr>
          <w:rFonts w:hint="default" w:ascii="Times New Roman" w:hAnsi="Times New Roman" w:eastAsia="仿宋_GB2312"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b w:val="0"/>
          <w:bCs/>
          <w:color w:val="auto"/>
          <w:sz w:val="32"/>
          <w:szCs w:val="32"/>
          <w:highlight w:val="none"/>
          <w:lang w:val="en-US" w:eastAsia="zh-CN"/>
        </w:rPr>
      </w:pPr>
      <w:r>
        <w:rPr>
          <w:rStyle w:val="19"/>
          <w:rFonts w:hint="default" w:ascii="Times New Roman" w:hAnsi="Times New Roman" w:eastAsia="仿宋_GB2312" w:cs="Times New Roman"/>
          <w:b w:val="0"/>
          <w:bCs w:val="0"/>
          <w:i w:val="0"/>
          <w:iCs w:val="0"/>
          <w:color w:val="auto"/>
          <w:sz w:val="32"/>
          <w:szCs w:val="32"/>
          <w:highlight w:val="none"/>
          <w:lang w:val="en-US" w:eastAsia="zh-CN"/>
        </w:rPr>
        <w:t>2</w:t>
      </w:r>
      <w:r>
        <w:rPr>
          <w:rStyle w:val="19"/>
          <w:rFonts w:hint="default" w:eastAsia="仿宋_GB2312" w:cs="Times New Roman"/>
          <w:b w:val="0"/>
          <w:bCs w:val="0"/>
          <w:i w:val="0"/>
          <w:iCs w:val="0"/>
          <w:color w:val="auto"/>
          <w:sz w:val="32"/>
          <w:szCs w:val="32"/>
          <w:highlight w:val="none"/>
          <w:lang w:val="en-US" w:eastAsia="zh-CN"/>
        </w:rPr>
        <w:t>1</w:t>
      </w:r>
      <w:r>
        <w:rPr>
          <w:rStyle w:val="19"/>
          <w:rFonts w:hint="default" w:ascii="Times New Roman" w:hAnsi="Times New Roman" w:eastAsia="仿宋_GB2312" w:cs="Times New Roman"/>
          <w:b w:val="0"/>
          <w:bCs w:val="0"/>
          <w:i w:val="0"/>
          <w:iCs w:val="0"/>
          <w:color w:val="auto"/>
          <w:sz w:val="32"/>
          <w:szCs w:val="32"/>
          <w:highlight w:val="none"/>
        </w:rPr>
        <w:t>.农林水（类）农业农村（款）事业运行（项）:支出决算为</w:t>
      </w:r>
      <w:r>
        <w:rPr>
          <w:rStyle w:val="19"/>
          <w:rFonts w:hint="default" w:eastAsia="仿宋_GB2312" w:cs="Times New Roman"/>
          <w:b w:val="0"/>
          <w:bCs w:val="0"/>
          <w:i w:val="0"/>
          <w:iCs w:val="0"/>
          <w:color w:val="auto"/>
          <w:sz w:val="32"/>
          <w:szCs w:val="32"/>
          <w:highlight w:val="none"/>
          <w:lang w:val="en-US" w:eastAsia="zh-CN"/>
        </w:rPr>
        <w:t>103.12</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eastAsia="仿宋_GB2312" w:cs="Times New Roman"/>
          <w:b w:val="0"/>
          <w:bCs w:val="0"/>
          <w:i w:val="0"/>
          <w:iCs w:val="0"/>
          <w:color w:val="auto"/>
          <w:sz w:val="32"/>
          <w:szCs w:val="32"/>
          <w:highlight w:val="none"/>
          <w:lang w:val="en-US" w:eastAsia="zh-CN"/>
        </w:rPr>
        <w:t>99.88</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b w:val="0"/>
          <w:bCs/>
          <w:color w:val="auto"/>
          <w:sz w:val="32"/>
          <w:szCs w:val="32"/>
          <w:highlight w:val="none"/>
        </w:rPr>
        <w:t>主要原因是</w:t>
      </w:r>
      <w:r>
        <w:rPr>
          <w:rStyle w:val="19"/>
          <w:rFonts w:hint="default" w:ascii="Times New Roman" w:hAnsi="Times New Roman" w:eastAsia="仿宋_GB2312"/>
          <w:b w:val="0"/>
          <w:bCs/>
          <w:color w:val="auto"/>
          <w:sz w:val="32"/>
          <w:szCs w:val="32"/>
          <w:highlight w:val="none"/>
          <w:lang w:val="en-US" w:eastAsia="zh-CN"/>
        </w:rPr>
        <w:t>厉行节约。</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sz w:val="32"/>
          <w:szCs w:val="32"/>
          <w:highlight w:val="none"/>
        </w:rPr>
      </w:pPr>
      <w:r>
        <w:rPr>
          <w:rStyle w:val="19"/>
          <w:rFonts w:hint="default" w:ascii="Times New Roman" w:hAnsi="Times New Roman" w:eastAsia="仿宋_GB2312" w:cs="Times New Roman"/>
          <w:b w:val="0"/>
          <w:bCs w:val="0"/>
          <w:i w:val="0"/>
          <w:iCs w:val="0"/>
          <w:color w:val="auto"/>
          <w:sz w:val="32"/>
          <w:szCs w:val="32"/>
          <w:highlight w:val="none"/>
          <w:lang w:val="en-US" w:eastAsia="zh-CN"/>
        </w:rPr>
        <w:t>2</w:t>
      </w:r>
      <w:r>
        <w:rPr>
          <w:rStyle w:val="19"/>
          <w:rFonts w:hint="default" w:eastAsia="仿宋_GB2312" w:cs="Times New Roman"/>
          <w:b w:val="0"/>
          <w:bCs w:val="0"/>
          <w:i w:val="0"/>
          <w:iCs w:val="0"/>
          <w:color w:val="auto"/>
          <w:sz w:val="32"/>
          <w:szCs w:val="32"/>
          <w:highlight w:val="none"/>
          <w:lang w:val="en-US" w:eastAsia="zh-CN"/>
        </w:rPr>
        <w:t>2</w:t>
      </w:r>
      <w:r>
        <w:rPr>
          <w:rStyle w:val="19"/>
          <w:rFonts w:hint="default" w:ascii="Times New Roman" w:hAnsi="Times New Roman" w:eastAsia="仿宋_GB2312" w:cs="Times New Roman"/>
          <w:b w:val="0"/>
          <w:bCs w:val="0"/>
          <w:i w:val="0"/>
          <w:iCs w:val="0"/>
          <w:color w:val="auto"/>
          <w:sz w:val="32"/>
          <w:szCs w:val="32"/>
          <w:highlight w:val="none"/>
        </w:rPr>
        <w:t>.农林水（类）</w:t>
      </w:r>
      <w:r>
        <w:rPr>
          <w:rStyle w:val="19"/>
          <w:rFonts w:hint="default" w:eastAsia="仿宋_GB2312" w:cs="Times New Roman"/>
          <w:b w:val="0"/>
          <w:bCs w:val="0"/>
          <w:i w:val="0"/>
          <w:iCs w:val="0"/>
          <w:color w:val="auto"/>
          <w:sz w:val="32"/>
          <w:szCs w:val="32"/>
          <w:highlight w:val="none"/>
          <w:lang w:eastAsia="zh-CN"/>
        </w:rPr>
        <w:t>水利</w:t>
      </w:r>
      <w:r>
        <w:rPr>
          <w:rStyle w:val="19"/>
          <w:rFonts w:hint="default" w:ascii="Times New Roman" w:hAnsi="Times New Roman" w:eastAsia="仿宋_GB2312" w:cs="Times New Roman"/>
          <w:b w:val="0"/>
          <w:bCs w:val="0"/>
          <w:i w:val="0"/>
          <w:iCs w:val="0"/>
          <w:color w:val="auto"/>
          <w:sz w:val="32"/>
          <w:szCs w:val="32"/>
          <w:highlight w:val="none"/>
        </w:rPr>
        <w:t>（款）</w:t>
      </w:r>
      <w:r>
        <w:rPr>
          <w:rStyle w:val="19"/>
          <w:rFonts w:hint="default" w:eastAsia="仿宋_GB2312" w:cs="Times New Roman"/>
          <w:b w:val="0"/>
          <w:bCs w:val="0"/>
          <w:i w:val="0"/>
          <w:iCs w:val="0"/>
          <w:color w:val="auto"/>
          <w:sz w:val="32"/>
          <w:szCs w:val="32"/>
          <w:highlight w:val="none"/>
          <w:lang w:eastAsia="zh-CN"/>
        </w:rPr>
        <w:t>其他水利</w:t>
      </w:r>
      <w:r>
        <w:rPr>
          <w:rStyle w:val="19"/>
          <w:rFonts w:hint="default" w:ascii="Times New Roman" w:hAnsi="Times New Roman" w:eastAsia="仿宋_GB2312" w:cs="Times New Roman"/>
          <w:b w:val="0"/>
          <w:bCs w:val="0"/>
          <w:i w:val="0"/>
          <w:iCs w:val="0"/>
          <w:color w:val="auto"/>
          <w:sz w:val="32"/>
          <w:szCs w:val="32"/>
          <w:highlight w:val="none"/>
        </w:rPr>
        <w:t>（项）:支出决算为</w:t>
      </w:r>
      <w:r>
        <w:rPr>
          <w:rStyle w:val="19"/>
          <w:rFonts w:hint="default" w:eastAsia="仿宋_GB2312" w:cs="Times New Roman"/>
          <w:b w:val="0"/>
          <w:bCs w:val="0"/>
          <w:i w:val="0"/>
          <w:iCs w:val="0"/>
          <w:color w:val="auto"/>
          <w:sz w:val="32"/>
          <w:szCs w:val="32"/>
          <w:highlight w:val="none"/>
          <w:lang w:val="en-US" w:eastAsia="zh-CN"/>
        </w:rPr>
        <w:t>7</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sz w:val="32"/>
          <w:szCs w:val="32"/>
          <w:highlight w:val="none"/>
          <w:lang w:val="en-US" w:eastAsia="zh-CN"/>
        </w:rPr>
      </w:pPr>
      <w:r>
        <w:rPr>
          <w:rStyle w:val="19"/>
          <w:rFonts w:hint="default" w:ascii="Times New Roman" w:hAnsi="Times New Roman" w:eastAsia="仿宋_GB2312" w:cs="Times New Roman"/>
          <w:b w:val="0"/>
          <w:bCs w:val="0"/>
          <w:i w:val="0"/>
          <w:iCs w:val="0"/>
          <w:color w:val="auto"/>
          <w:sz w:val="32"/>
          <w:szCs w:val="32"/>
          <w:highlight w:val="none"/>
          <w:lang w:val="en-US" w:eastAsia="zh-CN"/>
        </w:rPr>
        <w:t>2</w:t>
      </w:r>
      <w:r>
        <w:rPr>
          <w:rStyle w:val="19"/>
          <w:rFonts w:hint="default" w:eastAsia="仿宋_GB2312" w:cs="Times New Roman"/>
          <w:b w:val="0"/>
          <w:bCs w:val="0"/>
          <w:i w:val="0"/>
          <w:iCs w:val="0"/>
          <w:color w:val="auto"/>
          <w:sz w:val="32"/>
          <w:szCs w:val="32"/>
          <w:highlight w:val="none"/>
          <w:lang w:val="en-US" w:eastAsia="zh-CN"/>
        </w:rPr>
        <w:t>3</w:t>
      </w:r>
      <w:r>
        <w:rPr>
          <w:rStyle w:val="19"/>
          <w:rFonts w:hint="default" w:ascii="Times New Roman" w:hAnsi="Times New Roman" w:eastAsia="仿宋_GB2312" w:cs="Times New Roman"/>
          <w:b w:val="0"/>
          <w:bCs w:val="0"/>
          <w:i w:val="0"/>
          <w:iCs w:val="0"/>
          <w:color w:val="auto"/>
          <w:sz w:val="32"/>
          <w:szCs w:val="32"/>
          <w:highlight w:val="none"/>
        </w:rPr>
        <w:t>.农林水（类）农村综合改革（款）对村级公益事业建设的补助</w:t>
      </w:r>
      <w:r>
        <w:rPr>
          <w:rStyle w:val="19"/>
          <w:rFonts w:hint="default" w:eastAsia="仿宋_GB2312" w:cs="Times New Roman"/>
          <w:b w:val="0"/>
          <w:bCs w:val="0"/>
          <w:i w:val="0"/>
          <w:iCs w:val="0"/>
          <w:color w:val="auto"/>
          <w:sz w:val="32"/>
          <w:szCs w:val="32"/>
          <w:highlight w:val="none"/>
          <w:lang w:eastAsia="zh-CN"/>
        </w:rPr>
        <w:t>（</w:t>
      </w:r>
      <w:r>
        <w:rPr>
          <w:rStyle w:val="19"/>
          <w:rFonts w:hint="default" w:eastAsia="仿宋_GB2312" w:cs="Times New Roman"/>
          <w:b w:val="0"/>
          <w:bCs w:val="0"/>
          <w:i w:val="0"/>
          <w:iCs w:val="0"/>
          <w:color w:val="auto"/>
          <w:sz w:val="32"/>
          <w:szCs w:val="32"/>
          <w:highlight w:val="none"/>
          <w:lang w:val="en-US" w:eastAsia="zh-CN"/>
        </w:rPr>
        <w:t>项</w:t>
      </w:r>
      <w:r>
        <w:rPr>
          <w:rStyle w:val="19"/>
          <w:rFonts w:hint="default" w:eastAsia="仿宋_GB2312" w:cs="Times New Roman"/>
          <w:b w:val="0"/>
          <w:bCs w:val="0"/>
          <w:i w:val="0"/>
          <w:iCs w:val="0"/>
          <w:color w:val="auto"/>
          <w:sz w:val="32"/>
          <w:szCs w:val="32"/>
          <w:highlight w:val="none"/>
          <w:lang w:eastAsia="zh-CN"/>
        </w:rPr>
        <w:t>）：</w:t>
      </w:r>
      <w:r>
        <w:rPr>
          <w:rStyle w:val="19"/>
          <w:rFonts w:hint="default" w:eastAsia="仿宋_GB2312" w:cs="Times New Roman"/>
          <w:b w:val="0"/>
          <w:bCs w:val="0"/>
          <w:i w:val="0"/>
          <w:iCs w:val="0"/>
          <w:color w:val="auto"/>
          <w:sz w:val="32"/>
          <w:szCs w:val="32"/>
          <w:highlight w:val="none"/>
          <w:lang w:val="en-US" w:eastAsia="zh-CN"/>
        </w:rPr>
        <w:t>支出决算为15万元，</w:t>
      </w:r>
      <w:r>
        <w:rPr>
          <w:rStyle w:val="19"/>
          <w:rFonts w:hint="eastAsia" w:eastAsia="仿宋_GB2312" w:cs="Times New Roman"/>
          <w:b w:val="0"/>
          <w:bCs w:val="0"/>
          <w:i w:val="0"/>
          <w:iCs w:val="0"/>
          <w:color w:val="auto"/>
          <w:sz w:val="32"/>
          <w:szCs w:val="32"/>
          <w:highlight w:val="none"/>
          <w:lang w:val="en-US" w:eastAsia="zh-CN"/>
        </w:rPr>
        <w:t>完成预算100%。</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sz w:val="32"/>
          <w:szCs w:val="32"/>
          <w:highlight w:val="none"/>
        </w:rPr>
      </w:pPr>
      <w:r>
        <w:rPr>
          <w:rStyle w:val="19"/>
          <w:rFonts w:hint="default" w:ascii="Times New Roman" w:hAnsi="Times New Roman" w:eastAsia="仿宋_GB2312" w:cs="Times New Roman"/>
          <w:b w:val="0"/>
          <w:bCs w:val="0"/>
          <w:i w:val="0"/>
          <w:iCs w:val="0"/>
          <w:color w:val="auto"/>
          <w:sz w:val="32"/>
          <w:szCs w:val="32"/>
          <w:highlight w:val="none"/>
          <w:lang w:val="en-US" w:eastAsia="zh-CN"/>
        </w:rPr>
        <w:t>2</w:t>
      </w:r>
      <w:r>
        <w:rPr>
          <w:rStyle w:val="19"/>
          <w:rFonts w:hint="default" w:eastAsia="仿宋_GB2312" w:cs="Times New Roman"/>
          <w:b w:val="0"/>
          <w:bCs w:val="0"/>
          <w:i w:val="0"/>
          <w:iCs w:val="0"/>
          <w:color w:val="auto"/>
          <w:sz w:val="32"/>
          <w:szCs w:val="32"/>
          <w:highlight w:val="none"/>
          <w:lang w:val="en-US" w:eastAsia="zh-CN"/>
        </w:rPr>
        <w:t>4</w:t>
      </w:r>
      <w:r>
        <w:rPr>
          <w:rStyle w:val="19"/>
          <w:rFonts w:hint="default" w:ascii="Times New Roman" w:hAnsi="Times New Roman" w:eastAsia="仿宋_GB2312" w:cs="Times New Roman"/>
          <w:b w:val="0"/>
          <w:bCs w:val="0"/>
          <w:i w:val="0"/>
          <w:iCs w:val="0"/>
          <w:color w:val="auto"/>
          <w:sz w:val="32"/>
          <w:szCs w:val="32"/>
          <w:highlight w:val="none"/>
        </w:rPr>
        <w:t>.农林水（类）农村综合改革（款）对村民委员会和村党支部的补助（项）:支出决算为</w:t>
      </w:r>
      <w:r>
        <w:rPr>
          <w:rStyle w:val="19"/>
          <w:rFonts w:hint="default" w:ascii="Times New Roman" w:hAnsi="Times New Roman" w:eastAsia="仿宋_GB2312" w:cs="Times New Roman"/>
          <w:b w:val="0"/>
          <w:bCs w:val="0"/>
          <w:i w:val="0"/>
          <w:iCs w:val="0"/>
          <w:color w:val="auto"/>
          <w:sz w:val="32"/>
          <w:szCs w:val="32"/>
          <w:highlight w:val="none"/>
          <w:lang w:val="en-US" w:eastAsia="zh-CN"/>
        </w:rPr>
        <w:t>770.10</w:t>
      </w:r>
      <w:r>
        <w:rPr>
          <w:rStyle w:val="19"/>
          <w:rFonts w:hint="default" w:ascii="Times New Roman" w:hAnsi="Times New Roman" w:eastAsia="仿宋_GB2312" w:cs="Times New Roman"/>
          <w:b w:val="0"/>
          <w:bCs w:val="0"/>
          <w:i w:val="0"/>
          <w:iCs w:val="0"/>
          <w:color w:val="auto"/>
          <w:sz w:val="32"/>
          <w:szCs w:val="32"/>
          <w:highlight w:val="none"/>
        </w:rPr>
        <w:t>万元，完成预算</w:t>
      </w:r>
      <w:r>
        <w:rPr>
          <w:rStyle w:val="19"/>
          <w:rFonts w:hint="default" w:ascii="Times New Roman" w:hAnsi="Times New Roman" w:eastAsia="仿宋_GB2312" w:cs="Times New Roman"/>
          <w:b w:val="0"/>
          <w:bCs w:val="0"/>
          <w:i w:val="0"/>
          <w:iCs w:val="0"/>
          <w:color w:val="auto"/>
          <w:sz w:val="32"/>
          <w:szCs w:val="32"/>
          <w:highlight w:val="none"/>
          <w:lang w:val="en-US" w:eastAsia="zh-CN"/>
        </w:rPr>
        <w:t>100</w:t>
      </w:r>
      <w:r>
        <w:rPr>
          <w:rStyle w:val="19"/>
          <w:rFonts w:hint="default" w:ascii="Times New Roman" w:hAnsi="Times New Roman" w:eastAsia="仿宋_GB2312" w:cs="Times New Roman"/>
          <w:b w:val="0"/>
          <w:bCs w:val="0"/>
          <w:i w:val="0"/>
          <w:iCs w:val="0"/>
          <w:color w:val="auto"/>
          <w:sz w:val="32"/>
          <w:szCs w:val="32"/>
          <w:highlight w:val="none"/>
        </w:rPr>
        <w:t>%</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sz w:val="32"/>
          <w:szCs w:val="32"/>
          <w:highlight w:val="none"/>
          <w:lang w:val="en-US" w:eastAsia="zh-CN"/>
        </w:rPr>
      </w:pPr>
      <w:r>
        <w:rPr>
          <w:rStyle w:val="19"/>
          <w:rFonts w:hint="default" w:ascii="Times New Roman" w:hAnsi="Times New Roman" w:eastAsia="仿宋_GB2312" w:cs="Times New Roman"/>
          <w:b w:val="0"/>
          <w:bCs w:val="0"/>
          <w:i w:val="0"/>
          <w:iCs w:val="0"/>
          <w:color w:val="auto"/>
          <w:sz w:val="32"/>
          <w:szCs w:val="32"/>
          <w:highlight w:val="none"/>
          <w:lang w:val="en-US" w:eastAsia="zh-CN"/>
        </w:rPr>
        <w:t>2</w:t>
      </w:r>
      <w:r>
        <w:rPr>
          <w:rStyle w:val="19"/>
          <w:rFonts w:hint="default" w:eastAsia="仿宋_GB2312" w:cs="Times New Roman"/>
          <w:b w:val="0"/>
          <w:bCs w:val="0"/>
          <w:i w:val="0"/>
          <w:iCs w:val="0"/>
          <w:color w:val="auto"/>
          <w:sz w:val="32"/>
          <w:szCs w:val="32"/>
          <w:highlight w:val="none"/>
          <w:lang w:val="en-US" w:eastAsia="zh-CN"/>
        </w:rPr>
        <w:t>5</w:t>
      </w:r>
      <w:r>
        <w:rPr>
          <w:rStyle w:val="19"/>
          <w:rFonts w:hint="default" w:ascii="Times New Roman" w:hAnsi="Times New Roman" w:eastAsia="仿宋_GB2312" w:cs="Times New Roman"/>
          <w:b w:val="0"/>
          <w:bCs w:val="0"/>
          <w:i w:val="0"/>
          <w:iCs w:val="0"/>
          <w:color w:val="auto"/>
          <w:sz w:val="32"/>
          <w:szCs w:val="32"/>
          <w:highlight w:val="none"/>
        </w:rPr>
        <w:t>.农林水（类）</w:t>
      </w:r>
      <w:r>
        <w:rPr>
          <w:rStyle w:val="19"/>
          <w:rFonts w:hint="default" w:eastAsia="仿宋_GB2312" w:cs="Times New Roman"/>
          <w:b w:val="0"/>
          <w:bCs w:val="0"/>
          <w:i w:val="0"/>
          <w:iCs w:val="0"/>
          <w:color w:val="auto"/>
          <w:sz w:val="32"/>
          <w:szCs w:val="32"/>
          <w:highlight w:val="none"/>
          <w:lang w:eastAsia="zh-CN"/>
        </w:rPr>
        <w:t>其他</w:t>
      </w:r>
      <w:r>
        <w:rPr>
          <w:rStyle w:val="19"/>
          <w:rFonts w:hint="default" w:ascii="Times New Roman" w:hAnsi="Times New Roman" w:eastAsia="仿宋_GB2312" w:cs="Times New Roman"/>
          <w:b w:val="0"/>
          <w:bCs w:val="0"/>
          <w:i w:val="0"/>
          <w:iCs w:val="0"/>
          <w:color w:val="auto"/>
          <w:sz w:val="32"/>
          <w:szCs w:val="32"/>
          <w:highlight w:val="none"/>
        </w:rPr>
        <w:t>农林水（款）</w:t>
      </w:r>
      <w:r>
        <w:rPr>
          <w:rStyle w:val="19"/>
          <w:rFonts w:hint="default" w:eastAsia="仿宋_GB2312" w:cs="Times New Roman"/>
          <w:b w:val="0"/>
          <w:bCs w:val="0"/>
          <w:i w:val="0"/>
          <w:iCs w:val="0"/>
          <w:color w:val="auto"/>
          <w:sz w:val="32"/>
          <w:szCs w:val="32"/>
          <w:highlight w:val="none"/>
          <w:lang w:eastAsia="zh-CN"/>
        </w:rPr>
        <w:t>其他</w:t>
      </w:r>
      <w:r>
        <w:rPr>
          <w:rStyle w:val="19"/>
          <w:rFonts w:hint="default" w:ascii="Times New Roman" w:hAnsi="Times New Roman" w:eastAsia="仿宋_GB2312" w:cs="Times New Roman"/>
          <w:b w:val="0"/>
          <w:bCs w:val="0"/>
          <w:i w:val="0"/>
          <w:iCs w:val="0"/>
          <w:color w:val="auto"/>
          <w:sz w:val="32"/>
          <w:szCs w:val="32"/>
          <w:highlight w:val="none"/>
        </w:rPr>
        <w:t>农林水（项）:支出决</w:t>
      </w:r>
      <w:r>
        <w:rPr>
          <w:rStyle w:val="19"/>
          <w:rFonts w:hint="default" w:ascii="Times New Roman" w:hAnsi="Times New Roman" w:eastAsia="仿宋_GB2312" w:cs="Times New Roman"/>
          <w:b w:val="0"/>
          <w:bCs w:val="0"/>
          <w:i w:val="0"/>
          <w:iCs w:val="0"/>
          <w:color w:val="auto"/>
          <w:sz w:val="32"/>
          <w:szCs w:val="32"/>
          <w:highlight w:val="none"/>
          <w:lang w:val="en-US" w:eastAsia="zh-CN"/>
        </w:rPr>
        <w:t>算为</w:t>
      </w:r>
      <w:r>
        <w:rPr>
          <w:rStyle w:val="19"/>
          <w:rFonts w:hint="default" w:eastAsia="仿宋_GB2312" w:cs="Times New Roman"/>
          <w:b w:val="0"/>
          <w:bCs w:val="0"/>
          <w:i w:val="0"/>
          <w:iCs w:val="0"/>
          <w:color w:val="auto"/>
          <w:sz w:val="32"/>
          <w:szCs w:val="32"/>
          <w:highlight w:val="none"/>
          <w:lang w:val="en-US" w:eastAsia="zh-CN"/>
        </w:rPr>
        <w:t>0.98</w:t>
      </w:r>
      <w:r>
        <w:rPr>
          <w:rStyle w:val="19"/>
          <w:rFonts w:hint="default" w:ascii="Times New Roman" w:hAnsi="Times New Roman" w:eastAsia="仿宋_GB2312" w:cs="Times New Roman"/>
          <w:b w:val="0"/>
          <w:bCs w:val="0"/>
          <w:i w:val="0"/>
          <w:iCs w:val="0"/>
          <w:color w:val="auto"/>
          <w:sz w:val="32"/>
          <w:szCs w:val="32"/>
          <w:highlight w:val="none"/>
          <w:lang w:val="en-US" w:eastAsia="zh-CN"/>
        </w:rPr>
        <w:t>万元，完成预算100%</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sz w:val="32"/>
          <w:szCs w:val="32"/>
          <w:highlight w:val="none"/>
          <w:lang w:val="en-US" w:eastAsia="zh-CN"/>
        </w:rPr>
      </w:pPr>
      <w:r>
        <w:rPr>
          <w:rStyle w:val="19"/>
          <w:rFonts w:hint="default" w:ascii="Times New Roman" w:hAnsi="Times New Roman" w:eastAsia="仿宋_GB2312" w:cs="Times New Roman"/>
          <w:b w:val="0"/>
          <w:bCs w:val="0"/>
          <w:i w:val="0"/>
          <w:iCs w:val="0"/>
          <w:color w:val="auto"/>
          <w:sz w:val="32"/>
          <w:szCs w:val="32"/>
          <w:highlight w:val="none"/>
          <w:lang w:val="en-US" w:eastAsia="zh-CN"/>
        </w:rPr>
        <w:t>2</w:t>
      </w:r>
      <w:r>
        <w:rPr>
          <w:rStyle w:val="19"/>
          <w:rFonts w:hint="default" w:eastAsia="仿宋_GB2312" w:cs="Times New Roman"/>
          <w:b w:val="0"/>
          <w:bCs w:val="0"/>
          <w:i w:val="0"/>
          <w:iCs w:val="0"/>
          <w:color w:val="auto"/>
          <w:sz w:val="32"/>
          <w:szCs w:val="32"/>
          <w:highlight w:val="none"/>
          <w:lang w:val="en-US" w:eastAsia="zh-CN"/>
        </w:rPr>
        <w:t>6</w:t>
      </w:r>
      <w:r>
        <w:rPr>
          <w:rStyle w:val="19"/>
          <w:rFonts w:hint="default" w:ascii="Times New Roman" w:hAnsi="Times New Roman" w:eastAsia="仿宋_GB2312" w:cs="Times New Roman"/>
          <w:b w:val="0"/>
          <w:bCs w:val="0"/>
          <w:i w:val="0"/>
          <w:iCs w:val="0"/>
          <w:color w:val="auto"/>
          <w:sz w:val="32"/>
          <w:szCs w:val="32"/>
          <w:highlight w:val="none"/>
          <w:lang w:val="en-US" w:eastAsia="zh-CN"/>
        </w:rPr>
        <w:t>.住房保障（类）住房改革（款）住房公积金（项）:支出决算为</w:t>
      </w:r>
      <w:r>
        <w:rPr>
          <w:rStyle w:val="19"/>
          <w:rFonts w:hint="default" w:eastAsia="仿宋_GB2312" w:cs="Times New Roman"/>
          <w:b w:val="0"/>
          <w:bCs w:val="0"/>
          <w:i w:val="0"/>
          <w:iCs w:val="0"/>
          <w:color w:val="auto"/>
          <w:sz w:val="32"/>
          <w:szCs w:val="32"/>
          <w:highlight w:val="none"/>
          <w:lang w:val="en-US" w:eastAsia="zh-CN"/>
        </w:rPr>
        <w:t>93.04</w:t>
      </w:r>
      <w:r>
        <w:rPr>
          <w:rStyle w:val="19"/>
          <w:rFonts w:hint="default" w:ascii="Times New Roman" w:hAnsi="Times New Roman" w:eastAsia="仿宋_GB2312" w:cs="Times New Roman"/>
          <w:b w:val="0"/>
          <w:bCs w:val="0"/>
          <w:i w:val="0"/>
          <w:iCs w:val="0"/>
          <w:color w:val="auto"/>
          <w:sz w:val="32"/>
          <w:szCs w:val="32"/>
          <w:highlight w:val="none"/>
          <w:lang w:val="en-US" w:eastAsia="zh-CN"/>
        </w:rPr>
        <w:t>万元，完成预算</w:t>
      </w:r>
      <w:r>
        <w:rPr>
          <w:rStyle w:val="19"/>
          <w:rFonts w:hint="default" w:eastAsia="仿宋_GB2312" w:cs="Times New Roman"/>
          <w:b w:val="0"/>
          <w:bCs w:val="0"/>
          <w:i w:val="0"/>
          <w:iCs w:val="0"/>
          <w:color w:val="auto"/>
          <w:sz w:val="32"/>
          <w:szCs w:val="32"/>
          <w:highlight w:val="none"/>
          <w:lang w:val="en-US" w:eastAsia="zh-CN"/>
        </w:rPr>
        <w:t>98.44</w:t>
      </w:r>
      <w:r>
        <w:rPr>
          <w:rStyle w:val="19"/>
          <w:rFonts w:hint="default" w:ascii="Times New Roman" w:hAnsi="Times New Roman" w:eastAsia="仿宋_GB2312" w:cs="Times New Roman"/>
          <w:b w:val="0"/>
          <w:bCs w:val="0"/>
          <w:i w:val="0"/>
          <w:iCs w:val="0"/>
          <w:color w:val="auto"/>
          <w:sz w:val="32"/>
          <w:szCs w:val="32"/>
          <w:highlight w:val="none"/>
          <w:lang w:val="en-US" w:eastAsia="zh-CN"/>
        </w:rPr>
        <w:t>%</w:t>
      </w:r>
      <w:r>
        <w:rPr>
          <w:rStyle w:val="19"/>
          <w:rFonts w:hint="default" w:eastAsia="仿宋_GB2312" w:cs="Times New Roman"/>
          <w:b w:val="0"/>
          <w:bCs w:val="0"/>
          <w:i w:val="0"/>
          <w:iCs w:val="0"/>
          <w:color w:val="auto"/>
          <w:sz w:val="32"/>
          <w:szCs w:val="32"/>
          <w:highlight w:val="none"/>
          <w:lang w:eastAsia="zh-CN"/>
        </w:rPr>
        <w:t>，</w:t>
      </w:r>
      <w:r>
        <w:rPr>
          <w:rStyle w:val="19"/>
          <w:rFonts w:hint="default" w:ascii="Times New Roman" w:hAnsi="Times New Roman" w:eastAsia="仿宋_GB2312"/>
          <w:b w:val="0"/>
          <w:bCs/>
          <w:color w:val="auto"/>
          <w:sz w:val="32"/>
          <w:szCs w:val="32"/>
          <w:highlight w:val="none"/>
        </w:rPr>
        <w:t>主要原因是</w:t>
      </w:r>
      <w:r>
        <w:rPr>
          <w:rStyle w:val="19"/>
          <w:rFonts w:hint="default" w:ascii="Times New Roman" w:hAnsi="Times New Roman" w:eastAsia="仿宋_GB2312"/>
          <w:b w:val="0"/>
          <w:bCs/>
          <w:color w:val="auto"/>
          <w:sz w:val="32"/>
          <w:szCs w:val="32"/>
          <w:highlight w:val="none"/>
          <w:lang w:val="en-US" w:eastAsia="zh-CN"/>
        </w:rPr>
        <w:t>厉行节约</w:t>
      </w:r>
      <w:r>
        <w:rPr>
          <w:rStyle w:val="19"/>
          <w:rFonts w:hint="default" w:eastAsia="仿宋_GB2312" w:cs="Times New Roman"/>
          <w:b w:val="0"/>
          <w:bCs w:val="0"/>
          <w:i w:val="0"/>
          <w:iCs w:val="0"/>
          <w:color w:val="auto"/>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Style w:val="19"/>
          <w:rFonts w:hint="default" w:ascii="Times New Roman" w:hAnsi="Times New Roman" w:eastAsia="仿宋_GB2312" w:cs="Times New Roman"/>
          <w:b w:val="0"/>
          <w:bCs w:val="0"/>
          <w:i w:val="0"/>
          <w:iCs w:val="0"/>
          <w:color w:val="auto"/>
          <w:sz w:val="32"/>
          <w:szCs w:val="32"/>
          <w:highlight w:val="none"/>
          <w:lang w:val="en-US" w:eastAsia="zh-CN"/>
        </w:rPr>
      </w:pPr>
      <w:r>
        <w:rPr>
          <w:rStyle w:val="19"/>
          <w:rFonts w:hint="default" w:ascii="Times New Roman" w:eastAsia="仿宋_GB2312" w:cs="Times New Roman"/>
          <w:b w:val="0"/>
          <w:bCs w:val="0"/>
          <w:i w:val="0"/>
          <w:iCs w:val="0"/>
          <w:color w:val="auto"/>
          <w:sz w:val="32"/>
          <w:szCs w:val="32"/>
          <w:highlight w:val="none"/>
          <w:lang w:val="en-US" w:eastAsia="zh-CN"/>
        </w:rPr>
        <w:t>2</w:t>
      </w:r>
      <w:r>
        <w:rPr>
          <w:rStyle w:val="19"/>
          <w:rFonts w:hint="default" w:eastAsia="仿宋_GB2312" w:cs="Times New Roman"/>
          <w:b w:val="0"/>
          <w:bCs w:val="0"/>
          <w:i w:val="0"/>
          <w:iCs w:val="0"/>
          <w:color w:val="auto"/>
          <w:sz w:val="32"/>
          <w:szCs w:val="32"/>
          <w:highlight w:val="none"/>
          <w:lang w:val="en-US" w:eastAsia="zh-CN"/>
        </w:rPr>
        <w:t>7</w:t>
      </w:r>
      <w:r>
        <w:rPr>
          <w:rStyle w:val="19"/>
          <w:rFonts w:hint="default" w:ascii="Times New Roman" w:eastAsia="仿宋_GB2312" w:cs="Times New Roman"/>
          <w:b w:val="0"/>
          <w:bCs w:val="0"/>
          <w:i w:val="0"/>
          <w:iCs w:val="0"/>
          <w:color w:val="auto"/>
          <w:sz w:val="32"/>
          <w:szCs w:val="32"/>
          <w:highlight w:val="none"/>
          <w:lang w:val="en-US" w:eastAsia="zh-CN"/>
        </w:rPr>
        <w:t>.灾害防治及应急管理</w:t>
      </w:r>
      <w:r>
        <w:rPr>
          <w:rStyle w:val="19"/>
          <w:rFonts w:hint="default" w:ascii="Times New Roman" w:hAnsi="Times New Roman" w:eastAsia="仿宋_GB2312" w:cs="Times New Roman"/>
          <w:b w:val="0"/>
          <w:bCs w:val="0"/>
          <w:i w:val="0"/>
          <w:iCs w:val="0"/>
          <w:color w:val="auto"/>
          <w:sz w:val="32"/>
          <w:szCs w:val="32"/>
          <w:highlight w:val="none"/>
          <w:lang w:val="en-US" w:eastAsia="zh-CN"/>
        </w:rPr>
        <w:t>（类）</w:t>
      </w:r>
      <w:r>
        <w:rPr>
          <w:rStyle w:val="19"/>
          <w:rFonts w:hint="default" w:ascii="Times New Roman" w:eastAsia="仿宋_GB2312" w:cs="Times New Roman"/>
          <w:b w:val="0"/>
          <w:bCs w:val="0"/>
          <w:i w:val="0"/>
          <w:iCs w:val="0"/>
          <w:color w:val="auto"/>
          <w:sz w:val="32"/>
          <w:szCs w:val="32"/>
          <w:highlight w:val="none"/>
          <w:lang w:val="en-US" w:eastAsia="zh-CN"/>
        </w:rPr>
        <w:t>应急管理事务</w:t>
      </w:r>
      <w:r>
        <w:rPr>
          <w:rStyle w:val="19"/>
          <w:rFonts w:hint="default" w:ascii="Times New Roman" w:hAnsi="Times New Roman" w:eastAsia="仿宋_GB2312" w:cs="Times New Roman"/>
          <w:b w:val="0"/>
          <w:bCs w:val="0"/>
          <w:i w:val="0"/>
          <w:iCs w:val="0"/>
          <w:color w:val="auto"/>
          <w:sz w:val="32"/>
          <w:szCs w:val="32"/>
          <w:highlight w:val="none"/>
          <w:lang w:val="en-US" w:eastAsia="zh-CN"/>
        </w:rPr>
        <w:t>（款）</w:t>
      </w:r>
      <w:r>
        <w:rPr>
          <w:rStyle w:val="19"/>
          <w:rFonts w:hint="default" w:ascii="Times New Roman" w:eastAsia="仿宋_GB2312" w:cs="Times New Roman"/>
          <w:b w:val="0"/>
          <w:bCs w:val="0"/>
          <w:i w:val="0"/>
          <w:iCs w:val="0"/>
          <w:color w:val="auto"/>
          <w:sz w:val="32"/>
          <w:szCs w:val="32"/>
          <w:highlight w:val="none"/>
          <w:lang w:val="en-US" w:eastAsia="zh-CN"/>
        </w:rPr>
        <w:t>灾害风险防治</w:t>
      </w:r>
      <w:r>
        <w:rPr>
          <w:rStyle w:val="19"/>
          <w:rFonts w:hint="default" w:ascii="Times New Roman" w:hAnsi="Times New Roman" w:eastAsia="仿宋_GB2312" w:cs="Times New Roman"/>
          <w:b w:val="0"/>
          <w:bCs w:val="0"/>
          <w:i w:val="0"/>
          <w:iCs w:val="0"/>
          <w:color w:val="auto"/>
          <w:sz w:val="32"/>
          <w:szCs w:val="32"/>
          <w:highlight w:val="none"/>
          <w:lang w:val="en-US" w:eastAsia="zh-CN"/>
        </w:rPr>
        <w:t>（项）支出决算为</w:t>
      </w:r>
      <w:r>
        <w:rPr>
          <w:rStyle w:val="19"/>
          <w:rFonts w:hint="default" w:eastAsia="仿宋_GB2312" w:cs="Times New Roman"/>
          <w:b w:val="0"/>
          <w:bCs w:val="0"/>
          <w:i w:val="0"/>
          <w:iCs w:val="0"/>
          <w:color w:val="auto"/>
          <w:sz w:val="32"/>
          <w:szCs w:val="32"/>
          <w:highlight w:val="none"/>
          <w:lang w:val="en-US" w:eastAsia="zh-CN"/>
        </w:rPr>
        <w:t>12</w:t>
      </w:r>
      <w:r>
        <w:rPr>
          <w:rStyle w:val="19"/>
          <w:rFonts w:hint="default" w:ascii="Times New Roman" w:hAnsi="Times New Roman" w:eastAsia="仿宋_GB2312" w:cs="Times New Roman"/>
          <w:b w:val="0"/>
          <w:bCs w:val="0"/>
          <w:i w:val="0"/>
          <w:iCs w:val="0"/>
          <w:color w:val="auto"/>
          <w:sz w:val="32"/>
          <w:szCs w:val="32"/>
          <w:highlight w:val="none"/>
          <w:lang w:val="en-US" w:eastAsia="zh-CN"/>
        </w:rPr>
        <w:t>万元，完成预算100%</w:t>
      </w:r>
      <w:r>
        <w:rPr>
          <w:rStyle w:val="19"/>
          <w:rFonts w:hint="default" w:eastAsia="仿宋_GB2312" w:cs="Times New Roman"/>
          <w:b w:val="0"/>
          <w:bCs w:val="0"/>
          <w:i w:val="0"/>
          <w:iCs w:val="0"/>
          <w:color w:val="auto"/>
          <w:sz w:val="32"/>
          <w:szCs w:val="32"/>
          <w:highlight w:val="none"/>
          <w:lang w:eastAsia="zh-CN"/>
        </w:rPr>
        <w:t>。</w:t>
      </w:r>
    </w:p>
    <w:p>
      <w:pPr>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Style w:val="19"/>
          <w:rFonts w:hint="default" w:ascii="Times New Roman" w:eastAsia="仿宋_GB2312" w:cs="Times New Roman"/>
          <w:b w:val="0"/>
          <w:bCs w:val="0"/>
          <w:i w:val="0"/>
          <w:iCs w:val="0"/>
          <w:color w:val="auto"/>
          <w:sz w:val="32"/>
          <w:szCs w:val="32"/>
          <w:highlight w:val="none"/>
          <w:lang w:val="en-US" w:eastAsia="zh-CN"/>
        </w:rPr>
        <w:t>2</w:t>
      </w:r>
      <w:r>
        <w:rPr>
          <w:rStyle w:val="19"/>
          <w:rFonts w:hint="default" w:eastAsia="仿宋_GB2312" w:cs="Times New Roman"/>
          <w:b w:val="0"/>
          <w:bCs w:val="0"/>
          <w:i w:val="0"/>
          <w:iCs w:val="0"/>
          <w:color w:val="auto"/>
          <w:sz w:val="32"/>
          <w:szCs w:val="32"/>
          <w:highlight w:val="none"/>
          <w:lang w:val="en-US" w:eastAsia="zh-CN"/>
        </w:rPr>
        <w:t>8</w:t>
      </w:r>
      <w:r>
        <w:rPr>
          <w:rStyle w:val="19"/>
          <w:rFonts w:hint="default" w:ascii="Times New Roman" w:eastAsia="仿宋_GB2312" w:cs="Times New Roman"/>
          <w:b w:val="0"/>
          <w:bCs w:val="0"/>
          <w:i w:val="0"/>
          <w:iCs w:val="0"/>
          <w:color w:val="auto"/>
          <w:sz w:val="32"/>
          <w:szCs w:val="32"/>
          <w:highlight w:val="none"/>
          <w:lang w:val="en-US" w:eastAsia="zh-CN"/>
        </w:rPr>
        <w:t>.灾害防治及应急管理</w:t>
      </w:r>
      <w:r>
        <w:rPr>
          <w:rStyle w:val="19"/>
          <w:rFonts w:hint="default" w:ascii="Times New Roman" w:hAnsi="Times New Roman" w:eastAsia="仿宋_GB2312" w:cs="Times New Roman"/>
          <w:b w:val="0"/>
          <w:bCs w:val="0"/>
          <w:i w:val="0"/>
          <w:iCs w:val="0"/>
          <w:color w:val="auto"/>
          <w:sz w:val="32"/>
          <w:szCs w:val="32"/>
          <w:highlight w:val="none"/>
          <w:lang w:val="en-US" w:eastAsia="zh-CN"/>
        </w:rPr>
        <w:t>（类）</w:t>
      </w:r>
      <w:r>
        <w:rPr>
          <w:rStyle w:val="19"/>
          <w:rFonts w:hint="default" w:ascii="Times New Roman" w:eastAsia="仿宋_GB2312" w:cs="Times New Roman"/>
          <w:b w:val="0"/>
          <w:bCs w:val="0"/>
          <w:i w:val="0"/>
          <w:iCs w:val="0"/>
          <w:color w:val="auto"/>
          <w:sz w:val="32"/>
          <w:szCs w:val="32"/>
          <w:highlight w:val="none"/>
          <w:lang w:val="en-US" w:eastAsia="zh-CN"/>
        </w:rPr>
        <w:t>应急管理事务</w:t>
      </w:r>
      <w:r>
        <w:rPr>
          <w:rStyle w:val="19"/>
          <w:rFonts w:hint="default" w:ascii="Times New Roman" w:hAnsi="Times New Roman" w:eastAsia="仿宋_GB2312" w:cs="Times New Roman"/>
          <w:b w:val="0"/>
          <w:bCs w:val="0"/>
          <w:i w:val="0"/>
          <w:iCs w:val="0"/>
          <w:color w:val="auto"/>
          <w:sz w:val="32"/>
          <w:szCs w:val="32"/>
          <w:highlight w:val="none"/>
          <w:lang w:val="en-US" w:eastAsia="zh-CN"/>
        </w:rPr>
        <w:t>（款）</w:t>
      </w:r>
      <w:r>
        <w:rPr>
          <w:rStyle w:val="19"/>
          <w:rFonts w:hint="default" w:eastAsia="仿宋_GB2312" w:cs="Times New Roman"/>
          <w:b w:val="0"/>
          <w:bCs w:val="0"/>
          <w:i w:val="0"/>
          <w:iCs w:val="0"/>
          <w:color w:val="auto"/>
          <w:sz w:val="32"/>
          <w:szCs w:val="32"/>
          <w:highlight w:val="none"/>
          <w:lang w:val="en-US" w:eastAsia="zh-CN"/>
        </w:rPr>
        <w:t>应急救援</w:t>
      </w:r>
      <w:r>
        <w:rPr>
          <w:rStyle w:val="19"/>
          <w:rFonts w:hint="default" w:ascii="Times New Roman" w:hAnsi="Times New Roman" w:eastAsia="仿宋_GB2312" w:cs="Times New Roman"/>
          <w:b w:val="0"/>
          <w:bCs w:val="0"/>
          <w:i w:val="0"/>
          <w:iCs w:val="0"/>
          <w:color w:val="auto"/>
          <w:sz w:val="32"/>
          <w:szCs w:val="32"/>
          <w:highlight w:val="none"/>
          <w:lang w:val="en-US" w:eastAsia="zh-CN"/>
        </w:rPr>
        <w:t>（项）支出决算为</w:t>
      </w:r>
      <w:r>
        <w:rPr>
          <w:rStyle w:val="19"/>
          <w:rFonts w:hint="default" w:eastAsia="仿宋_GB2312" w:cs="Times New Roman"/>
          <w:b w:val="0"/>
          <w:bCs w:val="0"/>
          <w:i w:val="0"/>
          <w:iCs w:val="0"/>
          <w:color w:val="auto"/>
          <w:sz w:val="32"/>
          <w:szCs w:val="32"/>
          <w:highlight w:val="none"/>
          <w:lang w:val="en-US" w:eastAsia="zh-CN"/>
        </w:rPr>
        <w:t>9</w:t>
      </w:r>
      <w:r>
        <w:rPr>
          <w:rStyle w:val="19"/>
          <w:rFonts w:hint="default" w:ascii="Times New Roman" w:hAnsi="Times New Roman" w:eastAsia="仿宋_GB2312" w:cs="Times New Roman"/>
          <w:b w:val="0"/>
          <w:bCs w:val="0"/>
          <w:i w:val="0"/>
          <w:iCs w:val="0"/>
          <w:color w:val="auto"/>
          <w:sz w:val="32"/>
          <w:szCs w:val="32"/>
          <w:highlight w:val="none"/>
          <w:lang w:val="en-US" w:eastAsia="zh-CN"/>
        </w:rPr>
        <w:t>万元，完成预算100%</w:t>
      </w:r>
      <w:r>
        <w:rPr>
          <w:rStyle w:val="19"/>
          <w:rFonts w:hint="default" w:eastAsia="仿宋_GB2312" w:cs="Times New Roman"/>
          <w:b w:val="0"/>
          <w:bCs w:val="0"/>
          <w:i w:val="0"/>
          <w:iCs w:val="0"/>
          <w:color w:val="auto"/>
          <w:sz w:val="32"/>
          <w:szCs w:val="32"/>
          <w:highlight w:val="none"/>
          <w:lang w:eastAsia="zh-CN"/>
        </w:rPr>
        <w:t>。</w:t>
      </w:r>
    </w:p>
    <w:p>
      <w:pPr>
        <w:tabs>
          <w:tab w:val="right" w:pos="8306"/>
        </w:tabs>
        <w:spacing w:line="600" w:lineRule="exact"/>
        <w:ind w:firstLine="640"/>
        <w:outlineLvl w:val="1"/>
        <w:rPr>
          <w:rStyle w:val="31"/>
          <w:rFonts w:ascii="Times New Roman" w:hAnsi="Times New Roman"/>
          <w:color w:val="auto"/>
          <w:highlight w:val="none"/>
        </w:rPr>
      </w:pPr>
      <w:bookmarkStart w:id="49" w:name="_Toc15396608"/>
      <w:bookmarkStart w:id="50" w:name="_Toc29486"/>
      <w:bookmarkStart w:id="51" w:name="_Toc15377214"/>
      <w:bookmarkStart w:id="52" w:name="_Toc3074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49"/>
      <w:bookmarkEnd w:id="50"/>
      <w:bookmarkEnd w:id="51"/>
      <w:bookmarkEnd w:id="52"/>
      <w:r>
        <w:rPr>
          <w:rStyle w:val="31"/>
          <w:rFonts w:ascii="Times New Roman" w:hAnsi="Times New Roman" w:eastAsia="黑体"/>
          <w:b w:val="0"/>
          <w:color w:val="auto"/>
          <w:highlight w:val="none"/>
        </w:rPr>
        <w:tab/>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eastAsia="仿宋_GB2312" w:cs="Times New Roman"/>
          <w:color w:val="auto"/>
          <w:kern w:val="2"/>
          <w:sz w:val="32"/>
          <w:szCs w:val="32"/>
          <w:highlight w:val="none"/>
          <w:lang w:val="en-US" w:eastAsia="zh-CN" w:bidi="ar-SA"/>
        </w:rPr>
        <w:t>1993.97</w:t>
      </w:r>
      <w:r>
        <w:rPr>
          <w:rFonts w:hint="default" w:ascii="Times New Roman" w:hAnsi="Times New Roman" w:eastAsia="仿宋_GB2312" w:cs="Times New Roman"/>
          <w:color w:val="auto"/>
          <w:kern w:val="2"/>
          <w:sz w:val="32"/>
          <w:szCs w:val="32"/>
          <w:highlight w:val="none"/>
          <w:lang w:val="en-US" w:eastAsia="zh-CN" w:bidi="ar-SA"/>
        </w:rPr>
        <w:t>万元，其中：</w:t>
      </w:r>
    </w:p>
    <w:p>
      <w:pPr>
        <w:keepNext w:val="0"/>
        <w:keepLines w:val="0"/>
        <w:pageBreakBefore w:val="0"/>
        <w:widowControl w:val="0"/>
        <w:kinsoku/>
        <w:wordWrap/>
        <w:overflowPunct/>
        <w:topLinePunct w:val="0"/>
        <w:bidi w:val="0"/>
        <w:snapToGrid/>
        <w:spacing w:line="560" w:lineRule="exact"/>
        <w:ind w:firstLine="645"/>
        <w:textAlignment w:val="auto"/>
        <w:rPr>
          <w:rFonts w:hint="default" w:ascii="Times New Roman" w:hAnsi="Times New Roman" w:eastAsia="仿宋_GB2312" w:cs="Times New Roman"/>
          <w:b w:val="0"/>
          <w:bCs w:val="0"/>
          <w:i w:val="0"/>
          <w:iCs w:val="0"/>
          <w:color w:val="auto"/>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bidi="ar-SA"/>
        </w:rPr>
        <w:t>人员经费1826.30万元，主要包括：</w:t>
      </w:r>
      <w:r>
        <w:rPr>
          <w:rFonts w:hint="default" w:ascii="Times New Roman" w:hAnsi="Times New Roman" w:eastAsia="仿宋_GB2312" w:cs="Times New Roman"/>
          <w:b w:val="0"/>
          <w:bCs w:val="0"/>
          <w:i w:val="0"/>
          <w:iCs w:val="0"/>
          <w:color w:val="auto"/>
          <w:sz w:val="32"/>
          <w:szCs w:val="32"/>
          <w:highlight w:val="none"/>
        </w:rPr>
        <w:t>主要包括：基本工资、津贴补贴、奖金、绩效工资、机关事业单位基本养老保险缴费、其他社会保障缴费、其他工资福利支出、生活补助、住房公积金、其他对个人和家庭的补助支出等。</w:t>
      </w:r>
    </w:p>
    <w:p>
      <w:pPr>
        <w:keepNext w:val="0"/>
        <w:keepLines w:val="0"/>
        <w:pageBreakBefore w:val="0"/>
        <w:widowControl w:val="0"/>
        <w:kinsoku/>
        <w:wordWrap/>
        <w:overflowPunct/>
        <w:topLinePunct w:val="0"/>
        <w:bidi w:val="0"/>
        <w:snapToGrid/>
        <w:spacing w:line="560" w:lineRule="exact"/>
        <w:ind w:firstLine="645"/>
        <w:textAlignment w:val="auto"/>
        <w:rPr>
          <w:rFonts w:hint="default"/>
        </w:rPr>
      </w:pPr>
      <w:r>
        <w:rPr>
          <w:rFonts w:hint="default" w:ascii="Times New Roman" w:hAnsi="Times New Roman" w:eastAsia="仿宋_GB2312" w:cs="Times New Roman"/>
          <w:color w:val="auto"/>
          <w:kern w:val="2"/>
          <w:sz w:val="32"/>
          <w:szCs w:val="32"/>
          <w:highlight w:val="none"/>
          <w:lang w:val="en-US" w:eastAsia="zh-CN" w:bidi="ar-SA"/>
        </w:rPr>
        <w:t>公用经费</w:t>
      </w:r>
      <w:r>
        <w:rPr>
          <w:rFonts w:hint="default" w:eastAsia="仿宋_GB2312" w:cs="Times New Roman"/>
          <w:color w:val="auto"/>
          <w:kern w:val="2"/>
          <w:sz w:val="32"/>
          <w:szCs w:val="32"/>
          <w:highlight w:val="none"/>
          <w:lang w:val="en-US" w:eastAsia="zh-CN" w:bidi="ar-SA"/>
        </w:rPr>
        <w:t>167.67</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b w:val="0"/>
          <w:bCs w:val="0"/>
          <w:i w:val="0"/>
          <w:iCs w:val="0"/>
          <w:color w:val="auto"/>
          <w:sz w:val="32"/>
          <w:szCs w:val="32"/>
          <w:highlight w:val="none"/>
        </w:rPr>
        <w:t>主要包括：办公费、印刷费、水费、电费、邮电费、差旅费、公务接待费、工会经费、福利费、其他交通费、其他商品和服务支出等。</w:t>
      </w:r>
    </w:p>
    <w:p>
      <w:pPr>
        <w:spacing w:line="600" w:lineRule="exact"/>
        <w:ind w:firstLine="640" w:firstLineChars="200"/>
        <w:outlineLvl w:val="1"/>
        <w:rPr>
          <w:rStyle w:val="31"/>
          <w:rFonts w:ascii="Times New Roman" w:hAnsi="Times New Roman" w:eastAsia="黑体"/>
          <w:b w:val="0"/>
          <w:color w:val="auto"/>
          <w:highlight w:val="none"/>
        </w:rPr>
      </w:pPr>
      <w:bookmarkStart w:id="53" w:name="_Toc25820"/>
      <w:bookmarkStart w:id="54" w:name="_Toc15396609"/>
      <w:bookmarkStart w:id="55" w:name="_Toc15377215"/>
      <w:bookmarkStart w:id="56" w:name="_Toc32400"/>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53"/>
      <w:bookmarkEnd w:id="54"/>
      <w:bookmarkEnd w:id="55"/>
      <w:bookmarkEnd w:id="56"/>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7"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7"/>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0.54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14.06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8"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w:t>
      </w:r>
      <w:r>
        <w:rPr>
          <w:rFonts w:hint="default" w:ascii="Times New Roman" w:hAnsi="Times New Roman" w:eastAsia="仿宋_GB2312" w:cs="Times New Roman"/>
          <w:b w:val="0"/>
          <w:bCs w:val="0"/>
          <w:i w:val="0"/>
          <w:iCs w:val="0"/>
          <w:color w:val="auto"/>
          <w:sz w:val="32"/>
          <w:szCs w:val="32"/>
          <w:highlight w:val="none"/>
        </w:rPr>
        <w:t>因公出国（境）费支出决算</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%；公务用车购置及运行维护费支出决算</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%。具体情况如下：</w:t>
      </w:r>
    </w:p>
    <w:p>
      <w:pPr>
        <w:pStyle w:val="9"/>
        <w:rPr>
          <w:rFonts w:hint="eastAsia"/>
          <w:lang w:val="en-US" w:eastAsia="zh-CN"/>
        </w:rPr>
      </w:pPr>
      <w:r>
        <w:rPr>
          <w:rFonts w:hint="eastAsia"/>
          <w:lang w:val="en-US" w:eastAsia="zh-CN"/>
        </w:rPr>
        <w:t xml:space="preserve">   </w:t>
      </w:r>
      <w:r>
        <w:rPr>
          <w:rFonts w:hint="eastAsia"/>
          <w:lang w:val="en-US" w:eastAsia="zh-CN"/>
        </w:rPr>
        <w:drawing>
          <wp:inline distT="0" distB="0" distL="114300" distR="114300">
            <wp:extent cx="4498975" cy="2687955"/>
            <wp:effectExtent l="4445" t="4445" r="11430" b="1270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1688" w:firstLineChars="603"/>
        <w:rPr>
          <w:rFonts w:hint="eastAsia" w:ascii="Times New Roman" w:hAnsi="Times New Roman" w:eastAsia="仿宋_GB2312" w:cs="仿宋_GB2312"/>
          <w:color w:val="auto"/>
          <w:kern w:val="2"/>
          <w:sz w:val="28"/>
          <w:szCs w:val="28"/>
          <w:highlight w:val="none"/>
          <w:lang w:val="en-US" w:eastAsia="zh-CN" w:bidi="ar-SA"/>
        </w:rPr>
      </w:pPr>
      <w:r>
        <w:rPr>
          <w:rFonts w:hint="eastAsia" w:ascii="Times New Roman" w:hAnsi="Times New Roman" w:eastAsia="仿宋_GB2312" w:cs="仿宋_GB2312"/>
          <w:color w:val="auto"/>
          <w:kern w:val="2"/>
          <w:sz w:val="28"/>
          <w:szCs w:val="28"/>
          <w:highlight w:val="none"/>
          <w:lang w:val="en-US" w:eastAsia="zh-CN" w:bidi="ar-SA"/>
        </w:rPr>
        <w:t>图7：“三公”经费财政拨款支出结构</w:t>
      </w:r>
    </w:p>
    <w:p>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1.因公出国（境）经费支出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eastAsia" w:eastAsia="仿宋_GB2312" w:cs="Times New Roman"/>
          <w:b w:val="0"/>
          <w:bCs w:val="0"/>
          <w:i w:val="0"/>
          <w:iCs w:val="0"/>
          <w:color w:val="auto"/>
          <w:sz w:val="32"/>
          <w:szCs w:val="32"/>
          <w:highlight w:val="none"/>
          <w:lang w:eastAsia="zh-CN"/>
        </w:rPr>
        <w:t>完成预算数</w:t>
      </w:r>
      <w:r>
        <w:rPr>
          <w:rFonts w:hint="eastAsia" w:eastAsia="仿宋_GB2312"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rPr>
        <w:t>全年安排因公出国（境）团组</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次，出国（境）</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p>
    <w:p>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bCs/>
          <w:i w:val="0"/>
          <w:iCs w:val="0"/>
          <w:color w:val="auto"/>
          <w:sz w:val="32"/>
          <w:szCs w:val="32"/>
          <w:highlight w:val="none"/>
        </w:rPr>
        <w:t>2.公务用车购置及运行维护费支出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eastAsia" w:eastAsia="仿宋_GB2312" w:cs="Times New Roman"/>
          <w:b w:val="0"/>
          <w:bCs w:val="0"/>
          <w:i w:val="0"/>
          <w:iCs w:val="0"/>
          <w:color w:val="auto"/>
          <w:sz w:val="32"/>
          <w:szCs w:val="32"/>
          <w:highlight w:val="none"/>
          <w:lang w:eastAsia="zh-CN"/>
        </w:rPr>
        <w:t>，完成预算数</w:t>
      </w:r>
      <w:r>
        <w:rPr>
          <w:rFonts w:hint="eastAsia" w:eastAsia="仿宋_GB2312"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rPr>
        <w:t>公务用车购置支出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万元。全年按规定更新购置公务用车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w:t>
      </w:r>
      <w:r>
        <w:rPr>
          <w:rFonts w:hint="eastAsia"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截至</w:t>
      </w:r>
      <w:r>
        <w:rPr>
          <w:rFonts w:hint="default" w:ascii="Times New Roman" w:hAnsi="Times New Roman" w:eastAsia="仿宋_GB2312" w:cs="Times New Roman"/>
          <w:b w:val="0"/>
          <w:bCs w:val="0"/>
          <w:i w:val="0"/>
          <w:iCs w:val="0"/>
          <w:color w:val="auto"/>
          <w:sz w:val="32"/>
          <w:szCs w:val="32"/>
          <w:highlight w:val="none"/>
          <w:lang w:eastAsia="zh-CN"/>
        </w:rPr>
        <w:t>202</w:t>
      </w:r>
      <w:r>
        <w:rPr>
          <w:rFonts w:hint="eastAsia" w:eastAsia="仿宋_GB2312" w:cs="Times New Roman"/>
          <w:b w:val="0"/>
          <w:bCs w:val="0"/>
          <w:i w:val="0"/>
          <w:iCs w:val="0"/>
          <w:color w:val="auto"/>
          <w:sz w:val="32"/>
          <w:szCs w:val="32"/>
          <w:highlight w:val="none"/>
          <w:lang w:val="en-US" w:eastAsia="zh-CN"/>
        </w:rPr>
        <w:t>4</w:t>
      </w:r>
      <w:r>
        <w:rPr>
          <w:rFonts w:hint="default" w:ascii="Times New Roman" w:hAnsi="Times New Roman" w:eastAsia="仿宋_GB2312" w:cs="Times New Roman"/>
          <w:b w:val="0"/>
          <w:bCs w:val="0"/>
          <w:i w:val="0"/>
          <w:iCs w:val="0"/>
          <w:color w:val="auto"/>
          <w:sz w:val="32"/>
          <w:szCs w:val="32"/>
          <w:highlight w:val="none"/>
        </w:rPr>
        <w:t>年12月</w:t>
      </w:r>
      <w:r>
        <w:rPr>
          <w:rFonts w:hint="default" w:ascii="Times New Roman" w:hAnsi="Times New Roman" w:eastAsia="仿宋_GB2312" w:cs="Times New Roman"/>
          <w:b w:val="0"/>
          <w:bCs w:val="0"/>
          <w:i w:val="0"/>
          <w:iCs w:val="0"/>
          <w:color w:val="auto"/>
          <w:sz w:val="32"/>
          <w:szCs w:val="32"/>
          <w:highlight w:val="none"/>
          <w:lang w:val="en-US" w:eastAsia="zh-CN"/>
        </w:rPr>
        <w:t>31日</w:t>
      </w:r>
      <w:r>
        <w:rPr>
          <w:rFonts w:hint="default" w:ascii="Times New Roman" w:hAnsi="Times New Roman" w:eastAsia="仿宋_GB2312" w:cs="Times New Roman"/>
          <w:b w:val="0"/>
          <w:bCs w:val="0"/>
          <w:i w:val="0"/>
          <w:iCs w:val="0"/>
          <w:color w:val="auto"/>
          <w:sz w:val="32"/>
          <w:szCs w:val="32"/>
          <w:highlight w:val="none"/>
        </w:rPr>
        <w:t>，单位共有公务用车</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w:t>
      </w:r>
    </w:p>
    <w:p>
      <w:pPr>
        <w:spacing w:line="56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highlight w:val="none"/>
        </w:rPr>
        <w:t>公务用车运行维护费支出</w:t>
      </w:r>
      <w:r>
        <w:rPr>
          <w:rFonts w:hint="eastAsia"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3.3</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0.54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14.06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厉行节约</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outlineLvl w:val="1"/>
        <w:rPr>
          <w:rFonts w:hint="eastAsia" w:ascii="仿宋_GB2312" w:hAnsi="仿宋_GB2312" w:eastAsia="仿宋_GB2312" w:cs="仿宋_GB2312"/>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国内公务接待支出</w:t>
      </w:r>
      <w:r>
        <w:rPr>
          <w:rFonts w:hint="eastAsia" w:cs="Times New Roman"/>
          <w:b w:val="0"/>
          <w:bCs w:val="0"/>
          <w:i w:val="0"/>
          <w:iCs w:val="0"/>
          <w:color w:val="auto"/>
          <w:sz w:val="32"/>
          <w:szCs w:val="32"/>
          <w:highlight w:val="none"/>
          <w:lang w:val="en-US" w:eastAsia="zh-CN"/>
        </w:rPr>
        <w:t>3.3</w:t>
      </w:r>
      <w:r>
        <w:rPr>
          <w:rFonts w:hint="default" w:ascii="Times New Roman" w:hAnsi="Times New Roman" w:eastAsia="仿宋_GB2312" w:cs="Times New Roman"/>
          <w:b w:val="0"/>
          <w:bCs w:val="0"/>
          <w:i w:val="0"/>
          <w:iCs w:val="0"/>
          <w:color w:val="auto"/>
          <w:sz w:val="32"/>
          <w:szCs w:val="32"/>
          <w:highlight w:val="none"/>
        </w:rPr>
        <w:t>万元，主要用于执行公务、开展业务活动开支的交通费、住宿费、用餐费等。</w:t>
      </w:r>
      <w:r>
        <w:rPr>
          <w:rFonts w:hint="eastAsia" w:ascii="Times New Roman" w:hAnsi="Times New Roman" w:eastAsia="仿宋_GB2312" w:cs="仿宋_GB2312"/>
          <w:color w:val="auto"/>
          <w:kern w:val="2"/>
          <w:sz w:val="32"/>
          <w:szCs w:val="32"/>
          <w:highlight w:val="none"/>
          <w:lang w:val="en-US" w:eastAsia="zh-CN" w:bidi="ar-SA"/>
        </w:rPr>
        <w:t>国内公务接待</w:t>
      </w:r>
      <w:r>
        <w:rPr>
          <w:rFonts w:hint="default" w:ascii="Times New Roman" w:hAnsi="Times New Roman" w:eastAsia="仿宋_GB2312" w:cs="Times New Roman"/>
          <w:b w:val="0"/>
          <w:bCs w:val="0"/>
          <w:i w:val="0"/>
          <w:iCs w:val="0"/>
          <w:color w:val="auto"/>
          <w:sz w:val="32"/>
          <w:szCs w:val="32"/>
          <w:highlight w:val="none"/>
        </w:rPr>
        <w:t>国内公务</w:t>
      </w:r>
      <w:r>
        <w:rPr>
          <w:rFonts w:hint="eastAsia" w:ascii="Times New Roman" w:hAnsi="Times New Roman" w:eastAsia="仿宋_GB2312" w:cs="Times New Roman"/>
          <w:b w:val="0"/>
          <w:bCs w:val="0"/>
          <w:i w:val="0"/>
          <w:iCs w:val="0"/>
          <w:color w:val="auto"/>
          <w:sz w:val="32"/>
          <w:szCs w:val="32"/>
          <w:highlight w:val="none"/>
          <w:lang w:val="en-US" w:eastAsia="zh-CN"/>
        </w:rPr>
        <w:t>接待</w:t>
      </w:r>
      <w:r>
        <w:rPr>
          <w:rFonts w:hint="eastAsia" w:eastAsia="仿宋_GB2312" w:cs="仿宋_GB2312"/>
          <w:color w:val="auto"/>
          <w:kern w:val="2"/>
          <w:sz w:val="32"/>
          <w:szCs w:val="32"/>
          <w:highlight w:val="none"/>
          <w:lang w:val="en-US" w:eastAsia="zh-CN" w:bidi="ar-SA"/>
        </w:rPr>
        <w:t>85</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520</w:t>
      </w:r>
      <w:r>
        <w:rPr>
          <w:rFonts w:hint="eastAsia" w:ascii="Times New Roman" w:hAnsi="Times New Roman" w:eastAsia="仿宋_GB2312" w:cs="仿宋_GB2312"/>
          <w:color w:val="auto"/>
          <w:kern w:val="2"/>
          <w:sz w:val="32"/>
          <w:szCs w:val="32"/>
          <w:highlight w:val="none"/>
          <w:lang w:val="en-US" w:eastAsia="zh-CN" w:bidi="ar-SA"/>
        </w:rPr>
        <w:t>人次</w:t>
      </w:r>
      <w:r>
        <w:rPr>
          <w:rFonts w:hint="default" w:ascii="Times New Roman" w:hAnsi="Times New Roman" w:eastAsia="仿宋_GB2312" w:cs="Times New Roman"/>
          <w:b w:val="0"/>
          <w:bCs w:val="0"/>
          <w:i w:val="0"/>
          <w:iCs w:val="0"/>
          <w:color w:val="auto"/>
          <w:sz w:val="32"/>
          <w:szCs w:val="32"/>
          <w:highlight w:val="none"/>
        </w:rPr>
        <w:t>（不包括陪同人员）</w:t>
      </w:r>
      <w:r>
        <w:rPr>
          <w:rFonts w:hint="eastAsia" w:ascii="Times New Roman" w:hAnsi="Times New Roman" w:eastAsia="仿宋_GB2312" w:cs="仿宋_GB2312"/>
          <w:color w:val="auto"/>
          <w:kern w:val="2"/>
          <w:sz w:val="32"/>
          <w:szCs w:val="32"/>
          <w:highlight w:val="none"/>
          <w:lang w:val="en-US" w:eastAsia="zh-CN" w:bidi="ar-SA"/>
        </w:rPr>
        <w:t>，共计支出</w:t>
      </w: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hAnsi="仿宋_GB2312" w:eastAsia="仿宋_GB2312" w:cs="仿宋_GB2312"/>
          <w:b w:val="0"/>
          <w:bCs w:val="0"/>
          <w:i w:val="0"/>
          <w:iCs w:val="0"/>
          <w:color w:val="auto"/>
          <w:sz w:val="32"/>
          <w:szCs w:val="32"/>
          <w:highlight w:val="none"/>
          <w:lang w:eastAsia="zh-CN"/>
        </w:rPr>
        <w:t>接待上级部门检查等</w:t>
      </w:r>
      <w:r>
        <w:rPr>
          <w:rFonts w:hint="eastAsia" w:ascii="仿宋_GB2312" w:hAnsi="仿宋_GB2312" w:eastAsia="仿宋_GB2312" w:cs="仿宋_GB2312"/>
          <w:b w:val="0"/>
          <w:bCs w:val="0"/>
          <w:i w:val="0"/>
          <w:iCs w:val="0"/>
          <w:color w:val="auto"/>
          <w:sz w:val="32"/>
          <w:szCs w:val="32"/>
          <w:highlight w:val="none"/>
        </w:rPr>
        <w:t>。</w:t>
      </w:r>
      <w:bookmarkStart w:id="59" w:name="_Toc15377218"/>
      <w:bookmarkStart w:id="60" w:name="_Toc17234"/>
      <w:bookmarkStart w:id="61" w:name="_Toc12699"/>
      <w:bookmarkStart w:id="62" w:name="_Toc15396610"/>
    </w:p>
    <w:p>
      <w:pPr>
        <w:spacing w:line="600" w:lineRule="exact"/>
        <w:ind w:firstLine="640"/>
        <w:rPr>
          <w:rFonts w:hint="eastAsi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万元，外事接待</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w:t>
      </w:r>
      <w:r>
        <w:rPr>
          <w:rFonts w:hint="default" w:ascii="Times New Roman" w:hAnsi="Times New Roman" w:eastAsia="仿宋_GB2312" w:cs="Times New Roman"/>
          <w:b w:val="0"/>
          <w:bCs w:val="0"/>
          <w:i w:val="0"/>
          <w:iCs w:val="0"/>
          <w:color w:val="auto"/>
          <w:sz w:val="32"/>
          <w:szCs w:val="32"/>
          <w:highlight w:val="none"/>
          <w:lang w:eastAsia="zh-CN"/>
        </w:rPr>
        <w:t>（不包括陪同人员）</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59"/>
      <w:bookmarkEnd w:id="60"/>
      <w:bookmarkEnd w:id="61"/>
      <w:bookmarkEnd w:id="6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52.15</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2.15</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539.85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91.19</w:t>
      </w:r>
      <w:r>
        <w:rPr>
          <w:rFonts w:hint="eastAsia" w:ascii="Times New Roman" w:hAnsi="Times New Roman" w:eastAsia="仿宋_GB2312" w:cs="仿宋_GB2312"/>
          <w:color w:val="auto"/>
          <w:kern w:val="2"/>
          <w:sz w:val="32"/>
          <w:szCs w:val="32"/>
          <w:highlight w:val="none"/>
          <w:lang w:val="en-US" w:eastAsia="zh-CN" w:bidi="ar-SA"/>
        </w:rPr>
        <w:t>%。主要变动原因是棚户区改造支出</w:t>
      </w:r>
      <w:r>
        <w:rPr>
          <w:rFonts w:hint="eastAsia" w:eastAsia="仿宋_GB2312" w:cs="仿宋_GB2312"/>
          <w:color w:val="auto"/>
          <w:kern w:val="2"/>
          <w:sz w:val="32"/>
          <w:szCs w:val="32"/>
          <w:highlight w:val="none"/>
          <w:lang w:val="en-US" w:eastAsia="zh-CN" w:bidi="ar-SA"/>
        </w:rPr>
        <w:t>减少。</w:t>
      </w:r>
    </w:p>
    <w:p>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63" w:name="_Toc15377219"/>
      <w:bookmarkStart w:id="64" w:name="_Toc26833"/>
      <w:bookmarkStart w:id="65" w:name="_Toc31295"/>
      <w:bookmarkStart w:id="66"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63"/>
      <w:bookmarkEnd w:id="64"/>
      <w:bookmarkEnd w:id="65"/>
      <w:bookmarkEnd w:id="6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持平。</w:t>
      </w:r>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67" w:name="_Toc23866"/>
      <w:bookmarkStart w:id="68" w:name="_Toc15396612"/>
      <w:bookmarkStart w:id="69" w:name="_Toc15377221"/>
      <w:bookmarkStart w:id="70" w:name="_Toc8796"/>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67"/>
      <w:bookmarkEnd w:id="68"/>
      <w:bookmarkEnd w:id="69"/>
      <w:bookmarkEnd w:id="70"/>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1" w:name="_Toc15377222"/>
      <w:r>
        <w:rPr>
          <w:rFonts w:hint="eastAsia" w:ascii="Times New Roman" w:hAnsi="Times New Roman" w:eastAsia="楷体_GB2312" w:cs="楷体_GB2312"/>
          <w:b/>
          <w:color w:val="auto"/>
          <w:sz w:val="32"/>
          <w:szCs w:val="32"/>
          <w:highlight w:val="none"/>
        </w:rPr>
        <w:t>（一）机关运行经费支出情况</w:t>
      </w:r>
      <w:bookmarkEnd w:id="71"/>
    </w:p>
    <w:p>
      <w:pPr>
        <w:spacing w:line="600" w:lineRule="exact"/>
        <w:ind w:firstLine="640"/>
        <w:rPr>
          <w:rFonts w:hint="default"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eastAsia="仿宋_GB2312" w:cs="Times New Roman"/>
          <w:b w:val="0"/>
          <w:bCs w:val="0"/>
          <w:i w:val="0"/>
          <w:iCs w:val="0"/>
          <w:color w:val="auto"/>
          <w:sz w:val="32"/>
          <w:szCs w:val="32"/>
          <w:highlight w:val="none"/>
          <w:lang w:eastAsia="zh-CN"/>
        </w:rPr>
        <w:t>遂宁市安居区西眉镇人民政府</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eastAsia="仿宋_GB2312" w:cs="Times New Roman"/>
          <w:color w:val="auto"/>
          <w:kern w:val="2"/>
          <w:sz w:val="32"/>
          <w:szCs w:val="32"/>
          <w:highlight w:val="none"/>
          <w:lang w:val="en-US" w:eastAsia="zh-CN" w:bidi="ar-SA"/>
        </w:rPr>
        <w:t>167.67</w:t>
      </w:r>
      <w:r>
        <w:rPr>
          <w:rFonts w:hint="default" w:ascii="Times New Roman" w:hAnsi="Times New Roman" w:eastAsia="仿宋_GB2312" w:cs="Times New Roman"/>
          <w:color w:val="auto"/>
          <w:kern w:val="2"/>
          <w:sz w:val="32"/>
          <w:szCs w:val="32"/>
          <w:highlight w:val="none"/>
          <w:lang w:val="en-US" w:eastAsia="zh-CN" w:bidi="ar-SA"/>
        </w:rPr>
        <w:t>万元，比2023年度减少</w:t>
      </w:r>
      <w:r>
        <w:rPr>
          <w:rFonts w:hint="default" w:eastAsia="仿宋_GB2312" w:cs="Times New Roman"/>
          <w:color w:val="auto"/>
          <w:kern w:val="2"/>
          <w:sz w:val="32"/>
          <w:szCs w:val="32"/>
          <w:highlight w:val="none"/>
          <w:lang w:val="en-US" w:eastAsia="zh-CN" w:bidi="ar-SA"/>
        </w:rPr>
        <w:t>16.81</w:t>
      </w:r>
      <w:r>
        <w:rPr>
          <w:rFonts w:hint="default" w:ascii="Times New Roman" w:hAnsi="Times New Roman" w:eastAsia="仿宋_GB2312" w:cs="Times New Roman"/>
          <w:color w:val="auto"/>
          <w:kern w:val="2"/>
          <w:sz w:val="32"/>
          <w:szCs w:val="32"/>
          <w:highlight w:val="none"/>
          <w:lang w:val="en-US" w:eastAsia="zh-CN" w:bidi="ar-SA"/>
        </w:rPr>
        <w:t>万元，下降</w:t>
      </w:r>
      <w:r>
        <w:rPr>
          <w:rFonts w:hint="default" w:eastAsia="仿宋_GB2312" w:cs="Times New Roman"/>
          <w:color w:val="auto"/>
          <w:kern w:val="2"/>
          <w:sz w:val="32"/>
          <w:szCs w:val="32"/>
          <w:highlight w:val="none"/>
          <w:lang w:val="en-US" w:eastAsia="zh-CN" w:bidi="ar-SA"/>
        </w:rPr>
        <w:t>9.11</w:t>
      </w:r>
      <w:r>
        <w:rPr>
          <w:rFonts w:hint="default" w:ascii="Times New Roman" w:hAnsi="Times New Roman" w:eastAsia="仿宋_GB2312" w:cs="Times New Roman"/>
          <w:color w:val="auto"/>
          <w:kern w:val="2"/>
          <w:sz w:val="32"/>
          <w:szCs w:val="32"/>
          <w:highlight w:val="none"/>
          <w:lang w:val="en-US" w:eastAsia="zh-CN" w:bidi="ar-SA"/>
        </w:rPr>
        <w:t>%主要原因是</w:t>
      </w:r>
      <w:r>
        <w:rPr>
          <w:rFonts w:hint="default" w:eastAsia="仿宋_GB2312" w:cs="Times New Roman"/>
          <w:color w:val="auto"/>
          <w:kern w:val="2"/>
          <w:sz w:val="32"/>
          <w:szCs w:val="32"/>
          <w:highlight w:val="none"/>
          <w:lang w:val="en-US" w:eastAsia="zh-CN" w:bidi="ar-SA"/>
        </w:rPr>
        <w:t>办公费、差旅费、办公设备购置等项目减少。</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2" w:name="_Toc15377223"/>
      <w:r>
        <w:rPr>
          <w:rFonts w:hint="eastAsia" w:ascii="Times New Roman" w:hAnsi="Times New Roman" w:eastAsia="楷体_GB2312" w:cs="楷体_GB2312"/>
          <w:b/>
          <w:color w:val="auto"/>
          <w:sz w:val="32"/>
          <w:szCs w:val="32"/>
          <w:highlight w:val="none"/>
        </w:rPr>
        <w:t>（二）政府采购支出情况</w:t>
      </w:r>
      <w:bookmarkEnd w:id="7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b w:val="0"/>
          <w:bCs w:val="0"/>
          <w:i w:val="0"/>
          <w:iCs w:val="0"/>
          <w:color w:val="auto"/>
          <w:sz w:val="32"/>
          <w:szCs w:val="32"/>
          <w:highlight w:val="none"/>
          <w:lang w:eastAsia="zh-CN"/>
        </w:rPr>
        <w:t>遂宁市安居区西眉镇人民政府</w:t>
      </w:r>
      <w:r>
        <w:rPr>
          <w:rFonts w:hint="eastAsia" w:ascii="仿宋_GB2312" w:hAnsi="仿宋_GB2312" w:eastAsia="仿宋_GB2312" w:cs="仿宋_GB2312"/>
          <w:color w:val="auto"/>
          <w:kern w:val="2"/>
          <w:sz w:val="32"/>
          <w:szCs w:val="32"/>
          <w:highlight w:val="none"/>
          <w:lang w:val="en-US" w:eastAsia="zh-CN" w:bidi="ar-SA"/>
        </w:rPr>
        <w:t>政</w:t>
      </w:r>
      <w:r>
        <w:rPr>
          <w:rFonts w:hint="eastAsia" w:ascii="Times New Roman" w:hAnsi="Times New Roman" w:eastAsia="仿宋_GB2312" w:cs="仿宋_GB2312"/>
          <w:color w:val="auto"/>
          <w:kern w:val="2"/>
          <w:sz w:val="32"/>
          <w:szCs w:val="32"/>
          <w:highlight w:val="none"/>
          <w:lang w:val="en-US" w:eastAsia="zh-CN" w:bidi="ar-SA"/>
        </w:rPr>
        <w:t>府采购支出总额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万元、政府采购工程支出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万元、政府采购服务支出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万元。授予中小企业合同金额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3" w:name="_Toc15377224"/>
      <w:r>
        <w:rPr>
          <w:rFonts w:hint="eastAsia" w:ascii="Times New Roman" w:hAnsi="Times New Roman" w:eastAsia="楷体_GB2312" w:cs="楷体_GB2312"/>
          <w:b/>
          <w:color w:val="auto"/>
          <w:sz w:val="32"/>
          <w:szCs w:val="32"/>
          <w:highlight w:val="none"/>
        </w:rPr>
        <w:t>（三）国有资产占有使用情况</w:t>
      </w:r>
      <w:bookmarkEnd w:id="7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ascii="仿宋_GB2312" w:hAnsi="仿宋_GB2312" w:eastAsia="仿宋_GB2312" w:cs="仿宋_GB2312"/>
          <w:b w:val="0"/>
          <w:bCs w:val="0"/>
          <w:i w:val="0"/>
          <w:iCs w:val="0"/>
          <w:color w:val="auto"/>
          <w:sz w:val="32"/>
          <w:szCs w:val="32"/>
          <w:highlight w:val="none"/>
          <w:lang w:eastAsia="zh-CN"/>
        </w:rPr>
        <w:t>遂宁市安居区西眉镇人民政府</w:t>
      </w:r>
      <w:r>
        <w:rPr>
          <w:rFonts w:hint="eastAsia" w:ascii="Times New Roman" w:hAnsi="Times New Roman" w:eastAsia="仿宋_GB2312" w:cs="仿宋_GB2312"/>
          <w:color w:val="auto"/>
          <w:kern w:val="2"/>
          <w:sz w:val="32"/>
          <w:szCs w:val="32"/>
          <w:highlight w:val="none"/>
          <w:lang w:val="en-US" w:eastAsia="zh-CN" w:bidi="ar-SA"/>
        </w:rPr>
        <w:t>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pPr>
        <w:pStyle w:val="2"/>
        <w:rPr>
          <w:rFonts w:hint="default"/>
          <w:lang w:val="en-US" w:eastAsia="zh-CN"/>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w:t>
      </w:r>
      <w:r>
        <w:rPr>
          <w:rFonts w:hint="eastAsia" w:eastAsia="楷体_GB2312" w:cs="楷体_GB2312"/>
          <w:b/>
          <w:color w:val="auto"/>
          <w:sz w:val="32"/>
          <w:szCs w:val="32"/>
          <w:highlight w:val="none"/>
          <w:lang w:val="en-US" w:eastAsia="zh-CN"/>
        </w:rPr>
        <w:t>四</w:t>
      </w:r>
      <w:r>
        <w:rPr>
          <w:rFonts w:hint="eastAsia" w:ascii="Times New Roman" w:hAnsi="Times New Roman" w:eastAsia="楷体_GB2312" w:cs="楷体_GB2312"/>
          <w:b/>
          <w:color w:val="auto"/>
          <w:sz w:val="32"/>
          <w:szCs w:val="32"/>
          <w:highlight w:val="none"/>
        </w:rPr>
        <w:t>）预算绩效管理情况</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w:t>
      </w:r>
      <w:r>
        <w:rPr>
          <w:rFonts w:hint="default" w:eastAsia="仿宋_GB2312" w:cs="Times New Roman"/>
          <w:color w:val="auto"/>
          <w:kern w:val="2"/>
          <w:sz w:val="32"/>
          <w:szCs w:val="32"/>
          <w:highlight w:val="none"/>
          <w:lang w:val="en-US" w:eastAsia="zh-CN" w:bidi="ar-SA"/>
        </w:rPr>
        <w:t>本部门</w:t>
      </w:r>
      <w:r>
        <w:rPr>
          <w:rFonts w:hint="default" w:ascii="Times New Roman" w:hAnsi="Times New Roman" w:eastAsia="仿宋_GB2312" w:cs="Times New Roman"/>
          <w:color w:val="auto"/>
          <w:kern w:val="2"/>
          <w:sz w:val="32"/>
          <w:szCs w:val="32"/>
          <w:highlight w:val="none"/>
          <w:lang w:val="en-US" w:eastAsia="zh-CN" w:bidi="ar-SA"/>
        </w:rPr>
        <w:t>在2024年度预算编制阶段，</w:t>
      </w:r>
      <w:r>
        <w:rPr>
          <w:rFonts w:hint="default" w:eastAsia="仿宋_GB2312" w:cs="Times New Roman"/>
          <w:color w:val="auto"/>
          <w:kern w:val="2"/>
          <w:sz w:val="32"/>
          <w:szCs w:val="32"/>
          <w:highlight w:val="none"/>
          <w:lang w:val="en-US" w:eastAsia="zh-CN" w:bidi="ar-SA"/>
        </w:rPr>
        <w:t>组织</w:t>
      </w:r>
      <w:r>
        <w:rPr>
          <w:rFonts w:hint="default" w:ascii="Times New Roman" w:hAnsi="Times New Roman" w:eastAsia="仿宋_GB2312" w:cs="Times New Roman"/>
          <w:b w:val="0"/>
          <w:bCs w:val="0"/>
          <w:i w:val="0"/>
          <w:iCs w:val="0"/>
          <w:color w:val="auto"/>
          <w:sz w:val="32"/>
          <w:szCs w:val="32"/>
          <w:highlight w:val="none"/>
        </w:rPr>
        <w:t>对</w:t>
      </w:r>
      <w:r>
        <w:rPr>
          <w:rFonts w:hint="default" w:ascii="Times New Roman" w:hAnsi="Times New Roman" w:eastAsia="仿宋_GB2312" w:cs="Times New Roman"/>
          <w:color w:val="auto"/>
          <w:sz w:val="32"/>
          <w:szCs w:val="32"/>
          <w:highlight w:val="none"/>
          <w:lang w:eastAsia="zh-CN"/>
        </w:rPr>
        <w:t>乡镇监察工作</w:t>
      </w:r>
      <w:r>
        <w:rPr>
          <w:rFonts w:hint="default" w:ascii="Times New Roman" w:hAnsi="Times New Roman" w:eastAsia="仿宋_GB2312" w:cs="Times New Roman"/>
          <w:color w:val="auto"/>
          <w:sz w:val="32"/>
          <w:szCs w:val="32"/>
          <w:highlight w:val="none"/>
          <w:lang w:val="en-US" w:eastAsia="zh-CN"/>
        </w:rPr>
        <w:t>等16个</w:t>
      </w:r>
      <w:r>
        <w:rPr>
          <w:rFonts w:hint="default" w:ascii="Times New Roman" w:hAnsi="Times New Roman" w:eastAsia="仿宋_GB2312" w:cs="Times New Roman"/>
          <w:color w:val="auto"/>
          <w:kern w:val="2"/>
          <w:sz w:val="32"/>
          <w:szCs w:val="32"/>
          <w:highlight w:val="none"/>
          <w:lang w:val="en-US" w:eastAsia="zh-CN" w:bidi="ar-SA"/>
        </w:rPr>
        <w:t>项目编制了绩效目标，预算执行过程中，选取</w:t>
      </w:r>
      <w:r>
        <w:rPr>
          <w:rFonts w:hint="eastAsia" w:eastAsia="仿宋_GB2312" w:cs="Times New Roman"/>
          <w:color w:val="auto"/>
          <w:kern w:val="2"/>
          <w:sz w:val="32"/>
          <w:szCs w:val="32"/>
          <w:highlight w:val="none"/>
          <w:lang w:val="en-US" w:eastAsia="zh-CN" w:bidi="ar-SA"/>
        </w:rPr>
        <w:t>16</w:t>
      </w:r>
      <w:r>
        <w:rPr>
          <w:rFonts w:hint="default" w:ascii="Times New Roman" w:hAnsi="Times New Roman" w:eastAsia="仿宋_GB2312" w:cs="Times New Roman"/>
          <w:color w:val="auto"/>
          <w:kern w:val="2"/>
          <w:sz w:val="32"/>
          <w:szCs w:val="32"/>
          <w:highlight w:val="none"/>
          <w:lang w:val="en-US" w:eastAsia="zh-CN" w:bidi="ar-SA"/>
        </w:rPr>
        <w:t>个项目开展绩效监控。</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default" w:ascii="Times New Roman" w:hAnsi="Times New Roman" w:eastAsia="仿宋_GB2312" w:cs="Times New Roman"/>
          <w:color w:val="auto"/>
          <w:sz w:val="32"/>
          <w:szCs w:val="32"/>
          <w:highlight w:val="none"/>
          <w:lang w:eastAsia="zh-CN"/>
        </w:rPr>
        <w:t>遂宁市安居区西眉镇人民政府20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年部门整体（</w:t>
      </w:r>
      <w:r>
        <w:rPr>
          <w:rFonts w:hint="eastAsia" w:ascii="仿宋_GB2312" w:hAnsi="仿宋_GB2312" w:eastAsia="仿宋_GB2312" w:cs="仿宋_GB2312"/>
          <w:color w:val="auto"/>
          <w:sz w:val="32"/>
          <w:szCs w:val="32"/>
          <w:highlight w:val="none"/>
          <w:lang w:val="en-US" w:eastAsia="zh-CN"/>
        </w:rPr>
        <w:t>含部门预算项目</w:t>
      </w:r>
      <w:r>
        <w:rPr>
          <w:rFonts w:hint="eastAsia" w:ascii="仿宋_GB2312" w:hAnsi="仿宋_GB2312" w:eastAsia="仿宋_GB2312" w:cs="仿宋_GB2312"/>
          <w:color w:val="auto"/>
          <w:sz w:val="32"/>
          <w:szCs w:val="32"/>
          <w:highlight w:val="none"/>
          <w:lang w:eastAsia="zh-CN"/>
        </w:rPr>
        <w:t>）支出绩效</w:t>
      </w:r>
      <w:r>
        <w:rPr>
          <w:rFonts w:hint="eastAsia" w:ascii="Times New Roman" w:hAnsi="Times New Roman" w:eastAsia="仿宋_GB2312" w:cs="Times New Roman"/>
          <w:b w:val="0"/>
          <w:bCs w:val="0"/>
          <w:i w:val="0"/>
          <w:iCs w:val="0"/>
          <w:color w:val="auto"/>
          <w:sz w:val="32"/>
          <w:szCs w:val="32"/>
          <w:highlight w:val="none"/>
          <w:lang w:val="en-US" w:eastAsia="zh-CN"/>
        </w:rPr>
        <w:t>自评报告</w:t>
      </w:r>
      <w:r>
        <w:rPr>
          <w:rFonts w:hint="eastAsia" w:eastAsia="仿宋_GB2312" w:cs="Times New Roman"/>
          <w:b w:val="0"/>
          <w:bCs w:val="0"/>
          <w:i w:val="0"/>
          <w:iCs w:val="0"/>
          <w:color w:val="auto"/>
          <w:sz w:val="32"/>
          <w:szCs w:val="32"/>
          <w:highlight w:val="none"/>
          <w:lang w:val="en-US" w:eastAsia="zh-CN"/>
        </w:rPr>
        <w:t>，</w:t>
      </w:r>
      <w:r>
        <w:rPr>
          <w:rFonts w:hint="eastAsia" w:ascii="仿宋_GB2312" w:hAnsi="仿宋_GB2312" w:eastAsia="仿宋_GB2312" w:cs="仿宋_GB2312"/>
          <w:color w:val="000000"/>
          <w:kern w:val="0"/>
          <w:sz w:val="32"/>
          <w:szCs w:val="32"/>
          <w:highlight w:val="none"/>
          <w:lang w:val="en-US" w:eastAsia="zh-CN"/>
        </w:rPr>
        <w:t>民生实事票决制项目、</w:t>
      </w:r>
      <w:r>
        <w:rPr>
          <w:rFonts w:hint="eastAsia" w:ascii="仿宋_GB2312" w:hAnsi="仿宋_GB2312" w:eastAsia="仿宋_GB2312" w:cs="仿宋_GB2312"/>
          <w:color w:val="auto"/>
          <w:kern w:val="0"/>
          <w:sz w:val="32"/>
          <w:szCs w:val="32"/>
          <w:highlight w:val="none"/>
          <w:lang w:val="en-US" w:eastAsia="zh-CN"/>
        </w:rPr>
        <w:t>城乡基层治理能力建设、严重精神障碍患者投保监护人责任保险、村级公共服务经费专项预算项目绩效自评报告</w:t>
      </w:r>
      <w:r>
        <w:rPr>
          <w:rFonts w:hint="eastAsia"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其中，</w:t>
      </w:r>
      <w:r>
        <w:rPr>
          <w:rFonts w:hint="default" w:ascii="Times New Roman" w:hAnsi="Times New Roman" w:eastAsia="仿宋_GB2312" w:cs="Times New Roman"/>
          <w:color w:val="auto"/>
          <w:sz w:val="32"/>
          <w:szCs w:val="32"/>
          <w:highlight w:val="none"/>
          <w:lang w:eastAsia="zh-CN"/>
        </w:rPr>
        <w:t>遂宁市安居区西眉镇人民政府20</w:t>
      </w:r>
      <w:r>
        <w:rPr>
          <w:rFonts w:hint="default"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lang w:eastAsia="zh-CN"/>
        </w:rPr>
        <w:t>年部门整体</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含部门预算项目</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支出绩效</w:t>
      </w:r>
      <w:r>
        <w:rPr>
          <w:rFonts w:hint="default" w:ascii="Times New Roman" w:hAnsi="Times New Roman" w:eastAsia="仿宋_GB2312" w:cs="Times New Roman"/>
          <w:b w:val="0"/>
          <w:bCs w:val="0"/>
          <w:i w:val="0"/>
          <w:iCs w:val="0"/>
          <w:color w:val="auto"/>
          <w:sz w:val="32"/>
          <w:szCs w:val="32"/>
          <w:highlight w:val="none"/>
          <w:lang w:val="en-US" w:eastAsia="zh-CN"/>
        </w:rPr>
        <w:t>自评</w:t>
      </w:r>
      <w:r>
        <w:rPr>
          <w:rFonts w:hint="default" w:ascii="Times New Roman" w:hAnsi="Times New Roman" w:eastAsia="仿宋_GB2312" w:cs="Times New Roman"/>
          <w:color w:val="auto"/>
          <w:kern w:val="2"/>
          <w:sz w:val="32"/>
          <w:szCs w:val="32"/>
          <w:highlight w:val="none"/>
          <w:lang w:val="en-US" w:eastAsia="zh-CN" w:bidi="ar-SA"/>
        </w:rPr>
        <w:t>得分为</w:t>
      </w:r>
      <w:r>
        <w:rPr>
          <w:rFonts w:hint="default" w:ascii="Times New Roman" w:hAnsi="Times New Roman" w:eastAsia="仿宋_GB2312" w:cs="Times New Roman"/>
          <w:color w:val="auto"/>
          <w:kern w:val="2"/>
          <w:sz w:val="32"/>
          <w:szCs w:val="24"/>
          <w:lang w:val="en-US" w:eastAsia="zh-CN" w:bidi="ar-SA"/>
        </w:rPr>
        <w:t>9</w:t>
      </w:r>
      <w:r>
        <w:rPr>
          <w:rFonts w:hint="default" w:eastAsia="仿宋_GB2312" w:cs="Times New Roman"/>
          <w:color w:val="auto"/>
          <w:kern w:val="2"/>
          <w:sz w:val="32"/>
          <w:szCs w:val="24"/>
          <w:lang w:val="en-US" w:eastAsia="zh-CN" w:bidi="ar-SA"/>
        </w:rPr>
        <w:t>5</w:t>
      </w:r>
      <w:r>
        <w:rPr>
          <w:rFonts w:hint="default" w:ascii="Times New Roman" w:hAnsi="Times New Roman" w:eastAsia="仿宋_GB2312" w:cs="Times New Roman"/>
          <w:color w:val="auto"/>
          <w:kern w:val="2"/>
          <w:sz w:val="32"/>
          <w:szCs w:val="24"/>
          <w:lang w:val="en-US" w:eastAsia="zh-CN" w:bidi="ar-SA"/>
        </w:rPr>
        <w:t>.</w:t>
      </w:r>
      <w:r>
        <w:rPr>
          <w:rFonts w:hint="default" w:eastAsia="仿宋_GB2312" w:cs="Times New Roman"/>
          <w:color w:val="auto"/>
          <w:kern w:val="2"/>
          <w:sz w:val="32"/>
          <w:szCs w:val="24"/>
          <w:lang w:val="en-US" w:eastAsia="zh-CN" w:bidi="ar-SA"/>
        </w:rPr>
        <w:t>58</w:t>
      </w:r>
      <w:r>
        <w:rPr>
          <w:rFonts w:hint="default" w:ascii="Times New Roman" w:hAnsi="Times New Roman" w:eastAsia="仿宋_GB2312" w:cs="Times New Roman"/>
          <w:color w:val="auto"/>
          <w:kern w:val="2"/>
          <w:sz w:val="32"/>
          <w:szCs w:val="32"/>
          <w:highlight w:val="none"/>
          <w:lang w:val="en-US" w:eastAsia="zh-CN" w:bidi="ar-SA"/>
        </w:rPr>
        <w:t>分，绩效自评综述</w:t>
      </w:r>
      <w:r>
        <w:rPr>
          <w:rFonts w:hint="default" w:ascii="Times New Roman" w:hAnsi="Times New Roman" w:eastAsia="仿宋_GB2312" w:cs="Times New Roman"/>
          <w:b w:val="0"/>
          <w:bCs w:val="0"/>
          <w:i w:val="0"/>
          <w:i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年本单位在预算编制及执行上严格遵守各项财经纪律，进行了预决算公开、进行部门整体绩效自评。在加强预算编制环节的基础上，加强预算执行监管和执行结果评价，将绩效监控运行渗透到预算管理的事前、事中、事后各个环节，使财政资金使用更加规</w:t>
      </w:r>
      <w:r>
        <w:rPr>
          <w:rFonts w:hint="eastAsia" w:ascii="仿宋_GB2312" w:hAnsi="仿宋_GB2312" w:eastAsia="仿宋_GB2312" w:cs="仿宋_GB2312"/>
          <w:color w:val="auto"/>
          <w:sz w:val="32"/>
          <w:szCs w:val="32"/>
          <w:highlight w:val="none"/>
          <w:lang w:val="en-US" w:eastAsia="zh-CN"/>
        </w:rPr>
        <w:t>范，更加高效。</w:t>
      </w:r>
      <w:r>
        <w:rPr>
          <w:rFonts w:hint="eastAsia" w:ascii="仿宋_GB2312" w:hAnsi="仿宋_GB2312" w:eastAsia="仿宋_GB2312" w:cs="仿宋_GB2312"/>
          <w:color w:val="000000"/>
          <w:kern w:val="0"/>
          <w:sz w:val="32"/>
          <w:szCs w:val="32"/>
          <w:highlight w:val="none"/>
          <w:lang w:val="en-US" w:eastAsia="zh-CN"/>
        </w:rPr>
        <w:t>民生实事票决制专项预算项目绩效自评得分为100分，</w:t>
      </w:r>
      <w:r>
        <w:rPr>
          <w:rFonts w:hint="eastAsia" w:ascii="仿宋_GB2312" w:hAnsi="仿宋_GB2312" w:eastAsia="仿宋_GB2312" w:cs="仿宋_GB2312"/>
          <w:color w:val="auto"/>
          <w:kern w:val="2"/>
          <w:sz w:val="32"/>
          <w:szCs w:val="32"/>
          <w:highlight w:val="none"/>
          <w:lang w:val="en-US" w:eastAsia="zh-CN" w:bidi="ar-SA"/>
        </w:rPr>
        <w:t>绩效自评综述：</w:t>
      </w:r>
      <w:r>
        <w:rPr>
          <w:rFonts w:hint="eastAsia" w:ascii="仿宋_GB2312" w:hAnsi="仿宋_GB2312" w:eastAsia="仿宋_GB2312" w:cs="仿宋_GB2312"/>
          <w:b w:val="0"/>
          <w:bCs w:val="0"/>
          <w:kern w:val="0"/>
          <w:position w:val="0"/>
          <w:sz w:val="32"/>
          <w:szCs w:val="32"/>
          <w:highlight w:val="none"/>
          <w:lang w:val="en-US" w:eastAsia="zh-CN" w:bidi="ar-SA"/>
        </w:rPr>
        <w:t>项目通过群众票决确定实施马家社区道路路灯更换、龙崩村道路亮化及桥梁护栏维护、天台村公厕建设三个项目，全部按计划完成并通过验收。项目有效改善了农村公共设施条件，提升了居民夜间出行安全，消除了安全隐患，群众满意度和幸福感显著提高，为构建共建共治共享的基层治理格局奠定了坚实基础。</w:t>
      </w:r>
      <w:r>
        <w:rPr>
          <w:rFonts w:hint="eastAsia" w:ascii="仿宋_GB2312" w:hAnsi="仿宋_GB2312" w:eastAsia="仿宋_GB2312" w:cs="仿宋_GB2312"/>
          <w:color w:val="auto"/>
          <w:kern w:val="0"/>
          <w:sz w:val="32"/>
          <w:szCs w:val="32"/>
          <w:highlight w:val="none"/>
          <w:lang w:val="en-US" w:eastAsia="zh-CN"/>
        </w:rPr>
        <w:t>城乡基层治理能力建设</w:t>
      </w:r>
      <w:r>
        <w:rPr>
          <w:rFonts w:hint="eastAsia" w:ascii="仿宋_GB2312" w:hAnsi="仿宋_GB2312" w:eastAsia="仿宋_GB2312" w:cs="仿宋_GB2312"/>
          <w:color w:val="000000"/>
          <w:kern w:val="0"/>
          <w:sz w:val="32"/>
          <w:szCs w:val="32"/>
          <w:highlight w:val="none"/>
          <w:lang w:val="en-US" w:eastAsia="zh-CN"/>
        </w:rPr>
        <w:t>专项预算项目绩效自评得分为100分，</w:t>
      </w:r>
      <w:r>
        <w:rPr>
          <w:rFonts w:hint="eastAsia" w:ascii="仿宋_GB2312" w:hAnsi="仿宋_GB2312" w:eastAsia="仿宋_GB2312" w:cs="仿宋_GB2312"/>
          <w:color w:val="auto"/>
          <w:kern w:val="2"/>
          <w:sz w:val="32"/>
          <w:szCs w:val="32"/>
          <w:highlight w:val="none"/>
          <w:lang w:val="en-US" w:eastAsia="zh-CN" w:bidi="ar-SA"/>
        </w:rPr>
        <w:t>绩效自评综述：</w:t>
      </w:r>
      <w:r>
        <w:rPr>
          <w:rFonts w:hint="eastAsia" w:ascii="仿宋_GB2312" w:hAnsi="仿宋_GB2312" w:eastAsia="仿宋_GB2312" w:cs="仿宋_GB2312"/>
          <w:b w:val="0"/>
          <w:bCs w:val="0"/>
          <w:color w:val="auto"/>
          <w:kern w:val="0"/>
          <w:position w:val="0"/>
          <w:sz w:val="32"/>
          <w:szCs w:val="32"/>
          <w:highlight w:val="none"/>
          <w:lang w:val="en-US" w:eastAsia="zh-CN" w:bidi="ar-SA"/>
        </w:rPr>
        <w:t>该项目实施过程中，在推动石圣社区基层治理能力建设方面成效较好，顺利完成既定阶段性目标，成功实现1个基层党群服务中心的功能优化升级，使其成为集党建引领、便民服务、政策宣传、民意沟通等多功能于一体的综合性服务阵地，切实提升了石圣社区基层治理的整体水平，为推动城乡基层治理高质量发展奠定了坚实基础。</w:t>
      </w:r>
      <w:r>
        <w:rPr>
          <w:rFonts w:hint="eastAsia" w:ascii="仿宋_GB2312" w:hAnsi="仿宋_GB2312" w:eastAsia="仿宋_GB2312" w:cs="仿宋_GB2312"/>
          <w:color w:val="auto"/>
          <w:kern w:val="0"/>
          <w:sz w:val="32"/>
          <w:szCs w:val="32"/>
          <w:highlight w:val="none"/>
          <w:lang w:val="en-US" w:eastAsia="zh-CN"/>
        </w:rPr>
        <w:t>严重精神障碍患者投保监护人责任保险</w:t>
      </w:r>
      <w:r>
        <w:rPr>
          <w:rFonts w:hint="eastAsia" w:ascii="仿宋_GB2312" w:hAnsi="仿宋_GB2312" w:eastAsia="仿宋_GB2312" w:cs="仿宋_GB2312"/>
          <w:color w:val="000000"/>
          <w:kern w:val="0"/>
          <w:sz w:val="32"/>
          <w:szCs w:val="32"/>
          <w:highlight w:val="none"/>
          <w:lang w:val="en-US" w:eastAsia="zh-CN"/>
        </w:rPr>
        <w:t>专项预算项目绩效自评得分为100分，</w:t>
      </w:r>
      <w:r>
        <w:rPr>
          <w:rFonts w:hint="eastAsia" w:ascii="仿宋_GB2312" w:hAnsi="仿宋_GB2312" w:eastAsia="仿宋_GB2312" w:cs="仿宋_GB2312"/>
          <w:color w:val="auto"/>
          <w:kern w:val="2"/>
          <w:sz w:val="32"/>
          <w:szCs w:val="32"/>
          <w:highlight w:val="none"/>
          <w:lang w:val="en-US" w:eastAsia="zh-CN" w:bidi="ar-SA"/>
        </w:rPr>
        <w:t>绩效自评综述：</w:t>
      </w:r>
      <w:r>
        <w:rPr>
          <w:rFonts w:hint="eastAsia" w:ascii="仿宋_GB2312" w:hAnsi="仿宋_GB2312" w:eastAsia="仿宋_GB2312" w:cs="仿宋_GB2312"/>
          <w:b w:val="0"/>
          <w:bCs w:val="0"/>
          <w:color w:val="auto"/>
          <w:kern w:val="0"/>
          <w:position w:val="0"/>
          <w:sz w:val="32"/>
          <w:szCs w:val="32"/>
          <w:highlight w:val="none"/>
          <w:lang w:val="en-US" w:eastAsia="zh-CN" w:bidi="ar-SA"/>
        </w:rPr>
        <w:t>项目实施以来，西眉镇积极推进严重精神障碍患者监护人责任保险工作，通过多种宣传方式提高了政策知晓率，为严重精神障碍患者的监护人购买了保险，切实减轻了监护人的经济负担，强化了其监护责任，维护了社会稳定，实现了“政府主导、家庭尽责、社会参与”的综合管理目标，整体实施情况良好。</w:t>
      </w:r>
      <w:r>
        <w:rPr>
          <w:rFonts w:hint="eastAsia" w:ascii="仿宋_GB2312" w:hAnsi="仿宋_GB2312" w:eastAsia="仿宋_GB2312" w:cs="仿宋_GB2312"/>
          <w:color w:val="auto"/>
          <w:kern w:val="0"/>
          <w:sz w:val="32"/>
          <w:szCs w:val="32"/>
          <w:highlight w:val="none"/>
          <w:lang w:val="en-US" w:eastAsia="zh-CN"/>
        </w:rPr>
        <w:t>村级公共服务经费</w:t>
      </w:r>
      <w:r>
        <w:rPr>
          <w:rFonts w:hint="eastAsia" w:ascii="仿宋_GB2312" w:hAnsi="仿宋_GB2312" w:eastAsia="仿宋_GB2312" w:cs="仿宋_GB2312"/>
          <w:color w:val="000000"/>
          <w:kern w:val="0"/>
          <w:sz w:val="32"/>
          <w:szCs w:val="32"/>
          <w:highlight w:val="none"/>
          <w:lang w:val="en-US" w:eastAsia="zh-CN"/>
        </w:rPr>
        <w:t>专项预算项目绩效自评得分为100分，</w:t>
      </w:r>
      <w:r>
        <w:rPr>
          <w:rFonts w:hint="eastAsia" w:ascii="仿宋_GB2312" w:hAnsi="仿宋_GB2312" w:eastAsia="仿宋_GB2312" w:cs="仿宋_GB2312"/>
          <w:color w:val="auto"/>
          <w:kern w:val="2"/>
          <w:sz w:val="32"/>
          <w:szCs w:val="32"/>
          <w:highlight w:val="none"/>
          <w:lang w:val="en-US" w:eastAsia="zh-CN" w:bidi="ar-SA"/>
        </w:rPr>
        <w:t>绩效自评综述：</w:t>
      </w:r>
      <w:r>
        <w:rPr>
          <w:rFonts w:hint="eastAsia" w:ascii="仿宋_GB2312" w:hAnsi="仿宋_GB2312" w:eastAsia="仿宋_GB2312" w:cs="仿宋_GB2312"/>
          <w:b w:val="0"/>
          <w:bCs w:val="0"/>
          <w:color w:val="auto"/>
          <w:kern w:val="0"/>
          <w:position w:val="0"/>
          <w:sz w:val="32"/>
          <w:szCs w:val="32"/>
          <w:highlight w:val="none"/>
          <w:lang w:val="en-US" w:eastAsia="zh-CN" w:bidi="ar-SA"/>
        </w:rPr>
        <w:t>项目严格按照上级文件要求及年度计划实施，预算执行率达100%，资金管理规范，全部用于村（社区）办公运转、基层活动、服务群众、公共运维四类指定用途。通过项目实施，有效加强了各村（社区）组织运转经费保障，提升了村（社区）干部干事积极性和村（居）民满意度，总体达到预期绩效目标。</w:t>
      </w:r>
      <w:r>
        <w:rPr>
          <w:rFonts w:hint="eastAsia" w:ascii="仿宋_GB2312" w:hAnsi="仿宋_GB2312" w:eastAsia="仿宋_GB2312" w:cs="仿宋_GB2312"/>
          <w:color w:val="auto"/>
          <w:kern w:val="2"/>
          <w:sz w:val="32"/>
          <w:szCs w:val="32"/>
          <w:highlight w:val="none"/>
          <w:lang w:val="en-US" w:eastAsia="zh-CN" w:bidi="ar-SA"/>
        </w:rPr>
        <w:t>绩效自评报告详见附件。</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pPr>
        <w:numPr>
          <w:ilvl w:val="0"/>
          <w:numId w:val="0"/>
        </w:numPr>
        <w:spacing w:line="600" w:lineRule="exact"/>
        <w:jc w:val="both"/>
        <w:outlineLvl w:val="0"/>
        <w:rPr>
          <w:rFonts w:hint="eastAsia" w:ascii="Times New Roman" w:hAnsi="Times New Roman" w:eastAsia="黑体"/>
          <w:color w:val="auto"/>
          <w:sz w:val="44"/>
          <w:szCs w:val="44"/>
          <w:highlight w:val="none"/>
        </w:rPr>
      </w:pPr>
      <w:bookmarkStart w:id="74" w:name="_Toc15377225"/>
      <w:bookmarkStart w:id="75" w:name="_Toc15396613"/>
    </w:p>
    <w:p>
      <w:pPr>
        <w:numPr>
          <w:ilvl w:val="0"/>
          <w:numId w:val="0"/>
        </w:numPr>
        <w:spacing w:line="600" w:lineRule="exact"/>
        <w:jc w:val="both"/>
        <w:outlineLvl w:val="0"/>
        <w:rPr>
          <w:rFonts w:hint="eastAsia" w:ascii="方正小标宋简体" w:hAnsi="方正小标宋简体" w:eastAsia="方正小标宋简体" w:cs="方正小标宋简体"/>
          <w:color w:val="auto"/>
          <w:sz w:val="44"/>
          <w:szCs w:val="44"/>
          <w:highlight w:val="none"/>
        </w:rPr>
      </w:pPr>
      <w:bookmarkStart w:id="76" w:name="_Toc24822"/>
      <w:bookmarkStart w:id="77" w:name="_Toc10150"/>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74"/>
      <w:bookmarkEnd w:id="75"/>
      <w:bookmarkEnd w:id="76"/>
      <w:bookmarkEnd w:id="77"/>
    </w:p>
    <w:p>
      <w:pPr>
        <w:spacing w:line="600" w:lineRule="exact"/>
        <w:jc w:val="left"/>
        <w:rPr>
          <w:rFonts w:ascii="Times New Roman" w:hAnsi="Times New Roman"/>
          <w:b/>
          <w:color w:val="auto"/>
          <w:sz w:val="44"/>
          <w:szCs w:val="44"/>
          <w:highlight w:val="none"/>
        </w:rPr>
      </w:pPr>
    </w:p>
    <w:p>
      <w:pPr>
        <w:pStyle w:val="28"/>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财政拨款收入：指单位从同级财政部门取得的财政预算资金。</w:t>
      </w:r>
    </w:p>
    <w:p>
      <w:pPr>
        <w:pStyle w:val="28"/>
        <w:spacing w:line="560" w:lineRule="exact"/>
        <w:ind w:firstLine="640" w:firstLineChars="200"/>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事业收入：指事业单位开展专业业务活动及辅助活动取得的收入。</w:t>
      </w:r>
    </w:p>
    <w:p>
      <w:pPr>
        <w:pStyle w:val="28"/>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经营收入：指事业单位在专业业务活动及其辅助活动之外开展非独立核算经营活动取得的收入。</w:t>
      </w:r>
    </w:p>
    <w:p>
      <w:pPr>
        <w:pStyle w:val="28"/>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t>其他收入：指单位取得的除上述收入以外的各项收入。</w:t>
      </w:r>
      <w:r>
        <w:rPr>
          <w:rFonts w:ascii="Times New Roman" w:hAnsi="Times New Roman" w:eastAsia="仿宋_GB2312" w:cs="Times New Roman"/>
          <w:color w:val="auto"/>
          <w:sz w:val="32"/>
          <w:szCs w:val="32"/>
          <w:highlight w:val="none"/>
        </w:rPr>
        <w:t xml:space="preserve"> </w:t>
      </w:r>
    </w:p>
    <w:p>
      <w:pPr>
        <w:pStyle w:val="28"/>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eastAsia="zh-CN"/>
        </w:rPr>
        <w:t>使用非财政拨款结余</w:t>
      </w:r>
      <w:r>
        <w:rPr>
          <w:rFonts w:hint="eastAsia" w:ascii="Times New Roman" w:hAnsi="Times New Roman" w:eastAsia="仿宋_GB2312" w:cs="Times New Roman"/>
          <w:color w:val="auto"/>
          <w:sz w:val="32"/>
          <w:szCs w:val="32"/>
          <w:highlight w:val="none"/>
          <w:lang w:eastAsia="zh-CN"/>
        </w:rPr>
        <w:t>（含专用结余）</w:t>
      </w:r>
      <w:r>
        <w:rPr>
          <w:rFonts w:hint="default" w:ascii="Times New Roman" w:hAnsi="Times New Roman" w:eastAsia="仿宋_GB2312" w:cs="Times New Roman"/>
          <w:color w:val="auto"/>
          <w:sz w:val="32"/>
          <w:szCs w:val="32"/>
          <w:highlight w:val="none"/>
        </w:rPr>
        <w:t>：指事业单位</w:t>
      </w:r>
      <w:r>
        <w:rPr>
          <w:rFonts w:hint="default" w:ascii="Times New Roman" w:hAnsi="Times New Roman" w:eastAsia="仿宋_GB2312" w:cs="Times New Roman"/>
          <w:color w:val="auto"/>
          <w:sz w:val="32"/>
          <w:szCs w:val="32"/>
          <w:highlight w:val="none"/>
          <w:lang w:eastAsia="zh-CN"/>
        </w:rPr>
        <w:t>使用以前年度积累的非财政拨款结余弥补当年收支差额的金额。</w:t>
      </w:r>
      <w:r>
        <w:rPr>
          <w:rFonts w:ascii="Times New Roman" w:hAnsi="Times New Roman" w:eastAsia="仿宋_GB2312" w:cs="Times New Roman"/>
          <w:color w:val="auto"/>
          <w:sz w:val="32"/>
          <w:szCs w:val="32"/>
          <w:highlight w:val="none"/>
        </w:rPr>
        <w:t xml:space="preserve"> </w:t>
      </w:r>
    </w:p>
    <w:p>
      <w:pPr>
        <w:pStyle w:val="28"/>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w:t>
      </w:r>
      <w:r>
        <w:rPr>
          <w:rFonts w:hint="default" w:ascii="Times New Roman" w:hAnsi="Times New Roman" w:eastAsia="仿宋_GB2312" w:cs="Times New Roman"/>
          <w:color w:val="auto"/>
          <w:sz w:val="32"/>
          <w:szCs w:val="32"/>
          <w:highlight w:val="none"/>
        </w:rPr>
        <w:t>年初结转和结余：指以前年度尚未完成、结转到本年按有关规定继续使用的资金。</w:t>
      </w:r>
      <w:r>
        <w:rPr>
          <w:rFonts w:ascii="Times New Roman" w:hAnsi="Times New Roman" w:eastAsia="仿宋_GB2312" w:cs="Times New Roman"/>
          <w:color w:val="auto"/>
          <w:sz w:val="32"/>
          <w:szCs w:val="32"/>
          <w:highlight w:val="none"/>
        </w:rPr>
        <w:t xml:space="preserve"> </w:t>
      </w:r>
    </w:p>
    <w:p>
      <w:pPr>
        <w:pStyle w:val="28"/>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w:t>
      </w:r>
      <w:r>
        <w:rPr>
          <w:rFonts w:hint="default" w:ascii="Times New Roman" w:hAnsi="Times New Roman" w:eastAsia="仿宋_GB2312" w:cs="Times New Roman"/>
          <w:color w:val="auto"/>
          <w:sz w:val="32"/>
          <w:szCs w:val="32"/>
          <w:highlight w:val="none"/>
        </w:rPr>
        <w:t>结余分配：指事业单位按照会计制度规定</w:t>
      </w:r>
      <w:r>
        <w:rPr>
          <w:rFonts w:hint="default" w:ascii="Times New Roman" w:hAnsi="Times New Roman" w:eastAsia="仿宋_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color w:val="auto"/>
          <w:sz w:val="32"/>
          <w:szCs w:val="32"/>
          <w:highlight w:val="none"/>
        </w:rPr>
        <w:t>等。</w:t>
      </w:r>
    </w:p>
    <w:p>
      <w:pPr>
        <w:pStyle w:val="28"/>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pPr>
        <w:ind w:firstLine="640" w:firstLineChars="200"/>
        <w:rPr>
          <w:rFonts w:hint="default" w:ascii="Times New Roman" w:eastAsia="仿宋_GB2312" w:cs="Times New Roman"/>
          <w:color w:val="000000"/>
          <w:sz w:val="32"/>
          <w:szCs w:val="32"/>
          <w:lang w:val="en-US"/>
        </w:rPr>
      </w:pPr>
      <w:r>
        <w:rPr>
          <w:rFonts w:ascii="Times New Roman" w:eastAsia="仿宋_GB2312"/>
          <w:color w:val="auto"/>
          <w:sz w:val="32"/>
          <w:szCs w:val="32"/>
          <w:highlight w:val="none"/>
        </w:rPr>
        <w:t>9.</w:t>
      </w:r>
      <w:r>
        <w:rPr>
          <w:rFonts w:hint="default" w:ascii="Times New Roman" w:eastAsia="仿宋_GB2312" w:cs="Times New Roman"/>
          <w:color w:val="000000"/>
          <w:sz w:val="32"/>
          <w:szCs w:val="32"/>
        </w:rPr>
        <w:t>一般公共服务（类）</w:t>
      </w:r>
      <w:r>
        <w:rPr>
          <w:rFonts w:hint="default" w:ascii="Times New Roman" w:eastAsia="仿宋_GB2312" w:cs="Times New Roman"/>
          <w:color w:val="000000"/>
          <w:sz w:val="32"/>
          <w:szCs w:val="32"/>
          <w:lang w:val="en-US" w:eastAsia="zh-CN"/>
        </w:rPr>
        <w:t>人大代表</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代表工作</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指反映人大代表开展各类视察等方面的支出。</w:t>
      </w:r>
    </w:p>
    <w:p>
      <w:pPr>
        <w:ind w:firstLine="640" w:firstLineChars="200"/>
        <w:rPr>
          <w:rFonts w:hint="default" w:ascii="Times New Roman" w:eastAsia="仿宋_GB2312" w:cs="Times New Roman"/>
          <w:color w:val="000000"/>
          <w:sz w:val="32"/>
          <w:szCs w:val="32"/>
          <w:lang w:val="en-US" w:eastAsia="zh-CN"/>
        </w:rPr>
      </w:pPr>
      <w:r>
        <w:rPr>
          <w:rFonts w:ascii="Times New Roman" w:eastAsia="仿宋_GB2312"/>
          <w:color w:val="auto"/>
          <w:sz w:val="32"/>
          <w:szCs w:val="32"/>
          <w:highlight w:val="none"/>
        </w:rPr>
        <w:t>10.</w:t>
      </w:r>
      <w:r>
        <w:rPr>
          <w:rFonts w:hint="default" w:ascii="Times New Roman" w:eastAsia="仿宋_GB2312" w:cs="Times New Roman"/>
          <w:color w:val="000000"/>
          <w:sz w:val="32"/>
          <w:szCs w:val="32"/>
        </w:rPr>
        <w:t>一般公共服务（类）</w:t>
      </w:r>
      <w:r>
        <w:rPr>
          <w:rFonts w:hint="default" w:ascii="Times New Roman" w:eastAsia="仿宋_GB2312" w:cs="Times New Roman"/>
          <w:color w:val="000000"/>
          <w:sz w:val="32"/>
          <w:szCs w:val="32"/>
          <w:lang w:val="en-US" w:eastAsia="zh-CN"/>
        </w:rPr>
        <w:t>人大代表</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其他人大事务支出</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指反映上述项目以外的其他人大事务支出。</w:t>
      </w:r>
    </w:p>
    <w:p>
      <w:pPr>
        <w:ind w:firstLine="640" w:firstLineChars="200"/>
        <w:rPr>
          <w:rFonts w:hint="default" w:ascii="Times New Roman" w:eastAsia="仿宋_GB2312" w:cs="Times New Roman"/>
          <w:color w:val="000000"/>
          <w:sz w:val="32"/>
          <w:szCs w:val="32"/>
        </w:rPr>
      </w:pPr>
      <w:r>
        <w:rPr>
          <w:rFonts w:ascii="Times New Roman" w:eastAsia="仿宋_GB2312"/>
          <w:color w:val="auto"/>
          <w:sz w:val="32"/>
          <w:szCs w:val="32"/>
          <w:highlight w:val="none"/>
        </w:rPr>
        <w:t>11.</w:t>
      </w:r>
      <w:r>
        <w:rPr>
          <w:rFonts w:hint="default" w:ascii="Times New Roman" w:eastAsia="仿宋_GB2312" w:cs="Times New Roman"/>
          <w:color w:val="000000"/>
          <w:sz w:val="32"/>
          <w:szCs w:val="32"/>
        </w:rPr>
        <w:t>一般公共服务（类）</w:t>
      </w:r>
      <w:r>
        <w:rPr>
          <w:rFonts w:hint="default" w:ascii="Times New Roman" w:eastAsia="仿宋_GB2312" w:cs="Times New Roman"/>
          <w:color w:val="000000"/>
          <w:sz w:val="32"/>
          <w:szCs w:val="32"/>
          <w:lang w:val="en-US" w:eastAsia="zh-CN"/>
        </w:rPr>
        <w:t>政协事务</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委员视察</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指反映政协委员开展各类视察的支出。</w:t>
      </w:r>
    </w:p>
    <w:p>
      <w:pPr>
        <w:ind w:firstLine="640" w:firstLineChars="200"/>
        <w:rPr>
          <w:rFonts w:ascii="Times New Roman" w:eastAsia="仿宋_GB2312"/>
          <w:color w:val="auto"/>
          <w:sz w:val="32"/>
          <w:szCs w:val="32"/>
          <w:highlight w:val="none"/>
        </w:rPr>
      </w:pPr>
      <w:r>
        <w:rPr>
          <w:rFonts w:ascii="Times New Roman" w:eastAsia="仿宋_GB2312"/>
          <w:color w:val="auto"/>
          <w:sz w:val="32"/>
          <w:szCs w:val="32"/>
          <w:highlight w:val="none"/>
        </w:rPr>
        <w:t>12.</w:t>
      </w:r>
      <w:r>
        <w:rPr>
          <w:rFonts w:hint="default" w:ascii="Times New Roman" w:eastAsia="仿宋_GB2312" w:cs="Times New Roman"/>
          <w:color w:val="000000"/>
          <w:sz w:val="32"/>
          <w:szCs w:val="32"/>
        </w:rPr>
        <w:t>一般公共服务（类）</w:t>
      </w:r>
      <w:r>
        <w:rPr>
          <w:rFonts w:hint="default" w:ascii="Times New Roman" w:eastAsia="仿宋_GB2312" w:cs="Times New Roman"/>
          <w:color w:val="000000"/>
          <w:sz w:val="32"/>
          <w:szCs w:val="32"/>
          <w:lang w:val="en-US" w:eastAsia="zh-CN"/>
        </w:rPr>
        <w:t>政府办公厅（室）及相关机构事务</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行政运行</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指反映行政单位（包括实行公务员管理的事业单位）的基本支出。</w:t>
      </w:r>
    </w:p>
    <w:p>
      <w:pPr>
        <w:ind w:firstLine="640" w:firstLineChars="200"/>
        <w:rPr>
          <w:rFonts w:ascii="Times New Roman" w:eastAsia="仿宋_GB2312"/>
          <w:color w:val="auto"/>
          <w:sz w:val="32"/>
          <w:szCs w:val="32"/>
          <w:highlight w:val="none"/>
        </w:rPr>
      </w:pPr>
      <w:r>
        <w:rPr>
          <w:rFonts w:ascii="Times New Roman" w:eastAsia="仿宋_GB2312"/>
          <w:color w:val="auto"/>
          <w:sz w:val="32"/>
          <w:szCs w:val="32"/>
          <w:highlight w:val="none"/>
        </w:rPr>
        <w:t>13.</w:t>
      </w:r>
      <w:r>
        <w:rPr>
          <w:rFonts w:hint="default" w:ascii="Times New Roman" w:eastAsia="仿宋_GB2312" w:cs="Times New Roman"/>
          <w:color w:val="000000"/>
          <w:sz w:val="32"/>
          <w:szCs w:val="32"/>
        </w:rPr>
        <w:t>一般公共服务（类）</w:t>
      </w:r>
      <w:r>
        <w:rPr>
          <w:rFonts w:hint="default" w:ascii="Times New Roman" w:eastAsia="仿宋_GB2312" w:cs="Times New Roman"/>
          <w:color w:val="000000"/>
          <w:sz w:val="32"/>
          <w:szCs w:val="32"/>
          <w:lang w:val="en-US" w:eastAsia="zh-CN"/>
        </w:rPr>
        <w:t>政府办公厅（室）及相关机构事务</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信访事务</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指政府用于接待群众来信来访方面的支出。</w:t>
      </w:r>
    </w:p>
    <w:p>
      <w:pPr>
        <w:ind w:firstLine="640" w:firstLineChars="200"/>
        <w:rPr>
          <w:rFonts w:hint="default" w:ascii="Times New Roman" w:eastAsia="仿宋_GB2312" w:cs="Times New Roman"/>
          <w:color w:val="000000"/>
          <w:sz w:val="32"/>
          <w:szCs w:val="32"/>
          <w:lang w:val="en-US" w:eastAsia="zh-CN"/>
        </w:rPr>
      </w:pPr>
      <w:r>
        <w:rPr>
          <w:rFonts w:ascii="Times New Roman" w:eastAsia="仿宋_GB2312"/>
          <w:color w:val="auto"/>
          <w:sz w:val="32"/>
          <w:szCs w:val="32"/>
          <w:highlight w:val="none"/>
        </w:rPr>
        <w:t>14.</w:t>
      </w:r>
      <w:r>
        <w:rPr>
          <w:rFonts w:hint="default" w:ascii="Times New Roman" w:eastAsia="仿宋_GB2312" w:cs="Times New Roman"/>
          <w:color w:val="000000"/>
          <w:sz w:val="32"/>
          <w:szCs w:val="32"/>
        </w:rPr>
        <w:t>一般公共服务（类）</w:t>
      </w:r>
      <w:r>
        <w:rPr>
          <w:rFonts w:hint="default" w:ascii="Times New Roman" w:eastAsia="仿宋_GB2312" w:cs="Times New Roman"/>
          <w:color w:val="000000"/>
          <w:sz w:val="32"/>
          <w:szCs w:val="32"/>
          <w:lang w:val="en-US" w:eastAsia="zh-CN"/>
        </w:rPr>
        <w:t>政府办公厅（室）及相关机构事务</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事业运行</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指事业单位的基本支出，不包括行政单位（包括实行公务员管理的事业单位）后勤服务中心、医务室等附属事业单位。</w:t>
      </w:r>
    </w:p>
    <w:p>
      <w:pPr>
        <w:ind w:firstLine="640" w:firstLineChars="200"/>
        <w:rPr>
          <w:rFonts w:hint="default" w:ascii="Times New Roman" w:eastAsia="仿宋_GB2312" w:cs="Times New Roman"/>
          <w:color w:val="000000"/>
          <w:sz w:val="32"/>
          <w:szCs w:val="32"/>
        </w:rPr>
      </w:pPr>
      <w:r>
        <w:rPr>
          <w:rFonts w:ascii="Times New Roman" w:eastAsia="仿宋_GB2312"/>
          <w:color w:val="auto"/>
          <w:sz w:val="32"/>
          <w:szCs w:val="32"/>
          <w:highlight w:val="none"/>
        </w:rPr>
        <w:t>15.</w:t>
      </w:r>
      <w:r>
        <w:rPr>
          <w:rFonts w:hint="default" w:ascii="Times New Roman" w:eastAsia="仿宋_GB2312" w:cs="Times New Roman"/>
          <w:color w:val="000000"/>
          <w:sz w:val="32"/>
          <w:szCs w:val="32"/>
        </w:rPr>
        <w:t>一般公共服务（类）</w:t>
      </w:r>
      <w:r>
        <w:rPr>
          <w:rFonts w:hint="default" w:ascii="Times New Roman" w:eastAsia="仿宋_GB2312" w:cs="Times New Roman"/>
          <w:color w:val="000000"/>
          <w:sz w:val="32"/>
          <w:szCs w:val="32"/>
          <w:lang w:val="en-US" w:eastAsia="zh-CN"/>
        </w:rPr>
        <w:t>政府办公厅（室）及相关机构事务</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其他政府办公厅（室）及相关机构事务支出</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指其他政府办公厅（室）及相关机构事务支出。</w:t>
      </w:r>
    </w:p>
    <w:p>
      <w:pPr>
        <w:ind w:firstLine="640" w:firstLineChars="200"/>
        <w:rPr>
          <w:rFonts w:ascii="Times New Roman" w:eastAsia="仿宋_GB2312"/>
          <w:color w:val="auto"/>
          <w:sz w:val="32"/>
          <w:szCs w:val="32"/>
          <w:highlight w:val="none"/>
        </w:rPr>
      </w:pPr>
      <w:r>
        <w:rPr>
          <w:rFonts w:ascii="Times New Roman" w:eastAsia="仿宋_GB2312"/>
          <w:color w:val="auto"/>
          <w:sz w:val="32"/>
          <w:szCs w:val="32"/>
          <w:highlight w:val="none"/>
        </w:rPr>
        <w:t>16.</w:t>
      </w:r>
      <w:r>
        <w:rPr>
          <w:rFonts w:hint="default" w:ascii="Times New Roman" w:eastAsia="仿宋_GB2312" w:cs="Times New Roman"/>
          <w:color w:val="000000"/>
          <w:sz w:val="32"/>
          <w:szCs w:val="32"/>
        </w:rPr>
        <w:t>一般公共服务（类）</w:t>
      </w:r>
      <w:r>
        <w:rPr>
          <w:rFonts w:hint="default" w:ascii="Times New Roman" w:eastAsia="仿宋_GB2312" w:cs="Times New Roman"/>
          <w:color w:val="000000"/>
          <w:sz w:val="32"/>
          <w:szCs w:val="32"/>
          <w:lang w:val="en-US" w:eastAsia="zh-CN"/>
        </w:rPr>
        <w:t>统计信息事务</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其他统计信息事务支出</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指其他统计信息事务支出。</w:t>
      </w:r>
    </w:p>
    <w:p>
      <w:pPr>
        <w:ind w:firstLine="640" w:firstLineChars="200"/>
        <w:rPr>
          <w:rFonts w:ascii="Times New Roman" w:eastAsia="仿宋_GB2312"/>
          <w:color w:val="auto"/>
          <w:sz w:val="32"/>
          <w:szCs w:val="32"/>
          <w:highlight w:val="none"/>
        </w:rPr>
      </w:pPr>
      <w:r>
        <w:rPr>
          <w:rFonts w:ascii="Times New Roman" w:eastAsia="仿宋_GB2312"/>
          <w:color w:val="auto"/>
          <w:sz w:val="32"/>
          <w:szCs w:val="32"/>
          <w:highlight w:val="none"/>
        </w:rPr>
        <w:t>17.</w:t>
      </w:r>
      <w:r>
        <w:rPr>
          <w:rFonts w:hint="default" w:ascii="Times New Roman" w:eastAsia="仿宋_GB2312" w:cs="Times New Roman"/>
          <w:color w:val="000000"/>
          <w:sz w:val="32"/>
          <w:szCs w:val="32"/>
        </w:rPr>
        <w:t>一般公共服务（类）</w:t>
      </w:r>
      <w:r>
        <w:rPr>
          <w:rFonts w:hint="default" w:ascii="Times New Roman" w:eastAsia="仿宋_GB2312" w:cs="Times New Roman"/>
          <w:color w:val="000000"/>
          <w:sz w:val="32"/>
          <w:szCs w:val="32"/>
          <w:lang w:val="en-US" w:eastAsia="zh-CN"/>
        </w:rPr>
        <w:t>财政事务</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行政运行</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指行政单位（包括实行公务员管理的事业单位）的基本支出。</w:t>
      </w:r>
    </w:p>
    <w:p>
      <w:pPr>
        <w:ind w:firstLine="640" w:firstLineChars="200"/>
        <w:rPr>
          <w:rFonts w:ascii="Times New Roman" w:eastAsia="仿宋_GB2312"/>
          <w:color w:val="auto"/>
          <w:sz w:val="32"/>
          <w:szCs w:val="32"/>
          <w:highlight w:val="none"/>
        </w:rPr>
      </w:pPr>
      <w:r>
        <w:rPr>
          <w:rFonts w:ascii="Times New Roman" w:eastAsia="仿宋_GB2312"/>
          <w:color w:val="auto"/>
          <w:sz w:val="32"/>
          <w:szCs w:val="32"/>
          <w:highlight w:val="none"/>
        </w:rPr>
        <w:t>18.</w:t>
      </w:r>
      <w:r>
        <w:rPr>
          <w:rFonts w:hint="default" w:ascii="Times New Roman" w:eastAsia="仿宋_GB2312" w:cs="Times New Roman"/>
          <w:color w:val="000000"/>
          <w:sz w:val="32"/>
          <w:szCs w:val="32"/>
        </w:rPr>
        <w:t>一般公共服务（类）</w:t>
      </w:r>
      <w:r>
        <w:rPr>
          <w:rFonts w:hint="default" w:ascii="Times New Roman" w:eastAsia="仿宋_GB2312" w:cs="Times New Roman"/>
          <w:color w:val="000000"/>
          <w:sz w:val="32"/>
          <w:szCs w:val="32"/>
          <w:lang w:val="en-US" w:eastAsia="zh-CN"/>
        </w:rPr>
        <w:t>纪检监察事务</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其他纪检监察事务支出</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指其他纪检监察事务方面的支出。</w:t>
      </w:r>
    </w:p>
    <w:p>
      <w:pPr>
        <w:ind w:firstLine="640" w:firstLineChars="200"/>
        <w:rPr>
          <w:rFonts w:hint="default" w:ascii="Times New Roman" w:eastAsia="仿宋_GB2312" w:cs="Times New Roman"/>
          <w:color w:val="000000"/>
          <w:sz w:val="32"/>
          <w:szCs w:val="32"/>
          <w:lang w:val="en-US" w:eastAsia="zh-CN"/>
        </w:rPr>
      </w:pPr>
      <w:r>
        <w:rPr>
          <w:rFonts w:ascii="Times New Roman" w:eastAsia="仿宋_GB2312"/>
          <w:color w:val="auto"/>
          <w:sz w:val="32"/>
          <w:szCs w:val="32"/>
          <w:highlight w:val="none"/>
        </w:rPr>
        <w:t>19.</w:t>
      </w:r>
      <w:r>
        <w:rPr>
          <w:rFonts w:hint="default" w:ascii="Times New Roman" w:eastAsia="仿宋_GB2312" w:cs="Times New Roman"/>
          <w:color w:val="000000"/>
          <w:sz w:val="32"/>
          <w:szCs w:val="32"/>
        </w:rPr>
        <w:t>一般公共服务（类）</w:t>
      </w:r>
      <w:r>
        <w:rPr>
          <w:rFonts w:hint="default" w:ascii="Times New Roman" w:eastAsia="仿宋_GB2312" w:cs="Times New Roman"/>
          <w:color w:val="000000"/>
          <w:sz w:val="32"/>
          <w:szCs w:val="32"/>
          <w:lang w:val="en-US" w:eastAsia="zh-CN"/>
        </w:rPr>
        <w:t>群众团体事务</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其他群众团体事务支出</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 xml:space="preserve">指其他用于群众团体事务方面的支出。 </w:t>
      </w:r>
    </w:p>
    <w:p>
      <w:pPr>
        <w:ind w:firstLine="640" w:firstLineChars="200"/>
        <w:rPr>
          <w:rFonts w:ascii="Times New Roman" w:eastAsia="仿宋_GB2312"/>
          <w:color w:val="auto"/>
          <w:sz w:val="32"/>
          <w:szCs w:val="32"/>
          <w:highlight w:val="none"/>
        </w:rPr>
      </w:pPr>
      <w:r>
        <w:rPr>
          <w:rFonts w:ascii="Times New Roman" w:eastAsia="仿宋_GB2312"/>
          <w:color w:val="auto"/>
          <w:sz w:val="32"/>
          <w:szCs w:val="32"/>
          <w:highlight w:val="none"/>
        </w:rPr>
        <w:t>20.</w:t>
      </w:r>
      <w:r>
        <w:rPr>
          <w:rFonts w:hint="default" w:ascii="Times New Roman" w:eastAsia="仿宋_GB2312" w:cs="Times New Roman"/>
          <w:color w:val="000000"/>
          <w:sz w:val="32"/>
          <w:szCs w:val="32"/>
        </w:rPr>
        <w:t>文化旅游体育与传媒（类）</w:t>
      </w:r>
      <w:r>
        <w:rPr>
          <w:rFonts w:hint="default" w:ascii="Times New Roman" w:eastAsia="仿宋_GB2312" w:cs="Times New Roman"/>
          <w:color w:val="000000"/>
          <w:sz w:val="32"/>
          <w:szCs w:val="32"/>
          <w:lang w:val="en-US" w:eastAsia="zh-CN"/>
        </w:rPr>
        <w:t>文化和旅游</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其他文化和旅游支出</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指其他用于文化和旅游方面的支出。</w:t>
      </w:r>
    </w:p>
    <w:p>
      <w:pPr>
        <w:ind w:firstLine="640" w:firstLineChars="200"/>
        <w:rPr>
          <w:rFonts w:ascii="Times New Roman" w:eastAsia="仿宋_GB2312"/>
          <w:color w:val="auto"/>
          <w:sz w:val="32"/>
          <w:szCs w:val="32"/>
          <w:highlight w:val="none"/>
        </w:rPr>
      </w:pPr>
      <w:r>
        <w:rPr>
          <w:rFonts w:ascii="Times New Roman" w:eastAsia="仿宋_GB2312"/>
          <w:color w:val="auto"/>
          <w:sz w:val="32"/>
          <w:szCs w:val="32"/>
          <w:highlight w:val="none"/>
        </w:rPr>
        <w:t>21.</w:t>
      </w:r>
      <w:r>
        <w:rPr>
          <w:rFonts w:hint="default" w:ascii="Times New Roman" w:eastAsia="仿宋_GB2312" w:cs="Times New Roman"/>
          <w:color w:val="000000"/>
          <w:sz w:val="32"/>
          <w:szCs w:val="32"/>
        </w:rPr>
        <w:t>社会保障和就业（类）</w:t>
      </w:r>
      <w:r>
        <w:rPr>
          <w:rFonts w:hint="default" w:ascii="Times New Roman" w:eastAsia="仿宋_GB2312" w:cs="Times New Roman"/>
          <w:color w:val="000000"/>
          <w:sz w:val="32"/>
          <w:szCs w:val="32"/>
          <w:lang w:val="en-US" w:eastAsia="zh-CN"/>
        </w:rPr>
        <w:t>民政管理事务</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其他民政管理事务支出</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指民政部门接待来访、法制建设、政策宣传方面的支出，以及开展社会救助、社会福利、养老服务、社会事务、信息化建设等方面的支出。</w:t>
      </w:r>
    </w:p>
    <w:p>
      <w:pPr>
        <w:ind w:firstLine="640" w:firstLineChars="200"/>
        <w:rPr>
          <w:rFonts w:ascii="Times New Roman" w:eastAsia="仿宋_GB2312"/>
          <w:color w:val="auto"/>
          <w:sz w:val="32"/>
          <w:szCs w:val="32"/>
          <w:highlight w:val="none"/>
        </w:rPr>
      </w:pPr>
      <w:r>
        <w:rPr>
          <w:rFonts w:ascii="Times New Roman" w:eastAsia="仿宋_GB2312"/>
          <w:color w:val="auto"/>
          <w:sz w:val="32"/>
          <w:szCs w:val="32"/>
          <w:highlight w:val="none"/>
        </w:rPr>
        <w:t>22.</w:t>
      </w:r>
      <w:r>
        <w:rPr>
          <w:rFonts w:hint="default" w:ascii="Times New Roman" w:eastAsia="仿宋_GB2312" w:cs="Times New Roman"/>
          <w:color w:val="000000"/>
          <w:sz w:val="32"/>
          <w:szCs w:val="32"/>
        </w:rPr>
        <w:t>社会保障和就业（类）</w:t>
      </w:r>
      <w:r>
        <w:rPr>
          <w:rFonts w:hint="default" w:ascii="Times New Roman" w:eastAsia="仿宋_GB2312" w:cs="Times New Roman"/>
          <w:color w:val="000000"/>
          <w:sz w:val="32"/>
          <w:szCs w:val="32"/>
          <w:lang w:val="en-US" w:eastAsia="zh-CN"/>
        </w:rPr>
        <w:t>行政事业单位养老支出</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机关事业单位基本养老保险缴费支出</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指机关事业单位实施养老保险制度由单位缴纳的基本养老保险费支出。</w:t>
      </w:r>
    </w:p>
    <w:p>
      <w:pPr>
        <w:ind w:firstLine="640" w:firstLineChars="200"/>
        <w:rPr>
          <w:rFonts w:ascii="Times New Roman" w:eastAsia="仿宋_GB2312"/>
          <w:color w:val="auto"/>
          <w:sz w:val="32"/>
          <w:szCs w:val="32"/>
          <w:highlight w:val="none"/>
        </w:rPr>
      </w:pPr>
      <w:r>
        <w:rPr>
          <w:rFonts w:ascii="Times New Roman" w:eastAsia="仿宋_GB2312"/>
          <w:color w:val="auto"/>
          <w:sz w:val="32"/>
          <w:szCs w:val="32"/>
          <w:highlight w:val="none"/>
        </w:rPr>
        <w:t>23.</w:t>
      </w:r>
      <w:r>
        <w:rPr>
          <w:rFonts w:hint="default" w:ascii="Times New Roman" w:eastAsia="仿宋_GB2312" w:cs="Times New Roman"/>
          <w:color w:val="000000"/>
          <w:sz w:val="32"/>
          <w:szCs w:val="32"/>
        </w:rPr>
        <w:t>社会保障和就业（类）</w:t>
      </w:r>
      <w:r>
        <w:rPr>
          <w:rFonts w:hint="default" w:ascii="Times New Roman" w:eastAsia="仿宋_GB2312" w:cs="Times New Roman"/>
          <w:color w:val="000000"/>
          <w:sz w:val="32"/>
          <w:szCs w:val="32"/>
          <w:lang w:val="en-US" w:eastAsia="zh-CN"/>
        </w:rPr>
        <w:t>行政事业单位养老支出</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其他行政事业单位养老支出</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指其他用于行政事业单位养老方面的支出。</w:t>
      </w:r>
    </w:p>
    <w:p>
      <w:pPr>
        <w:ind w:firstLine="640" w:firstLineChars="200"/>
        <w:rPr>
          <w:rFonts w:hint="default" w:ascii="Times New Roman" w:eastAsia="仿宋_GB2312" w:cs="Times New Roman"/>
          <w:color w:val="000000"/>
          <w:sz w:val="32"/>
          <w:szCs w:val="32"/>
          <w:lang w:val="en-US" w:eastAsia="zh-CN"/>
        </w:rPr>
      </w:pPr>
      <w:r>
        <w:rPr>
          <w:rFonts w:ascii="Times New Roman" w:eastAsia="仿宋_GB2312"/>
          <w:color w:val="auto"/>
          <w:sz w:val="32"/>
          <w:szCs w:val="32"/>
          <w:highlight w:val="none"/>
        </w:rPr>
        <w:t>24.</w:t>
      </w:r>
      <w:r>
        <w:rPr>
          <w:rFonts w:hint="default" w:ascii="Times New Roman" w:eastAsia="仿宋_GB2312" w:cs="Times New Roman"/>
          <w:color w:val="000000"/>
          <w:sz w:val="32"/>
          <w:szCs w:val="32"/>
        </w:rPr>
        <w:t>社会保障和就业（类）</w:t>
      </w:r>
      <w:r>
        <w:rPr>
          <w:rFonts w:hint="default" w:ascii="Times New Roman" w:eastAsia="仿宋_GB2312" w:cs="Times New Roman"/>
          <w:color w:val="000000"/>
          <w:sz w:val="32"/>
          <w:szCs w:val="32"/>
          <w:lang w:val="en-US" w:eastAsia="zh-CN"/>
        </w:rPr>
        <w:t>其他</w:t>
      </w:r>
      <w:r>
        <w:rPr>
          <w:rFonts w:hint="default" w:ascii="Times New Roman" w:eastAsia="仿宋_GB2312" w:cs="Times New Roman"/>
          <w:color w:val="000000"/>
          <w:sz w:val="32"/>
          <w:szCs w:val="32"/>
        </w:rPr>
        <w:t>社会保障和就业</w:t>
      </w:r>
      <w:r>
        <w:rPr>
          <w:rFonts w:hint="default" w:ascii="Times New Roman" w:eastAsia="仿宋_GB2312" w:cs="Times New Roman"/>
          <w:color w:val="000000"/>
          <w:sz w:val="32"/>
          <w:szCs w:val="32"/>
          <w:lang w:val="en-US" w:eastAsia="zh-CN"/>
        </w:rPr>
        <w:t>支出</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其他</w:t>
      </w:r>
      <w:r>
        <w:rPr>
          <w:rFonts w:hint="default" w:ascii="Times New Roman" w:eastAsia="仿宋_GB2312" w:cs="Times New Roman"/>
          <w:color w:val="000000"/>
          <w:sz w:val="32"/>
          <w:szCs w:val="32"/>
        </w:rPr>
        <w:t>社会保障和就业</w:t>
      </w:r>
      <w:r>
        <w:rPr>
          <w:rFonts w:hint="default" w:ascii="Times New Roman" w:eastAsia="仿宋_GB2312" w:cs="Times New Roman"/>
          <w:color w:val="000000"/>
          <w:sz w:val="32"/>
          <w:szCs w:val="32"/>
          <w:lang w:val="en-US" w:eastAsia="zh-CN"/>
        </w:rPr>
        <w:t>支出</w:t>
      </w:r>
      <w:r>
        <w:rPr>
          <w:rFonts w:hint="default" w:ascii="Times New Roman" w:eastAsia="仿宋_GB2312" w:cs="Times New Roman"/>
          <w:color w:val="000000"/>
          <w:sz w:val="32"/>
          <w:szCs w:val="32"/>
        </w:rPr>
        <w:t xml:space="preserve">（项）: </w:t>
      </w:r>
      <w:r>
        <w:rPr>
          <w:rFonts w:hint="default" w:ascii="Times New Roman" w:eastAsia="仿宋_GB2312" w:cs="Times New Roman"/>
          <w:color w:val="000000"/>
          <w:sz w:val="32"/>
          <w:szCs w:val="32"/>
          <w:lang w:val="en-US" w:eastAsia="zh-CN"/>
        </w:rPr>
        <w:t>指其他用于社会保障和就业的支出。</w:t>
      </w:r>
    </w:p>
    <w:p>
      <w:pPr>
        <w:ind w:firstLine="640" w:firstLineChars="200"/>
        <w:rPr>
          <w:rFonts w:ascii="Times New Roman" w:eastAsia="仿宋_GB2312"/>
          <w:color w:val="auto"/>
          <w:sz w:val="32"/>
          <w:szCs w:val="32"/>
          <w:highlight w:val="none"/>
        </w:rPr>
      </w:pPr>
      <w:r>
        <w:rPr>
          <w:rFonts w:ascii="Times New Roman" w:eastAsia="仿宋_GB2312"/>
          <w:color w:val="auto"/>
          <w:sz w:val="32"/>
          <w:szCs w:val="32"/>
          <w:highlight w:val="none"/>
        </w:rPr>
        <w:t>25.</w:t>
      </w:r>
      <w:r>
        <w:rPr>
          <w:rFonts w:hint="default" w:ascii="Times New Roman" w:eastAsia="仿宋_GB2312" w:cs="Times New Roman"/>
          <w:color w:val="000000"/>
          <w:sz w:val="32"/>
          <w:szCs w:val="32"/>
        </w:rPr>
        <w:t>卫生健康（类）</w:t>
      </w:r>
      <w:r>
        <w:rPr>
          <w:rFonts w:hint="default" w:ascii="Times New Roman" w:eastAsia="仿宋_GB2312" w:cs="Times New Roman"/>
          <w:color w:val="000000"/>
          <w:sz w:val="32"/>
          <w:szCs w:val="32"/>
          <w:lang w:val="en-US" w:eastAsia="zh-CN"/>
        </w:rPr>
        <w:t>公共卫生</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突发公共卫生事件应急处理</w:t>
      </w:r>
      <w:r>
        <w:rPr>
          <w:rFonts w:hint="default" w:ascii="Times New Roman" w:eastAsia="仿宋_GB2312" w:cs="Times New Roman"/>
          <w:color w:val="000000"/>
          <w:sz w:val="32"/>
          <w:szCs w:val="32"/>
        </w:rPr>
        <w:t>（项）:</w:t>
      </w:r>
      <w:r>
        <w:rPr>
          <w:rFonts w:hint="default" w:ascii="Times New Roman" w:eastAsia="仿宋_GB2312" w:cs="Times New Roman"/>
          <w:color w:val="000000"/>
          <w:sz w:val="32"/>
          <w:szCs w:val="32"/>
          <w:lang w:val="en-US" w:eastAsia="zh-CN"/>
        </w:rPr>
        <w:t>指用于突发公共卫生事件应急处理的支出。</w:t>
      </w:r>
    </w:p>
    <w:p>
      <w:pPr>
        <w:ind w:firstLine="640" w:firstLineChars="200"/>
        <w:rPr>
          <w:rFonts w:hint="default" w:ascii="Times New Roman" w:eastAsia="仿宋_GB2312" w:cs="Times New Roman"/>
          <w:color w:val="000000"/>
          <w:sz w:val="32"/>
          <w:szCs w:val="32"/>
          <w:lang w:val="en-US" w:eastAsia="zh-CN"/>
        </w:rPr>
      </w:pPr>
      <w:r>
        <w:rPr>
          <w:rFonts w:ascii="Times New Roman" w:eastAsia="仿宋_GB2312"/>
          <w:color w:val="auto"/>
          <w:sz w:val="32"/>
          <w:szCs w:val="32"/>
          <w:highlight w:val="none"/>
        </w:rPr>
        <w:t>26.</w:t>
      </w:r>
      <w:r>
        <w:rPr>
          <w:rFonts w:hint="default" w:ascii="Times New Roman" w:eastAsia="仿宋_GB2312" w:cs="Times New Roman"/>
          <w:color w:val="000000"/>
          <w:sz w:val="32"/>
          <w:szCs w:val="32"/>
        </w:rPr>
        <w:t>卫生健康（类）</w:t>
      </w:r>
      <w:r>
        <w:rPr>
          <w:rFonts w:hint="default" w:ascii="Times New Roman" w:eastAsia="仿宋_GB2312" w:cs="Times New Roman"/>
          <w:color w:val="000000"/>
          <w:sz w:val="32"/>
          <w:szCs w:val="32"/>
          <w:lang w:val="en-US" w:eastAsia="zh-CN"/>
        </w:rPr>
        <w:t>行政事业单位医疗</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行政单位医疗</w:t>
      </w:r>
      <w:r>
        <w:rPr>
          <w:rFonts w:hint="default" w:ascii="Times New Roman" w:eastAsia="仿宋_GB2312" w:cs="Times New Roman"/>
          <w:color w:val="000000"/>
          <w:sz w:val="32"/>
          <w:szCs w:val="32"/>
        </w:rPr>
        <w:t>（项）:</w:t>
      </w:r>
      <w:r>
        <w:rPr>
          <w:rFonts w:hint="default" w:ascii="Times New Roman" w:eastAsia="仿宋_GB2312" w:cs="Times New Roman"/>
          <w:color w:val="000000"/>
          <w:sz w:val="32"/>
          <w:szCs w:val="32"/>
          <w:lang w:val="en-US" w:eastAsia="zh-CN"/>
        </w:rPr>
        <w:t>指财政部门安排的行政单位（包括实行公务员管理的事业单位）基本医疗保险缴费经费，未参加医疗保险的行政单位的公费医疗经费，按国家规定享受离休人员、红军老战士待遇人员的医疗经费。</w:t>
      </w:r>
    </w:p>
    <w:p>
      <w:pPr>
        <w:pStyle w:val="9"/>
        <w:ind w:firstLine="640"/>
        <w:rPr>
          <w:rFonts w:hint="default" w:ascii="Times New Roman" w:eastAsia="仿宋_GB2312" w:cs="Times New Roman"/>
          <w:color w:val="000000"/>
          <w:sz w:val="32"/>
          <w:szCs w:val="32"/>
          <w:lang w:val="en-US" w:eastAsia="zh-CN"/>
        </w:rPr>
      </w:pPr>
      <w:r>
        <w:rPr>
          <w:rFonts w:hint="default" w:ascii="Times New Roman" w:cs="Times New Roman"/>
          <w:color w:val="000000"/>
          <w:sz w:val="32"/>
          <w:szCs w:val="32"/>
          <w:lang w:val="en-US" w:eastAsia="zh-CN"/>
        </w:rPr>
        <w:t>27.</w:t>
      </w:r>
      <w:r>
        <w:rPr>
          <w:rFonts w:hint="default" w:ascii="Times New Roman" w:eastAsia="仿宋_GB2312" w:cs="Times New Roman"/>
          <w:color w:val="000000"/>
          <w:sz w:val="32"/>
          <w:szCs w:val="32"/>
        </w:rPr>
        <w:t>卫生健康（类）</w:t>
      </w:r>
      <w:r>
        <w:rPr>
          <w:rFonts w:hint="default" w:ascii="Times New Roman" w:eastAsia="仿宋_GB2312" w:cs="Times New Roman"/>
          <w:color w:val="000000"/>
          <w:sz w:val="32"/>
          <w:szCs w:val="32"/>
          <w:lang w:val="en-US" w:eastAsia="zh-CN"/>
        </w:rPr>
        <w:t>行政事业单位医疗</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事业单位医疗</w:t>
      </w:r>
      <w:r>
        <w:rPr>
          <w:rFonts w:hint="default" w:ascii="Times New Roman" w:eastAsia="仿宋_GB2312" w:cs="Times New Roman"/>
          <w:color w:val="000000"/>
          <w:sz w:val="32"/>
          <w:szCs w:val="32"/>
        </w:rPr>
        <w:t>（项）:</w:t>
      </w:r>
      <w:r>
        <w:rPr>
          <w:rFonts w:hint="default" w:ascii="Times New Roman" w:eastAsia="仿宋_GB2312" w:cs="Times New Roman"/>
          <w:color w:val="000000"/>
          <w:sz w:val="32"/>
          <w:szCs w:val="32"/>
          <w:lang w:val="en-US" w:eastAsia="zh-CN"/>
        </w:rPr>
        <w:t>指财政部门安排的事业单位基本医疗保险缴费经费，未参加医疗保险的事业单位的公费医疗经费，按国家规定享受离休人员待遇的医疗经费。</w:t>
      </w:r>
    </w:p>
    <w:p>
      <w:pPr>
        <w:pStyle w:val="9"/>
        <w:ind w:firstLine="640"/>
        <w:rPr>
          <w:rFonts w:hint="default" w:ascii="Times New Roman" w:eastAsia="仿宋_GB2312" w:cs="Times New Roman"/>
          <w:color w:val="000000"/>
          <w:sz w:val="32"/>
          <w:szCs w:val="32"/>
          <w:lang w:val="en-US" w:eastAsia="zh-CN"/>
        </w:rPr>
      </w:pPr>
      <w:r>
        <w:rPr>
          <w:rFonts w:hint="default" w:ascii="Times New Roman" w:cs="Times New Roman"/>
          <w:color w:val="000000"/>
          <w:sz w:val="32"/>
          <w:szCs w:val="32"/>
          <w:lang w:val="en-US" w:eastAsia="zh-CN"/>
        </w:rPr>
        <w:t>28.</w:t>
      </w:r>
      <w:r>
        <w:rPr>
          <w:rFonts w:hint="default" w:ascii="Times New Roman" w:eastAsia="仿宋_GB2312" w:cs="Times New Roman"/>
          <w:color w:val="000000"/>
          <w:sz w:val="32"/>
          <w:szCs w:val="32"/>
        </w:rPr>
        <w:t>卫生健康（类）</w:t>
      </w:r>
      <w:r>
        <w:rPr>
          <w:rFonts w:hint="default" w:ascii="Times New Roman" w:eastAsia="仿宋_GB2312" w:cs="Times New Roman"/>
          <w:color w:val="000000"/>
          <w:sz w:val="32"/>
          <w:szCs w:val="32"/>
          <w:lang w:val="en-US" w:eastAsia="zh-CN"/>
        </w:rPr>
        <w:t>行政事业单位医疗</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公务员医疗补助</w:t>
      </w:r>
      <w:r>
        <w:rPr>
          <w:rFonts w:hint="default" w:ascii="Times New Roman" w:eastAsia="仿宋_GB2312" w:cs="Times New Roman"/>
          <w:color w:val="000000"/>
          <w:sz w:val="32"/>
          <w:szCs w:val="32"/>
        </w:rPr>
        <w:t>（项）:</w:t>
      </w:r>
      <w:r>
        <w:rPr>
          <w:rFonts w:hint="default" w:ascii="Times New Roman" w:eastAsia="仿宋_GB2312" w:cs="Times New Roman"/>
          <w:color w:val="000000"/>
          <w:sz w:val="32"/>
          <w:szCs w:val="32"/>
          <w:lang w:val="en-US" w:eastAsia="zh-CN"/>
        </w:rPr>
        <w:t>指财政部门安排的公务员医疗补助经费。</w:t>
      </w:r>
    </w:p>
    <w:p>
      <w:pPr>
        <w:pStyle w:val="9"/>
        <w:ind w:firstLine="640"/>
        <w:rPr>
          <w:rFonts w:hint="default" w:ascii="Times New Roman" w:cs="Times New Roman"/>
          <w:color w:val="000000"/>
          <w:sz w:val="32"/>
          <w:szCs w:val="32"/>
          <w:lang w:eastAsia="zh-CN"/>
        </w:rPr>
      </w:pPr>
      <w:r>
        <w:rPr>
          <w:rFonts w:hint="default" w:ascii="Times New Roman" w:cs="Times New Roman"/>
          <w:color w:val="000000"/>
          <w:sz w:val="32"/>
          <w:szCs w:val="32"/>
          <w:lang w:val="en-US" w:eastAsia="zh-CN"/>
        </w:rPr>
        <w:t>29.节能环保支出</w:t>
      </w:r>
      <w:r>
        <w:rPr>
          <w:rFonts w:hint="default" w:ascii="Times New Roman" w:eastAsia="仿宋_GB2312" w:cs="Times New Roman"/>
          <w:color w:val="000000"/>
          <w:sz w:val="32"/>
          <w:szCs w:val="32"/>
        </w:rPr>
        <w:t>（类）</w:t>
      </w:r>
      <w:r>
        <w:rPr>
          <w:rFonts w:hint="default" w:ascii="Times New Roman" w:cs="Times New Roman"/>
          <w:color w:val="000000"/>
          <w:sz w:val="32"/>
          <w:szCs w:val="32"/>
          <w:lang w:val="en-US" w:eastAsia="zh-CN"/>
        </w:rPr>
        <w:t>自然生态保护</w:t>
      </w:r>
      <w:r>
        <w:rPr>
          <w:rFonts w:hint="default" w:ascii="Times New Roman" w:eastAsia="仿宋_GB2312" w:cs="Times New Roman"/>
          <w:color w:val="000000"/>
          <w:sz w:val="32"/>
          <w:szCs w:val="32"/>
        </w:rPr>
        <w:t>（款）</w:t>
      </w:r>
      <w:r>
        <w:rPr>
          <w:rFonts w:hint="default" w:ascii="Times New Roman" w:cs="Times New Roman"/>
          <w:color w:val="000000"/>
          <w:sz w:val="32"/>
          <w:szCs w:val="32"/>
          <w:lang w:val="en-US" w:eastAsia="zh-CN"/>
        </w:rPr>
        <w:t>农村环境保护</w:t>
      </w:r>
      <w:r>
        <w:rPr>
          <w:rFonts w:hint="default" w:ascii="Times New Roman" w:eastAsia="仿宋_GB2312" w:cs="Times New Roman"/>
          <w:color w:val="000000"/>
          <w:sz w:val="32"/>
          <w:szCs w:val="32"/>
        </w:rPr>
        <w:t>（项）</w:t>
      </w:r>
      <w:r>
        <w:rPr>
          <w:rFonts w:hint="default" w:ascii="Times New Roman" w:cs="Times New Roman"/>
          <w:color w:val="000000"/>
          <w:sz w:val="32"/>
          <w:szCs w:val="32"/>
          <w:lang w:eastAsia="zh-CN"/>
        </w:rPr>
        <w:t>：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教、试点示范等。</w:t>
      </w:r>
    </w:p>
    <w:p>
      <w:pPr>
        <w:pStyle w:val="9"/>
        <w:ind w:firstLine="640"/>
        <w:rPr>
          <w:rFonts w:hint="default" w:ascii="Times New Roman" w:cs="Times New Roman"/>
          <w:color w:val="000000"/>
          <w:sz w:val="32"/>
          <w:szCs w:val="32"/>
          <w:lang w:val="en-US" w:eastAsia="zh-CN"/>
        </w:rPr>
      </w:pPr>
      <w:r>
        <w:rPr>
          <w:rFonts w:hint="default" w:ascii="Times New Roman" w:cs="Times New Roman"/>
          <w:color w:val="000000"/>
          <w:sz w:val="32"/>
          <w:szCs w:val="32"/>
          <w:lang w:val="en-US" w:eastAsia="zh-CN"/>
        </w:rPr>
        <w:t>30.城乡社区支出</w:t>
      </w:r>
      <w:r>
        <w:rPr>
          <w:rFonts w:hint="default" w:ascii="Times New Roman" w:cs="Times New Roman"/>
          <w:color w:val="000000"/>
          <w:sz w:val="32"/>
          <w:szCs w:val="32"/>
          <w:lang w:eastAsia="zh-CN"/>
        </w:rPr>
        <w:t>（类）</w:t>
      </w:r>
      <w:r>
        <w:rPr>
          <w:rFonts w:hint="default" w:ascii="Times New Roman" w:cs="Times New Roman"/>
          <w:color w:val="000000"/>
          <w:sz w:val="32"/>
          <w:szCs w:val="32"/>
          <w:lang w:val="en-US" w:eastAsia="zh-CN"/>
        </w:rPr>
        <w:t>城乡社区公共设施</w:t>
      </w:r>
      <w:r>
        <w:rPr>
          <w:rFonts w:hint="default" w:ascii="Times New Roman" w:cs="Times New Roman"/>
          <w:color w:val="000000"/>
          <w:sz w:val="32"/>
          <w:szCs w:val="32"/>
          <w:lang w:eastAsia="zh-CN"/>
        </w:rPr>
        <w:t>（款）</w:t>
      </w:r>
      <w:r>
        <w:rPr>
          <w:rFonts w:hint="default" w:ascii="Times New Roman" w:cs="Times New Roman"/>
          <w:color w:val="000000"/>
          <w:sz w:val="32"/>
          <w:szCs w:val="32"/>
          <w:lang w:val="en-US" w:eastAsia="zh-CN"/>
        </w:rPr>
        <w:t>其他城乡社区公共设施支出</w:t>
      </w:r>
      <w:r>
        <w:rPr>
          <w:rFonts w:hint="default" w:ascii="Times New Roman" w:cs="Times New Roman"/>
          <w:color w:val="000000"/>
          <w:sz w:val="32"/>
          <w:szCs w:val="32"/>
          <w:lang w:eastAsia="zh-CN"/>
        </w:rPr>
        <w:t>（项）：</w:t>
      </w:r>
      <w:r>
        <w:rPr>
          <w:rFonts w:hint="default" w:ascii="Times New Roman" w:cs="Times New Roman"/>
          <w:color w:val="000000"/>
          <w:sz w:val="32"/>
          <w:szCs w:val="32"/>
          <w:lang w:val="en-US" w:eastAsia="zh-CN"/>
        </w:rPr>
        <w:t>反映除上述项目以外其他用于城乡社区公共设施方面的支出。</w:t>
      </w:r>
    </w:p>
    <w:p>
      <w:pPr>
        <w:pStyle w:val="9"/>
        <w:ind w:firstLine="640"/>
        <w:rPr>
          <w:rFonts w:hint="default" w:ascii="Times New Roman" w:cs="Times New Roman"/>
          <w:color w:val="000000"/>
          <w:sz w:val="32"/>
          <w:szCs w:val="32"/>
          <w:lang w:val="en-US" w:eastAsia="zh-CN"/>
        </w:rPr>
      </w:pPr>
      <w:r>
        <w:rPr>
          <w:rFonts w:hint="default" w:ascii="Times New Roman" w:cs="Times New Roman"/>
          <w:color w:val="000000"/>
          <w:sz w:val="32"/>
          <w:szCs w:val="32"/>
          <w:lang w:val="en-US" w:eastAsia="zh-CN"/>
        </w:rPr>
        <w:t>31.农林水</w:t>
      </w:r>
      <w:r>
        <w:rPr>
          <w:rFonts w:hint="default" w:ascii="Times New Roman" w:cs="Times New Roman"/>
          <w:color w:val="000000"/>
          <w:sz w:val="32"/>
          <w:szCs w:val="32"/>
          <w:lang w:eastAsia="zh-CN"/>
        </w:rPr>
        <w:t>（类）</w:t>
      </w:r>
      <w:r>
        <w:rPr>
          <w:rFonts w:hint="default" w:ascii="Times New Roman" w:cs="Times New Roman"/>
          <w:color w:val="000000"/>
          <w:sz w:val="32"/>
          <w:szCs w:val="32"/>
          <w:lang w:val="en-US" w:eastAsia="zh-CN"/>
        </w:rPr>
        <w:t>农业农村</w:t>
      </w:r>
      <w:r>
        <w:rPr>
          <w:rFonts w:hint="default" w:ascii="Times New Roman" w:cs="Times New Roman"/>
          <w:color w:val="000000"/>
          <w:sz w:val="32"/>
          <w:szCs w:val="32"/>
          <w:lang w:eastAsia="zh-CN"/>
        </w:rPr>
        <w:t>（款）</w:t>
      </w:r>
      <w:r>
        <w:rPr>
          <w:rFonts w:hint="default" w:ascii="Times New Roman" w:cs="Times New Roman"/>
          <w:color w:val="000000"/>
          <w:sz w:val="32"/>
          <w:szCs w:val="32"/>
          <w:lang w:val="en-US" w:eastAsia="zh-CN"/>
        </w:rPr>
        <w:t>行政运行</w:t>
      </w:r>
      <w:r>
        <w:rPr>
          <w:rFonts w:hint="default" w:ascii="Times New Roman" w:cs="Times New Roman"/>
          <w:color w:val="000000"/>
          <w:sz w:val="32"/>
          <w:szCs w:val="32"/>
          <w:lang w:eastAsia="zh-CN"/>
        </w:rPr>
        <w:t>（项）：</w:t>
      </w:r>
      <w:r>
        <w:rPr>
          <w:rFonts w:hint="default" w:ascii="Times New Roman" w:cs="Times New Roman"/>
          <w:color w:val="000000"/>
          <w:sz w:val="32"/>
          <w:szCs w:val="32"/>
          <w:lang w:val="en-US" w:eastAsia="zh-CN"/>
        </w:rPr>
        <w:t>反映行政单位（包括实行公务员管理的事业单位）的基本支出。</w:t>
      </w:r>
    </w:p>
    <w:p>
      <w:pPr>
        <w:pStyle w:val="9"/>
        <w:ind w:firstLine="640"/>
        <w:rPr>
          <w:rFonts w:hint="default" w:ascii="Times New Roman" w:cs="Times New Roman"/>
          <w:color w:val="000000"/>
          <w:sz w:val="32"/>
          <w:szCs w:val="32"/>
          <w:lang w:val="en-US" w:eastAsia="zh-CN"/>
        </w:rPr>
      </w:pPr>
      <w:r>
        <w:rPr>
          <w:rFonts w:hint="default" w:ascii="Times New Roman" w:cs="Times New Roman"/>
          <w:color w:val="000000"/>
          <w:sz w:val="32"/>
          <w:szCs w:val="32"/>
          <w:lang w:val="en-US" w:eastAsia="zh-CN"/>
        </w:rPr>
        <w:t>32.农林水</w:t>
      </w:r>
      <w:r>
        <w:rPr>
          <w:rFonts w:hint="default" w:ascii="Times New Roman" w:cs="Times New Roman"/>
          <w:color w:val="000000"/>
          <w:sz w:val="32"/>
          <w:szCs w:val="32"/>
          <w:lang w:eastAsia="zh-CN"/>
        </w:rPr>
        <w:t>（类）</w:t>
      </w:r>
      <w:r>
        <w:rPr>
          <w:rFonts w:hint="default" w:ascii="Times New Roman" w:cs="Times New Roman"/>
          <w:color w:val="000000"/>
          <w:sz w:val="32"/>
          <w:szCs w:val="32"/>
          <w:lang w:val="en-US" w:eastAsia="zh-CN"/>
        </w:rPr>
        <w:t>农业农村</w:t>
      </w:r>
      <w:r>
        <w:rPr>
          <w:rFonts w:hint="default" w:ascii="Times New Roman" w:cs="Times New Roman"/>
          <w:color w:val="000000"/>
          <w:sz w:val="32"/>
          <w:szCs w:val="32"/>
          <w:lang w:eastAsia="zh-CN"/>
        </w:rPr>
        <w:t>（款）</w:t>
      </w:r>
      <w:r>
        <w:rPr>
          <w:rFonts w:hint="default" w:ascii="Times New Roman" w:cs="Times New Roman"/>
          <w:color w:val="000000"/>
          <w:sz w:val="32"/>
          <w:szCs w:val="32"/>
          <w:lang w:val="en-US" w:eastAsia="zh-CN"/>
        </w:rPr>
        <w:t>事业运行</w:t>
      </w:r>
      <w:r>
        <w:rPr>
          <w:rFonts w:hint="default" w:ascii="Times New Roman" w:cs="Times New Roman"/>
          <w:color w:val="000000"/>
          <w:sz w:val="32"/>
          <w:szCs w:val="32"/>
          <w:lang w:eastAsia="zh-CN"/>
        </w:rPr>
        <w:t>（项）:</w:t>
      </w:r>
      <w:r>
        <w:rPr>
          <w:rFonts w:hint="default" w:ascii="Times New Roman" w:cs="Times New Roman"/>
          <w:color w:val="000000"/>
          <w:sz w:val="32"/>
          <w:szCs w:val="32"/>
          <w:lang w:val="en-US" w:eastAsia="zh-CN"/>
        </w:rPr>
        <w:t>指用于农业事业单位基本支出，事业单位设施、系统运 行与资产维护等方面的支出。</w:t>
      </w:r>
    </w:p>
    <w:p>
      <w:pPr>
        <w:pStyle w:val="9"/>
        <w:ind w:firstLine="640"/>
        <w:rPr>
          <w:rFonts w:hint="default" w:ascii="Times New Roman" w:eastAsia="仿宋_GB2312" w:cs="Times New Roman"/>
          <w:color w:val="000000"/>
          <w:sz w:val="32"/>
          <w:szCs w:val="32"/>
          <w:lang w:val="en-US" w:eastAsia="zh-CN"/>
        </w:rPr>
      </w:pPr>
      <w:r>
        <w:rPr>
          <w:rFonts w:hint="default" w:ascii="Times New Roman" w:cs="Times New Roman"/>
          <w:color w:val="000000"/>
          <w:sz w:val="32"/>
          <w:szCs w:val="32"/>
          <w:lang w:val="en-US" w:eastAsia="zh-CN"/>
        </w:rPr>
        <w:t>33.</w:t>
      </w:r>
      <w:r>
        <w:rPr>
          <w:rFonts w:hint="default" w:ascii="Times New Roman" w:eastAsia="仿宋_GB2312" w:cs="Times New Roman"/>
          <w:color w:val="000000"/>
          <w:sz w:val="32"/>
          <w:szCs w:val="32"/>
          <w:lang w:val="en-US" w:eastAsia="zh-CN"/>
        </w:rPr>
        <w:t>农林水</w:t>
      </w:r>
      <w:r>
        <w:rPr>
          <w:rFonts w:hint="default" w:ascii="Times New Roman" w:eastAsia="仿宋_GB2312" w:cs="Times New Roman"/>
          <w:color w:val="000000"/>
          <w:sz w:val="32"/>
          <w:szCs w:val="32"/>
        </w:rPr>
        <w:t>（类）</w:t>
      </w:r>
      <w:r>
        <w:rPr>
          <w:rFonts w:hint="default" w:ascii="Times New Roman" w:eastAsia="仿宋_GB2312" w:cs="Times New Roman"/>
          <w:color w:val="000000"/>
          <w:sz w:val="32"/>
          <w:szCs w:val="32"/>
          <w:lang w:val="en-US" w:eastAsia="zh-CN"/>
        </w:rPr>
        <w:t>农村综合改革</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对村民委员会和村党支部的补助</w:t>
      </w:r>
      <w:r>
        <w:rPr>
          <w:rFonts w:hint="default" w:ascii="Times New Roman" w:eastAsia="仿宋_GB2312" w:cs="Times New Roman"/>
          <w:color w:val="000000"/>
          <w:sz w:val="32"/>
          <w:szCs w:val="32"/>
        </w:rPr>
        <w:t>（项）:</w:t>
      </w:r>
      <w:r>
        <w:rPr>
          <w:rFonts w:hint="default" w:ascii="Times New Roman" w:eastAsia="仿宋_GB2312" w:cs="Times New Roman"/>
          <w:color w:val="000000"/>
          <w:sz w:val="32"/>
          <w:szCs w:val="32"/>
          <w:lang w:val="en-US" w:eastAsia="zh-CN"/>
        </w:rPr>
        <w:t>指各级财政对村民委员会和村党支部的补助支出，以及支持建立县级基本财力保障机制安排的村级组织运转奖补资金。</w:t>
      </w:r>
    </w:p>
    <w:p>
      <w:pPr>
        <w:pStyle w:val="9"/>
        <w:ind w:firstLine="640"/>
        <w:rPr>
          <w:rFonts w:hint="default" w:ascii="Times New Roman" w:cs="Times New Roman"/>
          <w:color w:val="000000"/>
          <w:sz w:val="32"/>
          <w:szCs w:val="32"/>
          <w:lang w:val="en-US" w:eastAsia="zh-CN"/>
        </w:rPr>
      </w:pPr>
      <w:r>
        <w:rPr>
          <w:rFonts w:hint="default" w:ascii="Times New Roman" w:cs="Times New Roman"/>
          <w:color w:val="000000"/>
          <w:sz w:val="32"/>
          <w:szCs w:val="32"/>
          <w:lang w:val="en-US" w:eastAsia="zh-CN"/>
        </w:rPr>
        <w:t>34.</w:t>
      </w:r>
      <w:r>
        <w:rPr>
          <w:rFonts w:hint="default" w:ascii="Times New Roman" w:eastAsia="仿宋_GB2312" w:cs="Times New Roman"/>
          <w:color w:val="000000"/>
          <w:sz w:val="32"/>
          <w:szCs w:val="32"/>
          <w:lang w:val="en-US" w:eastAsia="zh-CN"/>
        </w:rPr>
        <w:t>住房保障</w:t>
      </w:r>
      <w:r>
        <w:rPr>
          <w:rFonts w:hint="default" w:ascii="Times New Roman" w:eastAsia="仿宋_GB2312" w:cs="Times New Roman"/>
          <w:color w:val="000000"/>
          <w:sz w:val="32"/>
          <w:szCs w:val="32"/>
        </w:rPr>
        <w:t>（类）</w:t>
      </w:r>
      <w:r>
        <w:rPr>
          <w:rFonts w:hint="default" w:ascii="Times New Roman" w:cs="Times New Roman"/>
          <w:color w:val="000000"/>
          <w:sz w:val="32"/>
          <w:szCs w:val="32"/>
          <w:lang w:val="en-US" w:eastAsia="zh-CN"/>
        </w:rPr>
        <w:t>保障性安居工程</w:t>
      </w:r>
      <w:r>
        <w:rPr>
          <w:rFonts w:hint="default" w:ascii="Times New Roman" w:eastAsia="仿宋_GB2312" w:cs="Times New Roman"/>
          <w:color w:val="000000"/>
          <w:sz w:val="32"/>
          <w:szCs w:val="32"/>
        </w:rPr>
        <w:t>（款）</w:t>
      </w:r>
      <w:r>
        <w:rPr>
          <w:rFonts w:hint="default" w:ascii="Times New Roman" w:cs="Times New Roman"/>
          <w:color w:val="000000"/>
          <w:sz w:val="32"/>
          <w:szCs w:val="32"/>
          <w:lang w:val="en-US" w:eastAsia="zh-CN"/>
        </w:rPr>
        <w:t>棚户区改造</w:t>
      </w:r>
      <w:r>
        <w:rPr>
          <w:rFonts w:hint="default" w:ascii="Times New Roman" w:eastAsia="仿宋_GB2312" w:cs="Times New Roman"/>
          <w:color w:val="000000"/>
          <w:sz w:val="32"/>
          <w:szCs w:val="32"/>
        </w:rPr>
        <w:t>（项）:</w:t>
      </w:r>
      <w:r>
        <w:rPr>
          <w:rFonts w:hint="default" w:ascii="Times New Roman" w:cs="Times New Roman"/>
          <w:color w:val="000000"/>
          <w:sz w:val="32"/>
          <w:szCs w:val="32"/>
          <w:lang w:val="en-US" w:eastAsia="zh-CN"/>
        </w:rPr>
        <w:t>反映用于棚户区改造方面的支出。</w:t>
      </w:r>
    </w:p>
    <w:p>
      <w:pPr>
        <w:pStyle w:val="9"/>
        <w:ind w:firstLine="640"/>
        <w:rPr>
          <w:rFonts w:hint="default" w:ascii="Times New Roman" w:eastAsia="仿宋_GB2312" w:cs="Times New Roman"/>
          <w:color w:val="000000"/>
          <w:sz w:val="32"/>
          <w:szCs w:val="32"/>
          <w:lang w:val="en-US" w:eastAsia="zh-CN"/>
        </w:rPr>
      </w:pPr>
      <w:r>
        <w:rPr>
          <w:rFonts w:hint="default" w:ascii="Times New Roman" w:cs="Times New Roman"/>
          <w:color w:val="000000"/>
          <w:sz w:val="32"/>
          <w:szCs w:val="32"/>
          <w:lang w:val="en-US" w:eastAsia="zh-CN"/>
        </w:rPr>
        <w:t>35.</w:t>
      </w:r>
      <w:r>
        <w:rPr>
          <w:rFonts w:hint="default" w:ascii="Times New Roman" w:eastAsia="仿宋_GB2312" w:cs="Times New Roman"/>
          <w:color w:val="000000"/>
          <w:sz w:val="32"/>
          <w:szCs w:val="32"/>
          <w:lang w:val="en-US" w:eastAsia="zh-CN"/>
        </w:rPr>
        <w:t>住房保障</w:t>
      </w:r>
      <w:r>
        <w:rPr>
          <w:rFonts w:hint="default" w:ascii="Times New Roman" w:eastAsia="仿宋_GB2312" w:cs="Times New Roman"/>
          <w:color w:val="000000"/>
          <w:sz w:val="32"/>
          <w:szCs w:val="32"/>
        </w:rPr>
        <w:t>（类）</w:t>
      </w:r>
      <w:r>
        <w:rPr>
          <w:rFonts w:hint="default" w:ascii="Times New Roman" w:eastAsia="仿宋_GB2312" w:cs="Times New Roman"/>
          <w:color w:val="000000"/>
          <w:sz w:val="32"/>
          <w:szCs w:val="32"/>
          <w:lang w:val="en-US" w:eastAsia="zh-CN"/>
        </w:rPr>
        <w:t>住房改革</w:t>
      </w:r>
      <w:r>
        <w:rPr>
          <w:rFonts w:hint="default" w:ascii="Times New Roman" w:eastAsia="仿宋_GB2312" w:cs="Times New Roman"/>
          <w:color w:val="000000"/>
          <w:sz w:val="32"/>
          <w:szCs w:val="32"/>
        </w:rPr>
        <w:t>（款）</w:t>
      </w:r>
      <w:r>
        <w:rPr>
          <w:rFonts w:hint="default" w:ascii="Times New Roman" w:eastAsia="仿宋_GB2312" w:cs="Times New Roman"/>
          <w:color w:val="000000"/>
          <w:sz w:val="32"/>
          <w:szCs w:val="32"/>
          <w:lang w:val="en-US" w:eastAsia="zh-CN"/>
        </w:rPr>
        <w:t>住房公积金</w:t>
      </w:r>
      <w:r>
        <w:rPr>
          <w:rFonts w:hint="default" w:ascii="Times New Roman" w:eastAsia="仿宋_GB2312" w:cs="Times New Roman"/>
          <w:color w:val="000000"/>
          <w:sz w:val="32"/>
          <w:szCs w:val="32"/>
        </w:rPr>
        <w:t>（项）:</w:t>
      </w:r>
      <w:r>
        <w:rPr>
          <w:rFonts w:hint="default" w:ascii="Times New Roman" w:eastAsia="仿宋_GB2312" w:cs="Times New Roman"/>
          <w:color w:val="000000"/>
          <w:sz w:val="32"/>
          <w:szCs w:val="32"/>
          <w:lang w:val="en-US" w:eastAsia="zh-CN"/>
        </w:rPr>
        <w:t>指行政事业单位按人力资源和社会保障部、财政部规定的基本工资和津贴补贴以及规定比例为职工缴纳的住房公积金。</w:t>
      </w:r>
    </w:p>
    <w:p>
      <w:pPr>
        <w:ind w:firstLine="640" w:firstLineChars="200"/>
        <w:rPr>
          <w:rFonts w:ascii="Times New Roman" w:eastAsia="仿宋_GB2312"/>
          <w:color w:val="000000"/>
          <w:sz w:val="32"/>
          <w:szCs w:val="32"/>
        </w:rPr>
      </w:pPr>
      <w:r>
        <w:rPr>
          <w:rFonts w:hint="default" w:ascii="Times New Roman" w:eastAsia="仿宋_GB2312"/>
          <w:color w:val="000000"/>
          <w:sz w:val="32"/>
          <w:szCs w:val="32"/>
          <w:lang w:val="en-US" w:eastAsia="zh-CN"/>
        </w:rPr>
        <w:t>36.</w:t>
      </w:r>
      <w:r>
        <w:rPr>
          <w:rFonts w:hint="default" w:ascii="Times New Roman" w:eastAsia="仿宋_GB2312"/>
          <w:color w:val="000000"/>
          <w:sz w:val="32"/>
          <w:szCs w:val="32"/>
        </w:rPr>
        <w:t>基本支出：指为保障机构正常运转、完成日常工作任务而发生的人员支出和公用支出。</w:t>
      </w:r>
    </w:p>
    <w:p>
      <w:pPr>
        <w:ind w:firstLine="640" w:firstLineChars="200"/>
        <w:rPr>
          <w:rFonts w:ascii="Times New Roman" w:eastAsia="仿宋_GB2312"/>
          <w:color w:val="000000"/>
          <w:sz w:val="32"/>
          <w:szCs w:val="32"/>
        </w:rPr>
      </w:pPr>
      <w:r>
        <w:rPr>
          <w:rFonts w:hint="default" w:ascii="Times New Roman" w:eastAsia="仿宋_GB2312"/>
          <w:color w:val="000000"/>
          <w:sz w:val="32"/>
          <w:szCs w:val="32"/>
          <w:lang w:val="en-US" w:eastAsia="zh-CN"/>
        </w:rPr>
        <w:t>37</w:t>
      </w:r>
      <w:r>
        <w:rPr>
          <w:rFonts w:ascii="Times New Roman" w:eastAsia="仿宋_GB2312"/>
          <w:color w:val="000000"/>
          <w:sz w:val="32"/>
          <w:szCs w:val="32"/>
        </w:rPr>
        <w:t>.</w:t>
      </w:r>
      <w:r>
        <w:rPr>
          <w:rFonts w:hint="default" w:ascii="Times New Roman" w:eastAsia="仿宋_GB2312"/>
          <w:color w:val="000000"/>
          <w:sz w:val="32"/>
          <w:szCs w:val="32"/>
        </w:rPr>
        <w:t>项目支出：指在基本支出之外为完成特定行政任务和事业发展目标所发生的支出。</w:t>
      </w:r>
      <w:r>
        <w:rPr>
          <w:rFonts w:ascii="Times New Roman" w:eastAsia="仿宋_GB2312"/>
          <w:color w:val="000000"/>
          <w:sz w:val="32"/>
          <w:szCs w:val="32"/>
        </w:rPr>
        <w:t xml:space="preserve"> </w:t>
      </w:r>
    </w:p>
    <w:p>
      <w:pPr>
        <w:ind w:firstLine="640" w:firstLineChars="200"/>
        <w:rPr>
          <w:rFonts w:ascii="Times New Roman" w:eastAsia="仿宋_GB2312"/>
          <w:color w:val="000000"/>
          <w:sz w:val="32"/>
          <w:szCs w:val="32"/>
        </w:rPr>
      </w:pPr>
      <w:r>
        <w:rPr>
          <w:rFonts w:hint="default" w:ascii="Times New Roman" w:eastAsia="仿宋_GB2312"/>
          <w:color w:val="000000"/>
          <w:sz w:val="32"/>
          <w:szCs w:val="32"/>
          <w:lang w:val="en-US" w:eastAsia="zh-CN"/>
        </w:rPr>
        <w:t>38</w:t>
      </w:r>
      <w:r>
        <w:rPr>
          <w:rFonts w:ascii="Times New Roman" w:eastAsia="仿宋_GB2312"/>
          <w:color w:val="000000"/>
          <w:sz w:val="32"/>
          <w:szCs w:val="32"/>
        </w:rPr>
        <w:t>.</w:t>
      </w:r>
      <w:r>
        <w:rPr>
          <w:rFonts w:hint="default" w:ascii="Times New Roman" w:eastAsia="仿宋_GB2312"/>
          <w:color w:val="000000"/>
          <w:sz w:val="32"/>
          <w:szCs w:val="32"/>
        </w:rPr>
        <w:t>经营支出：指事业单位在专业业务活动及其辅助活动之外开展非独立核算经营活动发生的支出。</w:t>
      </w:r>
    </w:p>
    <w:p>
      <w:pPr>
        <w:pStyle w:val="28"/>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default" w:ascii="Times New Roman" w:hAnsi="Times New Roman" w:eastAsia="仿宋_GB2312" w:cs="Times New Roman"/>
          <w:b w:val="0"/>
          <w:bCs w:val="0"/>
          <w:i w:val="0"/>
          <w:iCs w:val="0"/>
          <w:color w:val="auto"/>
          <w:sz w:val="32"/>
          <w:szCs w:val="32"/>
          <w:highlight w:val="none"/>
        </w:rPr>
      </w:pPr>
      <w:r>
        <w:rPr>
          <w:rFonts w:hint="default" w:ascii="Times New Roman" w:eastAsia="仿宋_GB2312"/>
          <w:sz w:val="32"/>
          <w:szCs w:val="32"/>
          <w:lang w:val="en-US" w:eastAsia="zh-CN"/>
        </w:rPr>
        <w:t>40</w:t>
      </w:r>
      <w:r>
        <w:rPr>
          <w:rFonts w:ascii="Times New Roman" w:eastAsia="仿宋_GB2312"/>
          <w:sz w:val="32"/>
          <w:szCs w:val="32"/>
        </w:rPr>
        <w:t>.</w:t>
      </w:r>
      <w:r>
        <w:rPr>
          <w:rFonts w:hint="default" w:ascii="Times New Roman"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9"/>
        <w:rPr>
          <w:rFonts w:hint="default" w:ascii="Times New Roman" w:hAnsi="Times New Roman" w:eastAsia="仿宋_GB2312" w:cs="Times New Roman"/>
          <w:b w:val="0"/>
          <w:bCs w:val="0"/>
          <w:kern w:val="0"/>
          <w:position w:val="0"/>
          <w:sz w:val="32"/>
          <w:szCs w:val="32"/>
          <w:highlight w:val="none"/>
          <w:lang w:val="en-US" w:eastAsia="zh-CN" w:bidi="ar-SA"/>
        </w:rPr>
      </w:pPr>
      <w:bookmarkStart w:id="78" w:name="_Toc15377226"/>
      <w:r>
        <w:rPr>
          <w:rFonts w:hint="default" w:ascii="Times New Roman" w:hAnsi="Times New Roman" w:eastAsia="仿宋_GB2312" w:cs="Times New Roman"/>
          <w:color w:val="auto"/>
          <w:kern w:val="2"/>
          <w:sz w:val="32"/>
          <w:szCs w:val="32"/>
          <w:highlight w:val="none"/>
          <w:lang w:val="en-US" w:eastAsia="zh-CN" w:bidi="ar-SA"/>
        </w:rPr>
        <w:br w:type="page"/>
      </w:r>
    </w:p>
    <w:p>
      <w:pPr>
        <w:spacing w:line="600" w:lineRule="exact"/>
        <w:jc w:val="center"/>
        <w:outlineLvl w:val="0"/>
        <w:rPr>
          <w:rStyle w:val="30"/>
          <w:rFonts w:hint="default" w:ascii="Times New Roman" w:hAnsi="Times New Roman" w:eastAsia="方正小标宋简体" w:cs="Times New Roman"/>
          <w:b w:val="0"/>
          <w:bCs w:val="0"/>
          <w:i w:val="0"/>
          <w:iCs w:val="0"/>
          <w:color w:val="auto"/>
          <w:highlight w:val="none"/>
          <w:lang w:eastAsia="zh-CN"/>
        </w:rPr>
      </w:pPr>
      <w:r>
        <w:rPr>
          <w:rFonts w:hint="default" w:ascii="Times New Roman" w:hAnsi="Times New Roman" w:eastAsia="方正小标宋简体" w:cs="Times New Roman"/>
          <w:b w:val="0"/>
          <w:bCs w:val="0"/>
          <w:i w:val="0"/>
          <w:iCs w:val="0"/>
          <w:color w:val="auto"/>
          <w:sz w:val="44"/>
          <w:szCs w:val="44"/>
          <w:highlight w:val="none"/>
        </w:rPr>
        <w:t>第</w:t>
      </w:r>
      <w:r>
        <w:rPr>
          <w:rStyle w:val="30"/>
          <w:rFonts w:hint="default" w:ascii="Times New Roman" w:hAnsi="Times New Roman" w:eastAsia="方正小标宋简体" w:cs="Times New Roman"/>
          <w:b w:val="0"/>
          <w:bCs w:val="0"/>
          <w:i w:val="0"/>
          <w:iCs w:val="0"/>
          <w:color w:val="auto"/>
          <w:highlight w:val="none"/>
        </w:rPr>
        <w:t>四部分 附件</w:t>
      </w:r>
    </w:p>
    <w:p>
      <w:pPr>
        <w:keepNext w:val="0"/>
        <w:keepLines w:val="0"/>
        <w:pageBreakBefore w:val="0"/>
        <w:widowControl/>
        <w:kinsoku/>
        <w:wordWrap/>
        <w:overflowPunct/>
        <w:topLinePunct w:val="0"/>
        <w:autoSpaceDE/>
        <w:autoSpaceDN/>
        <w:bidi w:val="0"/>
        <w:adjustRightInd/>
        <w:snapToGrid/>
        <w:spacing w:line="560" w:lineRule="exact"/>
        <w:ind w:firstLine="0" w:firstLineChars="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eastAsia="zh-CN"/>
        </w:rPr>
      </w:pPr>
    </w:p>
    <w:p>
      <w:pPr>
        <w:spacing w:line="572" w:lineRule="exact"/>
        <w:jc w:val="left"/>
        <w:outlineLvl w:val="0"/>
        <w:rPr>
          <w:rFonts w:hint="default"/>
          <w:lang w:eastAsia="zh-CN"/>
        </w:rPr>
      </w:pPr>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p>
    <w:p>
      <w:pPr>
        <w:keepNext w:val="0"/>
        <w:keepLines w:val="0"/>
        <w:pageBreakBefore w:val="0"/>
        <w:widowControl/>
        <w:kinsoku/>
        <w:wordWrap/>
        <w:overflowPunct/>
        <w:topLinePunct w:val="0"/>
        <w:autoSpaceDE/>
        <w:autoSpaceDN/>
        <w:bidi w:val="0"/>
        <w:adjustRightInd/>
        <w:snapToGrid/>
        <w:spacing w:line="560" w:lineRule="exact"/>
        <w:ind w:firstLine="0" w:firstLineChars="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eastAsia="zh-CN"/>
        </w:rPr>
      </w:pPr>
      <w:r>
        <w:rPr>
          <w:rFonts w:hint="default" w:ascii="Times New Roman" w:hAnsi="Times New Roman" w:eastAsia="方正小标宋简体" w:cs="Times New Roman"/>
          <w:b w:val="0"/>
          <w:bCs/>
          <w:sz w:val="44"/>
          <w:szCs w:val="44"/>
          <w:highlight w:val="none"/>
          <w:shd w:val="clear" w:color="auto" w:fill="FFFFFF"/>
          <w:lang w:eastAsia="zh-CN"/>
        </w:rPr>
        <w:t>遂宁市安居区</w:t>
      </w:r>
      <w:r>
        <w:rPr>
          <w:rFonts w:hint="eastAsia" w:eastAsia="方正小标宋简体" w:cs="Times New Roman"/>
          <w:b w:val="0"/>
          <w:bCs/>
          <w:sz w:val="44"/>
          <w:szCs w:val="44"/>
          <w:highlight w:val="none"/>
          <w:shd w:val="clear" w:color="auto" w:fill="FFFFFF"/>
          <w:lang w:eastAsia="zh-CN"/>
        </w:rPr>
        <w:t>西眉</w:t>
      </w:r>
      <w:r>
        <w:rPr>
          <w:rFonts w:hint="default" w:ascii="Times New Roman" w:hAnsi="Times New Roman" w:eastAsia="方正小标宋简体" w:cs="Times New Roman"/>
          <w:b w:val="0"/>
          <w:bCs/>
          <w:sz w:val="44"/>
          <w:szCs w:val="44"/>
          <w:highlight w:val="none"/>
          <w:shd w:val="clear" w:color="auto" w:fill="FFFFFF"/>
          <w:lang w:eastAsia="zh-CN"/>
        </w:rPr>
        <w:t>镇人民政府</w:t>
      </w:r>
    </w:p>
    <w:p>
      <w:pPr>
        <w:keepNext w:val="0"/>
        <w:keepLines w:val="0"/>
        <w:pageBreakBefore w:val="0"/>
        <w:widowControl/>
        <w:kinsoku/>
        <w:wordWrap/>
        <w:overflowPunct/>
        <w:topLinePunct w:val="0"/>
        <w:autoSpaceDE/>
        <w:autoSpaceDN/>
        <w:bidi w:val="0"/>
        <w:adjustRightInd/>
        <w:snapToGrid/>
        <w:spacing w:line="560" w:lineRule="exact"/>
        <w:ind w:firstLine="0" w:firstLineChars="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Style w:val="45"/>
          <w:rFonts w:hint="eastAsia" w:eastAsia="方正小标宋简体"/>
          <w:bCs/>
          <w:sz w:val="44"/>
          <w:szCs w:val="44"/>
          <w:lang w:val="en-US" w:eastAsia="zh-CN"/>
        </w:rPr>
        <w:t>2024年</w:t>
      </w:r>
      <w:r>
        <w:rPr>
          <w:rFonts w:hint="default" w:ascii="Times New Roman" w:hAnsi="Times New Roman" w:eastAsia="方正小标宋简体" w:cs="Times New Roman"/>
          <w:b w:val="0"/>
          <w:bCs/>
          <w:sz w:val="44"/>
          <w:szCs w:val="44"/>
          <w:highlight w:val="none"/>
          <w:shd w:val="clear" w:color="auto" w:fill="FFFFFF"/>
          <w:lang w:eastAsia="zh-CN"/>
        </w:rPr>
        <w:t>部门整体支出</w:t>
      </w:r>
      <w:r>
        <w:rPr>
          <w:rFonts w:hint="eastAsia" w:eastAsia="方正小标宋简体" w:cs="Times New Roman"/>
          <w:b w:val="0"/>
          <w:bCs/>
          <w:color w:val="auto"/>
          <w:sz w:val="44"/>
          <w:szCs w:val="44"/>
          <w:highlight w:val="none"/>
          <w:shd w:val="clear" w:color="auto" w:fill="FFFFFF"/>
          <w:lang w:eastAsia="zh-CN"/>
        </w:rPr>
        <w:t>绩效</w:t>
      </w:r>
      <w:r>
        <w:rPr>
          <w:rFonts w:hint="default" w:ascii="Times New Roman" w:hAnsi="Times New Roman" w:eastAsia="方正小标宋简体" w:cs="Times New Roman"/>
          <w:b w:val="0"/>
          <w:bCs/>
          <w:sz w:val="44"/>
          <w:szCs w:val="44"/>
          <w:highlight w:val="none"/>
          <w:shd w:val="clear" w:color="auto" w:fill="FFFFFF"/>
          <w:lang w:eastAsia="zh-CN"/>
        </w:rPr>
        <w:t>自评报告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cs="Times New Roman"/>
          <w:sz w:val="32"/>
          <w:szCs w:val="32"/>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eastAsia="仿宋_GB2312" w:cs="Times New Roman"/>
          <w:sz w:val="32"/>
          <w:lang w:val="en-US" w:eastAsia="zh-CN" w:bidi="ar-SA"/>
        </w:rPr>
      </w:pPr>
      <w:r>
        <w:rPr>
          <w:rFonts w:hint="default" w:eastAsia="仿宋_GB2312" w:cs="Times New Roman"/>
          <w:sz w:val="32"/>
          <w:lang w:val="en-US" w:eastAsia="zh-CN" w:bidi="ar-SA"/>
        </w:rPr>
        <w:t>西眉镇人民政府内</w:t>
      </w:r>
      <w:r>
        <w:rPr>
          <w:rFonts w:hint="default" w:eastAsia="仿宋_GB2312" w:cs="Times New Roman"/>
          <w:sz w:val="32"/>
          <w:lang w:eastAsia="zh-CN" w:bidi="ar-SA"/>
        </w:rPr>
        <w:t>设</w:t>
      </w:r>
      <w:r>
        <w:rPr>
          <w:rFonts w:hint="default" w:eastAsia="仿宋_GB2312" w:cs="Times New Roman"/>
          <w:sz w:val="32"/>
          <w:lang w:val="en-US" w:eastAsia="zh-CN" w:bidi="ar-SA"/>
        </w:rPr>
        <w:t>党政办公室、党建工作办公室、经济发展和乡村振兴工作办公室、社会事务和社会治理办公室、镇村建设办公室、应急管理办公室、综合执法办公室等7个党政综合办事机构；设便民服务中心（退役军人服务站）、农业综合服务中心、宣传文化服务中心（新时代文明实践所）、重点产业和项目服务中心等4个直属事业机构。</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eastAsia" w:eastAsia="楷体_GB2312" w:cs="Times New Roman"/>
          <w:b/>
          <w:bCs/>
          <w:color w:val="000000"/>
          <w:kern w:val="0"/>
          <w:sz w:val="33"/>
          <w:szCs w:val="33"/>
          <w:highlight w:val="none"/>
          <w:shd w:val="clear" w:color="auto" w:fill="FFFFFF"/>
          <w:lang w:val="zh-CN"/>
        </w:rPr>
        <w:t>（二）</w:t>
      </w:r>
      <w:r>
        <w:rPr>
          <w:rFonts w:hint="default" w:ascii="Times New Roman" w:hAnsi="Times New Roman" w:eastAsia="楷体_GB2312" w:cs="Times New Roman"/>
          <w:b/>
          <w:bCs/>
          <w:color w:val="000000"/>
          <w:kern w:val="0"/>
          <w:sz w:val="33"/>
          <w:szCs w:val="33"/>
          <w:highlight w:val="none"/>
          <w:shd w:val="clear" w:color="auto" w:fill="FFFFFF"/>
          <w:lang w:val="zh-CN"/>
        </w:rPr>
        <w:t>机构职能</w:t>
      </w:r>
    </w:p>
    <w:p>
      <w:pPr>
        <w:pStyle w:val="1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仿宋_GB2312" w:cs="仿宋_GB2312"/>
          <w:kern w:val="2"/>
          <w:sz w:val="32"/>
          <w:szCs w:val="24"/>
          <w:lang w:val="en-US" w:eastAsia="zh-CN" w:bidi="ar-SA"/>
        </w:rPr>
      </w:pPr>
      <w:r>
        <w:rPr>
          <w:rFonts w:hint="default" w:ascii="Times New Roman" w:hAnsi="Times New Roman" w:eastAsia="仿宋_GB2312" w:cs="仿宋_GB2312"/>
          <w:kern w:val="2"/>
          <w:sz w:val="32"/>
          <w:szCs w:val="24"/>
          <w:lang w:val="en-US" w:eastAsia="zh-CN" w:bidi="ar-SA"/>
        </w:rPr>
        <w:t>贯政策、落法规。对国家的方针路线、政策法规进行贯彻落实，把各项具体行政工作直接地落实到辖区群众，以稳定农村基本经济制度为职责，加快推动依法行政、法治建设、政务公开，加强对辖区内村民委员会的工作给予指导、支持和帮助，提高、培育村民委员会自治能力。</w:t>
      </w:r>
    </w:p>
    <w:p>
      <w:pPr>
        <w:pStyle w:val="1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default" w:ascii="Times New Roman" w:hAnsi="Times New Roman" w:eastAsia="仿宋_GB2312" w:cs="仿宋_GB2312"/>
          <w:kern w:val="2"/>
          <w:sz w:val="32"/>
          <w:szCs w:val="24"/>
          <w:lang w:val="en-US" w:eastAsia="zh-CN" w:bidi="ar-SA"/>
        </w:rPr>
      </w:pPr>
      <w:r>
        <w:rPr>
          <w:rFonts w:hint="default" w:ascii="Times New Roman" w:hAnsi="Times New Roman" w:eastAsia="仿宋_GB2312" w:cs="仿宋_GB2312"/>
          <w:kern w:val="2"/>
          <w:sz w:val="32"/>
          <w:szCs w:val="24"/>
          <w:lang w:val="en-US" w:eastAsia="zh-CN" w:bidi="ar-SA"/>
        </w:rPr>
        <w:t>抓经济、促发展。制定和组织实施经济、科技和社会发展计划，制定资源和产业发展方案，组织指导好各业生产，搞好商品流通，协调好本镇与外地区的经济交流与合作，抓好招商引资，人才引进项目开发，不断培育市场体系，组织经济运行，促进经济发展。推广农业技术，完善农业社会化服务体系，引导本镇农民发展现代农业，调整产业结构，加强农村劳动力技能培训，引导农村劳动力转移和就业，不断提高社会主义新农村建设水平。</w:t>
      </w:r>
    </w:p>
    <w:p>
      <w:pPr>
        <w:pStyle w:val="1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default" w:ascii="Times New Roman" w:hAnsi="Times New Roman" w:eastAsia="仿宋_GB2312" w:cs="仿宋_GB2312"/>
          <w:kern w:val="2"/>
          <w:sz w:val="32"/>
          <w:szCs w:val="24"/>
          <w:lang w:val="en-US" w:eastAsia="zh-CN" w:bidi="ar-SA"/>
        </w:rPr>
      </w:pPr>
      <w:r>
        <w:rPr>
          <w:rFonts w:hint="default" w:ascii="Times New Roman" w:hAnsi="Times New Roman" w:eastAsia="仿宋_GB2312" w:cs="仿宋_GB2312"/>
          <w:kern w:val="2"/>
          <w:sz w:val="32"/>
          <w:szCs w:val="24"/>
          <w:lang w:val="en-US" w:eastAsia="zh-CN" w:bidi="ar-SA"/>
        </w:rPr>
        <w:t>惠民生、提环境。负责本行政区域内的劳动保障、民政、计划生育、文化教育、卫生、体育等社会公益事业的综合性工作的建设，制定并组织实施镇村建设规划，部署重点工程建设，地方道路建设及公共设施，水利设施的管理，加强社会主义精神文明建设，做好防灾减灾工作，加强环境保护，努力改善农村人居环境，不断提高本镇农村人口素质和农民生活质量。</w:t>
      </w:r>
    </w:p>
    <w:p>
      <w:pPr>
        <w:pStyle w:val="1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default" w:ascii="Times New Roman" w:hAnsi="Times New Roman" w:eastAsia="仿宋_GB2312" w:cs="仿宋_GB2312"/>
          <w:kern w:val="2"/>
          <w:sz w:val="32"/>
          <w:szCs w:val="24"/>
          <w:lang w:val="en-US" w:eastAsia="zh-CN" w:bidi="ar-SA"/>
        </w:rPr>
      </w:pPr>
      <w:r>
        <w:rPr>
          <w:rFonts w:hint="default" w:ascii="Times New Roman" w:hAnsi="Times New Roman" w:eastAsia="仿宋_GB2312" w:cs="仿宋_GB2312"/>
          <w:kern w:val="2"/>
          <w:sz w:val="32"/>
          <w:szCs w:val="24"/>
          <w:lang w:val="en-US" w:eastAsia="zh-CN" w:bidi="ar-SA"/>
        </w:rPr>
        <w:t>树文明、强公益。抓好镇级精神文明建设，丰富群众文化生活水平，提倡移风易俗，反对封建迷信，破除陈规陋习，树立社会主义新风尚。积极加强农村社会公益事业和集体公益事业的发展，推动农村基础设施的建设，强化公共服务体系的建设，提供政策、科技、市场信息的宣传。</w:t>
      </w:r>
    </w:p>
    <w:p>
      <w:pPr>
        <w:pStyle w:val="1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default" w:ascii="Times New Roman" w:hAnsi="Times New Roman" w:eastAsia="仿宋_GB2312" w:cs="仿宋_GB2312"/>
          <w:kern w:val="2"/>
          <w:sz w:val="32"/>
          <w:szCs w:val="24"/>
          <w:lang w:val="en-US" w:eastAsia="zh-CN" w:bidi="ar-SA"/>
        </w:rPr>
      </w:pPr>
      <w:r>
        <w:rPr>
          <w:rFonts w:hint="default" w:ascii="Times New Roman" w:hAnsi="Times New Roman" w:eastAsia="仿宋_GB2312" w:cs="仿宋_GB2312"/>
          <w:kern w:val="2"/>
          <w:sz w:val="32"/>
          <w:szCs w:val="24"/>
          <w:lang w:val="en-US" w:eastAsia="zh-CN" w:bidi="ar-SA"/>
        </w:rPr>
        <w:t>维稳定、保安全。维护辖区内一切经济单位和个人的正当经济权益，加强和巩固农村基层政权建设和民主法制建设，加强社会治安综合治理，取缔非法经济活动，调解和处理民事纠纷，加强对突发事件的预警和管理，建立、健全各种应急机制，维护基层社会稳定。</w:t>
      </w:r>
    </w:p>
    <w:p>
      <w:pPr>
        <w:pStyle w:val="16"/>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default" w:ascii="Times New Roman" w:hAnsi="Times New Roman" w:eastAsia="仿宋_GB2312" w:cs="仿宋_GB2312"/>
          <w:kern w:val="2"/>
          <w:sz w:val="32"/>
          <w:szCs w:val="24"/>
          <w:lang w:val="en-US" w:eastAsia="zh-CN" w:bidi="ar-SA"/>
        </w:rPr>
      </w:pPr>
      <w:r>
        <w:rPr>
          <w:rFonts w:hint="default" w:ascii="Times New Roman" w:hAnsi="Times New Roman" w:eastAsia="仿宋_GB2312" w:cs="仿宋_GB2312"/>
          <w:kern w:val="2"/>
          <w:sz w:val="32"/>
          <w:szCs w:val="24"/>
          <w:lang w:val="en-US" w:eastAsia="zh-CN" w:bidi="ar-SA"/>
        </w:rPr>
        <w:t>完成区委、区政府和上级各部门交办的其他任务。</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rPr>
        <w:t>人员概况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default" w:ascii="Times New Roman" w:hAnsi="Times New Roman" w:eastAsia="仿宋_GB2312" w:cs="仿宋_GB2312"/>
          <w:kern w:val="2"/>
          <w:sz w:val="32"/>
          <w:szCs w:val="24"/>
          <w:lang w:val="en-US" w:eastAsia="zh-CN" w:bidi="ar-SA"/>
        </w:rPr>
      </w:pPr>
      <w:r>
        <w:rPr>
          <w:rFonts w:hint="default" w:ascii="Times New Roman" w:hAnsi="Times New Roman" w:eastAsia="仿宋_GB2312" w:cs="仿宋_GB2312"/>
          <w:kern w:val="2"/>
          <w:sz w:val="32"/>
          <w:szCs w:val="24"/>
          <w:lang w:val="en-US" w:eastAsia="zh-CN" w:bidi="ar-SA"/>
        </w:rPr>
        <w:t>截至202</w:t>
      </w:r>
      <w:r>
        <w:rPr>
          <w:rFonts w:hint="eastAsia" w:ascii="Times New Roman" w:hAnsi="Times New Roman" w:eastAsia="仿宋_GB2312" w:cs="仿宋_GB2312"/>
          <w:kern w:val="2"/>
          <w:sz w:val="32"/>
          <w:szCs w:val="24"/>
          <w:lang w:val="en-US" w:eastAsia="zh-CN" w:bidi="ar-SA"/>
        </w:rPr>
        <w:t>4</w:t>
      </w:r>
      <w:r>
        <w:rPr>
          <w:rFonts w:hint="default" w:ascii="Times New Roman" w:hAnsi="Times New Roman" w:eastAsia="仿宋_GB2312" w:cs="仿宋_GB2312"/>
          <w:kern w:val="2"/>
          <w:sz w:val="32"/>
          <w:szCs w:val="24"/>
          <w:lang w:val="en-US" w:eastAsia="zh-CN" w:bidi="ar-SA"/>
        </w:rPr>
        <w:t>年末，</w:t>
      </w:r>
      <w:r>
        <w:rPr>
          <w:rFonts w:hint="eastAsia" w:ascii="Times New Roman" w:hAnsi="Times New Roman" w:eastAsia="仿宋_GB2312" w:cs="仿宋_GB2312"/>
          <w:kern w:val="2"/>
          <w:sz w:val="32"/>
          <w:szCs w:val="24"/>
          <w:lang w:val="en-US" w:eastAsia="zh-CN" w:bidi="ar-SA"/>
        </w:rPr>
        <w:t>西眉镇人民政府实有人数140人，其中：在职61人（</w:t>
      </w:r>
      <w:r>
        <w:rPr>
          <w:rFonts w:hint="default" w:ascii="Times New Roman" w:hAnsi="Times New Roman" w:eastAsia="仿宋_GB2312" w:cs="仿宋_GB2312"/>
          <w:kern w:val="2"/>
          <w:sz w:val="32"/>
          <w:szCs w:val="24"/>
          <w:lang w:val="en-US" w:eastAsia="zh-CN" w:bidi="ar-SA"/>
        </w:rPr>
        <w:t>备注：行政编制</w:t>
      </w:r>
      <w:r>
        <w:rPr>
          <w:rFonts w:hint="eastAsia" w:ascii="Times New Roman" w:hAnsi="Times New Roman" w:eastAsia="仿宋_GB2312" w:cs="仿宋_GB2312"/>
          <w:kern w:val="2"/>
          <w:sz w:val="32"/>
          <w:szCs w:val="24"/>
          <w:lang w:val="en-US" w:eastAsia="zh-CN" w:bidi="ar-SA"/>
        </w:rPr>
        <w:t>44</w:t>
      </w:r>
      <w:r>
        <w:rPr>
          <w:rFonts w:hint="default" w:ascii="Times New Roman" w:hAnsi="Times New Roman" w:eastAsia="仿宋_GB2312" w:cs="仿宋_GB2312"/>
          <w:kern w:val="2"/>
          <w:sz w:val="32"/>
          <w:szCs w:val="24"/>
          <w:lang w:val="en-US" w:eastAsia="zh-CN" w:bidi="ar-SA"/>
        </w:rPr>
        <w:t>人、事业编制</w:t>
      </w:r>
      <w:r>
        <w:rPr>
          <w:rFonts w:hint="eastAsia" w:ascii="Times New Roman" w:hAnsi="Times New Roman" w:eastAsia="仿宋_GB2312" w:cs="仿宋_GB2312"/>
          <w:kern w:val="2"/>
          <w:sz w:val="32"/>
          <w:szCs w:val="24"/>
          <w:lang w:val="en-US" w:eastAsia="zh-CN" w:bidi="ar-SA"/>
        </w:rPr>
        <w:t>17</w:t>
      </w:r>
      <w:r>
        <w:rPr>
          <w:rFonts w:hint="default" w:ascii="Times New Roman" w:hAnsi="Times New Roman" w:eastAsia="仿宋_GB2312" w:cs="仿宋_GB2312"/>
          <w:kern w:val="2"/>
          <w:sz w:val="32"/>
          <w:szCs w:val="24"/>
          <w:lang w:val="en-US" w:eastAsia="zh-CN" w:bidi="ar-SA"/>
        </w:rPr>
        <w:t>人</w:t>
      </w:r>
      <w:r>
        <w:rPr>
          <w:rFonts w:hint="eastAsia" w:ascii="Times New Roman" w:hAnsi="Times New Roman" w:eastAsia="仿宋_GB2312" w:cs="仿宋_GB2312"/>
          <w:kern w:val="2"/>
          <w:sz w:val="32"/>
          <w:szCs w:val="24"/>
          <w:lang w:val="en-US" w:eastAsia="zh-CN" w:bidi="ar-SA"/>
        </w:rPr>
        <w:t>），退休79人。</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3" w:firstLineChars="200"/>
        <w:contextualSpacing/>
        <w:jc w:val="both"/>
        <w:textAlignment w:val="auto"/>
        <w:outlineLvl w:val="9"/>
        <w:rPr>
          <w:rFonts w:hint="eastAsia" w:ascii="Times New Roman" w:hAnsi="Times New Roman" w:cs="Times New Roman"/>
          <w:sz w:val="33"/>
          <w:szCs w:val="33"/>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p>
    <w:p>
      <w:pPr>
        <w:pStyle w:val="44"/>
        <w:keepNext w:val="0"/>
        <w:keepLines w:val="0"/>
        <w:pageBreakBefore w:val="0"/>
        <w:kinsoku/>
        <w:wordWrap/>
        <w:overflowPunct/>
        <w:topLinePunct w:val="0"/>
        <w:autoSpaceDE/>
        <w:autoSpaceDN/>
        <w:bidi w:val="0"/>
        <w:spacing w:line="560" w:lineRule="exact"/>
        <w:ind w:firstLine="640" w:firstLineChars="200"/>
        <w:rPr>
          <w:rFonts w:hint="default"/>
          <w:lang w:val="en-US"/>
        </w:rPr>
      </w:pPr>
      <w:r>
        <w:rPr>
          <w:rFonts w:hint="eastAsia" w:eastAsia="仿宋_GB2312" w:cs="仿宋_GB2312"/>
          <w:sz w:val="32"/>
          <w:lang w:bidi="ar-SA"/>
        </w:rPr>
        <w:t>202</w:t>
      </w:r>
      <w:r>
        <w:rPr>
          <w:rFonts w:hint="eastAsia" w:eastAsia="仿宋_GB2312" w:cs="仿宋_GB2312"/>
          <w:sz w:val="32"/>
          <w:lang w:val="en-US" w:eastAsia="zh-CN" w:bidi="ar-SA"/>
        </w:rPr>
        <w:t>4</w:t>
      </w:r>
      <w:r>
        <w:rPr>
          <w:rFonts w:hint="eastAsia" w:eastAsia="仿宋_GB2312" w:cs="仿宋_GB2312"/>
          <w:sz w:val="32"/>
          <w:lang w:bidi="ar-SA"/>
        </w:rPr>
        <w:t>年收入合计</w:t>
      </w:r>
      <w:r>
        <w:rPr>
          <w:rFonts w:hint="eastAsia" w:eastAsia="仿宋_GB2312" w:cs="仿宋_GB2312"/>
          <w:sz w:val="32"/>
          <w:highlight w:val="none"/>
          <w:lang w:val="en-US" w:eastAsia="zh-CN" w:bidi="ar-SA"/>
        </w:rPr>
        <w:t>2426.87</w:t>
      </w:r>
      <w:r>
        <w:rPr>
          <w:rFonts w:hint="eastAsia" w:eastAsia="仿宋_GB2312" w:cs="仿宋_GB2312"/>
          <w:sz w:val="32"/>
          <w:highlight w:val="none"/>
          <w:lang w:bidi="ar-SA"/>
        </w:rPr>
        <w:t>万元，其中：一般公共预算财政拨款收</w:t>
      </w:r>
      <w:r>
        <w:rPr>
          <w:rFonts w:hint="eastAsia" w:eastAsia="仿宋_GB2312" w:cs="仿宋_GB2312"/>
          <w:sz w:val="32"/>
          <w:highlight w:val="none"/>
          <w:lang w:val="en-US" w:eastAsia="zh-CN" w:bidi="ar-SA"/>
        </w:rPr>
        <w:t>2374.72</w:t>
      </w:r>
      <w:r>
        <w:rPr>
          <w:rFonts w:hint="eastAsia" w:eastAsia="仿宋_GB2312" w:cs="仿宋_GB2312"/>
          <w:sz w:val="32"/>
          <w:highlight w:val="none"/>
          <w:lang w:bidi="ar-SA"/>
        </w:rPr>
        <w:t>万元，占</w:t>
      </w:r>
      <w:r>
        <w:rPr>
          <w:rFonts w:hint="eastAsia" w:eastAsia="仿宋_GB2312" w:cs="仿宋_GB2312"/>
          <w:sz w:val="32"/>
          <w:highlight w:val="none"/>
          <w:lang w:val="en-US" w:eastAsia="zh-CN" w:bidi="ar-SA"/>
        </w:rPr>
        <w:t>97.85</w:t>
      </w:r>
      <w:r>
        <w:rPr>
          <w:rFonts w:hint="eastAsia" w:eastAsia="仿宋_GB2312" w:cs="仿宋_GB2312"/>
          <w:sz w:val="32"/>
          <w:highlight w:val="none"/>
          <w:lang w:bidi="ar-SA"/>
        </w:rPr>
        <w:t>%</w:t>
      </w:r>
      <w:r>
        <w:rPr>
          <w:rFonts w:hint="eastAsia" w:eastAsia="仿宋_GB2312" w:cs="仿宋_GB2312"/>
          <w:sz w:val="32"/>
          <w:highlight w:val="none"/>
          <w:lang w:val="en-US" w:eastAsia="zh-CN" w:bidi="ar-SA"/>
        </w:rPr>
        <w:t>；政</w:t>
      </w:r>
      <w:r>
        <w:rPr>
          <w:rFonts w:hint="eastAsia" w:eastAsia="仿宋_GB2312" w:cs="仿宋_GB2312"/>
          <w:sz w:val="32"/>
          <w:highlight w:val="none"/>
          <w:lang w:bidi="ar-SA"/>
        </w:rPr>
        <w:t>府性基金预算财政拨款收入</w:t>
      </w:r>
      <w:r>
        <w:rPr>
          <w:rFonts w:hint="eastAsia" w:eastAsia="仿宋_GB2312" w:cs="仿宋_GB2312"/>
          <w:sz w:val="32"/>
          <w:highlight w:val="none"/>
          <w:lang w:val="en-US" w:eastAsia="zh-CN" w:bidi="ar-SA"/>
        </w:rPr>
        <w:t>52.15</w:t>
      </w:r>
      <w:r>
        <w:rPr>
          <w:rFonts w:hint="eastAsia" w:eastAsia="仿宋_GB2312" w:cs="仿宋_GB2312"/>
          <w:sz w:val="32"/>
          <w:highlight w:val="none"/>
          <w:lang w:bidi="ar-SA"/>
        </w:rPr>
        <w:t>万元，占</w:t>
      </w:r>
      <w:r>
        <w:rPr>
          <w:rFonts w:hint="eastAsia" w:eastAsia="仿宋_GB2312" w:cs="仿宋_GB2312"/>
          <w:sz w:val="32"/>
          <w:highlight w:val="none"/>
          <w:lang w:val="en-US" w:eastAsia="zh-CN" w:bidi="ar-SA"/>
        </w:rPr>
        <w:t>2.15</w:t>
      </w:r>
      <w:r>
        <w:rPr>
          <w:rFonts w:hint="eastAsia" w:eastAsia="仿宋_GB2312" w:cs="仿宋_GB2312"/>
          <w:sz w:val="32"/>
          <w:highlight w:val="none"/>
          <w:lang w:bidi="ar-SA"/>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3" w:firstLineChars="200"/>
        <w:contextualSpacing/>
        <w:jc w:val="both"/>
        <w:textAlignment w:val="auto"/>
        <w:outlineLvl w:val="9"/>
        <w:rPr>
          <w:rFonts w:hint="eastAsia" w:ascii="Times New Roman" w:hAnsi="Times New Roman" w:eastAsia="楷体_GB2312" w:cs="Times New Roman"/>
          <w:b/>
          <w:bCs/>
          <w:color w:val="000000"/>
          <w:kern w:val="0"/>
          <w:sz w:val="33"/>
          <w:szCs w:val="33"/>
          <w:highlight w:val="none"/>
          <w:shd w:val="clear" w:color="auto" w:fill="FFFFFF"/>
          <w:lang w:val="en-US" w:eastAsia="zh-CN"/>
        </w:rPr>
      </w:pPr>
      <w:r>
        <w:rPr>
          <w:rFonts w:hint="eastAsia" w:eastAsia="楷体_GB2312" w:cs="Times New Roman"/>
          <w:b/>
          <w:bCs/>
          <w:color w:val="000000"/>
          <w:kern w:val="0"/>
          <w:sz w:val="33"/>
          <w:szCs w:val="33"/>
          <w:highlight w:val="none"/>
          <w:shd w:val="clear" w:color="auto" w:fill="FFFFFF"/>
          <w:lang w:val="zh-CN"/>
        </w:rPr>
        <w:t>（二）</w:t>
      </w:r>
      <w:r>
        <w:rPr>
          <w:rFonts w:hint="eastAsia" w:ascii="Times New Roman" w:hAnsi="Times New Roman" w:eastAsia="楷体_GB2312" w:cs="Times New Roman"/>
          <w:b/>
          <w:bCs/>
          <w:color w:val="000000"/>
          <w:kern w:val="0"/>
          <w:sz w:val="33"/>
          <w:szCs w:val="33"/>
          <w:highlight w:val="none"/>
          <w:shd w:val="clear" w:color="auto" w:fill="FFFFFF"/>
          <w:lang w:val="zh-CN"/>
        </w:rPr>
        <w:t>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2024年支出合计</w:t>
      </w:r>
      <w:r>
        <w:rPr>
          <w:rFonts w:hint="eastAsia" w:cs="仿宋_GB2312"/>
          <w:kern w:val="2"/>
          <w:sz w:val="32"/>
          <w:szCs w:val="32"/>
          <w:lang w:val="en-US" w:eastAsia="zh-CN" w:bidi="ar-SA"/>
        </w:rPr>
        <w:t>2426.87</w:t>
      </w:r>
      <w:r>
        <w:rPr>
          <w:rFonts w:hint="eastAsia" w:ascii="Times New Roman" w:hAnsi="Times New Roman" w:eastAsia="仿宋_GB2312" w:cs="仿宋_GB2312"/>
          <w:kern w:val="2"/>
          <w:sz w:val="32"/>
          <w:szCs w:val="32"/>
          <w:lang w:val="en-US" w:eastAsia="zh-CN" w:bidi="ar-SA"/>
        </w:rPr>
        <w:t>万元，其中：基本支出</w:t>
      </w:r>
      <w:r>
        <w:rPr>
          <w:rFonts w:hint="eastAsia" w:cs="仿宋_GB2312"/>
          <w:kern w:val="2"/>
          <w:sz w:val="32"/>
          <w:szCs w:val="32"/>
          <w:lang w:val="en-US" w:eastAsia="zh-CN" w:bidi="ar-SA"/>
        </w:rPr>
        <w:t>1993.97</w:t>
      </w:r>
      <w:r>
        <w:rPr>
          <w:rFonts w:hint="eastAsia" w:ascii="Times New Roman" w:hAnsi="Times New Roman" w:eastAsia="仿宋_GB2312" w:cs="仿宋_GB2312"/>
          <w:kern w:val="2"/>
          <w:sz w:val="32"/>
          <w:szCs w:val="32"/>
          <w:lang w:val="en-US" w:eastAsia="zh-CN" w:bidi="ar-SA"/>
        </w:rPr>
        <w:t>万元，占</w:t>
      </w:r>
      <w:r>
        <w:rPr>
          <w:rFonts w:hint="eastAsia" w:cs="仿宋_GB2312"/>
          <w:kern w:val="2"/>
          <w:sz w:val="32"/>
          <w:szCs w:val="32"/>
          <w:lang w:val="en-US" w:eastAsia="zh-CN" w:bidi="ar-SA"/>
        </w:rPr>
        <w:t>82.16</w:t>
      </w:r>
      <w:r>
        <w:rPr>
          <w:rFonts w:hint="eastAsia" w:ascii="Times New Roman" w:hAnsi="Times New Roman" w:eastAsia="仿宋_GB2312" w:cs="仿宋_GB2312"/>
          <w:kern w:val="2"/>
          <w:sz w:val="32"/>
          <w:szCs w:val="32"/>
          <w:lang w:val="en-US" w:eastAsia="zh-CN" w:bidi="ar-SA"/>
        </w:rPr>
        <w:t>%；项目支出</w:t>
      </w:r>
      <w:r>
        <w:rPr>
          <w:rFonts w:hint="eastAsia" w:cs="仿宋_GB2312"/>
          <w:kern w:val="2"/>
          <w:sz w:val="32"/>
          <w:szCs w:val="32"/>
          <w:lang w:val="en-US" w:eastAsia="zh-CN" w:bidi="ar-SA"/>
        </w:rPr>
        <w:t>432.9</w:t>
      </w:r>
      <w:r>
        <w:rPr>
          <w:rFonts w:hint="eastAsia" w:ascii="Times New Roman" w:hAnsi="Times New Roman" w:eastAsia="仿宋_GB2312" w:cs="仿宋_GB2312"/>
          <w:kern w:val="2"/>
          <w:sz w:val="32"/>
          <w:szCs w:val="32"/>
          <w:lang w:val="en-US" w:eastAsia="zh-CN" w:bidi="ar-SA"/>
        </w:rPr>
        <w:t>万元，占</w:t>
      </w:r>
      <w:r>
        <w:rPr>
          <w:rFonts w:hint="eastAsia" w:cs="仿宋_GB2312"/>
          <w:kern w:val="2"/>
          <w:sz w:val="32"/>
          <w:szCs w:val="32"/>
          <w:lang w:val="en-US" w:eastAsia="zh-CN" w:bidi="ar-SA"/>
        </w:rPr>
        <w:t>17.84</w:t>
      </w:r>
      <w:r>
        <w:rPr>
          <w:rFonts w:hint="eastAsia" w:ascii="Times New Roman" w:hAnsi="Times New Roman" w:eastAsia="仿宋_GB2312" w:cs="仿宋_GB2312"/>
          <w:kern w:val="2"/>
          <w:sz w:val="32"/>
          <w:szCs w:val="32"/>
          <w:lang w:val="en-US" w:eastAsia="zh-CN" w:bidi="ar-SA"/>
        </w:rPr>
        <w:t>%，</w:t>
      </w:r>
      <w:r>
        <w:rPr>
          <w:rFonts w:hint="default" w:ascii="Times New Roman" w:hAnsi="Times New Roman" w:eastAsia="仿宋_GB2312" w:cs="仿宋_GB2312"/>
          <w:kern w:val="2"/>
          <w:sz w:val="32"/>
          <w:szCs w:val="32"/>
          <w:lang w:val="zh-CN" w:eastAsia="zh-CN" w:bidi="ar-SA"/>
        </w:rPr>
        <w:t>上缴上级支出0万元，占0%；经营支出0万元，占0%</w:t>
      </w:r>
      <w:r>
        <w:rPr>
          <w:rFonts w:hint="eastAsia" w:cs="仿宋_GB2312"/>
          <w:kern w:val="2"/>
          <w:sz w:val="32"/>
          <w:szCs w:val="32"/>
          <w:lang w:val="zh-CN" w:eastAsia="zh-CN" w:bidi="ar-SA"/>
        </w:rPr>
        <w:t>。</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right="0" w:rightChars="0" w:firstLine="663" w:firstLineChars="200"/>
        <w:contextualSpacing/>
        <w:jc w:val="both"/>
        <w:textAlignment w:val="auto"/>
        <w:outlineLvl w:val="9"/>
        <w:rPr>
          <w:rFonts w:hint="eastAsia" w:ascii="Times New Roman" w:hAnsi="Times New Roman" w:eastAsia="楷体_GB2312" w:cs="Times New Roman"/>
          <w:b/>
          <w:sz w:val="33"/>
          <w:szCs w:val="33"/>
          <w:lang w:eastAsia="zh-CN"/>
        </w:rPr>
      </w:pP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kern w:val="2"/>
          <w:sz w:val="32"/>
          <w:szCs w:val="32"/>
          <w:lang w:val="zh-CN" w:eastAsia="zh-CN" w:bidi="ar-SA"/>
        </w:rPr>
      </w:pPr>
      <w:r>
        <w:rPr>
          <w:rFonts w:hint="eastAsia" w:ascii="Times New Roman" w:hAnsi="Times New Roman" w:eastAsia="仿宋_GB2312" w:cs="仿宋_GB2312"/>
          <w:kern w:val="2"/>
          <w:sz w:val="32"/>
          <w:szCs w:val="32"/>
          <w:lang w:val="en-US" w:eastAsia="zh-CN" w:bidi="ar-SA"/>
        </w:rPr>
        <w:t>无结余分配和结转结余。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63" w:firstLineChars="200"/>
        <w:contextualSpacing/>
        <w:jc w:val="both"/>
        <w:textAlignment w:val="auto"/>
        <w:outlineLvl w:val="9"/>
        <w:rPr>
          <w:rFonts w:hint="default" w:ascii="Times New Roman" w:hAnsi="Times New Roman" w:cs="Times New Roman"/>
          <w:color w:val="0000FF"/>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部门预算</w:t>
      </w:r>
      <w:r>
        <w:rPr>
          <w:rFonts w:hint="default" w:ascii="Times New Roman" w:hAnsi="Times New Roman" w:eastAsia="楷体_GB2312" w:cs="Times New Roman"/>
          <w:b/>
          <w:bCs/>
          <w:color w:val="000000"/>
          <w:kern w:val="0"/>
          <w:sz w:val="33"/>
          <w:szCs w:val="33"/>
          <w:highlight w:val="none"/>
          <w:shd w:val="clear" w:color="auto" w:fill="FFFFFF"/>
          <w:lang w:val="zh-CN"/>
        </w:rPr>
        <w:t>总体绩效分析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履职效能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我镇紧扣核心职能目标，以务实举措推动各项工作提质增效，展现出良好的履职效能。一是基层党建全面加强，持续强化政治引领，深化党组织规范化建设，推动党建与业务深度融合，为全镇经济社会发展提供了坚强组织保证。二是乡村振兴工作成效显著，农业产业提质升级</w:t>
      </w: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zh-CN"/>
        </w:rPr>
        <w:t>基础设施全面升级，人居环境持续优化，农民收入稳步增长，乡村发展动能不断增强。三是社会治理体系更加健全，矛盾纠纷化解机制高效运行，平安建设水平不断提升，群众安全感满意度持续增强，共建共治共享格局逐步形成。四是乡风文明建设深入推进，新时代文明实践活动广泛开展，优秀传统文化得到传承弘扬，农村精神文化生活日益丰富。五是防灾应急能力显著增强，风险防控体系不断完善，应急响应机制更加高效，切实筑牢了安全发展底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Times New Roman" w:hAnsi="Times New Roman" w:cs="Times New Roman"/>
          <w:color w:val="0000FF"/>
          <w:kern w:val="0"/>
          <w:sz w:val="32"/>
          <w:szCs w:val="32"/>
          <w:highlight w:val="none"/>
          <w:shd w:val="clear" w:color="auto" w:fill="FFFFFF"/>
          <w:lang w:val="zh-CN"/>
        </w:rPr>
      </w:pPr>
      <w:r>
        <w:rPr>
          <w:rFonts w:hint="eastAsia" w:ascii="Times New Roman" w:hAnsi="Times New Roman" w:eastAsia="楷体_GB2312" w:cs="楷体_GB2312"/>
          <w:color w:val="000000"/>
          <w:kern w:val="0"/>
          <w:sz w:val="32"/>
          <w:szCs w:val="32"/>
          <w:highlight w:val="none"/>
          <w:shd w:val="clear" w:color="auto" w:fill="FFFFFF"/>
          <w:lang w:val="en-US" w:eastAsia="zh-CN"/>
        </w:rPr>
        <w:t>2.</w:t>
      </w:r>
      <w:r>
        <w:rPr>
          <w:rFonts w:hint="default" w:ascii="Times New Roman" w:hAnsi="Times New Roman" w:eastAsia="楷体_GB2312" w:cs="楷体_GB2312"/>
          <w:color w:val="000000"/>
          <w:kern w:val="0"/>
          <w:sz w:val="32"/>
          <w:szCs w:val="32"/>
          <w:highlight w:val="none"/>
          <w:shd w:val="clear" w:color="auto" w:fill="FFFFFF"/>
          <w:lang w:val="zh-CN"/>
        </w:rPr>
        <w:t>预算管理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highlight w:val="none"/>
          <w:shd w:val="clear" w:color="auto" w:fill="FFFFFF"/>
          <w:lang w:val="zh-CN"/>
        </w:rPr>
        <w:t>从预算管理情况看，我镇</w:t>
      </w:r>
      <w:r>
        <w:rPr>
          <w:rFonts w:hint="eastAsia" w:ascii="仿宋_GB2312" w:hAnsi="仿宋_GB2312" w:eastAsia="仿宋_GB2312" w:cs="仿宋_GB2312"/>
          <w:sz w:val="32"/>
          <w:szCs w:val="32"/>
          <w:lang w:bidi="ar-SA"/>
        </w:rPr>
        <w:t>工作成效显著，主要体现在以下方面：一是预算编制质量稳步提升，通过完善项目库建设、细化支出标准、强化绩效目标管理，预算编制的科学性和精准性不断增强。二是财政资源统筹能力持续强化，加强上级转移支付资金管理，优化财政资源配置效率。三是预算执行效率显著提高，重点项目支出保障有力，建立预算执行动态监控机制，资金拨付及时性明显改善，实现财政资金"零沉淀"。四是一般性支出管控成效突出，严格执行"三公"经费和行政运行经费管理制度，非急需非刚性支出得到有效控制，财政支出结构持续优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Times New Roman" w:hAnsi="Times New Roman" w:cs="Times New Roman"/>
          <w:color w:val="000000"/>
          <w:kern w:val="0"/>
          <w:sz w:val="32"/>
          <w:szCs w:val="32"/>
          <w:highlight w:val="none"/>
          <w:shd w:val="clear" w:color="auto" w:fill="FFFFFF"/>
          <w:lang w:val="zh-CN"/>
        </w:rPr>
      </w:pPr>
      <w:r>
        <w:rPr>
          <w:rFonts w:hint="eastAsia" w:eastAsia="楷体_GB2312" w:cs="楷体_GB2312"/>
          <w:color w:val="000000"/>
          <w:kern w:val="0"/>
          <w:sz w:val="32"/>
          <w:szCs w:val="32"/>
          <w:highlight w:val="none"/>
          <w:shd w:val="clear" w:color="auto" w:fill="FFFFFF"/>
          <w:lang w:val="en-US" w:eastAsia="zh-CN"/>
        </w:rPr>
        <w:t>3</w:t>
      </w:r>
      <w:r>
        <w:rPr>
          <w:rFonts w:hint="eastAsia" w:ascii="Times New Roman" w:hAnsi="Times New Roman" w:eastAsia="楷体_GB2312" w:cs="楷体_GB2312"/>
          <w:color w:val="000000"/>
          <w:kern w:val="0"/>
          <w:sz w:val="32"/>
          <w:szCs w:val="32"/>
          <w:highlight w:val="none"/>
          <w:shd w:val="clear" w:color="auto" w:fill="FFFFFF"/>
          <w:lang w:val="en-US" w:eastAsia="zh-CN"/>
        </w:rPr>
        <w:t>.</w:t>
      </w:r>
      <w:r>
        <w:rPr>
          <w:rFonts w:hint="default" w:ascii="Times New Roman" w:hAnsi="Times New Roman" w:eastAsia="楷体_GB2312" w:cs="楷体_GB2312"/>
          <w:color w:val="000000"/>
          <w:kern w:val="0"/>
          <w:sz w:val="32"/>
          <w:szCs w:val="32"/>
          <w:highlight w:val="none"/>
          <w:shd w:val="clear" w:color="auto" w:fill="FFFFFF"/>
          <w:lang w:val="zh-CN"/>
        </w:rPr>
        <w:t>资产管理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rPr>
          <w:rFonts w:hint="default" w:eastAsia="仿宋_GB2312" w:cs="Times New Roman"/>
          <w:sz w:val="32"/>
          <w:lang w:bidi="ar-SA"/>
        </w:rPr>
      </w:pPr>
      <w:r>
        <w:rPr>
          <w:rFonts w:hint="default" w:eastAsia="仿宋_GB2312" w:cs="Times New Roman"/>
          <w:sz w:val="32"/>
          <w:lang w:val="zh-CN" w:bidi="ar-SA"/>
        </w:rPr>
        <w:t>从资产管理情况看，我镇工作取得积极进展，主要表现为：</w:t>
      </w:r>
      <w:r>
        <w:rPr>
          <w:rFonts w:hint="default" w:eastAsia="仿宋_GB2312" w:cs="Times New Roman"/>
          <w:sz w:val="32"/>
          <w:lang w:eastAsia="zh-CN" w:bidi="ar-SA"/>
        </w:rPr>
        <w:t>一是</w:t>
      </w:r>
      <w:r>
        <w:rPr>
          <w:rFonts w:hint="default" w:eastAsia="仿宋_GB2312" w:cs="Times New Roman"/>
          <w:sz w:val="32"/>
          <w:lang w:bidi="ar-SA"/>
        </w:rPr>
        <w:t>资产使用效能较为突出，其中设备类资产利用率达到44.94%，家具类资产利用率为16.98%，两项指标均明显优于省级部门制定的标准值，展现出良好的资产管理成效。</w:t>
      </w:r>
      <w:r>
        <w:rPr>
          <w:rFonts w:hint="default" w:eastAsia="仿宋_GB2312" w:cs="Times New Roman"/>
          <w:sz w:val="32"/>
          <w:lang w:eastAsia="zh-CN" w:bidi="ar-SA"/>
        </w:rPr>
        <w:t>二是</w:t>
      </w:r>
      <w:r>
        <w:rPr>
          <w:rFonts w:hint="default" w:eastAsia="仿宋_GB2312" w:cs="Times New Roman"/>
          <w:sz w:val="32"/>
          <w:lang w:bidi="ar-SA"/>
        </w:rPr>
        <w:t>通过建立规范的资产盘活机制，已实现闲置资产的全部有效利用，有效避免了资源浪费。值得注意的是，虽然人均资产变化率15.</w:t>
      </w:r>
      <w:r>
        <w:rPr>
          <w:rFonts w:hint="default" w:eastAsia="仿宋_GB2312" w:cs="Times New Roman"/>
          <w:sz w:val="32"/>
          <w:lang w:val="en-US" w:eastAsia="zh-CN" w:bidi="ar-SA"/>
        </w:rPr>
        <w:t>8</w:t>
      </w:r>
      <w:r>
        <w:rPr>
          <w:rFonts w:hint="default" w:eastAsia="仿宋_GB2312" w:cs="Times New Roman"/>
          <w:sz w:val="32"/>
          <w:lang w:bidi="ar-SA"/>
        </w:rPr>
        <w:t>9%这一指标高于市直单位平均水平，</w:t>
      </w:r>
      <w:r>
        <w:rPr>
          <w:rFonts w:hint="default" w:eastAsia="仿宋_GB2312" w:cs="Times New Roman"/>
          <w:sz w:val="32"/>
          <w:highlight w:val="none"/>
          <w:lang w:bidi="ar-SA"/>
        </w:rPr>
        <w:t>但其主要成因在于上级资产划拨因素。</w:t>
      </w:r>
      <w:r>
        <w:rPr>
          <w:rFonts w:hint="default" w:eastAsia="仿宋_GB2312" w:cs="Times New Roman"/>
          <w:sz w:val="32"/>
          <w:lang w:eastAsia="zh-CN" w:bidi="ar-SA"/>
        </w:rPr>
        <w:t>我镇将</w:t>
      </w:r>
      <w:r>
        <w:rPr>
          <w:rFonts w:hint="default" w:eastAsia="仿宋_GB2312" w:cs="Times New Roman"/>
          <w:sz w:val="32"/>
          <w:lang w:bidi="ar-SA"/>
        </w:rPr>
        <w:t>在巩固现有资产管理成效的基础上，</w:t>
      </w:r>
      <w:r>
        <w:rPr>
          <w:rFonts w:hint="default" w:eastAsia="仿宋_GB2312" w:cs="Times New Roman"/>
          <w:sz w:val="32"/>
          <w:lang w:eastAsia="zh-CN" w:bidi="ar-SA"/>
        </w:rPr>
        <w:t>持续</w:t>
      </w:r>
      <w:r>
        <w:rPr>
          <w:rFonts w:hint="default" w:eastAsia="仿宋_GB2312" w:cs="Times New Roman"/>
          <w:sz w:val="32"/>
          <w:lang w:bidi="ar-SA"/>
        </w:rPr>
        <w:t>关注后续管理效能，</w:t>
      </w:r>
      <w:r>
        <w:rPr>
          <w:rFonts w:hint="default" w:eastAsia="仿宋_GB2312" w:cs="Times New Roman"/>
          <w:sz w:val="32"/>
          <w:lang w:eastAsia="zh-CN" w:bidi="ar-SA"/>
        </w:rPr>
        <w:t>进一步</w:t>
      </w:r>
      <w:r>
        <w:rPr>
          <w:rFonts w:hint="default" w:eastAsia="仿宋_GB2312" w:cs="Times New Roman"/>
          <w:sz w:val="32"/>
          <w:lang w:bidi="ar-SA"/>
        </w:rPr>
        <w:t>提升国有资产使用效益和管理水平。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60" w:firstLineChars="200"/>
        <w:contextualSpacing/>
        <w:jc w:val="both"/>
        <w:textAlignment w:val="auto"/>
        <w:outlineLvl w:val="9"/>
        <w:rPr>
          <w:rFonts w:hint="eastAsia" w:ascii="Times New Roman" w:hAnsi="Times New Roman" w:cs="Times New Roman"/>
          <w:color w:val="0000FF"/>
          <w:kern w:val="0"/>
          <w:sz w:val="33"/>
          <w:szCs w:val="33"/>
          <w:highlight w:val="none"/>
          <w:shd w:val="clear" w:color="auto" w:fill="FFFFFF"/>
          <w:lang w:val="zh-CN"/>
        </w:rPr>
      </w:pPr>
      <w:r>
        <w:rPr>
          <w:rFonts w:hint="eastAsia" w:eastAsia="楷体_GB2312" w:cs="楷体_GB2312"/>
          <w:color w:val="000000"/>
          <w:kern w:val="0"/>
          <w:sz w:val="33"/>
          <w:szCs w:val="33"/>
          <w:highlight w:val="none"/>
          <w:shd w:val="clear" w:color="auto" w:fill="FFFFFF"/>
          <w:lang w:val="en-US" w:eastAsia="zh-CN"/>
        </w:rPr>
        <w:t>4</w:t>
      </w:r>
      <w:r>
        <w:rPr>
          <w:rFonts w:hint="eastAsia" w:ascii="Times New Roman" w:hAnsi="Times New Roman" w:eastAsia="楷体_GB2312" w:cs="楷体_GB2312"/>
          <w:color w:val="000000"/>
          <w:kern w:val="0"/>
          <w:sz w:val="33"/>
          <w:szCs w:val="33"/>
          <w:highlight w:val="none"/>
          <w:shd w:val="clear" w:color="auto" w:fill="FFFFFF"/>
          <w:lang w:val="en-US" w:eastAsia="zh-CN"/>
        </w:rPr>
        <w:t>.</w:t>
      </w:r>
      <w:r>
        <w:rPr>
          <w:rFonts w:hint="default" w:ascii="Times New Roman" w:hAnsi="Times New Roman" w:eastAsia="楷体_GB2312" w:cs="楷体_GB2312"/>
          <w:color w:val="000000"/>
          <w:kern w:val="0"/>
          <w:sz w:val="33"/>
          <w:szCs w:val="33"/>
          <w:highlight w:val="none"/>
          <w:shd w:val="clear" w:color="auto" w:fill="FFFFFF"/>
          <w:lang w:val="zh-CN"/>
        </w:rPr>
        <w:t>采购管理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rPr>
          <w:rFonts w:hint="default" w:eastAsia="仿宋_GB2312" w:cs="Times New Roman"/>
          <w:color w:val="auto"/>
          <w:sz w:val="32"/>
          <w:lang w:val="zh-CN" w:eastAsia="zh-CN" w:bidi="ar-SA"/>
        </w:rPr>
      </w:pPr>
      <w:r>
        <w:rPr>
          <w:rFonts w:hint="default" w:eastAsia="仿宋_GB2312" w:cs="Times New Roman"/>
          <w:sz w:val="32"/>
          <w:lang w:val="zh-CN" w:eastAsia="zh-CN" w:bidi="ar-SA"/>
        </w:rPr>
        <w:t>从采购管理情况看，我镇</w:t>
      </w:r>
      <w:r>
        <w:rPr>
          <w:rFonts w:hint="default" w:eastAsia="仿宋_GB2312" w:cs="Times New Roman"/>
          <w:sz w:val="32"/>
          <w:lang w:eastAsia="zh-CN" w:bidi="ar-SA"/>
        </w:rPr>
        <w:t>工作规范有序，在促进中小企业发展方面成效显著。一是全面落实政府采购促进中小企业发展政策要求，对适宜项目专门预留采购份额，并在预算编制中予以单列，为中小企业创造更多市场机会。二是采购执行率保持较高水</w:t>
      </w:r>
      <w:r>
        <w:rPr>
          <w:rFonts w:hint="default" w:eastAsia="仿宋_GB2312" w:cs="Times New Roman"/>
          <w:color w:val="auto"/>
          <w:sz w:val="32"/>
          <w:lang w:eastAsia="zh-CN" w:bidi="ar-SA"/>
        </w:rPr>
        <w:t>平，通过优化采购流程、加强计划管理，保障采购项目及时落地。三是在预算编制环节即明确面向中小企业采购的具体要求，将政策支持落到实处。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60" w:firstLineChars="200"/>
        <w:contextualSpacing/>
        <w:jc w:val="both"/>
        <w:textAlignment w:val="auto"/>
        <w:outlineLvl w:val="9"/>
        <w:rPr>
          <w:rFonts w:hint="eastAsia" w:ascii="Times New Roman" w:hAnsi="Times New Roman" w:cs="Times New Roman"/>
          <w:color w:val="auto"/>
          <w:kern w:val="0"/>
          <w:sz w:val="33"/>
          <w:szCs w:val="33"/>
          <w:highlight w:val="none"/>
          <w:shd w:val="clear" w:color="auto" w:fill="FFFFFF"/>
          <w:lang w:val="zh-CN"/>
        </w:rPr>
      </w:pPr>
      <w:r>
        <w:rPr>
          <w:rFonts w:hint="eastAsia" w:eastAsia="楷体_GB2312" w:cs="楷体_GB2312"/>
          <w:color w:val="auto"/>
          <w:kern w:val="0"/>
          <w:sz w:val="33"/>
          <w:szCs w:val="33"/>
          <w:highlight w:val="none"/>
          <w:shd w:val="clear" w:color="auto" w:fill="FFFFFF"/>
          <w:lang w:val="en-US" w:eastAsia="zh-CN"/>
        </w:rPr>
        <w:t>5.</w:t>
      </w:r>
      <w:r>
        <w:rPr>
          <w:rFonts w:hint="default" w:ascii="Times New Roman" w:hAnsi="Times New Roman" w:eastAsia="楷体_GB2312" w:cs="楷体_GB2312"/>
          <w:color w:val="auto"/>
          <w:kern w:val="0"/>
          <w:sz w:val="33"/>
          <w:szCs w:val="33"/>
          <w:highlight w:val="none"/>
          <w:shd w:val="clear" w:color="auto" w:fill="FFFFFF"/>
          <w:lang w:val="zh-CN"/>
        </w:rPr>
        <w:t>财务管理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rPr>
          <w:rFonts w:hint="default" w:eastAsia="仿宋_GB2312" w:cs="Times New Roman"/>
          <w:sz w:val="32"/>
          <w:lang w:val="zh-CN" w:bidi="ar-SA"/>
        </w:rPr>
      </w:pPr>
      <w:r>
        <w:rPr>
          <w:rFonts w:hint="default" w:eastAsia="仿宋_GB2312" w:cs="Times New Roman"/>
          <w:color w:val="auto"/>
          <w:sz w:val="32"/>
          <w:lang w:val="zh-CN" w:bidi="ar-SA"/>
        </w:rPr>
        <w:t>从财务管理情况看，我镇工作机制健全、运行高效</w:t>
      </w:r>
      <w:r>
        <w:rPr>
          <w:rFonts w:hint="default" w:eastAsia="仿宋_GB2312" w:cs="Times New Roman"/>
          <w:color w:val="auto"/>
          <w:sz w:val="32"/>
          <w:lang w:val="zh-CN" w:eastAsia="zh-CN" w:bidi="ar-SA"/>
        </w:rPr>
        <w:t>。一是</w:t>
      </w:r>
      <w:r>
        <w:rPr>
          <w:rFonts w:hint="default" w:eastAsia="仿宋_GB2312" w:cs="Times New Roman"/>
          <w:color w:val="auto"/>
          <w:sz w:val="32"/>
          <w:lang w:val="zh-CN" w:bidi="ar-SA"/>
        </w:rPr>
        <w:t>建立健全了涵盖预算管理、收支审批、会计核算等环节的完整制度体系，确保财务管理全流程有章可循。</w:t>
      </w:r>
      <w:r>
        <w:rPr>
          <w:rFonts w:hint="default" w:eastAsia="仿宋_GB2312" w:cs="Times New Roman"/>
          <w:color w:val="auto"/>
          <w:sz w:val="32"/>
          <w:lang w:val="zh-CN" w:eastAsia="zh-CN" w:bidi="ar-SA"/>
        </w:rPr>
        <w:t>二是</w:t>
      </w:r>
      <w:r>
        <w:rPr>
          <w:rFonts w:hint="default" w:eastAsia="仿宋_GB2312" w:cs="Times New Roman"/>
          <w:color w:val="auto"/>
          <w:sz w:val="32"/>
          <w:lang w:val="zh-CN" w:bidi="ar-SA"/>
        </w:rPr>
        <w:t>岗位设置科学合理，严格执行会计与出纳岗位</w:t>
      </w:r>
      <w:r>
        <w:rPr>
          <w:rFonts w:hint="default" w:eastAsia="仿宋_GB2312" w:cs="Times New Roman"/>
          <w:sz w:val="32"/>
          <w:lang w:val="zh-CN" w:bidi="ar-SA"/>
        </w:rPr>
        <w:t>分离原则，合理配置会计、出纳等专业岗位，形成有效的内部制衡机制</w:t>
      </w:r>
      <w:r>
        <w:rPr>
          <w:rFonts w:hint="default" w:eastAsia="仿宋_GB2312" w:cs="Times New Roman"/>
          <w:sz w:val="32"/>
          <w:lang w:val="zh-CN" w:eastAsia="zh-CN" w:bidi="ar-SA"/>
        </w:rPr>
        <w:t>，</w:t>
      </w:r>
      <w:r>
        <w:rPr>
          <w:rFonts w:hint="default" w:eastAsia="仿宋_GB2312" w:cs="Times New Roman"/>
          <w:sz w:val="32"/>
          <w:lang w:val="zh-CN" w:bidi="ar-SA"/>
        </w:rPr>
        <w:t>防范财务风险。</w:t>
      </w:r>
      <w:r>
        <w:rPr>
          <w:rFonts w:hint="default" w:eastAsia="仿宋_GB2312" w:cs="Times New Roman"/>
          <w:sz w:val="32"/>
          <w:lang w:val="zh-CN" w:eastAsia="zh-CN" w:bidi="ar-SA"/>
        </w:rPr>
        <w:t>三是</w:t>
      </w:r>
      <w:r>
        <w:rPr>
          <w:rFonts w:hint="default" w:eastAsia="仿宋_GB2312" w:cs="Times New Roman"/>
          <w:sz w:val="32"/>
          <w:lang w:val="zh-CN" w:bidi="ar-SA"/>
        </w:rPr>
        <w:t>资金使用管理严格规范，建立分级审批制度，对大额支出实行集体决策，强化资金使用的内部控制和监督机制</w:t>
      </w:r>
      <w:r>
        <w:rPr>
          <w:rFonts w:hint="default" w:eastAsia="仿宋_GB2312" w:cs="Times New Roman"/>
          <w:sz w:val="32"/>
          <w:lang w:val="zh-CN" w:eastAsia="zh-CN" w:bidi="ar-SA"/>
        </w:rPr>
        <w:t>，</w:t>
      </w:r>
      <w:r>
        <w:rPr>
          <w:rFonts w:hint="default" w:eastAsia="仿宋_GB2312" w:cs="Times New Roman"/>
          <w:sz w:val="32"/>
          <w:lang w:val="zh-CN" w:bidi="ar-SA"/>
        </w:rPr>
        <w:t>确保资金支付各环节相互制约。</w:t>
      </w:r>
    </w:p>
    <w:p>
      <w:pPr>
        <w:keepNext w:val="0"/>
        <w:keepLines w:val="0"/>
        <w:pageBreakBefore w:val="0"/>
        <w:widowControl/>
        <w:kinsoku/>
        <w:wordWrap/>
        <w:overflowPunct/>
        <w:topLinePunct w:val="0"/>
        <w:autoSpaceDE/>
        <w:autoSpaceDN/>
        <w:bidi w:val="0"/>
        <w:adjustRightInd/>
        <w:snapToGrid/>
        <w:spacing w:line="560" w:lineRule="exact"/>
        <w:ind w:right="0" w:rightChars="0" w:firstLine="663" w:firstLineChars="200"/>
        <w:contextualSpacing/>
        <w:jc w:val="both"/>
        <w:textAlignment w:val="auto"/>
        <w:outlineLvl w:val="9"/>
        <w:rPr>
          <w:rFonts w:hint="default" w:ascii="Times New Roman" w:hAnsi="Times New Roman" w:cs="Times New Roman"/>
          <w:color w:val="0000FF"/>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常年项目绩效分析。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default" w:eastAsia="仿宋_GB2312" w:cs="Times New Roman"/>
          <w:color w:val="000000"/>
          <w:kern w:val="0"/>
          <w:sz w:val="32"/>
          <w:szCs w:val="32"/>
          <w:highlight w:val="none"/>
          <w:shd w:val="clear" w:color="auto" w:fill="FFFFFF"/>
          <w:lang w:val="en-US" w:eastAsia="zh-CN"/>
        </w:rPr>
        <w:t>16</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default" w:eastAsia="仿宋_GB2312" w:cs="Times New Roman"/>
          <w:color w:val="000000"/>
          <w:kern w:val="0"/>
          <w:sz w:val="32"/>
          <w:szCs w:val="32"/>
          <w:highlight w:val="none"/>
          <w:shd w:val="clear" w:color="auto" w:fill="FFFFFF"/>
          <w:lang w:val="en-US" w:eastAsia="zh-CN"/>
        </w:rPr>
        <w:t>786.39</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default"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default"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阶段（一次性）项目绩效分析。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default"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default" w:eastAsia="仿宋_GB2312" w:cs="Times New Roman"/>
          <w:color w:val="000000"/>
          <w:kern w:val="0"/>
          <w:sz w:val="32"/>
          <w:szCs w:val="32"/>
          <w:highlight w:val="none"/>
          <w:shd w:val="clear" w:color="auto" w:fill="FFFFFF"/>
          <w:lang w:val="en-US" w:eastAsia="zh-CN"/>
        </w:rPr>
        <w:t>79.43</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default" w:eastAsia="仿宋_GB2312"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default"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1.</w:t>
      </w:r>
      <w:r>
        <w:rPr>
          <w:rFonts w:hint="eastAsia" w:ascii="Times New Roman" w:hAnsi="Times New Roman" w:eastAsia="楷体_GB2312" w:cs="楷体_GB2312"/>
          <w:color w:val="000000"/>
          <w:kern w:val="0"/>
          <w:sz w:val="33"/>
          <w:szCs w:val="33"/>
          <w:highlight w:val="none"/>
          <w:shd w:val="clear" w:color="auto" w:fill="FFFFFF"/>
          <w:lang w:val="zh-CN"/>
        </w:rPr>
        <w:t>项目决策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我镇严格执行决策程序，按流程履行项目可行性研究与评估、集体决策与审批、公示与反馈规定流程确保决策科学性与民主性。根据战略导向性、可衡量性及现实可行性原则明确目标设置，确保项目与我镇长期发展战略契合。同时明确项目入库的标准与流程，加强对项目入库的监督和审计，确保项目质量的同时在规定时间内高效完成项目入库</w:t>
      </w:r>
      <w:r>
        <w:rPr>
          <w:rFonts w:hint="default" w:eastAsia="仿宋_GB2312" w:cs="Times New Roman"/>
          <w:color w:val="000000"/>
          <w:kern w:val="0"/>
          <w:sz w:val="32"/>
          <w:szCs w:val="32"/>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en-US"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t>2.项目执行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我镇严格落实预算与执行同步、专款专用、绩效导向原则，实现资金拨付严格对应项目进度，确保每笔支出与项目内容直接相关，资金分配与项目效果挂钩，对进度滞后或效益差的项目减少后续拨款。2024年我镇预算结余率小于10%的常年项目数量为</w:t>
      </w:r>
      <w:r>
        <w:rPr>
          <w:rFonts w:hint="eastAsia" w:ascii="仿宋_GB2312" w:hAnsi="仿宋_GB2312" w:eastAsia="仿宋_GB2312" w:cs="仿宋_GB2312"/>
          <w:color w:val="000000"/>
          <w:kern w:val="0"/>
          <w:sz w:val="32"/>
          <w:szCs w:val="32"/>
          <w:highlight w:val="none"/>
          <w:shd w:val="clear" w:color="auto" w:fill="FFFFFF"/>
          <w:lang w:val="en-US" w:eastAsia="zh-CN"/>
        </w:rPr>
        <w:t>0</w:t>
      </w:r>
      <w:r>
        <w:rPr>
          <w:rFonts w:hint="eastAsia" w:ascii="仿宋_GB2312" w:hAnsi="仿宋_GB2312" w:eastAsia="仿宋_GB2312" w:cs="仿宋_GB2312"/>
          <w:color w:val="000000"/>
          <w:kern w:val="0"/>
          <w:sz w:val="32"/>
          <w:szCs w:val="32"/>
          <w:highlight w:val="none"/>
          <w:shd w:val="clear" w:color="auto" w:fill="FFFFFF"/>
          <w:lang w:val="zh-CN"/>
        </w:rPr>
        <w:t>个，预算执行率100%。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60" w:firstLineChars="200"/>
        <w:contextualSpacing/>
        <w:jc w:val="both"/>
        <w:textAlignment w:val="auto"/>
        <w:outlineLvl w:val="9"/>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3.</w:t>
      </w:r>
      <w:r>
        <w:rPr>
          <w:rFonts w:hint="eastAsia" w:ascii="Times New Roman" w:hAnsi="Times New Roman" w:eastAsia="楷体_GB2312" w:cs="楷体_GB2312"/>
          <w:color w:val="000000"/>
          <w:kern w:val="0"/>
          <w:sz w:val="33"/>
          <w:szCs w:val="33"/>
          <w:highlight w:val="none"/>
          <w:shd w:val="clear" w:color="auto" w:fill="FFFFFF"/>
          <w:lang w:val="zh-CN"/>
        </w:rPr>
        <w:t>目标实现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2024年我镇完成绩效目标数量指标</w:t>
      </w:r>
      <w:r>
        <w:rPr>
          <w:rFonts w:hint="default" w:eastAsia="仿宋_GB2312" w:cs="Times New Roman"/>
          <w:color w:val="000000"/>
          <w:kern w:val="0"/>
          <w:sz w:val="32"/>
          <w:szCs w:val="32"/>
          <w:highlight w:val="none"/>
          <w:shd w:val="clear" w:color="auto" w:fill="FFFFFF"/>
          <w:lang w:val="en-US" w:eastAsia="zh-CN"/>
        </w:rPr>
        <w:t>26</w:t>
      </w:r>
      <w:r>
        <w:rPr>
          <w:rFonts w:hint="default" w:ascii="Times New Roman" w:hAnsi="Times New Roman" w:eastAsia="仿宋_GB2312" w:cs="Times New Roman"/>
          <w:color w:val="000000"/>
          <w:kern w:val="0"/>
          <w:sz w:val="32"/>
          <w:szCs w:val="32"/>
          <w:highlight w:val="none"/>
          <w:shd w:val="clear" w:color="auto" w:fill="FFFFFF"/>
          <w:lang w:val="zh-CN"/>
        </w:rPr>
        <w:t>个，绩效目标完成率100%，预期目标偏离度</w:t>
      </w:r>
      <w:r>
        <w:rPr>
          <w:rFonts w:hint="default" w:eastAsia="仿宋_GB2312" w:cs="Times New Roman"/>
          <w:color w:val="000000"/>
          <w:kern w:val="0"/>
          <w:sz w:val="32"/>
          <w:szCs w:val="32"/>
          <w:highlight w:val="none"/>
          <w:shd w:val="clear" w:color="auto" w:fill="FFFFFF"/>
          <w:lang w:val="zh-CN"/>
        </w:rPr>
        <w:t>为</w:t>
      </w:r>
      <w:r>
        <w:rPr>
          <w:rFonts w:hint="default" w:eastAsia="仿宋_GB2312"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rPr>
        <w:t>。坚持“资金跟着项目走、项目围绕产业转、产业聚焦效益干”的工作思路，高效利用财政资金，确保各类项目落实落地，全面推进东禅实现高质量发展。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3" w:firstLineChars="200"/>
        <w:jc w:val="both"/>
        <w:textAlignment w:val="auto"/>
        <w:rPr>
          <w:rFonts w:hint="eastAsia" w:ascii="Times New Roman" w:hAnsi="Times New Roman" w:eastAsia="楷体_GB2312" w:cs="Times New Roman"/>
          <w:b/>
          <w:bCs/>
          <w:sz w:val="33"/>
          <w:szCs w:val="33"/>
          <w:lang w:val="zh-CN"/>
        </w:rPr>
      </w:pPr>
      <w:r>
        <w:rPr>
          <w:rFonts w:hint="default" w:ascii="Times New Roman" w:hAnsi="Times New Roman" w:eastAsia="楷体_GB2312" w:cs="Times New Roman"/>
          <w:b/>
          <w:bCs/>
          <w:sz w:val="33"/>
          <w:szCs w:val="33"/>
          <w:lang w:val="zh-CN"/>
        </w:rPr>
        <w:t>（</w:t>
      </w:r>
      <w:r>
        <w:rPr>
          <w:rFonts w:hint="eastAsia" w:eastAsia="楷体_GB2312" w:cs="Times New Roman"/>
          <w:b/>
          <w:bCs/>
          <w:sz w:val="33"/>
          <w:szCs w:val="33"/>
          <w:lang w:val="zh-CN"/>
        </w:rPr>
        <w:t>三</w:t>
      </w:r>
      <w:r>
        <w:rPr>
          <w:rFonts w:hint="default" w:ascii="Times New Roman" w:hAnsi="Times New Roman" w:eastAsia="楷体_GB2312" w:cs="Times New Roman"/>
          <w:b/>
          <w:bCs/>
          <w:sz w:val="33"/>
          <w:szCs w:val="33"/>
          <w:lang w:val="zh-CN"/>
        </w:rPr>
        <w:t>）绩效结果应用情况</w:t>
      </w:r>
      <w:r>
        <w:rPr>
          <w:rFonts w:hint="eastAsia" w:ascii="Times New Roman" w:hAnsi="Times New Roman" w:eastAsia="楷体_GB2312" w:cs="Times New Roman"/>
          <w:b/>
          <w:bCs/>
          <w:sz w:val="33"/>
          <w:szCs w:val="33"/>
          <w:lang w:val="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我镇高度重视绩效结果应用工作，形成了较为完善的绩效管理闭环。在内部应用方面，建立绩效评价与预算安排挂钩机制，将评价结果作为下年度预算调整和项目安排的重要依据，实现“花钱必问效、无效必问责”的管理目标。信息公开工作推进有力，通过政务公开栏和政府网站等渠道，依法依规公开重点项目绩效评价报告，主动接受社会监督。整改反馈机制运行有效，针对绩效评价中发现的问题，建立问题清单并限期整改，同时将整改情况纳入年度考核体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仿宋_GB2312"/>
          <w:kern w:val="2"/>
          <w:sz w:val="32"/>
          <w:szCs w:val="24"/>
          <w:lang w:val="en-US" w:eastAsia="zh-CN" w:bidi="ar-SA"/>
        </w:rPr>
      </w:pPr>
      <w:r>
        <w:rPr>
          <w:rFonts w:hint="eastAsia" w:ascii="Times New Roman" w:hAnsi="Times New Roman" w:eastAsia="仿宋_GB2312" w:cs="仿宋_GB2312"/>
          <w:kern w:val="2"/>
          <w:sz w:val="32"/>
          <w:szCs w:val="24"/>
          <w:lang w:val="en-US" w:eastAsia="zh-CN" w:bidi="ar-SA"/>
        </w:rPr>
        <w:t>2024年我镇较好的完成了年度工作目标。通过加强预算收支管理，不断建立健全内部管理制度，梳理内部管理流程，部门整体支出管理情况得到提升。根据2025年区级部门整体支出绩效评价指标体系，我镇对2024年整体支出开展绩效自评，自评得</w:t>
      </w:r>
      <w:r>
        <w:rPr>
          <w:rFonts w:hint="eastAsia" w:ascii="Times New Roman" w:hAnsi="Times New Roman" w:eastAsia="仿宋_GB2312" w:cs="仿宋_GB2312"/>
          <w:color w:val="auto"/>
          <w:kern w:val="2"/>
          <w:sz w:val="32"/>
          <w:szCs w:val="24"/>
          <w:lang w:val="en-US" w:eastAsia="zh-CN" w:bidi="ar-SA"/>
        </w:rPr>
        <w:t>分9</w:t>
      </w:r>
      <w:r>
        <w:rPr>
          <w:rFonts w:hint="eastAsia" w:cs="仿宋_GB2312"/>
          <w:color w:val="auto"/>
          <w:kern w:val="2"/>
          <w:sz w:val="32"/>
          <w:szCs w:val="24"/>
          <w:lang w:val="en-US" w:eastAsia="zh-CN" w:bidi="ar-SA"/>
        </w:rPr>
        <w:t>5</w:t>
      </w:r>
      <w:r>
        <w:rPr>
          <w:rFonts w:hint="eastAsia" w:ascii="Times New Roman" w:hAnsi="Times New Roman" w:eastAsia="仿宋_GB2312" w:cs="仿宋_GB2312"/>
          <w:color w:val="auto"/>
          <w:kern w:val="2"/>
          <w:sz w:val="32"/>
          <w:szCs w:val="24"/>
          <w:lang w:val="en-US" w:eastAsia="zh-CN" w:bidi="ar-SA"/>
        </w:rPr>
        <w:t>.</w:t>
      </w:r>
      <w:r>
        <w:rPr>
          <w:rFonts w:hint="eastAsia" w:cs="仿宋_GB2312"/>
          <w:color w:val="auto"/>
          <w:kern w:val="2"/>
          <w:sz w:val="32"/>
          <w:szCs w:val="24"/>
          <w:lang w:val="en-US" w:eastAsia="zh-CN" w:bidi="ar-SA"/>
        </w:rPr>
        <w:t>58</w:t>
      </w:r>
      <w:r>
        <w:rPr>
          <w:rFonts w:hint="eastAsia" w:ascii="Times New Roman" w:hAnsi="Times New Roman" w:eastAsia="仿宋_GB2312" w:cs="仿宋_GB2312"/>
          <w:color w:val="auto"/>
          <w:kern w:val="2"/>
          <w:sz w:val="32"/>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3" w:firstLineChars="200"/>
        <w:contextualSpacing/>
        <w:jc w:val="both"/>
        <w:textAlignment w:val="auto"/>
        <w:outlineLvl w:val="9"/>
        <w:rPr>
          <w:rFonts w:hint="eastAsia" w:ascii="Times New Roman" w:hAnsi="Times New Roman" w:eastAsia="仿宋_GB2312" w:cs="仿宋_GB2312"/>
          <w:b w:val="0"/>
          <w:bCs w:val="0"/>
          <w:w w:val="95"/>
          <w:kern w:val="0"/>
          <w:position w:val="0"/>
          <w:sz w:val="33"/>
          <w:szCs w:val="33"/>
          <w:highlight w:val="none"/>
          <w:lang w:val="en-US" w:eastAsia="zh-CN" w:bidi="ar-SA"/>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p>
    <w:p>
      <w:pPr>
        <w:widowControl/>
        <w:adjustRightInd w:val="0"/>
        <w:snapToGrid w:val="0"/>
        <w:spacing w:line="580" w:lineRule="exact"/>
        <w:ind w:firstLine="608" w:firstLineChars="200"/>
        <w:contextualSpacing/>
        <w:jc w:val="left"/>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auto"/>
          <w:w w:val="95"/>
          <w:kern w:val="0"/>
          <w:position w:val="0"/>
          <w:sz w:val="32"/>
          <w:szCs w:val="32"/>
          <w:highlight w:val="none"/>
          <w:lang w:val="en-US" w:eastAsia="zh-CN" w:bidi="ar-SA"/>
        </w:rPr>
        <w:t>我</w:t>
      </w:r>
      <w:r>
        <w:rPr>
          <w:rFonts w:hint="eastAsia" w:ascii="仿宋_GB2312" w:hAnsi="仿宋_GB2312" w:eastAsia="仿宋_GB2312" w:cs="仿宋_GB2312"/>
          <w:i w:val="0"/>
          <w:iCs w:val="0"/>
          <w:caps w:val="0"/>
          <w:color w:val="auto"/>
          <w:spacing w:val="0"/>
          <w:sz w:val="32"/>
          <w:szCs w:val="32"/>
          <w:shd w:val="clear" w:fill="FFFFFF"/>
        </w:rPr>
        <w:t>镇在预算绩效自评中发现</w:t>
      </w:r>
      <w:r>
        <w:rPr>
          <w:rFonts w:hint="eastAsia" w:ascii="仿宋_GB2312" w:hAnsi="仿宋_GB2312" w:eastAsia="仿宋_GB2312" w:cs="仿宋_GB2312"/>
          <w:i w:val="0"/>
          <w:iCs w:val="0"/>
          <w:caps w:val="0"/>
          <w:color w:val="auto"/>
          <w:spacing w:val="0"/>
          <w:sz w:val="32"/>
          <w:szCs w:val="32"/>
          <w:shd w:val="clear" w:fill="FFFFFF"/>
          <w:lang w:eastAsia="zh-CN"/>
        </w:rPr>
        <w:t>以下问题</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eastAsia="zh-CN"/>
        </w:rPr>
        <w:t>一是</w:t>
      </w:r>
      <w:r>
        <w:rPr>
          <w:rFonts w:hint="eastAsia" w:ascii="仿宋_GB2312" w:hAnsi="仿宋_GB2312" w:eastAsia="仿宋_GB2312" w:cs="仿宋_GB2312"/>
          <w:i w:val="0"/>
          <w:iCs w:val="0"/>
          <w:caps w:val="0"/>
          <w:color w:val="auto"/>
          <w:spacing w:val="0"/>
          <w:sz w:val="32"/>
          <w:szCs w:val="32"/>
          <w:shd w:val="clear" w:fill="FFFFFF"/>
        </w:rPr>
        <w:t>预算执行效率有待提高</w:t>
      </w:r>
      <w:r>
        <w:rPr>
          <w:rFonts w:hint="default"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rPr>
        <w:t>个别项目资金拨付较慢，</w:t>
      </w:r>
      <w:r>
        <w:rPr>
          <w:rFonts w:hint="eastAsia" w:ascii="仿宋_GB2312" w:hAnsi="仿宋_GB2312" w:eastAsia="仿宋_GB2312" w:cs="仿宋_GB2312"/>
          <w:sz w:val="32"/>
          <w:szCs w:val="32"/>
        </w:rPr>
        <w:t>在实际工作中有资金延迟到位的情况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lang w:eastAsia="zh-CN"/>
        </w:rPr>
        <w:t>二</w:t>
      </w:r>
      <w:r>
        <w:rPr>
          <w:rFonts w:hint="eastAsia" w:ascii="仿宋_GB2312" w:hAnsi="仿宋_GB2312" w:eastAsia="仿宋_GB2312" w:cs="仿宋_GB2312"/>
          <w:i w:val="0"/>
          <w:iCs w:val="0"/>
          <w:caps w:val="0"/>
          <w:color w:val="auto"/>
          <w:spacing w:val="0"/>
          <w:sz w:val="32"/>
          <w:szCs w:val="32"/>
          <w:shd w:val="clear" w:fill="FFFFFF"/>
        </w:rPr>
        <w:t>是</w:t>
      </w:r>
      <w:r>
        <w:rPr>
          <w:rFonts w:hint="default" w:ascii="仿宋_GB2312" w:hAnsi="仿宋_GB2312" w:eastAsia="仿宋_GB2312" w:cs="仿宋_GB2312"/>
          <w:i w:val="0"/>
          <w:iCs w:val="0"/>
          <w:caps w:val="0"/>
          <w:color w:val="auto"/>
          <w:spacing w:val="0"/>
          <w:sz w:val="32"/>
          <w:szCs w:val="32"/>
          <w:shd w:val="clear" w:fill="FFFFFF"/>
        </w:rPr>
        <w:t>绩效管理意识不强，部分部门对自评工作重视不足，存在应付式填报情况；</w:t>
      </w:r>
      <w:r>
        <w:rPr>
          <w:rFonts w:hint="eastAsia" w:ascii="仿宋_GB2312" w:hAnsi="仿宋_GB2312" w:eastAsia="仿宋_GB2312" w:cs="仿宋_GB2312"/>
          <w:i w:val="0"/>
          <w:iCs w:val="0"/>
          <w:caps w:val="0"/>
          <w:color w:val="auto"/>
          <w:spacing w:val="0"/>
          <w:sz w:val="32"/>
          <w:szCs w:val="32"/>
          <w:shd w:val="clear" w:fill="FFFFFF"/>
          <w:lang w:eastAsia="zh-CN"/>
        </w:rPr>
        <w:t>三</w:t>
      </w:r>
      <w:r>
        <w:rPr>
          <w:rFonts w:hint="default" w:ascii="仿宋_GB2312" w:hAnsi="仿宋_GB2312" w:eastAsia="仿宋_GB2312" w:cs="仿宋_GB2312"/>
          <w:i w:val="0"/>
          <w:iCs w:val="0"/>
          <w:caps w:val="0"/>
          <w:color w:val="auto"/>
          <w:spacing w:val="0"/>
          <w:sz w:val="32"/>
          <w:szCs w:val="32"/>
          <w:shd w:val="clear" w:fill="FFFFFF"/>
        </w:rPr>
        <w:t>是结果运用不充分，评价结果与预算安排、政策调整的衔接较弱，未能有效发挥导向作用。这些问题虽未对整体财政运行造成严重影响，但仍需针对性改进，以提升预算绩效管理水平。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auto"/>
          <w:kern w:val="0"/>
          <w:sz w:val="33"/>
          <w:szCs w:val="33"/>
          <w:highlight w:val="none"/>
          <w:shd w:val="clear" w:color="auto" w:fill="FFFFFF"/>
          <w:lang w:val="zh-CN" w:eastAsia="zh-CN"/>
        </w:rPr>
      </w:pPr>
      <w:r>
        <w:rPr>
          <w:rFonts w:hint="default" w:ascii="Times New Roman" w:hAnsi="Times New Roman" w:eastAsia="楷体_GB2312" w:cs="Times New Roman"/>
          <w:b/>
          <w:bCs/>
          <w:color w:val="auto"/>
          <w:kern w:val="0"/>
          <w:sz w:val="33"/>
          <w:szCs w:val="33"/>
          <w:highlight w:val="none"/>
          <w:shd w:val="clear" w:color="auto" w:fill="FFFFFF"/>
          <w:lang w:val="zh-CN" w:eastAsia="zh-CN"/>
        </w:rPr>
        <w:t>（三）改进建议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contextualSpacing/>
        <w:jc w:val="both"/>
        <w:textAlignment w:val="auto"/>
        <w:outlineLvl w:val="9"/>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b w:val="0"/>
          <w:bCs w:val="0"/>
          <w:kern w:val="0"/>
          <w:position w:val="0"/>
          <w:sz w:val="32"/>
          <w:szCs w:val="32"/>
          <w:highlight w:val="none"/>
          <w:lang w:val="en" w:eastAsia="zh-CN" w:bidi="ar-SA"/>
        </w:rPr>
        <w:t>针对上述问题，我镇将采取以下改进措施：一是强化预算执行监控，建立动态调整机制，加快资金支出进度；二是加强绩效管理培训，提高各部门对绩效评价的重视程度，避免形式化倾向；三是深化评价结果应用，将自评结果与下年度预算安排挂钩，增强绩效约束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200"/>
        <w:jc w:val="both"/>
        <w:textAlignment w:val="auto"/>
        <w:rPr>
          <w:rFonts w:hint="eastAsia" w:ascii="Times New Roman" w:hAnsi="Times New Roman" w:cs="Times New Roman"/>
          <w:color w:val="000000"/>
          <w:kern w:val="0"/>
          <w:sz w:val="33"/>
          <w:szCs w:val="33"/>
          <w:highlight w:val="none"/>
          <w:shd w:val="clear" w:color="auto" w:fill="FFFFFF"/>
          <w:lang w:val="en-US" w:eastAsia="zh-CN"/>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仿宋_GB2312" w:hAnsi="仿宋_GB2312" w:eastAsia="仿宋_GB2312" w:cs="仿宋_GB2312"/>
          <w:color w:val="000000"/>
          <w:kern w:val="0"/>
          <w:sz w:val="32"/>
          <w:szCs w:val="32"/>
          <w:highlight w:val="none"/>
          <w:shd w:val="clear" w:color="auto" w:fill="FFFFFF"/>
          <w:lang w:val="en-US" w:eastAsia="zh-CN"/>
        </w:rPr>
        <w:t>附表：</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pPr>
        <w:pStyle w:val="3"/>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default" w:ascii="Times New Roman" w:hAnsi="Times New Roman" w:eastAsia="仿宋_GB2312" w:cs="Times New Roman"/>
          <w:sz w:val="32"/>
          <w:szCs w:val="32"/>
          <w:lang w:val="zh-CN"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p>
      <w:pPr>
        <w:pStyle w:val="2"/>
        <w:rPr>
          <w:rFonts w:hint="default"/>
          <w:lang w:val="en-US" w:eastAsia="zh-CN"/>
        </w:rPr>
      </w:pPr>
    </w:p>
    <w:p>
      <w:pPr>
        <w:pStyle w:val="44"/>
        <w:rPr>
          <w:rFonts w:hint="eastAsia"/>
          <w:lang w:val="en" w:eastAsia="zh-CN"/>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rPr>
          <w:rFonts w:hint="eastAsia" w:ascii="Times New Roman" w:hAnsi="Times New Roman" w:eastAsia="黑体" w:cs="黑体"/>
          <w:kern w:val="2"/>
          <w:sz w:val="32"/>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kern w:val="2"/>
          <w:sz w:val="32"/>
          <w:szCs w:val="24"/>
          <w:highlight w:val="none"/>
          <w:lang w:val="en-US" w:eastAsia="zh-CN" w:bidi="ar-SA"/>
        </w:rPr>
      </w:pPr>
      <w:r>
        <w:rPr>
          <w:rFonts w:hint="eastAsia" w:ascii="Times New Roman" w:hAnsi="Times New Roman" w:eastAsia="黑体" w:cs="黑体"/>
          <w:kern w:val="2"/>
          <w:sz w:val="32"/>
          <w:szCs w:val="24"/>
          <w:highlight w:val="none"/>
          <w:lang w:val="en-US" w:eastAsia="zh-CN" w:bidi="ar-SA"/>
        </w:rPr>
        <w:t>附表</w:t>
      </w:r>
    </w:p>
    <w:tbl>
      <w:tblPr>
        <w:tblStyle w:val="17"/>
        <w:tblW w:w="8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2"/>
        <w:gridCol w:w="1318"/>
        <w:gridCol w:w="1098"/>
        <w:gridCol w:w="1544"/>
        <w:gridCol w:w="833"/>
        <w:gridCol w:w="970"/>
        <w:gridCol w:w="620"/>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6" w:hRule="exact"/>
          <w:jc w:val="center"/>
        </w:trPr>
        <w:tc>
          <w:tcPr>
            <w:tcW w:w="8651" w:type="dxa"/>
            <w:gridSpan w:val="8"/>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880" w:firstLineChars="200"/>
              <w:jc w:val="both"/>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w:t>
            </w:r>
            <w:r>
              <w:rPr>
                <w:rFonts w:hint="eastAsia" w:eastAsia="方正小标宋简体" w:cs="Times New Roman"/>
                <w:i w:val="0"/>
                <w:color w:val="000000"/>
                <w:kern w:val="0"/>
                <w:sz w:val="44"/>
                <w:szCs w:val="44"/>
                <w:u w:val="none"/>
                <w:lang w:val="en-US" w:eastAsia="zh-CN" w:bidi="ar"/>
              </w:rPr>
              <w:t>绩效</w:t>
            </w:r>
            <w:r>
              <w:rPr>
                <w:rFonts w:hint="default" w:ascii="Times New Roman" w:hAnsi="Times New Roman" w:eastAsia="方正小标宋简体" w:cs="Times New Roman"/>
                <w:i w:val="0"/>
                <w:color w:val="000000"/>
                <w:kern w:val="0"/>
                <w:sz w:val="44"/>
                <w:szCs w:val="44"/>
                <w:u w:val="none"/>
                <w:lang w:val="en-US" w:eastAsia="zh-CN" w:bidi="ar"/>
              </w:rPr>
              <w:t>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651"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8651"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35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5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2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3,456.70</w:t>
            </w:r>
          </w:p>
        </w:tc>
        <w:tc>
          <w:tcPr>
            <w:tcW w:w="23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3,456.70</w:t>
            </w:r>
          </w:p>
        </w:tc>
        <w:tc>
          <w:tcPr>
            <w:tcW w:w="2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jc w:val="center"/>
        </w:trPr>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74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贯彻执行上级的各项方针政策；依法管理本级财政，执行本级预算；负责本镇民政工作，发展社会福利事业，做好社会保障工作，办理兵役事项，开展社会治安综合管理，调解民事纠纷，维护社会秩序。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5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人员支出</w:t>
            </w:r>
          </w:p>
        </w:tc>
        <w:tc>
          <w:tcPr>
            <w:tcW w:w="5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保障全镇机关人员基本工资、津补贴、奖金、五险一金等。及村组社区干部报酬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公用支出</w:t>
            </w:r>
          </w:p>
        </w:tc>
        <w:tc>
          <w:tcPr>
            <w:tcW w:w="5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通过预算执行，保障全镇在职人员正常办公、生活秩序及退休人员活动经费；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5"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项目支出</w:t>
            </w:r>
          </w:p>
        </w:tc>
        <w:tc>
          <w:tcPr>
            <w:tcW w:w="50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全镇人大代表监察、视察项目；乡镇人大代表项目、政协委员视察项目、维稳信访调解项目、防灾应急救助项目、关心下一代工作项目、安全生产监管（森林防火）项目、乡镇武装部工作（含征兵工作）项目、乡镇便民服务大厅维护及农村“三资”集体管理项目、镇（街道）统计工作项目、乡镇监察工作项目、乡风文明建设项目、创新社区管理项目、环境卫生整治项目、乡镇基础设施和场镇街道维护项目、驻村工作队工作经费项目、街道风貌整治建设项目等项目的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财力保障人数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防灾应急队伍开展应急演练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乡风文明文化站维护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整体工作开展涉及行政村社数量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项目预算执行完成进度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保障全镇资金使用率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提高队伍防灾应急救助能力</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有效提高</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通过执行该年预算保障全镇工作顺利开展率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乡风精神文明创建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各项资金发放及时率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工作人员业务能力提升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实施项目确保全镇人民生活幸福率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干部职工满意度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防灾应急救助月平均成本</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乡风文明建设成本</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r>
    </w:tbl>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7"/>
        <w:tblW w:w="5191" w:type="pct"/>
        <w:tblInd w:w="-1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1063"/>
        <w:gridCol w:w="890"/>
        <w:gridCol w:w="1186"/>
        <w:gridCol w:w="408"/>
        <w:gridCol w:w="832"/>
        <w:gridCol w:w="401"/>
        <w:gridCol w:w="860"/>
        <w:gridCol w:w="490"/>
        <w:gridCol w:w="490"/>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39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51090422T000005832357-棚户区改造-卧龙拆迁安置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0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20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48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4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20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9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208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严格履行合同约定，按程序完成资金审核与拨付工作，确保棚户区改造工程款项按期结清。通过资金拨付保障安置群众的合法权益，妥善解决项目遗留问题，实现财政资金的规范使用和项目的圆满收尾。</w:t>
            </w:r>
          </w:p>
        </w:tc>
        <w:tc>
          <w:tcPr>
            <w:tcW w:w="19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严格履行合同约定，按程序完成资金审核与拨付工作。过程中加强部门协作，做好资料核查，确保支付准确合规。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399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项目实施内容聚焦尾款结算，严格履行合同约定，按程序完成资金审核与拨付工作。过程中加强部门协作，做好资料核查，确保支付准确合规。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22.42</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22.42</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22.42</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57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459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该项目自评得分100分，严格履行合同约定，按程序完成资金审核与拨付工作。过程中加强部门协作，做好资料核查，确保支付准确合规。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459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部分款项因资料不全或审批流程繁琐未能及时支付，影响项目最终结算。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459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优化支付流程：协调财政、审计等部门简化审批环节，对资料缺失情况限期补正，加快尾款拨付进度。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4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项目负责人：许帅</w:t>
            </w:r>
          </w:p>
        </w:tc>
        <w:tc>
          <w:tcPr>
            <w:tcW w:w="25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bl>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pStyle w:val="9"/>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0"/>
        <w:gridCol w:w="900"/>
        <w:gridCol w:w="1197"/>
        <w:gridCol w:w="396"/>
        <w:gridCol w:w="840"/>
        <w:gridCol w:w="396"/>
        <w:gridCol w:w="846"/>
        <w:gridCol w:w="486"/>
        <w:gridCol w:w="487"/>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51090423T000009164944-项目前期工作经费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按计划完成可行性研究、立项审批、规划设计等前期任务，确保项目顺利启动</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西眉镇项目前期工作经费资金使用规范高效，确保项目顺利开展。经费支出严格按预算执行，未发现违规现象。高质量推进项目，整体绩效目标达成良好。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项目前期工作经费资金使用规范高效，确保项目顺利开展。经费支出严格按预算执行，未发现违规现象。前期论证充分，优化方案，有效降低了后续实施风险，为项目高质量推进奠定了坚实基础，整体绩效目标达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目自评得分100分，我镇项目前期工作经费资金使用规范高效，确保项目顺利开展。经费支出严格按预算执行，未发现违规现象。前期论证充分，优化方案，有效降低了后续实施风险，为项目高质量推进奠定了坚实基础，整体绩效目标达成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部分项目环节需进一步优化流程以提高效率。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加强部门协作，细化任务节点，定期督导调度。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项目负责人：许帅</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8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0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9"/>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0"/>
        <w:gridCol w:w="900"/>
        <w:gridCol w:w="1197"/>
        <w:gridCol w:w="396"/>
        <w:gridCol w:w="840"/>
        <w:gridCol w:w="396"/>
        <w:gridCol w:w="846"/>
        <w:gridCol w:w="486"/>
        <w:gridCol w:w="487"/>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51090423T000009758557-西眉镇社会治理中心建设项目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聚焦硬件建设、智慧治理和服务提升，搭建信息化管理平台实现数据共享，健全网格化治理体系，优化矛盾调解机制，同时加强治安防控和便民服务培训，全面提升基层治理效能，增强群众安全感和满意度。</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信息化管理平台高效运行，网格化治理体系覆盖全域，矛盾调解机制持续优化，治安防控能力显著提升，群众满意度切实提高。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西眉镇社会治理中心建设项目年度目标全面完成，中心硬件设施建成并投入使用，信息化平台顺利搭建，网格化管理体系实现全覆盖，社会治理效能显著提升，群众服务更加高效便捷。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目自评得分100分，我镇社会治理中心建设项目成效显著，中心建成投用后全面提升了基层治理能力，信息化平台实现高效运转，网格化管理体系覆盖全镇，矛盾纠纷化解更加及时有效，治安防控水平明显增强，群众办事更加便捷，辖区整体治理效能和服务水平迈上新台阶，为平安建设奠定了坚实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部门间沟通不畅，经费使用进度与项目实际需求脱节。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建立经费使用定期调度机制，强化财务与项目部门的对接，确保资金精准匹配建设需求。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项目负责人：陈新国</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bl>
    <w:p>
      <w:pPr>
        <w:pStyle w:val="9"/>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7"/>
        <w:tblW w:w="48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1031"/>
        <w:gridCol w:w="895"/>
        <w:gridCol w:w="1315"/>
        <w:gridCol w:w="727"/>
        <w:gridCol w:w="541"/>
        <w:gridCol w:w="319"/>
        <w:gridCol w:w="775"/>
        <w:gridCol w:w="489"/>
        <w:gridCol w:w="489"/>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401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51090424T000011119020-安全生产监管（森林防火、食品安全）等经费(长期)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22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464"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2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22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7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22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按照“党政同责、一岗双责、齐抓共管、失职追责”的要求，严格落实安全生产责任制，全面加强隐患排查整治和应急管理队伍建设，抓好道路交通、消防、建筑施工等重点行业领域专项治理，坚决遏制重特大安全事故发生。加强食品药品安全监管，保障人民群众吃得放心、用药安全。协同林业部门开展防火宣传、火灾隐患排查、重点区域巡护、违规用火处罚等工作。</w:t>
            </w:r>
          </w:p>
        </w:tc>
        <w:tc>
          <w:tcPr>
            <w:tcW w:w="17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严格落实安全生产监管责任，森林防火方面强化巡查宣传，食品安全监管覆盖全镇餐饮商超，问题整改率100%。履职上，多部门联合督查，责任到人；目标完成上，风险隐患有效管控，未发生重大安全事故，安全生产形势稳定向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401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扎实推进安全生产监管工作，重点抓好森林防火和食品安全领域：落实网格化管理，划分责任片区，常态化巡查；加强火源管控，在重点时段、区域设卡检查；开展防火宣传进村入户，普及应急知识；定期组织演练，提升应急响应能力。对餐饮单位、商超、学校食堂等开展定期检查，重点排查过期食品、卫生条件及操作规范；通过部门联动、常态督查和宣传教育，有效防范风险，保障辖区安全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6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半专业扑火队队员</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42</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半专业扑火队伍</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森林防火培训、演练次数</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隐患排查整治</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森林火灾扑灭成功率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开展时间</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安全设施及时维修率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98</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安全事故财产损失率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保障辖区森林资源健康发展</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有效防范遏制重大安全事故，创造安全稳定的社会环境</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减少森林火灾，保护森林资源，防止水土流失，改善生态环境</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确保辖区林业资源可持续发展</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群众满意度</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安全生产宣传广告制作费用</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灭火设备等购置费用</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安全生产监管工作经费、安全设施新增维护费用</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2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463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严格落实安全生产监管责任，自评得分100分。在森林防火方面，实行网格化管理，加强火源管控和巡查力度，开展应急演练，确保防火宣传到户到人，全年未发生重大火灾。食品安全监管上，定期对餐饮单位、商超等开展检查，严查过期食品，落实主体责任，保障群众饮食安全。通过常态化督查和专项整治有效防范风险，总体形势平稳可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463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部分群众防火意识薄弱，流动摊贩存在隐患。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463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加强宣传教育和火源管控，强化对流动摊贩的检查整治。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4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项目负责人：肖德印</w:t>
            </w:r>
          </w:p>
        </w:tc>
        <w:tc>
          <w:tcPr>
            <w:tcW w:w="22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bl>
    <w:tbl>
      <w:tblPr>
        <w:tblStyle w:val="17"/>
        <w:tblpPr w:leftFromText="180" w:rightFromText="180" w:vertAnchor="text" w:horzAnchor="page" w:tblpX="1830" w:tblpY="20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1067"/>
        <w:gridCol w:w="895"/>
        <w:gridCol w:w="1192"/>
        <w:gridCol w:w="401"/>
        <w:gridCol w:w="835"/>
        <w:gridCol w:w="398"/>
        <w:gridCol w:w="852"/>
        <w:gridCol w:w="489"/>
        <w:gridCol w:w="489"/>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51090424T000011119029-创新社区管理经费（长期）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21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13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21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8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21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进一步完善服务体系，拓展服务内容，深化服务内涵，努力提升社区服务水平，加强社区工作队伍建设，发挥公共服务的利民惠民作用。</w:t>
            </w:r>
          </w:p>
        </w:tc>
        <w:tc>
          <w:tcPr>
            <w:tcW w:w="18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通过文化、治安、卫生等方面工作，改善了社区环境和办公条件，保障社区工作正常运转。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在区委、区政府的领导下，西眉镇通过不断创新社区治理模式，推动建立“党建引领、专业助力、多元共治”的社会治理新格局，推动建立以专业人才为基础，以服务居民为根本，以服务实效为重点，以政策制度为保障，健全基层服务管理体制，提高社区服务人民的能力与水平。解决资源分散、人员不足等社区服务与管理难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社区党群服务中心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社区综合服务管理水平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完成时效</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促进群众与政府双向沟通，及时化解社会矛盾</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营造和谐便民的社会环境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优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优  </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推动社区发展进步，构建网格化社区管理体系</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长期</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长期</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社区群众满意度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社区党群服务中心维护费、工作经费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文明建设广告宣传费</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2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积极探索社区治理新模式，强化履职担当，自评得分100分。通过党建引领、多元共治，以服务居民为根本，以服务实效为重点，以政策制度为保障，健全基层服务管理体制，提高社区服务人民的能力与水平，社区治理效能显著增强，居民幸福感持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网格化管理效能待提升，存在职责交叉现象。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进一步改善社区工作机制，健全基层服务管理体制，提高社区整体综合服务能力。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项目负责人：杨利娟</w:t>
            </w:r>
          </w:p>
        </w:tc>
        <w:tc>
          <w:tcPr>
            <w:tcW w:w="258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2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spacing w:line="578" w:lineRule="exact"/>
        <w:ind w:firstLine="0"/>
        <w:jc w:val="left"/>
        <w:outlineLvl w:val="9"/>
        <w:rPr>
          <w:rFonts w:hint="eastAsia" w:ascii="Times New Roman" w:hAnsi="Times New Roman" w:eastAsia="黑体"/>
          <w:color w:val="auto"/>
          <w:sz w:val="44"/>
          <w:szCs w:val="44"/>
          <w:highlight w:val="none"/>
        </w:rPr>
      </w:pPr>
      <w:bookmarkStart w:id="79" w:name="_Toc15396618"/>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both"/>
        <w:rPr>
          <w:rFonts w:hint="eastAsia" w:ascii="Times New Roman" w:hAnsi="Times New Roman" w:eastAsia="黑体"/>
          <w:color w:val="auto"/>
          <w:sz w:val="44"/>
          <w:szCs w:val="44"/>
          <w:highlight w:val="none"/>
        </w:rPr>
      </w:pPr>
    </w:p>
    <w:tbl>
      <w:tblPr>
        <w:tblStyle w:val="17"/>
        <w:tblW w:w="78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147"/>
        <w:gridCol w:w="924"/>
        <w:gridCol w:w="888"/>
        <w:gridCol w:w="1347"/>
        <w:gridCol w:w="573"/>
        <w:gridCol w:w="597"/>
        <w:gridCol w:w="761"/>
        <w:gridCol w:w="904"/>
        <w:gridCol w:w="521"/>
        <w:gridCol w:w="753"/>
        <w:gridCol w:w="835"/>
        <w:gridCol w:w="3985"/>
        <w:gridCol w:w="342"/>
        <w:gridCol w:w="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51090424T000011119050-防灾应急救助经费（长期）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保障人民群众生命财产安全，进一步建立健全应对突发重大自然灾害紧急救助体系和运行机制，提高紧急救助能力，迅速、有序、高效地实施紧急救助，维护社会稳定。</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西眉镇健全防灾应急体系，完善预案、强化排查、常态演练，提升处置能力。运用网格化管理实现精准防控，加强宣传提升群众意识，有效保障了群众生命财产安全。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加强安全生产、森林防火、防汛抗旱防灾减灾知识宣传，提高群众防灾 减灾意识；加强应急队伍体系建设，提升应急处置能力；加强预案体系建设，组织指导全县开展应急演练活动；按照指令参加安全生产、自然灾害应急救援工作。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组织开展应急演练</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应急队伍建设</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应急救助能力</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缓解受灾群众生活压力，有效保障其基本生活</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灾害发生应急救助时效率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群众财产损失率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及时救助，维护社会秩序稳定</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建立自然灾害快速反应和应急处理长效机制</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长久</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长久</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防灾知识宣传、防灾减灾警示牌制作</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受灾群众救助费用</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应急救援物资购置</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坚持"生命至上"原则，全面加强防灾减灾体系建设，自评得分100分。通过完善镇村应急联动机制，常态化排查整治隐患，提升风险防控能力。强化应急队伍实战演练，运用科技手段实现精准预警。广泛开展宣传教育，增强群众防灾意识。在灾害应对中反应迅速、处置得当，有效保障了群众安全，工作成效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应急知识普及不均衡，主要表现为留守老人、儿童等群体对应急知识掌握不足。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开展上门宣传，利用乡村大喇叭定期播报。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项目负责人：肖德印</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51090424T000011119098-关心下一代工作专项经费（长期）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全面提高未成年人的思想道德素质，反对迷信邪教教育，坚决防止毒品、邪教进校园。加强未成年心理健康教育，培养学生良好的心理品质。</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西眉镇关心下一代工作扎实推进，反邪教和禁毒教育全面覆盖各校，校园防线持续巩固。未成年人法治意识和心理健康水平明显提升，成长环境不断优化。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关心下一代工作聚焦未成年人思想道德建设，开展反邪教、禁毒宣传教育，筑牢校园防线。通过专题讲座、主题班会普及科学知识，联合司法部门加强法治教育。同步推进心理健康教育，设立心理咨询室，培养学生健康心态。家校社协同发力，优化成长环境，助力青少年全面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农村留守儿童</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慰问困难儿童</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组织实施关心下一代工作</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促进全镇稳定发展</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着力加强青少年思想道德建设</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对青少年的影响</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长期</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长期</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青少年满意率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关心下一代工作活动经费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关心下一代工作宣传经费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关心下一代工作扎实推进，反邪教和禁毒教育全面覆盖各校，校园防线持续巩固，自评得分100分。以留守儿童和困境儿童为重点关爱对象，多措并举开展精准帮扶。实施"爱心妈妈"结对帮扶计划，为困境儿童提供生活照料、学业辅导和情感关怀；联合民政、妇联等部门落实救助政策，确保特殊群体儿童生活有保障、心理有疏导、成长有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帮扶资源分散、专业力量不足、长效机制欠缺。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整合部门资源，引入专业社工，建立动态档案，设立专项基金，完善留守儿童和困境儿童关爱体系。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项目负责人：陈新国</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02"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51090424T000011119107-环境卫生整治经费（长期）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全面开展村庄清洁行动,切实改善农村人居环境，从根本上解决农村环境卫生脏、乱、差的问题，建立环境整治长效机制。</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西眉镇通过开展系统性环境整治，农村面貌焕然一新。建立长效管护机制，实现人居环境持续优化，为美丽乡村建设奠定坚实基础。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以"全面提升农村人居环境"为目标，聚焦村庄清洁行动，重点整治环境卫生突出问题。通过组织镇村两级干部带头，发动群众广泛参与，集中开展垃圾清理、沟渠疏浚、杂物规整等工作。同步推进基础设施建设，完善垃圾收运体系，并建立"门前三包"责任制和定期评比机制，推动环境整治常态化、制度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村、社区数量</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村社区环境卫生迎检达标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环境卫生整治时间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统筹推进经济社会全面发展</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7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通过积极引导农户垃圾分类减量，建立环境整治长效机制</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及时转运垃圾，改善居民生活环境</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提高社会环保意识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长期</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长期</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环境保护宣传广告费用</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西眉河流域河道清理整治预算</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场镇卫生清理预算</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环境卫生整治工作取得显著成效，自评得分100分，通过系统推进村庄清洁行动，全面改善了农村人居环境。建立了"政府主导、群众参与"的长效机制，有效解决了环境卫生突出问题，村容村貌整体提升。下一步将持续巩固整治成果，推动农村环境管理向规范化、常态化发展，为乡村振兴提供有力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部分村民环保意识薄弱，存在"干部干、群众看"现象，长效机制落实存在阻力。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强化宣传引导，激发内生动力。通过村广播、微信群等载体加强环保宣传，提升村民主人翁意识。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项目负责人：廖精华</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51090424T000011119146-维稳信访调解经费（长期）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认真贯彻落实上级有关信访工作会议精神，切实抓好信访工作，紧盯重要时间节点、重点人群，全力做好摸底排查工作，动员镇、村干部开展走访、约谈、下访工作，认真做好矛盾纠纷化解，坚决打击集访、闹访、越级上访等行为。开展普法宣传，加强法治教育，扩大法律援助,有力保障社会大局和谐稳定。</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西眉镇全年深化矛盾纠纷多元化解机制，强化网格管理与部门联动，通过法治宣传、专业调解和领导包案等措施，有效化解信访积案，提升源头治理效能，确保社会大局稳定，群众满意度显著提高。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全年扎实推进维稳信访调解工作，健全矛盾纠纷排查化解机制，强化网格化管理与多元调解联动。通过组建专业调解队伍、开展法治宣传、落实领导包案等措施，推动源头治理与动态管控，有效化解各类社会矛盾，信访秩序持续向好，群众满意度提升，社会大局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组织专题法治宣传系列活动</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组建信访维稳专项队伍</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妥善处置群众信访</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镇村干部下访力度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信访事项及时受理率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通过信访救助，解决符合条件群众生活困难</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群众合理诉求</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及时有效解决</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及时有效解决</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常态化保持社会治安秩序稳定</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法治宣传</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维稳信访调解、赴外地信访维稳工作经费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维稳信访调解工作取得显著成效，自评得分100分，通过完善多元化解机制、强化网格化管理和部门协同联动，实现了矛盾纠纷的有效预防和及时化解。创新开展法治宣传，推行领导包案制度，切实提升源头治理水平，信访秩序持续向好。群众满意度明显提高，基层治理体系更加健全，为维护社会和谐稳定、促进经济社会发展奠定了坚实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一是矛盾纠纷源头预防不足，部分问题未能早发现早化解；二是信访案件跟踪回访机制不完善，个别案件出现反弹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一是健全风险预警体系，常态化开展矛盾隐患排查；二是建立案件闭环管理机制，定期回访巩固化解成效。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197"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项目负责人：陈新国</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51090424T000011119160-乡风文明建设经费（长期）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通过文化站免费开放，文化广场建设等，大力宣传乡风文明，提升群众的认知水平，在保护传承基础上，革除农村陋习，树立文明新风。</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西眉镇强化乡风文明建设，升级文化阵地，培育文明典型，推动移风易俗，提升文化服务，弘扬文明新风，取得显著成效。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深入推进乡风文明建设，着力完善镇村文化阵地功能，常态化开展群众性文化活动；积极开展精神文明创建，选树先进典型发挥示范引领作用；大力推动移风易俗，通过村规民约革除陈规陋习，培育文明新风。全年工作取得显著成效，文化服务能力持续增强，群众精神面貌明显改善，文明乡风蔚然成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文化站、文化活动广场维护</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文化活动室及阅览室</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精神文明创建</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完成时效</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7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通过文化活动，宣传等，提高居民物质文明和精神文明，革除农村陋习</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保护传承传统文化</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长久</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长久</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精神文明创建广告宣传费用</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日常工作经费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乡风文明建设取得显著成效，自评得分100分，通过完善文化服务设施、丰富群众文化活动，有效提升了基层文化服务水平；依托典型选树和示范引领，培育了崇德向善的文明风尚；扎实推进移风易俗工作，有效遏制了陈规陋习，促进了乡风民风持续向好。全镇精神文明建设水平整体提升，文明健康的生活方式蔚然成风，为乡村振兴注入了强大精神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文明创建长效机制需进一步完善，典型示范的持续影响力不足。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加大新媒体传播力度，营造浓厚文明氛围。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项目负责人：杨利娟</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51090424T000011119189-乡镇便民服务大厅维护及农村“三资”集体管理经费（长期）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公开办事流程，简化办事程序，提高便民大厅服务功能。定期对村三资进行公示公开，实行阳光操作。</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公开办事流程，简化办事程序，提高便民大厅服务功能。按要求定期公开公示三资。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加强村级财务、资金两个方面的监管力度，提高村级财务管理水平，定期对农村“三资”进行公示公开，保障群众合法权益，推动农村集体经济发展，促进社会和谐稳定。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便民服务中心窗口数量</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便民服务大厅</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便民服务工作按政策要求落实</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服务大厅网络运行顺畅率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公示财务报表</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每季度</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每季度</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更好的服务办事群众</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促进农村三资管理模式</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便民服务大厅运行费、维修费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村集体清产核资</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目自评得分100分。我镇便民服务大厅通过优化流程、数字化升级，实现群众办事“一站式”办结，满意度显著提升。农村“三资”管理推行阳光平台，规范集体资产、资源、资金监管，实现透明化、信息化，有效防止资产流失，促进集体经济增收，村民参与度与信任度大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便民服务大厅的设备更新和维护还需要进一步加强，以确保大厅的正常运行和服务质量。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加强对便民服务大厅设备的定期检查和维护保养工作，确保设备的正常运行和使用寿命。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项目负责人：伍继洪、张皓月</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87"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51090424T000011119195-乡镇基础设施和场镇街道维护经费（长期）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改善群众生产生活环境条件，提高群众生活质量，不断完善农村基础设施建设和服务能力，整体提升群众的人居环境和生产环境。</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西眉镇基础设施维护到位，道路平整，排水畅通，路灯照明正常，绿化整洁。常态化管理保障场镇功能完善，环境宜居，城镇形象提升。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基础设施和场镇街道维护以提升功能性和宜居性为目标，涵盖道路修补、排水系统清淤、路灯检修及绿化养护等内容。实施过程注重统筹规划，分阶段推进，通过日常巡查与集中整治结合，确保设施完好、街道整洁。同时强化长效管理机制，动员群众参与，兼顾实用性与美观性，持续优化镇容镇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27.05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27.05</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27.05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27.05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27.05</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27.05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涉及社区</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涉及村</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维修质量合格率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7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进一步完善道路、水利等基础设施，提高群众生活质量</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农村基础设施改善提高经济效益</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生态效益指标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美化人居环境</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完善乡镇基础设施建设，改善人居环境</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社会公众的满意程度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场镇街道维护</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其他维护费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乡镇基础设施养护</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目自评得分100分，我镇基础设施和场镇街道维护工作有序推进，道路平整畅通，排水系统运行良好，路灯照明正常，绿化管护到位。通过常态化巡查和专项整治，场镇环境整洁有序，功能持续完善，有效提升了居民生活品质和城镇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个别道路有轻微磨损，少数排水口偶尔不畅，绿化带偶有杂草，部分设施略显陈旧。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定期检查修补小范围路面；及时清理排水口杂物；加强绿化带日常打理；逐步翻新老旧设施，保持整洁美观。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项目负责人：许帅</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51090424T000011119210-乡镇监察工作经费（长期）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持续加强镇村领导班子建设，常态化开展各种形式的教育活动，定期开展政治体检和党性分析，始终保持对党绝对忠诚。坚持执纪从严、问责到位，严明党的纪律，以坚如磐石的决心，一刻不停歇地推进党风廉政建设和反腐败斗争。</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切实加强村监委会队伍建设，使村监委会会监督、敢监督，为做好村级信访工作奠定基础，有效解决群众问题。切实加强干部作风建设，纠正损害群众利益的不正之风。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西眉镇认真落实主体责任，把党风廉政建设作为党的建设和队伍建设的重要内容，成立了以纪委书记为组长，纪委副书记及委员成员的乡镇监察工作领导小组。统筹推进镇党风廉政建设。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村务监委会主任</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纪检办案工作人员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基层纪检监督能力</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镇村干部政治纪律、组织纪律意识</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统筹推进经济社会全面发展</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镇村党风廉政环境氛围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促进全镇稳定发展</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乡镇监察工作经费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党风廉政宣传费用</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自评得分100分，我镇监察工作以规范基层权力运行为核心，重点监督惠民政策落实、项目资金使用及干部作风。通过强化日常巡查、完善群众监督机制等方式，推动"小微权力"阳光运行，加强廉政教育，着力整治群众身边的不正之风，促进基层治理规范化、透明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政策宣传覆盖面不够，部分群众对监督工作不了解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开展"监察宣传月"活动，制作通俗易懂的政策图解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项目负责人：刘磊</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51090424T000011119221-乡镇人大代表监督、视察等经费（长期）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确保全镇人大代表监督、视察工作的有序开展</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西眉镇人大代表围绕民生实事和重点工作，通过视察调研、听取汇报等方式监督政府工作，推动民生问题解决，积极反映群众意见。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西眉镇乡镇人大代表通过定期视察、专题调研、听取汇报等方式履行监督职责，重点围绕民生工程、乡村振兴、环境保护等领域开展活动。代表们深入基层走访群众，收集意见建议，督促政府改进工作，确保政策落实。镇人大主席团组织代表培训，提升履职能力，定期召开会议审议镇重点工作，推动解决群众关切问题，增强监督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镇人大代表人数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99</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代表建议办结率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人大代表监督、视察时间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提高社会代表素质</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群众关心热点难点逐步得到解决</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日常人大监督视察工作</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目自评得分100分，我镇人大代表依法履行监督职责，围绕民生实事和重点工作，通过实地视察、专题调研、听取汇报等方式开展监督，积极反映群众意见，定期听取镇政府专项工作报告，提出合理化建议，督促政府落实惠民政策，推动解决群众关心的热点难点问题，有效发挥代表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代表履职能力参差不齐，调研深度不够。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加强代表培训，优化调研选题和方式，提升专业化水平。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项目负责人：许帅</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黑体" w:hAnsi="黑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51090424T000011119232-乡镇人大代表经费（长期）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保障人大代表活动经费，密切联系群众，认真履行代表职责，发挥代表作用。积极提出建议，反映群众呼声</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西眉镇人大代表工作聚焦民生监督与民意反馈，通过调研视察、实事票决和联络站建设，有效发挥代表桥梁作用，推动基层民主与民生改善协同发展。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眉镇乡镇人大代表依法开展代表履职活动，定期组织调研、视察，听取群众意见，监督政府工作；加强代表培训，提升履职能力；推进民生实事项目票决制，解决群众关切问题；完善代表联络站建设，畅通民意渠道。工作注重实效，促进基层民主建设和社会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召开代表会议</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镇代表人数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经费拨款合规</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人大代表参会率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履行代表职责时间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经费拨款时限</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受益代表人数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增加人大工作公信力</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人大工作可持续性</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人大培训会议费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人大工作宣传、资料费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7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无固定收入人大代表误工补助</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100分，我镇人大代表工作围绕服务群众、监督履职、推动发展展开，通过定期调研、民生实事票决、代表联络站等机制，切实发挥代表作用。工作注重实效，强化基层民主，促进政府决策与群众需求有效衔接，推动社会治理和民生改善取得积极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监督实效性不足，部分民生问题解决效率较低。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建立跟踪督办机制，强化问题解决闭环管理。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项目负责人：</w:t>
            </w:r>
            <w:r>
              <w:rPr>
                <w:rFonts w:hint="eastAsia" w:ascii="宋体" w:hAnsi="宋体" w:cs="宋体"/>
                <w:i w:val="0"/>
                <w:iCs w:val="0"/>
                <w:color w:val="000000"/>
                <w:kern w:val="0"/>
                <w:sz w:val="18"/>
                <w:szCs w:val="18"/>
                <w:u w:val="none"/>
                <w:lang w:val="en-US" w:eastAsia="zh-CN" w:bidi="ar"/>
              </w:rPr>
              <w:t>许帅</w:t>
            </w:r>
          </w:p>
        </w:tc>
        <w:tc>
          <w:tcPr>
            <w:tcW w:w="1613" w:type="pct"/>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财务负责人：</w:t>
            </w:r>
            <w:r>
              <w:rPr>
                <w:rFonts w:hint="eastAsia" w:ascii="宋体" w:hAnsi="宋体" w:cs="宋体"/>
                <w:i w:val="0"/>
                <w:iCs w:val="0"/>
                <w:color w:val="000000"/>
                <w:kern w:val="0"/>
                <w:sz w:val="18"/>
                <w:szCs w:val="18"/>
                <w:u w:val="none"/>
                <w:lang w:val="en-US" w:eastAsia="zh-CN" w:bidi="ar"/>
              </w:rPr>
              <w:t>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3276" w:type="pct"/>
            <w:gridSpan w:val="12"/>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lang w:val="en-US" w:eastAsia="zh-CN"/>
              </w:rPr>
            </w:pPr>
          </w:p>
          <w:p>
            <w:pPr>
              <w:pStyle w:val="9"/>
              <w:rPr>
                <w:rFonts w:hint="eastAsia" w:ascii="宋体" w:hAnsi="宋体" w:eastAsia="宋体" w:cs="宋体"/>
                <w:i w:val="0"/>
                <w:iCs w:val="0"/>
                <w:color w:val="000000"/>
                <w:kern w:val="0"/>
                <w:sz w:val="18"/>
                <w:szCs w:val="18"/>
                <w:u w:val="none"/>
                <w:lang w:val="en-US" w:eastAsia="zh-CN" w:bidi="ar"/>
              </w:rPr>
            </w:pPr>
          </w:p>
          <w:p>
            <w:pPr>
              <w:pStyle w:val="9"/>
              <w:rPr>
                <w:rFonts w:hint="eastAsia" w:ascii="宋体" w:hAnsi="宋体" w:eastAsia="宋体" w:cs="宋体"/>
                <w:i w:val="0"/>
                <w:iCs w:val="0"/>
                <w:color w:val="000000"/>
                <w:kern w:val="0"/>
                <w:sz w:val="18"/>
                <w:szCs w:val="18"/>
                <w:u w:val="none"/>
                <w:lang w:val="en-US" w:eastAsia="zh-CN" w:bidi="ar"/>
              </w:rPr>
            </w:pPr>
          </w:p>
          <w:p>
            <w:pPr>
              <w:pStyle w:val="9"/>
              <w:rPr>
                <w:rFonts w:hint="eastAsia" w:ascii="宋体" w:hAnsi="宋体" w:eastAsia="宋体" w:cs="宋体"/>
                <w:i w:val="0"/>
                <w:iCs w:val="0"/>
                <w:color w:val="000000"/>
                <w:kern w:val="0"/>
                <w:sz w:val="18"/>
                <w:szCs w:val="18"/>
                <w:u w:val="none"/>
                <w:lang w:val="en-US" w:eastAsia="zh-CN" w:bidi="ar"/>
              </w:rPr>
            </w:pPr>
          </w:p>
          <w:p>
            <w:pPr>
              <w:pStyle w:val="9"/>
              <w:rPr>
                <w:rFonts w:hint="eastAsia" w:ascii="宋体" w:hAnsi="宋体" w:eastAsia="宋体" w:cs="宋体"/>
                <w:i w:val="0"/>
                <w:iCs w:val="0"/>
                <w:color w:val="000000"/>
                <w:kern w:val="0"/>
                <w:sz w:val="18"/>
                <w:szCs w:val="18"/>
                <w:u w:val="none"/>
                <w:lang w:val="en-US" w:eastAsia="zh-CN" w:bidi="ar"/>
              </w:rPr>
            </w:pPr>
          </w:p>
          <w:p>
            <w:pPr>
              <w:pStyle w:val="9"/>
              <w:rPr>
                <w:rFonts w:hint="eastAsia" w:ascii="宋体" w:hAnsi="宋体" w:eastAsia="宋体" w:cs="宋体"/>
                <w:i w:val="0"/>
                <w:iCs w:val="0"/>
                <w:color w:val="000000"/>
                <w:kern w:val="0"/>
                <w:sz w:val="18"/>
                <w:szCs w:val="18"/>
                <w:u w:val="none"/>
                <w:lang w:val="en-US" w:eastAsia="zh-CN" w:bidi="ar"/>
              </w:rPr>
            </w:pPr>
          </w:p>
          <w:p>
            <w:pPr>
              <w:pStyle w:val="9"/>
              <w:rPr>
                <w:rFonts w:hint="eastAsia" w:ascii="宋体" w:hAnsi="宋体" w:eastAsia="宋体" w:cs="宋体"/>
                <w:i w:val="0"/>
                <w:iCs w:val="0"/>
                <w:color w:val="000000"/>
                <w:kern w:val="0"/>
                <w:sz w:val="18"/>
                <w:szCs w:val="18"/>
                <w:u w:val="none"/>
                <w:lang w:val="en-US" w:eastAsia="zh-CN" w:bidi="ar"/>
              </w:rPr>
            </w:pPr>
          </w:p>
          <w:p>
            <w:pPr>
              <w:pStyle w:val="9"/>
              <w:rPr>
                <w:rFonts w:hint="eastAsia" w:ascii="宋体" w:hAnsi="宋体" w:eastAsia="宋体" w:cs="宋体"/>
                <w:i w:val="0"/>
                <w:iCs w:val="0"/>
                <w:color w:val="000000"/>
                <w:kern w:val="0"/>
                <w:sz w:val="18"/>
                <w:szCs w:val="18"/>
                <w:u w:val="none"/>
                <w:lang w:val="en-US" w:eastAsia="zh-CN" w:bidi="ar"/>
              </w:rPr>
            </w:pPr>
          </w:p>
          <w:p>
            <w:pPr>
              <w:pStyle w:val="9"/>
              <w:rPr>
                <w:rFonts w:hint="eastAsia" w:ascii="宋体" w:hAnsi="宋体" w:eastAsia="宋体" w:cs="宋体"/>
                <w:i w:val="0"/>
                <w:iCs w:val="0"/>
                <w:color w:val="000000"/>
                <w:kern w:val="0"/>
                <w:sz w:val="18"/>
                <w:szCs w:val="18"/>
                <w:u w:val="none"/>
                <w:lang w:val="en-US" w:eastAsia="zh-CN" w:bidi="ar"/>
              </w:rPr>
            </w:pPr>
          </w:p>
          <w:p>
            <w:pPr>
              <w:pStyle w:val="9"/>
              <w:rPr>
                <w:rFonts w:hint="eastAsia" w:ascii="宋体" w:hAnsi="宋体" w:eastAsia="宋体" w:cs="宋体"/>
                <w:i w:val="0"/>
                <w:iCs w:val="0"/>
                <w:color w:val="000000"/>
                <w:kern w:val="0"/>
                <w:sz w:val="18"/>
                <w:szCs w:val="18"/>
                <w:u w:val="none"/>
                <w:lang w:val="en-US" w:eastAsia="zh-CN" w:bidi="ar"/>
              </w:rPr>
            </w:pPr>
          </w:p>
          <w:p>
            <w:pPr>
              <w:pStyle w:val="9"/>
              <w:rPr>
                <w:rFonts w:hint="eastAsia" w:ascii="宋体" w:hAnsi="宋体" w:eastAsia="宋体" w:cs="宋体"/>
                <w:i w:val="0"/>
                <w:iCs w:val="0"/>
                <w:color w:val="000000"/>
                <w:kern w:val="0"/>
                <w:sz w:val="18"/>
                <w:szCs w:val="18"/>
                <w:u w:val="none"/>
                <w:lang w:val="en-US" w:eastAsia="zh-CN" w:bidi="ar"/>
              </w:rPr>
            </w:pPr>
          </w:p>
          <w:p>
            <w:pPr>
              <w:pStyle w:val="9"/>
              <w:rPr>
                <w:rFonts w:hint="eastAsia" w:ascii="宋体" w:hAnsi="宋体" w:eastAsia="宋体" w:cs="宋体"/>
                <w:i w:val="0"/>
                <w:iCs w:val="0"/>
                <w:color w:val="000000"/>
                <w:kern w:val="0"/>
                <w:sz w:val="18"/>
                <w:szCs w:val="18"/>
                <w:u w:val="none"/>
                <w:lang w:val="en-US" w:eastAsia="zh-CN" w:bidi="ar"/>
              </w:rPr>
            </w:pPr>
          </w:p>
          <w:p>
            <w:pPr>
              <w:pStyle w:val="9"/>
              <w:rPr>
                <w:rFonts w:hint="eastAsia" w:ascii="宋体" w:hAnsi="宋体" w:eastAsia="宋体" w:cs="宋体"/>
                <w:i w:val="0"/>
                <w:iCs w:val="0"/>
                <w:color w:val="000000"/>
                <w:kern w:val="0"/>
                <w:sz w:val="18"/>
                <w:szCs w:val="18"/>
                <w:u w:val="none"/>
                <w:lang w:val="en-US" w:eastAsia="zh-CN" w:bidi="ar"/>
              </w:rPr>
            </w:pPr>
          </w:p>
          <w:p>
            <w:pPr>
              <w:pStyle w:val="9"/>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60"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51090424T000011119249-乡镇武装部工作经费（含征兵工作经费）（长期）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积极宣传，完成上级下达年度征兵任务，严密组织国防教育，民兵整组，民兵训练，加强基层武装部规范化建设。</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西眉镇武装部圆满完成年度征兵任务，输送优质兵员；规范开展民兵整组训练，提升战备能力；创新国防教育形式，强化全民国防观念，基层武装建设成效显著。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眉镇武装部主要开展征兵、民兵建设和国防动员工作。具体包括：宣传动员、兵役登记、体检政审、新兵输送等征兵全流程管理；组织民兵训练、应急演练，提升应战能力；开展国防教育，增强全民国防意识。工作坚持依法依规，严格把关兵员质量，确保为部队输送优质兵源，同时强化基层武装力量建设，服务地方安全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完成年度民兵训练任务及上级制定的训练任务</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征兵次数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民兵训练人员数量</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训练合格率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统筹推进经济社会全面发展</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社会稳定效益</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7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做好兵役登记，做好征兵宣传，为明年征集优秀兵员做好工作</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民兵训练</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冬春征兵工作经费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征兵宣传横幅广告</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的分100分，我镇武装部高质量完成年度征兵任务，为部队输送优质兵员；民兵队伍建设成效显著，战备水平持续提升；国防教育深入开展，全民国防意识明显增强；基层武装规范化建设扎实推进，整体工作水平迈上新台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征兵宣传覆盖面不足，部分适龄青年及家长对政策了解不全面。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创新宣传方式，利用新媒体精准推送征兵政策，增强动员实效。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项目负责人：</w:t>
            </w:r>
            <w:r>
              <w:rPr>
                <w:rFonts w:hint="eastAsia" w:ascii="宋体" w:hAnsi="宋体" w:cs="宋体"/>
                <w:i w:val="0"/>
                <w:iCs w:val="0"/>
                <w:color w:val="000000"/>
                <w:kern w:val="0"/>
                <w:sz w:val="18"/>
                <w:szCs w:val="18"/>
                <w:u w:val="none"/>
                <w:lang w:val="en-US" w:eastAsia="zh-CN" w:bidi="ar"/>
              </w:rPr>
              <w:t>肖德印</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财务负责人：</w:t>
            </w:r>
            <w:r>
              <w:rPr>
                <w:rFonts w:hint="eastAsia" w:ascii="宋体" w:hAnsi="宋体" w:cs="宋体"/>
                <w:i w:val="0"/>
                <w:iCs w:val="0"/>
                <w:color w:val="000000"/>
                <w:kern w:val="0"/>
                <w:sz w:val="18"/>
                <w:szCs w:val="18"/>
                <w:u w:val="none"/>
                <w:lang w:val="en-US" w:eastAsia="zh-CN" w:bidi="ar"/>
              </w:rPr>
              <w:t>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51090424T000011119257-政协委员视察经费（长期）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保障政协委员顺利开展视察活动</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西眉镇政协委员紧扣中心工作，深入调研建言，聚焦民生与发展难题，强化民主监督，推动问题解决，高质量完成年度履职任务。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眉镇政协委员视察工作围绕民生、经济等重点领域开展，通过实地走访、座谈交流等方式，深入了解社情民意。视察前制定计划，明确重点；视察中听取汇报、现场调研，提出建议；视察后形成报告，督促整改落实，确保履职实效，助推镇域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参加政协会</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镇政协委员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覆盖委员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镇政协委员视察时间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参政议政 收集社情民意 提出议案 为老百姓发声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项目持续期</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代表委员满意度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视察工作经费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政协委员调研经费、会议费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我镇政协委员围绕中心工作，深入基层调研，积极建言献策，聚焦民生热点和镇域发展难点，扎实开展民主监督，切实推动问题解决，有效发挥了政协职能，年度履职任务高质量完成。该项目自评得分100分。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部分建议操作性不强，成果转化率低。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加强委员培训，聚焦可行性建言，健全协商成果落实反馈机制，提升履职质效。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项目负责人：</w:t>
            </w:r>
            <w:r>
              <w:rPr>
                <w:rFonts w:hint="eastAsia" w:ascii="宋体" w:hAnsi="宋体" w:cs="宋体"/>
                <w:i w:val="0"/>
                <w:iCs w:val="0"/>
                <w:color w:val="000000"/>
                <w:kern w:val="0"/>
                <w:sz w:val="18"/>
                <w:szCs w:val="18"/>
                <w:u w:val="none"/>
                <w:lang w:val="en-US" w:eastAsia="zh-CN" w:bidi="ar"/>
              </w:rPr>
              <w:t>杨利娟</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财务负责人：</w:t>
            </w:r>
            <w:r>
              <w:rPr>
                <w:rFonts w:hint="eastAsia" w:ascii="宋体" w:hAnsi="宋体" w:cs="宋体"/>
                <w:i w:val="0"/>
                <w:iCs w:val="0"/>
                <w:color w:val="000000"/>
                <w:kern w:val="0"/>
                <w:sz w:val="18"/>
                <w:szCs w:val="18"/>
                <w:u w:val="none"/>
                <w:lang w:val="en-US" w:eastAsia="zh-CN" w:bidi="ar"/>
              </w:rPr>
              <w:t>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51090424T000011119281-驻村工作队工作经费（长期）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通过按时发放5个驻村工作组经费，可保障驻村工作队日常生活，驻村工作顺利进行，加大扶贫工作推进力度。</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通过产业扶持、技能培训、设施改善等举措，有效带动群众增收，提升村级发展活力，群众满意度显著提高，为乡村振兴奠定坚实基础。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聚焦巩固脱贫成果，助力乡村振兴。工作队深入调研，精准施策，通过产业带动、消费帮扶、技能提升等方式促进群众增收。同时加强基层组织建设，推动村级治理，提升群众满意度，确保贫困村稳定发展，有效衔接乡村振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8.50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8.50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8.50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8.50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产出指标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驻村工作队员人数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驻村工作组经费覆盖率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97</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97</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开展时间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有力促进驻村贫困群众增收</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驻村工作组带动贫困村发展</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促进全镇稳定发展</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帮扶贫困村满意度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经费总金额</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万元</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工作经费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元/人年</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目自评得分100分，通过产业扶持、技能培训、基础设施完善等举措，有效激发贫困村内生动力。特色产业培育带动群众稳定增收，就业能力持续提升；村级基础设施改善优化发展环境，基层组织建设增强治理效能。项目整体推动贫困村产业升级、民生改善，促进全镇经济社会稳定发展，形成乡村振兴与脱贫攻坚有效衔接的良好局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群众参与度不均衡，个别帮扶措施针对性有待加强。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深化精准帮扶，因户施策，激发群众自主发展动力。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项目负责人：冯燕茹</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51090424T000011119302-统计工作经费（长期）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完成统计年报及各项调查任务，精准数据，如实上报。</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西眉镇统计工作覆盖农工商领域，信息化提升精准度。优化资源配置促产业升级，增强公信力支撑决策，带动就业和公共服务改善，实现经济社会双赢。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西眉镇统计工作以精准数据采集为核心，覆盖农业、工业、商贸等领域，运用信息化提升效率。经济效益上，优化资源配置，助力企业增收和产业升级；社会效益方面，增强政府公信力，支撑民生政策制定，促进就业与公共服务均衡发展，实现经济与社会效益双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产出指标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数量指标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统计调查点</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个</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住户调查工作人员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人</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质量指标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统计精准，数据真实</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时效指标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完成时效</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2024年</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2024年</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效益指标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经济效益指标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及时发布城乡住户调查数据为区政府决策提供依据</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优</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优</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社会效益指标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提供真实可用数据，为经济建设服务</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优  </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 xml:space="preserve">优  </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可持续影响指标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持续统计保障能力</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定性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长久</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长久</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满意度指标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服务对象满意度指标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群众满意度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95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95</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9</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成本指标</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经济成本指标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辅助调查员劳务费、调查户考核补助</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年</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统计工作广告宣传</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年</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该项目自评得分100分，我镇统计工作高效推进，全面覆盖农业、工业、商贸等领域，依托信息化提升精准度。优化资源配置助力产业升级，同时增强政府公信力，支撑科学决策，促进就业和公共服务完善，实现经济与社会效益同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基层统计力量薄弱，人员专业性不足。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18"/>
                <w:szCs w:val="18"/>
                <w:u w:val="none"/>
              </w:rPr>
            </w:pPr>
            <w:r>
              <w:rPr>
                <w:rFonts w:hint="eastAsia" w:asciiTheme="majorEastAsia" w:hAnsiTheme="majorEastAsia" w:eastAsiaTheme="majorEastAsia" w:cstheme="majorEastAsia"/>
                <w:i w:val="0"/>
                <w:iCs w:val="0"/>
                <w:color w:val="000000"/>
                <w:kern w:val="0"/>
                <w:sz w:val="18"/>
                <w:szCs w:val="18"/>
                <w:u w:val="none"/>
                <w:lang w:val="en-US" w:eastAsia="zh-CN" w:bidi="ar"/>
              </w:rPr>
              <w:t>加强统计人员培训，充实基层队伍。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项目负责人：许帅</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ajorEastAsia" w:hAnsiTheme="majorEastAsia" w:eastAsiaTheme="majorEastAsia" w:cstheme="majorEastAsia"/>
                <w:i w:val="0"/>
                <w:iCs w:val="0"/>
                <w:color w:val="000000"/>
                <w:sz w:val="18"/>
                <w:szCs w:val="18"/>
                <w:u w:val="none"/>
                <w:lang w:val="en-US"/>
              </w:rPr>
            </w:pPr>
            <w:r>
              <w:rPr>
                <w:rFonts w:hint="eastAsia" w:asciiTheme="majorEastAsia" w:hAnsiTheme="majorEastAsia" w:eastAsiaTheme="majorEastAsia" w:cstheme="maj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2"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7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59"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51090424T000011156508-2024年网格人员保险费用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主管部门</w:t>
            </w:r>
          </w:p>
        </w:tc>
        <w:tc>
          <w:tcPr>
            <w:tcW w:w="1538" w:type="pct"/>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实施单位 （盖章）</w:t>
            </w:r>
          </w:p>
        </w:tc>
        <w:tc>
          <w:tcPr>
            <w:tcW w:w="778"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为网格人员购买保险，提升工作积极性，增强队伍稳定性，体现组织关怀，保障人身安全，使其更专注投入基层工作，降低因意外导致的家庭经济负担。</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为网格人员购买保险，提升工作积极性，增强队伍稳定性，体现组织关怀，保障人身安全，使其更专注投入基层工作，降低因意外导致的家庭经济负担。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为网格人员购买保险，保费标准150元/人/年。提升了网格员工作积极性，增强了队伍稳定性，体现了组织关怀，保障了人身安全，使其更专注投入基层工作，降低因意外导致的家庭经济负担。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0.98</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0.98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0.98</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0.98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49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合计</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851"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评价结论</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该项目自评得分100分，我镇为网格人员购买保险，保费标准150元/人/年。提升了网格员工作积极性，增强了队伍稳定性，体现了组织关怀，保障了人身安全，使其更专注投入基层工作，降低因意外导致的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64"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存在问题</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人员流动（如离职、新入职）时未能及时更新保单，出现保障空窗期。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改进措施</w:t>
            </w:r>
          </w:p>
        </w:tc>
        <w:tc>
          <w:tcPr>
            <w:tcW w:w="299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定期更新参保名单，确保新增及离职人员保障无缝衔接。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项目负责人：陈新国</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财务负责人：杨利娟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51090424T000011917500-综合文化站（中心）免费开放资金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确保综合文化站（中心）免费开放服务全覆盖，提升公共文化服务效能，满足群众文化需求，促进基层文化事业发展。</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西眉镇综合文化站（中心）免费开放服务全覆盖，提升了公共文化服务效能，满足了群众文化需求，促进了基层文化事业发展。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眉镇综合文化站（中心）免费开放服务全覆盖，通过图书阅览室、多功能活动室、展览厅等场所常态化开放、举办文艺演出与展演、定期播放公益电影等方式，提升了公共文化服务效能，满足了群众文化需求，促进了基层文化事业发展，实现“免费开放”的社会效益最大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0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304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100分，我镇综合文化站（中心）免费开放服务全覆盖，通过图书阅览室、多功能活动室、展览厅等场所常态化开放、举办文艺演出与展演、定期播放公益电影等方式，提升了公共文化服务效能，满足了群众文化需求，促进了基层文化事业发展，实现“免费开放”的社会效益最大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304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活动吸引力不足，群众参与积极性不高，特别是年轻群体。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33"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304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精准需求调研，优化活动设计；创新活动形式，增强互动体验；构建多元宣传矩阵。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项目负责人：</w:t>
            </w:r>
            <w:r>
              <w:rPr>
                <w:rFonts w:hint="eastAsia" w:ascii="宋体" w:hAnsi="宋体" w:cs="宋体"/>
                <w:i w:val="0"/>
                <w:iCs w:val="0"/>
                <w:color w:val="000000"/>
                <w:kern w:val="0"/>
                <w:sz w:val="18"/>
                <w:szCs w:val="18"/>
                <w:u w:val="none"/>
                <w:lang w:val="en-US" w:eastAsia="zh-CN" w:bidi="ar"/>
              </w:rPr>
              <w:t>杨利娟</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财务负责人：</w:t>
            </w:r>
            <w:r>
              <w:rPr>
                <w:rFonts w:hint="eastAsia" w:ascii="宋体" w:hAnsi="宋体" w:cs="宋体"/>
                <w:i w:val="0"/>
                <w:iCs w:val="0"/>
                <w:color w:val="000000"/>
                <w:kern w:val="0"/>
                <w:sz w:val="18"/>
                <w:szCs w:val="18"/>
                <w:u w:val="none"/>
                <w:lang w:val="en-US" w:eastAsia="zh-CN" w:bidi="ar"/>
              </w:rPr>
              <w:t>杨利娟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5" w:type="pct"/>
            <w:gridSpan w:val="2"/>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2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7"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33"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49" w:type="pct"/>
            <w:gridSpan w:val="4"/>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904" w:hRule="atLeast"/>
        </w:trPr>
        <w:tc>
          <w:tcPr>
            <w:tcW w:w="327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6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51090425T000012407034-公共图书馆、美术馆、文化馆（站）免费开放资金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12"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87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遂宁市安居区西眉镇人民政府部门</w:t>
            </w:r>
          </w:p>
        </w:tc>
        <w:tc>
          <w:tcPr>
            <w:tcW w:w="33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708"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确保公共图书馆、美术馆、文化馆（站）免费开放服务全覆盖，提升公共文化服务效能，满足群众文化需求，促进基层文化事业发展。</w:t>
            </w:r>
          </w:p>
        </w:tc>
        <w:tc>
          <w:tcPr>
            <w:tcW w:w="11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西眉镇公共图书馆、美术馆、文化馆（站）免费开放服务全覆盖，提升了公共文化服务效能，满足了群众文化需求，促进了基层文化事业发展。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93"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26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眉镇公共图书馆、美术馆、文化馆（站）免费开放服务全覆盖，通过图书阅览室、多功能活动室、展览厅等场所常态化开放、举办文艺演出与展演、定期播放公益电影等方式，提升了公共文化服务效能，满足了群众文化需求，促进了基层文化事业发展，实现“免费开放”的社会效益最大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46"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9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07"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61"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7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452" w:hRule="atLeast"/>
        </w:trPr>
        <w:tc>
          <w:tcPr>
            <w:tcW w:w="28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339" w:hRule="atLeast"/>
        </w:trPr>
        <w:tc>
          <w:tcPr>
            <w:tcW w:w="28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286" w:hRule="atLeast"/>
        </w:trPr>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40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603"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304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100分，我镇公共图书馆、美术馆、文化馆（站）免费开放服务全覆盖，通过图书阅览室、多功能活动室、展览厅等场所常态化开放、举办文艺演出与展演、定期播放公益电影等方式，提升了公共文化服务效能，满足了群众文化需求，促进了基层文化事业发展，实现“免费开放”的社会效益最大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1723" w:type="pct"/>
          <w:trHeight w:val="572"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304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活动吸引力不足，群众参与积极性不高，特别是年轻群体。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23" w:type="pct"/>
          <w:trHeight w:val="633"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304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精准需求调研，优化活动设计；创新活动形式，增强互动体验；构建多元宣传矩阵。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723" w:type="pct"/>
          <w:trHeight w:val="286" w:hRule="atLeast"/>
        </w:trPr>
        <w:tc>
          <w:tcPr>
            <w:tcW w:w="16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项目负责人：</w:t>
            </w:r>
            <w:r>
              <w:rPr>
                <w:rFonts w:hint="eastAsia" w:ascii="宋体" w:hAnsi="宋体" w:cs="宋体"/>
                <w:i w:val="0"/>
                <w:iCs w:val="0"/>
                <w:color w:val="000000"/>
                <w:kern w:val="0"/>
                <w:sz w:val="18"/>
                <w:szCs w:val="18"/>
                <w:u w:val="none"/>
                <w:lang w:val="en-US" w:eastAsia="zh-CN" w:bidi="ar"/>
              </w:rPr>
              <w:t>杨利娟</w:t>
            </w:r>
          </w:p>
        </w:tc>
        <w:tc>
          <w:tcPr>
            <w:tcW w:w="16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财务负责人：</w:t>
            </w:r>
            <w:r>
              <w:rPr>
                <w:rFonts w:hint="eastAsia" w:ascii="宋体" w:hAnsi="宋体" w:cs="宋体"/>
                <w:i w:val="0"/>
                <w:iCs w:val="0"/>
                <w:color w:val="000000"/>
                <w:kern w:val="0"/>
                <w:sz w:val="18"/>
                <w:szCs w:val="18"/>
                <w:u w:val="none"/>
                <w:lang w:val="en-US" w:eastAsia="zh-CN" w:bidi="ar"/>
              </w:rPr>
              <w:t>杨利娟</w:t>
            </w:r>
          </w:p>
        </w:tc>
      </w:tr>
    </w:tbl>
    <w:p>
      <w:pPr>
        <w:keepNext w:val="0"/>
        <w:keepLines w:val="0"/>
        <w:pageBreakBefore w:val="0"/>
        <w:widowControl w:val="0"/>
        <w:suppressAutoHyphens/>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附件2</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4"/>
          <w:szCs w:val="44"/>
          <w:highlight w:val="none"/>
          <w:lang w:val="en-US" w:eastAsia="zh-CN"/>
        </w:rPr>
      </w:pPr>
      <w:r>
        <w:rPr>
          <w:rFonts w:hint="eastAsia" w:ascii="方正小标宋简体" w:hAnsi="宋体" w:eastAsia="方正小标宋简体" w:cs="Times New Roman"/>
          <w:color w:val="auto"/>
          <w:kern w:val="0"/>
          <w:sz w:val="44"/>
          <w:szCs w:val="44"/>
          <w:highlight w:val="none"/>
          <w:lang w:val="en-US" w:eastAsia="zh-CN"/>
        </w:rPr>
        <w:t>遂宁市安居区西眉镇人民政府</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4"/>
          <w:szCs w:val="44"/>
          <w:highlight w:val="none"/>
          <w:lang w:val="en-US" w:eastAsia="zh-CN"/>
        </w:rPr>
      </w:pPr>
      <w:r>
        <w:rPr>
          <w:rFonts w:hint="eastAsia" w:ascii="方正小标宋简体" w:hAnsi="宋体" w:eastAsia="方正小标宋简体" w:cs="Times New Roman"/>
          <w:color w:val="auto"/>
          <w:kern w:val="0"/>
          <w:sz w:val="44"/>
          <w:szCs w:val="44"/>
          <w:highlight w:val="none"/>
          <w:lang w:val="en-US" w:eastAsia="zh-CN"/>
        </w:rPr>
        <w:t>2024年村级公共服务经费绩效自评报告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highlight w:val="none"/>
          <w:lang w:val="zh-CN"/>
        </w:rPr>
      </w:pPr>
      <w:r>
        <w:rPr>
          <w:rFonts w:hint="eastAsia"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p>
    <w:p>
      <w:pPr>
        <w:pStyle w:val="3"/>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仿宋_GB2312" w:cs="仿宋_GB2312"/>
          <w:color w:val="auto"/>
          <w:kern w:val="0"/>
          <w:sz w:val="32"/>
          <w:szCs w:val="32"/>
          <w:highlight w:val="none"/>
          <w:u w:val="none"/>
          <w:shd w:val="clear" w:color="auto" w:fill="FFFFFF"/>
          <w:lang w:val="zh-CN"/>
        </w:rPr>
        <w:t>本项目依据《四川省财政厅关于印发&lt;村级公共服务经费补助资金管理办法&gt;的通知》（川财预〔2023〕91号）文件设立，旨在规范村级公共服务经费管理，保障村（社区）组织正常运转。结合西眉镇实际情况，将经费用于</w:t>
      </w:r>
      <w:r>
        <w:rPr>
          <w:rFonts w:hint="eastAsia" w:ascii="Times New Roman" w:eastAsia="仿宋_GB2312" w:cs="仿宋_GB2312"/>
          <w:color w:val="auto"/>
          <w:kern w:val="0"/>
          <w:sz w:val="32"/>
          <w:szCs w:val="32"/>
          <w:highlight w:val="none"/>
          <w:u w:val="none"/>
          <w:shd w:val="clear" w:color="auto" w:fill="FFFFFF"/>
          <w:lang w:val="zh-CN"/>
        </w:rPr>
        <w:t>辖区内各村（社区）</w:t>
      </w:r>
      <w:r>
        <w:rPr>
          <w:rFonts w:hint="eastAsia" w:ascii="Times New Roman" w:hAnsi="Times New Roman" w:eastAsia="仿宋_GB2312" w:cs="仿宋_GB2312"/>
          <w:color w:val="auto"/>
          <w:kern w:val="0"/>
          <w:sz w:val="32"/>
          <w:szCs w:val="32"/>
          <w:highlight w:val="none"/>
          <w:u w:val="none"/>
          <w:shd w:val="clear" w:color="auto" w:fill="FFFFFF"/>
          <w:lang w:val="zh-CN"/>
        </w:rPr>
        <w:t>办公运转、基层活动、服务群众、公共运维四类支出。</w:t>
      </w:r>
      <w:r>
        <w:rPr>
          <w:rFonts w:hint="eastAsia" w:ascii="Times New Roman" w:eastAsia="仿宋_GB2312" w:cs="仿宋_GB2312"/>
          <w:color w:val="auto"/>
          <w:kern w:val="0"/>
          <w:sz w:val="32"/>
          <w:szCs w:val="32"/>
          <w:highlight w:val="none"/>
          <w:u w:val="none"/>
          <w:shd w:val="clear" w:color="auto" w:fill="FFFFFF"/>
          <w:lang w:val="zh-CN"/>
        </w:rPr>
        <w:t>项目</w:t>
      </w:r>
      <w:r>
        <w:rPr>
          <w:rFonts w:hint="eastAsia" w:ascii="Times New Roman" w:hAnsi="Times New Roman" w:eastAsia="仿宋_GB2312" w:cs="仿宋_GB2312"/>
          <w:color w:val="auto"/>
          <w:kern w:val="0"/>
          <w:sz w:val="32"/>
          <w:szCs w:val="32"/>
          <w:highlight w:val="none"/>
          <w:u w:val="none"/>
          <w:shd w:val="clear" w:color="auto" w:fill="FFFFFF"/>
          <w:lang w:val="zh-CN"/>
        </w:rPr>
        <w:t>主管部门为西眉镇人民政府，其职能包括统筹管理村级公共服务经费，制定实施计划，监督资金使用，确保经费精准高效服务于村（社区）公共事务。</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u w:val="none"/>
          <w:shd w:val="clear" w:color="auto" w:fill="FFFFFF"/>
          <w:lang w:val="zh-CN" w:eastAsia="zh-CN" w:bidi="ar-SA"/>
        </w:rPr>
      </w:pPr>
      <w:r>
        <w:rPr>
          <w:rFonts w:hint="eastAsia" w:ascii="Times New Roman" w:hAnsi="Times New Roman" w:eastAsia="仿宋_GB2312" w:cs="仿宋_GB2312"/>
          <w:color w:val="auto"/>
          <w:kern w:val="0"/>
          <w:sz w:val="32"/>
          <w:szCs w:val="32"/>
          <w:highlight w:val="none"/>
          <w:u w:val="none"/>
          <w:shd w:val="clear" w:color="auto" w:fill="FFFFFF"/>
          <w:lang w:val="zh-CN" w:eastAsia="zh-CN" w:bidi="ar-SA"/>
        </w:rPr>
        <w:t>为进一步规范村级公共服务经费补助资金管理，加强各村（社区）组织运转经费保障，增强村（社区）干部干事积极性，提升村（居）民满意度。西眉镇</w:t>
      </w:r>
      <w:r>
        <w:rPr>
          <w:rFonts w:hint="default" w:ascii="Times New Roman" w:hAnsi="Times New Roman" w:eastAsia="仿宋_GB2312" w:cs="仿宋_GB2312"/>
          <w:color w:val="auto"/>
          <w:kern w:val="0"/>
          <w:sz w:val="32"/>
          <w:szCs w:val="32"/>
          <w:highlight w:val="none"/>
          <w:u w:val="none"/>
          <w:shd w:val="clear" w:color="auto" w:fill="FFFFFF"/>
          <w:lang w:val="zh-CN" w:eastAsia="zh-CN" w:bidi="ar-SA"/>
        </w:rPr>
        <w:t>严格遵循川财预〔2023〕91号文件要求</w:t>
      </w:r>
      <w:r>
        <w:rPr>
          <w:rFonts w:hint="eastAsia" w:ascii="Times New Roman" w:hAnsi="Times New Roman" w:eastAsia="仿宋_GB2312" w:cs="仿宋_GB2312"/>
          <w:color w:val="auto"/>
          <w:kern w:val="0"/>
          <w:sz w:val="32"/>
          <w:szCs w:val="32"/>
          <w:highlight w:val="none"/>
          <w:u w:val="none"/>
          <w:shd w:val="clear" w:color="auto" w:fill="FFFFFF"/>
          <w:lang w:val="zh-CN" w:eastAsia="zh-CN" w:bidi="ar-SA"/>
        </w:rPr>
        <w:t>及相关财政资金管理制度</w:t>
      </w:r>
      <w:r>
        <w:rPr>
          <w:rFonts w:hint="default" w:ascii="Times New Roman" w:hAnsi="Times New Roman" w:eastAsia="仿宋_GB2312" w:cs="仿宋_GB2312"/>
          <w:color w:val="auto"/>
          <w:kern w:val="0"/>
          <w:sz w:val="32"/>
          <w:szCs w:val="32"/>
          <w:highlight w:val="none"/>
          <w:u w:val="none"/>
          <w:shd w:val="clear" w:color="auto" w:fill="FFFFFF"/>
          <w:lang w:val="zh-CN" w:eastAsia="zh-CN" w:bidi="ar-SA"/>
        </w:rPr>
        <w:t>，结合西眉镇实际制定实施细则</w:t>
      </w:r>
      <w:r>
        <w:rPr>
          <w:rFonts w:hint="eastAsia" w:eastAsia="仿宋_GB2312" w:cs="仿宋_GB2312"/>
          <w:color w:val="auto"/>
          <w:kern w:val="0"/>
          <w:sz w:val="32"/>
          <w:szCs w:val="32"/>
          <w:highlight w:val="none"/>
          <w:u w:val="none"/>
          <w:shd w:val="clear" w:color="auto" w:fill="FFFFFF"/>
          <w:lang w:val="zh-CN" w:eastAsia="zh-CN" w:bidi="ar-SA"/>
        </w:rPr>
        <w:t>，</w:t>
      </w:r>
      <w:r>
        <w:rPr>
          <w:rFonts w:hint="default" w:ascii="Times New Roman" w:hAnsi="Times New Roman" w:eastAsia="仿宋_GB2312" w:cs="仿宋_GB2312"/>
          <w:color w:val="auto"/>
          <w:kern w:val="0"/>
          <w:sz w:val="32"/>
          <w:szCs w:val="32"/>
          <w:highlight w:val="none"/>
          <w:u w:val="none"/>
          <w:shd w:val="clear" w:color="auto" w:fill="FFFFFF"/>
          <w:lang w:val="zh-CN" w:eastAsia="zh-CN" w:bidi="ar-SA"/>
        </w:rPr>
        <w:t>聚焦村（社区）办公需求、基层活动开展、群众服务保障及公共设施运维</w:t>
      </w:r>
      <w:r>
        <w:rPr>
          <w:rFonts w:hint="eastAsia" w:eastAsia="仿宋_GB2312" w:cs="仿宋_GB2312"/>
          <w:color w:val="auto"/>
          <w:kern w:val="0"/>
          <w:sz w:val="32"/>
          <w:szCs w:val="32"/>
          <w:highlight w:val="none"/>
          <w:u w:val="none"/>
          <w:shd w:val="clear" w:color="auto" w:fill="FFFFFF"/>
          <w:lang w:val="zh-CN" w:eastAsia="zh-CN" w:bidi="ar-SA"/>
        </w:rPr>
        <w:t>，</w:t>
      </w:r>
      <w:r>
        <w:rPr>
          <w:rFonts w:hint="default" w:ascii="Times New Roman" w:hAnsi="Times New Roman" w:eastAsia="仿宋_GB2312" w:cs="仿宋_GB2312"/>
          <w:color w:val="auto"/>
          <w:kern w:val="0"/>
          <w:sz w:val="32"/>
          <w:szCs w:val="32"/>
          <w:highlight w:val="none"/>
          <w:u w:val="none"/>
          <w:shd w:val="clear" w:color="auto" w:fill="FFFFFF"/>
          <w:lang w:val="zh-CN" w:eastAsia="zh-CN" w:bidi="ar-SA"/>
        </w:rPr>
        <w:t>按计划落实村级公共服务四类经费支出。</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zh-CN" w:eastAsia="zh-CN" w:bidi="ar-SA"/>
        </w:rPr>
        <w:t>该项目预算数为224.00万元，全部为财政资金。</w:t>
      </w:r>
      <w:r>
        <w:rPr>
          <w:rFonts w:hint="default" w:ascii="Times New Roman" w:hAnsi="Times New Roman" w:eastAsia="仿宋_GB2312" w:cs="仿宋_GB2312"/>
          <w:b w:val="0"/>
          <w:bCs w:val="0"/>
          <w:color w:val="auto"/>
          <w:kern w:val="0"/>
          <w:position w:val="0"/>
          <w:sz w:val="32"/>
          <w:szCs w:val="32"/>
          <w:highlight w:val="none"/>
          <w:lang w:val="zh-CN" w:eastAsia="zh-CN" w:bidi="ar-SA"/>
        </w:rPr>
        <w:t>资金分配原则为“依据政策、结合实际、按需分配”，主要考虑各村（社区）人口规模、公共服务需求、运维任务量等因素，确保经费向需求迫切的村（社区）倾斜，兼顾公平与效率。</w:t>
      </w:r>
    </w:p>
    <w:p>
      <w:pPr>
        <w:keepNext w:val="0"/>
        <w:keepLines w:val="0"/>
        <w:pageBreakBefore w:val="0"/>
        <w:numPr>
          <w:ilvl w:val="0"/>
          <w:numId w:val="6"/>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项目绩效目标设置。</w:t>
      </w:r>
    </w:p>
    <w:p>
      <w:pPr>
        <w:pStyle w:val="3"/>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eastAsia="仿宋_GB2312" w:cs="仿宋_GB2312"/>
          <w:b w:val="0"/>
          <w:bCs w:val="0"/>
          <w:color w:val="auto"/>
          <w:kern w:val="0"/>
          <w:position w:val="0"/>
          <w:sz w:val="32"/>
          <w:szCs w:val="32"/>
          <w:highlight w:val="none"/>
          <w:lang w:val="en-US" w:eastAsia="zh-CN" w:bidi="ar-SA"/>
        </w:rPr>
        <w:t>1.总体</w:t>
      </w:r>
      <w:r>
        <w:rPr>
          <w:rFonts w:hint="default" w:ascii="Times New Roman" w:hAnsi="Times New Roman" w:eastAsia="仿宋_GB2312" w:cs="仿宋_GB2312"/>
          <w:b w:val="0"/>
          <w:bCs w:val="0"/>
          <w:color w:val="auto"/>
          <w:kern w:val="0"/>
          <w:position w:val="0"/>
          <w:sz w:val="32"/>
          <w:szCs w:val="32"/>
          <w:highlight w:val="none"/>
          <w:lang w:val="zh-CN" w:eastAsia="zh-CN" w:bidi="ar-SA"/>
        </w:rPr>
        <w:t>目标：严格按照川财预〔2023〕91号文件要求，完成年度村级公共服务经费的规范使用与管理，保障村（社区）组织运转，提升服务效能。</w:t>
      </w:r>
    </w:p>
    <w:p>
      <w:pPr>
        <w:pStyle w:val="3"/>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eastAsia="仿宋_GB2312" w:cs="仿宋_GB2312"/>
          <w:b w:val="0"/>
          <w:bCs w:val="0"/>
          <w:color w:val="auto"/>
          <w:kern w:val="0"/>
          <w:position w:val="0"/>
          <w:sz w:val="32"/>
          <w:szCs w:val="32"/>
          <w:highlight w:val="none"/>
          <w:lang w:val="en-US" w:eastAsia="zh-CN" w:bidi="ar-SA"/>
        </w:rPr>
        <w:t>2.</w:t>
      </w:r>
      <w:r>
        <w:rPr>
          <w:rFonts w:hint="eastAsia" w:ascii="Times New Roman" w:eastAsia="仿宋_GB2312" w:cs="仿宋_GB2312"/>
          <w:b w:val="0"/>
          <w:bCs w:val="0"/>
          <w:color w:val="auto"/>
          <w:kern w:val="0"/>
          <w:position w:val="0"/>
          <w:sz w:val="32"/>
          <w:szCs w:val="32"/>
          <w:highlight w:val="none"/>
          <w:lang w:val="zh-CN" w:eastAsia="zh-CN" w:bidi="ar-SA"/>
        </w:rPr>
        <w:t>阶段性</w:t>
      </w:r>
      <w:r>
        <w:rPr>
          <w:rFonts w:hint="default" w:ascii="Times New Roman" w:hAnsi="Times New Roman" w:eastAsia="仿宋_GB2312" w:cs="仿宋_GB2312"/>
          <w:b w:val="0"/>
          <w:bCs w:val="0"/>
          <w:color w:val="auto"/>
          <w:kern w:val="0"/>
          <w:position w:val="0"/>
          <w:sz w:val="32"/>
          <w:szCs w:val="32"/>
          <w:highlight w:val="none"/>
          <w:lang w:val="zh-CN" w:eastAsia="zh-CN" w:bidi="ar-SA"/>
        </w:rPr>
        <w:t>目标：经费100%用于办公运转、基层活动、服务群众、公共运维四类指定用途，预算执行率达到</w:t>
      </w:r>
      <w:r>
        <w:rPr>
          <w:rFonts w:hint="eastAsia" w:ascii="Times New Roman" w:eastAsia="仿宋_GB2312" w:cs="仿宋_GB2312"/>
          <w:b w:val="0"/>
          <w:bCs w:val="0"/>
          <w:color w:val="auto"/>
          <w:kern w:val="0"/>
          <w:position w:val="0"/>
          <w:sz w:val="32"/>
          <w:szCs w:val="32"/>
          <w:highlight w:val="none"/>
          <w:lang w:val="en-US" w:eastAsia="zh-CN" w:bidi="ar-SA"/>
        </w:rPr>
        <w:t>100</w:t>
      </w:r>
      <w:r>
        <w:rPr>
          <w:rFonts w:hint="default" w:ascii="Times New Roman" w:hAnsi="Times New Roman" w:eastAsia="仿宋_GB2312" w:cs="仿宋_GB2312"/>
          <w:b w:val="0"/>
          <w:bCs w:val="0"/>
          <w:color w:val="auto"/>
          <w:kern w:val="0"/>
          <w:position w:val="0"/>
          <w:sz w:val="32"/>
          <w:szCs w:val="32"/>
          <w:highlight w:val="none"/>
          <w:lang w:val="zh-CN" w:eastAsia="zh-CN" w:bidi="ar-SA"/>
        </w:rPr>
        <w:t>%，村（居）民满意度稳步提升。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rPr>
        <w:t>二、</w:t>
      </w:r>
      <w:r>
        <w:rPr>
          <w:rFonts w:hint="eastAsia" w:ascii="Times New Roman" w:hAnsi="Times New Roman" w:eastAsia="黑体"/>
          <w:color w:val="auto"/>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color w:val="auto"/>
          <w:kern w:val="0"/>
          <w:position w:val="0"/>
          <w:sz w:val="32"/>
          <w:szCs w:val="32"/>
          <w:highlight w:val="none"/>
          <w:lang w:val="zh-CN" w:eastAsia="zh-CN" w:bidi="ar-SA"/>
        </w:rPr>
        <w:t>通过绩效自评，全面检验 2024 年村级公共服务经费项目目标完成情况、资金使用合规性与效益性，总结经验、发现问题，为后续经费管理优化、政策完善提供依据，提升财政资金使用效率。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eastAsia="仿宋_GB2312" w:cs="仿宋_GB2312"/>
          <w:b w:val="0"/>
          <w:bCs w:val="0"/>
          <w:color w:val="auto"/>
          <w:kern w:val="0"/>
          <w:position w:val="0"/>
          <w:sz w:val="32"/>
          <w:szCs w:val="32"/>
          <w:highlight w:val="none"/>
          <w:lang w:val="zh-CN" w:eastAsia="zh-CN" w:bidi="ar-SA"/>
        </w:rPr>
        <w:t>该项目预算问题包括：</w:t>
      </w:r>
      <w:r>
        <w:rPr>
          <w:rFonts w:hint="eastAsia" w:ascii="Times New Roman" w:hAnsi="Times New Roman" w:eastAsia="仿宋_GB2312" w:cs="仿宋_GB2312"/>
          <w:b w:val="0"/>
          <w:bCs w:val="0"/>
          <w:color w:val="auto"/>
          <w:kern w:val="0"/>
          <w:position w:val="0"/>
          <w:sz w:val="32"/>
          <w:szCs w:val="32"/>
          <w:highlight w:val="none"/>
          <w:lang w:val="zh-CN" w:eastAsia="zh-CN" w:bidi="ar-SA"/>
        </w:rPr>
        <w:t>资金是否按规定用途使用、预算执行是否高效、村（居）民需求是否有效满足等。评价重点围绕资金分配合理性、使用规范性、绩效目标完成度及群众满意度展开。</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（三）评价选点。</w:t>
      </w:r>
    </w:p>
    <w:p>
      <w:pPr>
        <w:keepNext w:val="0"/>
        <w:keepLines w:val="0"/>
        <w:pageBreakBefore w:val="0"/>
        <w:widowControl/>
        <w:numPr>
          <w:ilvl w:val="0"/>
          <w:numId w:val="0"/>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default" w:ascii="仿宋_GB2312" w:hAnsi="仿宋_GB2312" w:eastAsia="仿宋_GB2312" w:cs="仿宋_GB2312"/>
          <w:b w:val="0"/>
          <w:bCs w:val="0"/>
          <w:color w:val="auto"/>
          <w:kern w:val="0"/>
          <w:position w:val="0"/>
          <w:sz w:val="32"/>
          <w:szCs w:val="32"/>
          <w:highlight w:val="none"/>
          <w:lang w:val="en-US" w:eastAsia="zh-CN" w:bidi="ar-SA"/>
        </w:rPr>
        <w:t>本次评价对象为2024</w:t>
      </w:r>
      <w:r>
        <w:rPr>
          <w:rFonts w:hint="eastAsia" w:ascii="仿宋_GB2312" w:hAnsi="仿宋_GB2312" w:eastAsia="仿宋_GB2312" w:cs="仿宋_GB2312"/>
          <w:b w:val="0"/>
          <w:bCs w:val="0"/>
          <w:color w:val="auto"/>
          <w:kern w:val="0"/>
          <w:position w:val="0"/>
          <w:sz w:val="32"/>
          <w:szCs w:val="32"/>
          <w:highlight w:val="none"/>
          <w:lang w:val="en-US" w:eastAsia="zh-CN" w:bidi="ar-SA"/>
        </w:rPr>
        <w:t>年</w:t>
      </w:r>
      <w:r>
        <w:rPr>
          <w:rFonts w:hint="default" w:ascii="仿宋_GB2312" w:hAnsi="仿宋_GB2312" w:eastAsia="仿宋_GB2312" w:cs="仿宋_GB2312"/>
          <w:b w:val="0"/>
          <w:bCs w:val="0"/>
          <w:color w:val="auto"/>
          <w:kern w:val="0"/>
          <w:position w:val="0"/>
          <w:sz w:val="32"/>
          <w:szCs w:val="32"/>
          <w:highlight w:val="none"/>
          <w:lang w:val="en-US" w:eastAsia="zh-CN" w:bidi="ar-SA"/>
        </w:rPr>
        <w:t>村级公共服务经费专项资金，评价范围覆盖该专项资金支持的所有项目，其中村级公共服务经费</w:t>
      </w:r>
      <w:r>
        <w:rPr>
          <w:rFonts w:hint="eastAsia" w:ascii="仿宋_GB2312" w:hAnsi="仿宋_GB2312" w:eastAsia="仿宋_GB2312" w:cs="仿宋_GB2312"/>
          <w:b w:val="0"/>
          <w:bCs w:val="0"/>
          <w:color w:val="auto"/>
          <w:kern w:val="0"/>
          <w:position w:val="0"/>
          <w:sz w:val="32"/>
          <w:szCs w:val="32"/>
          <w:highlight w:val="none"/>
          <w:lang w:val="en-US" w:eastAsia="zh-CN" w:bidi="ar-SA"/>
        </w:rPr>
        <w:t>用途</w:t>
      </w:r>
      <w:r>
        <w:rPr>
          <w:rFonts w:hint="default" w:ascii="仿宋_GB2312" w:hAnsi="仿宋_GB2312" w:eastAsia="仿宋_GB2312" w:cs="仿宋_GB2312"/>
          <w:b w:val="0"/>
          <w:bCs w:val="0"/>
          <w:color w:val="auto"/>
          <w:kern w:val="0"/>
          <w:position w:val="0"/>
          <w:sz w:val="32"/>
          <w:szCs w:val="32"/>
          <w:highlight w:val="none"/>
          <w:lang w:val="en-US" w:eastAsia="zh-CN" w:bidi="ar-SA"/>
        </w:rPr>
        <w:t>作为重点评价内容，确保评价工作全面、无遗漏。​</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p>
    <w:p>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zh-CN" w:eastAsia="zh-CN" w:bidi="ar-SA"/>
        </w:rPr>
        <w:t>本次绩效评价采用定量分析与定性分析相结合的综合评价方法。具体而言，</w:t>
      </w:r>
      <w:r>
        <w:rPr>
          <w:rFonts w:hint="eastAsia" w:eastAsia="仿宋_GB2312" w:cs="仿宋_GB2312"/>
          <w:b w:val="0"/>
          <w:bCs w:val="0"/>
          <w:color w:val="auto"/>
          <w:kern w:val="0"/>
          <w:position w:val="0"/>
          <w:sz w:val="32"/>
          <w:szCs w:val="32"/>
          <w:highlight w:val="none"/>
          <w:lang w:val="zh-CN" w:eastAsia="zh-CN" w:bidi="ar-SA"/>
        </w:rPr>
        <w:t>采用</w:t>
      </w:r>
      <w:r>
        <w:rPr>
          <w:rFonts w:hint="eastAsia" w:ascii="Times New Roman" w:hAnsi="Times New Roman" w:eastAsia="仿宋_GB2312" w:cs="仿宋_GB2312"/>
          <w:b w:val="0"/>
          <w:bCs w:val="0"/>
          <w:color w:val="auto"/>
          <w:kern w:val="0"/>
          <w:position w:val="0"/>
          <w:sz w:val="32"/>
          <w:szCs w:val="32"/>
          <w:highlight w:val="none"/>
          <w:lang w:val="zh-CN" w:eastAsia="zh-CN" w:bidi="ar-SA"/>
        </w:rPr>
        <w:t>案卷研究法</w:t>
      </w:r>
      <w:r>
        <w:rPr>
          <w:rFonts w:hint="eastAsia" w:eastAsia="仿宋_GB2312" w:cs="仿宋_GB2312"/>
          <w:b w:val="0"/>
          <w:bCs w:val="0"/>
          <w:color w:val="auto"/>
          <w:kern w:val="0"/>
          <w:position w:val="0"/>
          <w:sz w:val="32"/>
          <w:szCs w:val="32"/>
          <w:highlight w:val="none"/>
          <w:lang w:val="zh-CN" w:eastAsia="zh-CN" w:bidi="ar-SA"/>
        </w:rPr>
        <w:t>，</w:t>
      </w:r>
      <w:r>
        <w:rPr>
          <w:rFonts w:hint="eastAsia" w:ascii="Times New Roman" w:hAnsi="Times New Roman" w:eastAsia="仿宋_GB2312" w:cs="仿宋_GB2312"/>
          <w:b w:val="0"/>
          <w:bCs w:val="0"/>
          <w:color w:val="auto"/>
          <w:kern w:val="0"/>
          <w:position w:val="0"/>
          <w:sz w:val="32"/>
          <w:szCs w:val="32"/>
          <w:highlight w:val="none"/>
          <w:lang w:val="zh-CN" w:eastAsia="zh-CN" w:bidi="ar-SA"/>
        </w:rPr>
        <w:t>查阅项目相关文件、预算凭证、支出记录等资料，核实资金管理与执行情况；</w:t>
      </w:r>
      <w:r>
        <w:rPr>
          <w:rFonts w:hint="eastAsia" w:eastAsia="仿宋_GB2312" w:cs="仿宋_GB2312"/>
          <w:b w:val="0"/>
          <w:bCs w:val="0"/>
          <w:color w:val="auto"/>
          <w:kern w:val="0"/>
          <w:position w:val="0"/>
          <w:sz w:val="32"/>
          <w:szCs w:val="32"/>
          <w:highlight w:val="none"/>
          <w:lang w:val="zh-CN" w:eastAsia="zh-CN" w:bidi="ar-SA"/>
        </w:rPr>
        <w:t>采用</w:t>
      </w:r>
      <w:r>
        <w:rPr>
          <w:rFonts w:hint="eastAsia" w:ascii="Times New Roman" w:hAnsi="Times New Roman" w:eastAsia="仿宋_GB2312" w:cs="仿宋_GB2312"/>
          <w:b w:val="0"/>
          <w:bCs w:val="0"/>
          <w:color w:val="auto"/>
          <w:kern w:val="0"/>
          <w:position w:val="0"/>
          <w:sz w:val="32"/>
          <w:szCs w:val="32"/>
          <w:highlight w:val="none"/>
          <w:lang w:val="zh-CN" w:eastAsia="zh-CN" w:bidi="ar-SA"/>
        </w:rPr>
        <w:t>实地勘察法</w:t>
      </w:r>
      <w:r>
        <w:rPr>
          <w:rFonts w:hint="eastAsia" w:eastAsia="仿宋_GB2312" w:cs="仿宋_GB2312"/>
          <w:b w:val="0"/>
          <w:bCs w:val="0"/>
          <w:color w:val="auto"/>
          <w:kern w:val="0"/>
          <w:position w:val="0"/>
          <w:sz w:val="32"/>
          <w:szCs w:val="32"/>
          <w:highlight w:val="none"/>
          <w:lang w:val="zh-CN" w:eastAsia="zh-CN" w:bidi="ar-SA"/>
        </w:rPr>
        <w:t>，</w:t>
      </w:r>
      <w:r>
        <w:rPr>
          <w:rFonts w:hint="eastAsia" w:ascii="Times New Roman" w:hAnsi="Times New Roman" w:eastAsia="仿宋_GB2312" w:cs="仿宋_GB2312"/>
          <w:b w:val="0"/>
          <w:bCs w:val="0"/>
          <w:color w:val="auto"/>
          <w:kern w:val="0"/>
          <w:position w:val="0"/>
          <w:sz w:val="32"/>
          <w:szCs w:val="32"/>
          <w:highlight w:val="none"/>
          <w:lang w:val="zh-CN" w:eastAsia="zh-CN" w:bidi="ar-SA"/>
        </w:rPr>
        <w:t>赴</w:t>
      </w:r>
      <w:r>
        <w:rPr>
          <w:rFonts w:hint="eastAsia" w:eastAsia="仿宋_GB2312" w:cs="仿宋_GB2312"/>
          <w:b w:val="0"/>
          <w:bCs w:val="0"/>
          <w:color w:val="auto"/>
          <w:kern w:val="0"/>
          <w:position w:val="0"/>
          <w:sz w:val="32"/>
          <w:szCs w:val="32"/>
          <w:highlight w:val="none"/>
          <w:lang w:val="zh-CN" w:eastAsia="zh-CN" w:bidi="ar-SA"/>
        </w:rPr>
        <w:t>部分</w:t>
      </w:r>
      <w:r>
        <w:rPr>
          <w:rFonts w:hint="eastAsia" w:ascii="Times New Roman" w:hAnsi="Times New Roman" w:eastAsia="仿宋_GB2312" w:cs="仿宋_GB2312"/>
          <w:b w:val="0"/>
          <w:bCs w:val="0"/>
          <w:color w:val="auto"/>
          <w:kern w:val="0"/>
          <w:position w:val="0"/>
          <w:sz w:val="32"/>
          <w:szCs w:val="32"/>
          <w:highlight w:val="none"/>
          <w:lang w:val="zh-CN" w:eastAsia="zh-CN" w:bidi="ar-SA"/>
        </w:rPr>
        <w:t>村（社区）查看办公设施、活动场地、公共运维项目等实际情况；</w:t>
      </w:r>
      <w:r>
        <w:rPr>
          <w:rFonts w:hint="eastAsia" w:eastAsia="仿宋_GB2312" w:cs="仿宋_GB2312"/>
          <w:b w:val="0"/>
          <w:bCs w:val="0"/>
          <w:color w:val="auto"/>
          <w:kern w:val="0"/>
          <w:position w:val="0"/>
          <w:sz w:val="32"/>
          <w:szCs w:val="32"/>
          <w:highlight w:val="none"/>
          <w:lang w:val="zh-CN" w:eastAsia="zh-CN" w:bidi="ar-SA"/>
        </w:rPr>
        <w:t>采用</w:t>
      </w:r>
      <w:r>
        <w:rPr>
          <w:rFonts w:hint="eastAsia" w:ascii="Times New Roman" w:hAnsi="Times New Roman" w:eastAsia="仿宋_GB2312" w:cs="仿宋_GB2312"/>
          <w:b w:val="0"/>
          <w:bCs w:val="0"/>
          <w:color w:val="auto"/>
          <w:kern w:val="0"/>
          <w:position w:val="0"/>
          <w:sz w:val="32"/>
          <w:szCs w:val="32"/>
          <w:highlight w:val="none"/>
          <w:lang w:val="zh-CN" w:eastAsia="zh-CN" w:bidi="ar-SA"/>
        </w:rPr>
        <w:t>座谈调研法</w:t>
      </w:r>
      <w:r>
        <w:rPr>
          <w:rFonts w:hint="eastAsia" w:eastAsia="仿宋_GB2312" w:cs="仿宋_GB2312"/>
          <w:b w:val="0"/>
          <w:bCs w:val="0"/>
          <w:color w:val="auto"/>
          <w:kern w:val="0"/>
          <w:position w:val="0"/>
          <w:sz w:val="32"/>
          <w:szCs w:val="32"/>
          <w:highlight w:val="none"/>
          <w:lang w:val="zh-CN" w:eastAsia="zh-CN" w:bidi="ar-SA"/>
        </w:rPr>
        <w:t>，</w:t>
      </w:r>
      <w:r>
        <w:rPr>
          <w:rFonts w:hint="eastAsia" w:ascii="Times New Roman" w:hAnsi="Times New Roman" w:eastAsia="仿宋_GB2312" w:cs="仿宋_GB2312"/>
          <w:b w:val="0"/>
          <w:bCs w:val="0"/>
          <w:color w:val="auto"/>
          <w:kern w:val="0"/>
          <w:position w:val="0"/>
          <w:sz w:val="32"/>
          <w:szCs w:val="32"/>
          <w:highlight w:val="none"/>
          <w:lang w:val="zh-CN" w:eastAsia="zh-CN" w:bidi="ar-SA"/>
        </w:rPr>
        <w:t>与村（社区）干部、群众代表座谈，了解经费使用成效及存在问题，广泛收集群众对项目实施效果的满意度反馈。通过对项目资金投入、产出数量、质量、时效、成本，以及项目实施所产生的经济效益、社会效益、可持续影响和服务对象满意度等多维度指标进行全面、系统的综合分析，确保评价结果全面、客观、准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Times New Roman"/>
          <w:bCs/>
          <w:color w:val="auto"/>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color w:val="auto"/>
          <w:kern w:val="0"/>
          <w:position w:val="0"/>
          <w:sz w:val="32"/>
          <w:szCs w:val="32"/>
          <w:highlight w:val="none"/>
          <w:lang w:val="zh-CN" w:eastAsia="zh-CN" w:bidi="ar-SA"/>
        </w:rPr>
        <w:t>本次绩效评价工作构建了“政府主导、部门协同”的组织架构，为评价工作的科学、规范、有序开展提供坚实保障。成立由党建、财政、</w:t>
      </w:r>
      <w:r>
        <w:rPr>
          <w:rFonts w:hint="eastAsia" w:eastAsia="仿宋_GB2312" w:cs="仿宋_GB2312"/>
          <w:b w:val="0"/>
          <w:bCs w:val="0"/>
          <w:color w:val="auto"/>
          <w:kern w:val="0"/>
          <w:position w:val="0"/>
          <w:sz w:val="32"/>
          <w:szCs w:val="32"/>
          <w:highlight w:val="none"/>
          <w:lang w:val="zh-CN" w:eastAsia="zh-CN" w:bidi="ar-SA"/>
        </w:rPr>
        <w:t>重点办、农服中心</w:t>
      </w:r>
      <w:r>
        <w:rPr>
          <w:rFonts w:hint="eastAsia" w:ascii="Times New Roman" w:hAnsi="Times New Roman" w:eastAsia="仿宋_GB2312" w:cs="仿宋_GB2312"/>
          <w:b w:val="0"/>
          <w:bCs w:val="0"/>
          <w:color w:val="auto"/>
          <w:kern w:val="0"/>
          <w:position w:val="0"/>
          <w:sz w:val="32"/>
          <w:szCs w:val="32"/>
          <w:highlight w:val="none"/>
          <w:lang w:val="zh-CN" w:eastAsia="zh-CN" w:bidi="ar-SA"/>
        </w:rPr>
        <w:t>、纪检等多部门组成的绩效评价领导小组，负责统筹协调评价工作，审定评价方案、指标体系及评价报告，对评价工作进行全过程监督和指导。评价工作组严格遵循《财政支出绩效评价管理办法》等相关规定，制定详细、严谨的评价工作流程，明确各环节工作内容、责任人员及时间节点。通过定期召开工作推进会、开展内部质量审核等方式，切实保障评价工作的质量和效率，确保评价结果真实、可靠、客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default" w:ascii="Times New Roman" w:hAnsi="Times New Roman" w:eastAsia="仿宋_GB2312" w:cs="仿宋_GB2312"/>
          <w:b w:val="0"/>
          <w:bCs w:val="0"/>
          <w:color w:val="auto"/>
          <w:kern w:val="0"/>
          <w:position w:val="0"/>
          <w:sz w:val="32"/>
          <w:szCs w:val="32"/>
          <w:highlight w:val="none"/>
          <w:lang w:val="zh-CN" w:eastAsia="zh-CN" w:bidi="ar-SA"/>
        </w:rPr>
        <w:t>根据</w:t>
      </w:r>
      <w:r>
        <w:rPr>
          <w:rFonts w:hint="eastAsia" w:ascii="Times New Roman" w:hAnsi="Times New Roman" w:eastAsia="仿宋_GB2312" w:cs="仿宋_GB2312"/>
          <w:b w:val="0"/>
          <w:bCs w:val="0"/>
          <w:color w:val="auto"/>
          <w:kern w:val="0"/>
          <w:position w:val="0"/>
          <w:sz w:val="32"/>
          <w:szCs w:val="32"/>
          <w:highlight w:val="none"/>
          <w:lang w:val="zh-CN" w:eastAsia="zh-CN" w:bidi="ar-SA"/>
        </w:rPr>
        <w:t>项目</w:t>
      </w:r>
      <w:r>
        <w:rPr>
          <w:rFonts w:hint="default" w:ascii="Times New Roman" w:hAnsi="Times New Roman" w:eastAsia="仿宋_GB2312" w:cs="仿宋_GB2312"/>
          <w:b w:val="0"/>
          <w:bCs w:val="0"/>
          <w:color w:val="auto"/>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color w:val="auto"/>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color w:val="auto"/>
          <w:kern w:val="0"/>
          <w:position w:val="0"/>
          <w:sz w:val="32"/>
          <w:szCs w:val="32"/>
          <w:highlight w:val="none"/>
          <w:lang w:val="zh-CN" w:eastAsia="zh-CN" w:bidi="ar-SA"/>
        </w:rPr>
        <w:t>涉及</w:t>
      </w:r>
      <w:r>
        <w:rPr>
          <w:rFonts w:hint="eastAsia" w:ascii="Times New Roman" w:hAnsi="Times New Roman" w:eastAsia="仿宋_GB2312" w:cs="仿宋_GB2312"/>
          <w:b w:val="0"/>
          <w:bCs w:val="0"/>
          <w:color w:val="auto"/>
          <w:kern w:val="0"/>
          <w:position w:val="0"/>
          <w:sz w:val="32"/>
          <w:szCs w:val="32"/>
          <w:highlight w:val="none"/>
          <w:lang w:val="zh-CN" w:eastAsia="zh-CN" w:bidi="ar-SA"/>
        </w:rPr>
        <w:t>二、三级</w:t>
      </w:r>
      <w:r>
        <w:rPr>
          <w:rFonts w:hint="default" w:ascii="Times New Roman" w:hAnsi="Times New Roman" w:eastAsia="仿宋_GB2312" w:cs="仿宋_GB2312"/>
          <w:b w:val="0"/>
          <w:bCs w:val="0"/>
          <w:color w:val="auto"/>
          <w:kern w:val="0"/>
          <w:position w:val="0"/>
          <w:sz w:val="32"/>
          <w:szCs w:val="32"/>
          <w:highlight w:val="none"/>
          <w:lang w:val="zh-CN" w:eastAsia="zh-CN" w:bidi="ar-SA"/>
        </w:rPr>
        <w:t>指标进行</w:t>
      </w:r>
      <w:r>
        <w:rPr>
          <w:rFonts w:hint="eastAsia" w:ascii="Times New Roman" w:hAnsi="Times New Roman" w:eastAsia="仿宋_GB2312" w:cs="仿宋_GB2312"/>
          <w:b w:val="0"/>
          <w:bCs w:val="0"/>
          <w:color w:val="auto"/>
          <w:kern w:val="0"/>
          <w:position w:val="0"/>
          <w:sz w:val="32"/>
          <w:szCs w:val="32"/>
          <w:highlight w:val="none"/>
          <w:lang w:val="zh-CN" w:eastAsia="zh-CN" w:bidi="ar-SA"/>
        </w:rPr>
        <w:t>逐项</w:t>
      </w:r>
      <w:r>
        <w:rPr>
          <w:rFonts w:hint="default" w:ascii="Times New Roman" w:hAnsi="Times New Roman" w:eastAsia="仿宋_GB2312" w:cs="仿宋_GB2312"/>
          <w:b w:val="0"/>
          <w:bCs w:val="0"/>
          <w:color w:val="auto"/>
          <w:kern w:val="0"/>
          <w:position w:val="0"/>
          <w:sz w:val="32"/>
          <w:szCs w:val="32"/>
          <w:highlight w:val="none"/>
          <w:lang w:val="zh-CN" w:eastAsia="zh-CN" w:bidi="ar-SA"/>
        </w:rPr>
        <w:t>绩效分析</w:t>
      </w:r>
      <w:r>
        <w:rPr>
          <w:rFonts w:hint="eastAsia" w:ascii="Times New Roman" w:hAnsi="Times New Roman" w:eastAsia="仿宋_GB2312" w:cs="仿宋_GB2312"/>
          <w:b w:val="0"/>
          <w:bCs w:val="0"/>
          <w:color w:val="auto"/>
          <w:kern w:val="0"/>
          <w:position w:val="0"/>
          <w:sz w:val="32"/>
          <w:szCs w:val="32"/>
          <w:highlight w:val="none"/>
          <w:lang w:val="zh-CN" w:eastAsia="zh-CN" w:bidi="ar-SA"/>
        </w:rPr>
        <w:t>并评分</w:t>
      </w:r>
      <w:r>
        <w:rPr>
          <w:rFonts w:hint="eastAsia" w:ascii="Times New Roman" w:hAnsi="Times New Roman"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zh-CN" w:eastAsia="zh-CN" w:bidi="ar-SA"/>
        </w:rPr>
        <w:t>项目决策。决策程序规范，依据川财预〔2023〕91号文件及西眉镇实际制定工作计划，经过集体讨论与审批；规划论证充分，结合村（社区）实际需求明确四类支出方向；资金投向精准，全部用于指定公共服务领域，无偏离主题情况。</w:t>
      </w:r>
      <w:r>
        <w:rPr>
          <w:rFonts w:hint="default" w:ascii="仿宋_GB2312" w:hAnsi="Calibri" w:eastAsia="仿宋_GB2312" w:cs="仿宋_GB2312"/>
          <w:b w:val="0"/>
          <w:bCs w:val="0"/>
          <w:color w:val="auto"/>
          <w:kern w:val="0"/>
          <w:sz w:val="32"/>
          <w:szCs w:val="32"/>
          <w:lang w:val="en-US" w:eastAsia="zh-CN" w:bidi="ar"/>
        </w:rPr>
        <w:t>综合得分18分</w:t>
      </w:r>
      <w:r>
        <w:rPr>
          <w:rFonts w:hint="eastAsia" w:ascii="仿宋_GB2312" w:eastAsia="仿宋_GB2312" w:cs="仿宋_GB2312"/>
          <w:b w:val="0"/>
          <w:bCs w:val="0"/>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2.</w:t>
      </w:r>
      <w:r>
        <w:rPr>
          <w:rFonts w:hint="eastAsia" w:ascii="Times New Roman" w:hAnsi="Times New Roman" w:eastAsia="仿宋_GB2312" w:cs="仿宋_GB2312"/>
          <w:b w:val="0"/>
          <w:bCs w:val="0"/>
          <w:color w:val="auto"/>
          <w:kern w:val="0"/>
          <w:position w:val="0"/>
          <w:sz w:val="32"/>
          <w:szCs w:val="32"/>
          <w:highlight w:val="none"/>
          <w:lang w:val="zh-CN" w:eastAsia="zh-CN" w:bidi="ar-SA"/>
        </w:rPr>
        <w:t>项目管理。制度办法健全，严格执行《村级公共服务经费补助资金管理办法》及镇内补充细则；分配管理合理，按村（社区）需求科学分配资金，过程公开透明；绩效监管到位，定期检查经费使用情况，</w:t>
      </w:r>
      <w:r>
        <w:rPr>
          <w:rFonts w:hint="default" w:ascii="仿宋_GB2312" w:hAnsi="仿宋_GB2312" w:eastAsia="仿宋_GB2312" w:cs="仿宋_GB2312"/>
          <w:b w:val="0"/>
          <w:bCs w:val="0"/>
          <w:color w:val="auto"/>
          <w:kern w:val="0"/>
          <w:position w:val="0"/>
          <w:sz w:val="32"/>
          <w:szCs w:val="32"/>
          <w:highlight w:val="none"/>
          <w:lang w:val="en-US" w:eastAsia="zh-CN" w:bidi="ar-SA"/>
        </w:rPr>
        <w:t>未出现任何违规挪用、挤占现象，有力保障了</w:t>
      </w:r>
      <w:r>
        <w:rPr>
          <w:rFonts w:hint="eastAsia" w:ascii="仿宋_GB2312" w:hAnsi="仿宋_GB2312" w:eastAsia="仿宋_GB2312" w:cs="仿宋_GB2312"/>
          <w:b w:val="0"/>
          <w:bCs w:val="0"/>
          <w:color w:val="auto"/>
          <w:kern w:val="0"/>
          <w:position w:val="0"/>
          <w:sz w:val="32"/>
          <w:szCs w:val="32"/>
          <w:highlight w:val="none"/>
          <w:lang w:val="en-US" w:eastAsia="zh-CN" w:bidi="ar-SA"/>
        </w:rPr>
        <w:t>村级公共服务经费</w:t>
      </w:r>
      <w:r>
        <w:rPr>
          <w:rFonts w:hint="default" w:ascii="仿宋_GB2312" w:hAnsi="仿宋_GB2312" w:eastAsia="仿宋_GB2312" w:cs="仿宋_GB2312"/>
          <w:b w:val="0"/>
          <w:bCs w:val="0"/>
          <w:color w:val="auto"/>
          <w:kern w:val="0"/>
          <w:position w:val="0"/>
          <w:sz w:val="32"/>
          <w:szCs w:val="32"/>
          <w:highlight w:val="none"/>
          <w:lang w:val="en-US" w:eastAsia="zh-CN" w:bidi="ar-SA"/>
        </w:rPr>
        <w:t>需求和使用安全。</w:t>
      </w:r>
      <w:r>
        <w:rPr>
          <w:rFonts w:hint="eastAsia" w:ascii="仿宋_GB2312" w:hAnsi="仿宋_GB2312" w:eastAsia="仿宋_GB2312" w:cs="仿宋_GB2312"/>
          <w:b w:val="0"/>
          <w:bCs w:val="0"/>
          <w:color w:val="auto"/>
          <w:kern w:val="0"/>
          <w:position w:val="0"/>
          <w:sz w:val="32"/>
          <w:szCs w:val="32"/>
          <w:highlight w:val="none"/>
          <w:lang w:val="en-US" w:eastAsia="zh-CN" w:bidi="ar-SA"/>
        </w:rPr>
        <w:t>综合得分18分。</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3.项目实施。</w:t>
      </w:r>
      <w:r>
        <w:rPr>
          <w:rFonts w:hint="eastAsia" w:ascii="Times New Roman" w:hAnsi="Times New Roman" w:eastAsia="仿宋_GB2312" w:cs="仿宋_GB2312"/>
          <w:b w:val="0"/>
          <w:bCs w:val="0"/>
          <w:color w:val="auto"/>
          <w:kern w:val="0"/>
          <w:position w:val="0"/>
          <w:sz w:val="32"/>
          <w:szCs w:val="32"/>
          <w:highlight w:val="none"/>
          <w:lang w:val="zh-CN" w:eastAsia="zh-CN" w:bidi="ar-SA"/>
        </w:rPr>
        <w:t>预算执行高效，</w:t>
      </w:r>
      <w:r>
        <w:rPr>
          <w:rFonts w:hint="eastAsia" w:eastAsia="仿宋_GB2312" w:cs="仿宋_GB2312"/>
          <w:b w:val="0"/>
          <w:bCs w:val="0"/>
          <w:color w:val="auto"/>
          <w:kern w:val="0"/>
          <w:position w:val="0"/>
          <w:sz w:val="32"/>
          <w:szCs w:val="32"/>
          <w:highlight w:val="none"/>
          <w:lang w:val="zh-CN" w:eastAsia="zh-CN" w:bidi="ar-SA"/>
        </w:rPr>
        <w:t>该项目</w:t>
      </w:r>
      <w:r>
        <w:rPr>
          <w:rFonts w:hint="eastAsia" w:ascii="Times New Roman" w:hAnsi="Times New Roman" w:eastAsia="仿宋_GB2312" w:cs="仿宋_GB2312"/>
          <w:b w:val="0"/>
          <w:bCs w:val="0"/>
          <w:color w:val="auto"/>
          <w:kern w:val="0"/>
          <w:position w:val="0"/>
          <w:sz w:val="32"/>
          <w:szCs w:val="32"/>
          <w:highlight w:val="none"/>
          <w:lang w:val="zh-CN" w:eastAsia="zh-CN" w:bidi="ar-SA"/>
        </w:rPr>
        <w:t>预算224.00万元，实际执行224.00万元，执行率100%；资金使用合规，全部用于</w:t>
      </w:r>
      <w:r>
        <w:rPr>
          <w:rFonts w:hint="eastAsia" w:eastAsia="仿宋_GB2312" w:cs="仿宋_GB2312"/>
          <w:b w:val="0"/>
          <w:bCs w:val="0"/>
          <w:color w:val="auto"/>
          <w:kern w:val="0"/>
          <w:position w:val="0"/>
          <w:sz w:val="32"/>
          <w:szCs w:val="32"/>
          <w:highlight w:val="none"/>
          <w:lang w:val="zh-CN" w:eastAsia="zh-CN" w:bidi="ar-SA"/>
        </w:rPr>
        <w:t>村级</w:t>
      </w:r>
      <w:r>
        <w:rPr>
          <w:rFonts w:hint="eastAsia" w:ascii="Times New Roman" w:hAnsi="Times New Roman" w:eastAsia="仿宋_GB2312" w:cs="仿宋_GB2312"/>
          <w:b w:val="0"/>
          <w:bCs w:val="0"/>
          <w:color w:val="auto"/>
          <w:kern w:val="0"/>
          <w:position w:val="0"/>
          <w:sz w:val="32"/>
          <w:szCs w:val="32"/>
          <w:highlight w:val="none"/>
          <w:lang w:val="zh-CN" w:eastAsia="zh-CN" w:bidi="ar-SA"/>
        </w:rPr>
        <w:t>办公运转、基层活动</w:t>
      </w:r>
      <w:r>
        <w:rPr>
          <w:rFonts w:hint="eastAsia" w:eastAsia="仿宋_GB2312" w:cs="仿宋_GB2312"/>
          <w:b w:val="0"/>
          <w:bCs w:val="0"/>
          <w:color w:val="auto"/>
          <w:kern w:val="0"/>
          <w:position w:val="0"/>
          <w:sz w:val="32"/>
          <w:szCs w:val="32"/>
          <w:highlight w:val="none"/>
          <w:lang w:val="zh-CN" w:eastAsia="zh-CN" w:bidi="ar-SA"/>
        </w:rPr>
        <w:t>、</w:t>
      </w:r>
      <w:r>
        <w:rPr>
          <w:rFonts w:hint="eastAsia" w:ascii="Times New Roman" w:hAnsi="Times New Roman" w:eastAsia="仿宋_GB2312" w:cs="仿宋_GB2312"/>
          <w:color w:val="auto"/>
          <w:kern w:val="0"/>
          <w:sz w:val="32"/>
          <w:szCs w:val="32"/>
          <w:highlight w:val="none"/>
          <w:u w:val="none"/>
          <w:shd w:val="clear" w:color="auto" w:fill="FFFFFF"/>
          <w:lang w:val="zh-CN"/>
        </w:rPr>
        <w:t>服务群众、公共运维四类</w:t>
      </w:r>
      <w:r>
        <w:rPr>
          <w:rFonts w:hint="eastAsia" w:ascii="Times New Roman" w:hAnsi="Times New Roman" w:eastAsia="仿宋_GB2312" w:cs="仿宋_GB2312"/>
          <w:b w:val="0"/>
          <w:bCs w:val="0"/>
          <w:color w:val="auto"/>
          <w:kern w:val="0"/>
          <w:position w:val="0"/>
          <w:sz w:val="32"/>
          <w:szCs w:val="32"/>
          <w:highlight w:val="none"/>
          <w:lang w:val="zh-CN" w:eastAsia="zh-CN" w:bidi="ar-SA"/>
        </w:rPr>
        <w:t>支出，无截留、挪用情况，凭证完整规范。</w:t>
      </w:r>
      <w:r>
        <w:rPr>
          <w:rFonts w:hint="default" w:ascii="仿宋_GB2312" w:hAnsi="Calibri" w:eastAsia="仿宋_GB2312" w:cs="仿宋_GB2312"/>
          <w:b w:val="0"/>
          <w:bCs w:val="0"/>
          <w:color w:val="auto"/>
          <w:kern w:val="0"/>
          <w:sz w:val="32"/>
          <w:szCs w:val="32"/>
          <w:lang w:val="en-US" w:eastAsia="zh-CN" w:bidi="ar"/>
        </w:rPr>
        <w:t>综合评分9分</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4.项目结果。目标全部完成，严格按年度计划落实</w:t>
      </w:r>
      <w:r>
        <w:rPr>
          <w:rFonts w:hint="default" w:ascii="Times New Roman" w:hAnsi="Times New Roman" w:eastAsia="仿宋_GB2312" w:cs="仿宋_GB2312"/>
          <w:color w:val="auto"/>
          <w:kern w:val="0"/>
          <w:sz w:val="32"/>
          <w:szCs w:val="32"/>
          <w:highlight w:val="none"/>
          <w:u w:val="none"/>
          <w:shd w:val="clear" w:color="auto" w:fill="FFFFFF"/>
          <w:lang w:val="zh-CN" w:eastAsia="zh-CN" w:bidi="ar-SA"/>
        </w:rPr>
        <w:t>村级公共服务四类经费支出</w:t>
      </w:r>
      <w:r>
        <w:rPr>
          <w:rFonts w:hint="eastAsia" w:ascii="Times New Roman" w:hAnsi="Times New Roman" w:eastAsia="仿宋_GB2312" w:cs="仿宋_GB2312"/>
          <w:b w:val="0"/>
          <w:bCs w:val="0"/>
          <w:color w:val="auto"/>
          <w:kern w:val="0"/>
          <w:position w:val="0"/>
          <w:sz w:val="32"/>
          <w:szCs w:val="32"/>
          <w:highlight w:val="none"/>
          <w:lang w:val="en-US" w:eastAsia="zh-CN" w:bidi="ar-SA"/>
        </w:rPr>
        <w:t>，覆盖所有村（社区）；完成时效达标，各项支出均在年度内按进度执行，无拖延情况</w:t>
      </w:r>
      <w:r>
        <w:rPr>
          <w:rFonts w:hint="eastAsia" w:ascii="Times New Roman" w:hAnsi="Times New Roman" w:eastAsia="仿宋_GB2312" w:cs="仿宋_GB2312"/>
          <w:b w:val="0"/>
          <w:bCs w:val="0"/>
          <w:color w:val="auto"/>
          <w:kern w:val="0"/>
          <w:position w:val="0"/>
          <w:sz w:val="32"/>
          <w:szCs w:val="32"/>
          <w:highlight w:val="none"/>
          <w:lang w:val="zh-CN" w:eastAsia="zh-CN" w:bidi="ar-SA"/>
        </w:rPr>
        <w:t>。</w:t>
      </w:r>
      <w:r>
        <w:rPr>
          <w:rFonts w:hint="default" w:ascii="仿宋_GB2312" w:hAnsi="Calibri" w:eastAsia="仿宋_GB2312" w:cs="仿宋_GB2312"/>
          <w:b w:val="0"/>
          <w:bCs w:val="0"/>
          <w:color w:val="auto"/>
          <w:kern w:val="0"/>
          <w:sz w:val="32"/>
          <w:szCs w:val="32"/>
          <w:lang w:val="en-US" w:eastAsia="zh-CN" w:bidi="ar"/>
        </w:rPr>
        <w:t>综合评分9分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default" w:ascii="仿宋_GB2312" w:hAnsi="仿宋_GB2312" w:eastAsia="仿宋_GB2312" w:cs="仿宋_GB2312"/>
          <w:b w:val="0"/>
          <w:bCs w:val="0"/>
          <w:color w:val="auto"/>
          <w:kern w:val="0"/>
          <w:position w:val="0"/>
          <w:sz w:val="32"/>
          <w:szCs w:val="32"/>
          <w:highlight w:val="none"/>
          <w:lang w:val="en-US" w:eastAsia="zh-CN" w:bidi="ar-SA"/>
        </w:rPr>
        <w:t>本专项资金主要用于</w:t>
      </w:r>
      <w:r>
        <w:rPr>
          <w:rFonts w:hint="eastAsia" w:ascii="仿宋_GB2312" w:hAnsi="仿宋_GB2312" w:eastAsia="仿宋_GB2312" w:cs="仿宋_GB2312"/>
          <w:b w:val="0"/>
          <w:bCs w:val="0"/>
          <w:color w:val="auto"/>
          <w:kern w:val="0"/>
          <w:position w:val="0"/>
          <w:sz w:val="32"/>
          <w:szCs w:val="32"/>
          <w:highlight w:val="none"/>
          <w:lang w:val="en-US" w:eastAsia="zh-CN" w:bidi="ar-SA"/>
        </w:rPr>
        <w:t>行政运转</w:t>
      </w:r>
      <w:r>
        <w:rPr>
          <w:rFonts w:hint="default" w:ascii="仿宋_GB2312" w:hAnsi="仿宋_GB2312" w:eastAsia="仿宋_GB2312" w:cs="仿宋_GB2312"/>
          <w:b w:val="0"/>
          <w:bCs w:val="0"/>
          <w:color w:val="auto"/>
          <w:kern w:val="0"/>
          <w:position w:val="0"/>
          <w:sz w:val="32"/>
          <w:szCs w:val="32"/>
          <w:highlight w:val="none"/>
          <w:lang w:val="en-US" w:eastAsia="zh-CN" w:bidi="ar-SA"/>
        </w:rPr>
        <w:t>领域，依据相关指标分析如下：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1.</w:t>
      </w:r>
      <w:r>
        <w:rPr>
          <w:rFonts w:hint="eastAsia" w:ascii="仿宋_GB2312" w:hAnsi="仿宋_GB2312" w:eastAsia="仿宋_GB2312" w:cs="仿宋_GB2312"/>
          <w:b w:val="0"/>
          <w:bCs w:val="0"/>
          <w:color w:val="auto"/>
          <w:kern w:val="0"/>
          <w:position w:val="0"/>
          <w:sz w:val="32"/>
          <w:szCs w:val="32"/>
          <w:highlight w:val="none"/>
          <w:lang w:val="zh-CN" w:eastAsia="zh-CN" w:bidi="ar-SA"/>
        </w:rPr>
        <w:t>用途合规性：依据《四川省财政厅关于印发 &lt;村级公共服务经费补助资金管理办法&gt;的通知》（川财预〔2023〕91号）及上级相关规定，224.00万元专项资金全额用于办公运转、基层活动、服务群众、公共运维四类指定用途，无超范围使用情形，完全符合资金用途管理要求，综合得分10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2.</w:t>
      </w:r>
      <w:r>
        <w:rPr>
          <w:rFonts w:hint="eastAsia" w:ascii="仿宋_GB2312" w:hAnsi="仿宋_GB2312" w:eastAsia="仿宋_GB2312" w:cs="仿宋_GB2312"/>
          <w:b w:val="0"/>
          <w:bCs w:val="0"/>
          <w:color w:val="auto"/>
          <w:kern w:val="0"/>
          <w:position w:val="0"/>
          <w:sz w:val="32"/>
          <w:szCs w:val="32"/>
          <w:highlight w:val="none"/>
          <w:lang w:val="zh-CN" w:eastAsia="zh-CN" w:bidi="ar-SA"/>
        </w:rPr>
        <w:t>程序合规性：严格遵循上级关于村级公共服务经费管理的流程规定，从村（社区）申请、镇级审核，到资金拨付、信息公示及后续监管，各环节均按上级既定程序推进，无程序遗漏、审批缺位等问题，符合专项资金管理程序要求，综合得分10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3.</w:t>
      </w:r>
      <w:r>
        <w:rPr>
          <w:rFonts w:hint="eastAsia" w:ascii="仿宋_GB2312" w:hAnsi="仿宋_GB2312" w:eastAsia="仿宋_GB2312" w:cs="仿宋_GB2312"/>
          <w:b w:val="0"/>
          <w:bCs w:val="0"/>
          <w:color w:val="auto"/>
          <w:kern w:val="0"/>
          <w:position w:val="0"/>
          <w:sz w:val="32"/>
          <w:szCs w:val="32"/>
          <w:highlight w:val="none"/>
          <w:lang w:val="zh-CN" w:eastAsia="zh-CN" w:bidi="ar-SA"/>
        </w:rPr>
        <w:t>标准合规性：按照川财预〔2023〕91号文件及上级财政支出相关标准执行资金分配与使用，明确各类支出执行标准，无超标准列支、补贴迟发漏发等情况，完全契合上级标准管理规定，综合得分10分。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eastAsia" w:ascii="Times New Roman" w:hAnsi="Times New Roman" w:eastAsia="仿宋_GB2312" w:cs="仿宋_GB2312"/>
          <w:b w:val="0"/>
          <w:bCs w:val="0"/>
          <w:color w:val="auto"/>
          <w:kern w:val="0"/>
          <w:position w:val="0"/>
          <w:sz w:val="32"/>
          <w:szCs w:val="32"/>
          <w:highlight w:val="none"/>
          <w:lang w:val="zh-CN" w:eastAsia="zh-CN" w:bidi="ar-SA"/>
        </w:rPr>
        <w:t>根据项目特点，设定个性指标为“资金保障率”。反映村级公共服务经费对村和社区在履行职责过程中必要支出的保障程度，体现经费对基层组织正常运转的支撑效果</w:t>
      </w:r>
      <w:r>
        <w:rPr>
          <w:rFonts w:hint="eastAsia" w:eastAsia="仿宋_GB2312" w:cs="仿宋_GB2312"/>
          <w:b w:val="0"/>
          <w:bCs w:val="0"/>
          <w:color w:val="auto"/>
          <w:kern w:val="0"/>
          <w:position w:val="0"/>
          <w:sz w:val="32"/>
          <w:szCs w:val="32"/>
          <w:highlight w:val="none"/>
          <w:lang w:val="zh-CN" w:eastAsia="zh-CN" w:bidi="ar-SA"/>
        </w:rPr>
        <w:t>。项目预算</w:t>
      </w:r>
      <w:r>
        <w:rPr>
          <w:rFonts w:hint="eastAsia" w:ascii="Times New Roman" w:hAnsi="Times New Roman" w:eastAsia="仿宋_GB2312" w:cs="仿宋_GB2312"/>
          <w:b w:val="0"/>
          <w:bCs w:val="0"/>
          <w:color w:val="auto"/>
          <w:kern w:val="0"/>
          <w:position w:val="0"/>
          <w:sz w:val="32"/>
          <w:szCs w:val="32"/>
          <w:highlight w:val="none"/>
          <w:lang w:val="zh-CN" w:eastAsia="zh-CN" w:bidi="ar-SA"/>
        </w:rPr>
        <w:t>全额执行，覆盖所有村（社区）办公运转、基层活动、服务群众、公共运维四类必要支出，资金保障率100%，达成预设目标，有效支持村（社区）高效履职，综合</w:t>
      </w:r>
      <w:r>
        <w:rPr>
          <w:rFonts w:hint="eastAsia" w:eastAsia="仿宋_GB2312" w:cs="仿宋_GB2312"/>
          <w:b w:val="0"/>
          <w:bCs w:val="0"/>
          <w:color w:val="auto"/>
          <w:kern w:val="0"/>
          <w:position w:val="0"/>
          <w:sz w:val="32"/>
          <w:szCs w:val="32"/>
          <w:highlight w:val="none"/>
          <w:lang w:val="zh-CN" w:eastAsia="zh-CN" w:bidi="ar-SA"/>
        </w:rPr>
        <w:t>得分</w:t>
      </w:r>
      <w:r>
        <w:rPr>
          <w:rFonts w:hint="eastAsia" w:ascii="Times New Roman" w:hAnsi="Times New Roman" w:eastAsia="仿宋_GB2312" w:cs="仿宋_GB2312"/>
          <w:b w:val="0"/>
          <w:bCs w:val="0"/>
          <w:color w:val="auto"/>
          <w:kern w:val="0"/>
          <w:position w:val="0"/>
          <w:sz w:val="32"/>
          <w:szCs w:val="32"/>
          <w:highlight w:val="none"/>
          <w:lang w:val="zh-CN" w:eastAsia="zh-CN" w:bidi="ar-SA"/>
        </w:rPr>
        <w:t>16分。</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hAnsi="黑体" w:eastAsia="黑体" w:cs="黑体"/>
          <w:b w:val="0"/>
          <w:bCs w:val="0"/>
          <w:color w:val="auto"/>
          <w:kern w:val="0"/>
          <w:position w:val="0"/>
          <w:sz w:val="32"/>
          <w:szCs w:val="32"/>
          <w:highlight w:val="none"/>
          <w:lang w:val="en-US" w:eastAsia="zh-CN" w:bidi="ar-SA"/>
        </w:rPr>
      </w:pPr>
      <w:r>
        <w:rPr>
          <w:rFonts w:hint="eastAsia" w:ascii="黑体" w:hAnsi="黑体" w:eastAsia="黑体" w:cs="黑体"/>
          <w:b w:val="0"/>
          <w:bCs w:val="0"/>
          <w:color w:val="auto"/>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本项目绩效自评总得分为100分。项目严格按照上级文件要求及年度计划实施，预算执行率达100%，资金管理规范，全部用于</w:t>
      </w:r>
      <w:r>
        <w:rPr>
          <w:rFonts w:hint="eastAsia" w:eastAsia="仿宋_GB2312" w:cs="仿宋_GB2312"/>
          <w:b w:val="0"/>
          <w:bCs w:val="0"/>
          <w:color w:val="auto"/>
          <w:kern w:val="0"/>
          <w:position w:val="0"/>
          <w:sz w:val="32"/>
          <w:szCs w:val="32"/>
          <w:highlight w:val="none"/>
          <w:lang w:val="en-US" w:eastAsia="zh-CN" w:bidi="ar-SA"/>
        </w:rPr>
        <w:t>村（社区）</w:t>
      </w:r>
      <w:r>
        <w:rPr>
          <w:rFonts w:hint="eastAsia" w:ascii="Times New Roman" w:hAnsi="Times New Roman" w:eastAsia="仿宋_GB2312" w:cs="仿宋_GB2312"/>
          <w:b w:val="0"/>
          <w:bCs w:val="0"/>
          <w:color w:val="auto"/>
          <w:kern w:val="0"/>
          <w:position w:val="0"/>
          <w:sz w:val="32"/>
          <w:szCs w:val="32"/>
          <w:highlight w:val="none"/>
          <w:lang w:val="en-US" w:eastAsia="zh-CN" w:bidi="ar-SA"/>
        </w:rPr>
        <w:t>办公运转、基层活动、服务群众、公共运维四类指定用途。通过项目实施，有效加强了各村（社区）组织运转经费保障，提升了村（社区）干部干事积极性和村（居）民满意度，总体达到预期绩效目标。</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hAnsi="黑体" w:eastAsia="黑体" w:cs="黑体"/>
          <w:b w:val="0"/>
          <w:bCs w:val="0"/>
          <w:color w:val="auto"/>
          <w:kern w:val="0"/>
          <w:position w:val="0"/>
          <w:sz w:val="32"/>
          <w:szCs w:val="32"/>
          <w:highlight w:val="none"/>
          <w:lang w:val="en-US" w:eastAsia="zh-CN" w:bidi="ar-SA"/>
        </w:rPr>
      </w:pPr>
      <w:r>
        <w:rPr>
          <w:rFonts w:hint="eastAsia" w:ascii="黑体" w:hAnsi="黑体" w:eastAsia="黑体" w:cs="黑体"/>
          <w:b w:val="0"/>
          <w:bCs w:val="0"/>
          <w:color w:val="auto"/>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部分项目资金拨付进度滞后，未能完全按照村（社区）实际需求及时到位，一定程度上影响了部分紧急公共服务的开展效率。</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hAnsi="黑体" w:eastAsia="黑体" w:cs="黑体"/>
          <w:b w:val="0"/>
          <w:bCs w:val="0"/>
          <w:color w:val="auto"/>
          <w:kern w:val="0"/>
          <w:position w:val="0"/>
          <w:sz w:val="32"/>
          <w:szCs w:val="32"/>
          <w:highlight w:val="none"/>
          <w:lang w:val="zh-CN" w:eastAsia="zh-CN" w:bidi="ar-SA"/>
        </w:rPr>
      </w:pPr>
      <w:r>
        <w:rPr>
          <w:rFonts w:hint="eastAsia" w:ascii="黑体" w:hAnsi="黑体" w:eastAsia="黑体" w:cs="黑体"/>
          <w:b w:val="0"/>
          <w:bCs w:val="0"/>
          <w:color w:val="auto"/>
          <w:kern w:val="0"/>
          <w:position w:val="0"/>
          <w:sz w:val="32"/>
          <w:szCs w:val="32"/>
          <w:highlight w:val="none"/>
          <w:lang w:val="zh-CN" w:eastAsia="zh-CN" w:bidi="ar-SA"/>
        </w:rPr>
        <w:t>六、改进建议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eastAsia="仿宋_GB2312" w:cs="仿宋_GB2312"/>
          <w:b w:val="0"/>
          <w:bCs w:val="0"/>
          <w:color w:val="auto"/>
          <w:kern w:val="0"/>
          <w:position w:val="0"/>
          <w:sz w:val="32"/>
          <w:szCs w:val="32"/>
          <w:highlight w:val="none"/>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en-US" w:eastAsia="zh-CN" w:bidi="ar-SA"/>
        </w:rPr>
        <w:t>优化资金审批流程：积极向上级部门沟通协调，缩短审批时间，确保经费及时拨付；</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eastAsia="仿宋_GB2312" w:cs="仿宋_GB2312"/>
          <w:b w:val="0"/>
          <w:bCs w:val="0"/>
          <w:color w:val="auto"/>
          <w:kern w:val="0"/>
          <w:position w:val="0"/>
          <w:sz w:val="32"/>
          <w:szCs w:val="32"/>
          <w:highlight w:val="none"/>
          <w:lang w:val="en-US" w:eastAsia="zh-CN" w:bidi="ar-SA"/>
        </w:rPr>
        <w:t>2.</w:t>
      </w:r>
      <w:r>
        <w:rPr>
          <w:rFonts w:hint="eastAsia" w:ascii="Times New Roman" w:hAnsi="Times New Roman" w:eastAsia="仿宋_GB2312" w:cs="仿宋_GB2312"/>
          <w:b w:val="0"/>
          <w:bCs w:val="0"/>
          <w:color w:val="auto"/>
          <w:kern w:val="0"/>
          <w:position w:val="0"/>
          <w:sz w:val="32"/>
          <w:szCs w:val="32"/>
          <w:highlight w:val="none"/>
          <w:lang w:val="en-US" w:eastAsia="zh-CN" w:bidi="ar-SA"/>
        </w:rPr>
        <w:t>建立动态调整机制：根据村（社区）实际需求变化，动态调整经费分配与拨付计划，增强灵活性；</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eastAsia="仿宋_GB2312" w:cs="仿宋_GB2312"/>
          <w:b w:val="0"/>
          <w:bCs w:val="0"/>
          <w:color w:val="auto"/>
          <w:kern w:val="0"/>
          <w:position w:val="0"/>
          <w:sz w:val="32"/>
          <w:szCs w:val="32"/>
          <w:highlight w:val="none"/>
          <w:lang w:val="en-US" w:eastAsia="zh-CN" w:bidi="ar-SA"/>
        </w:rPr>
        <w:t>3.</w:t>
      </w:r>
      <w:r>
        <w:rPr>
          <w:rFonts w:hint="eastAsia" w:ascii="Times New Roman" w:hAnsi="Times New Roman" w:eastAsia="仿宋_GB2312" w:cs="仿宋_GB2312"/>
          <w:b w:val="0"/>
          <w:bCs w:val="0"/>
          <w:color w:val="auto"/>
          <w:kern w:val="0"/>
          <w:position w:val="0"/>
          <w:sz w:val="32"/>
          <w:szCs w:val="32"/>
          <w:highlight w:val="none"/>
          <w:lang w:val="en-US" w:eastAsia="zh-CN" w:bidi="ar-SA"/>
        </w:rPr>
        <w:t>优先保障紧急民生需求：在预算执行与资金拨付中，对紧急民生服务项目（如突发公共设施维修、特殊群体帮扶等）开辟“绿色通道”，提高响应效率。</w:t>
      </w:r>
    </w:p>
    <w:p>
      <w:pPr>
        <w:pStyle w:val="2"/>
        <w:rPr>
          <w:rFonts w:hint="eastAsia" w:ascii="Times New Roman" w:hAnsi="Times New Roman" w:eastAsia="仿宋_GB2312" w:cs="仿宋_GB2312"/>
          <w:b w:val="0"/>
          <w:bCs w:val="0"/>
          <w:color w:val="auto"/>
          <w:kern w:val="0"/>
          <w:position w:val="0"/>
          <w:sz w:val="32"/>
          <w:szCs w:val="32"/>
          <w:highlight w:val="none"/>
          <w:lang w:val="en-US" w:eastAsia="zh-CN" w:bidi="ar-SA"/>
        </w:rPr>
      </w:pPr>
    </w:p>
    <w:p>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附表：项目支出绩效自评表</w:t>
      </w:r>
    </w:p>
    <w:p>
      <w:pPr>
        <w:pStyle w:val="2"/>
        <w:rPr>
          <w:rFonts w:hint="eastAsia" w:ascii="Times New Roman" w:hAnsi="Times New Roman" w:eastAsia="仿宋_GB2312" w:cs="仿宋_GB2312"/>
          <w:b w:val="0"/>
          <w:bCs w:val="0"/>
          <w:color w:val="auto"/>
          <w:kern w:val="0"/>
          <w:position w:val="0"/>
          <w:sz w:val="32"/>
          <w:szCs w:val="32"/>
          <w:highlight w:val="none"/>
          <w:lang w:val="en-US" w:eastAsia="zh-CN" w:bidi="ar-SA"/>
        </w:rPr>
      </w:pPr>
    </w:p>
    <w:p>
      <w:pPr>
        <w:pStyle w:val="3"/>
        <w:rPr>
          <w:rFonts w:hint="default"/>
          <w:lang w:val="en-US" w:eastAsia="zh-CN"/>
        </w:rPr>
        <w:sectPr>
          <w:footerReference r:id="rId8" w:type="first"/>
          <w:footerReference r:id="rId7" w:type="default"/>
          <w:pgSz w:w="11906" w:h="16838"/>
          <w:pgMar w:top="1440" w:right="1746" w:bottom="1327" w:left="1800" w:header="851" w:footer="992" w:gutter="0"/>
          <w:pgNumType w:fmt="decimal" w:start="1"/>
          <w:cols w:space="425" w:num="1"/>
          <w:titlePg/>
          <w:docGrid w:type="lines" w:linePitch="312" w:charSpace="0"/>
        </w:sect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0"/>
        <w:gridCol w:w="900"/>
        <w:gridCol w:w="1197"/>
        <w:gridCol w:w="396"/>
        <w:gridCol w:w="840"/>
        <w:gridCol w:w="396"/>
        <w:gridCol w:w="846"/>
        <w:gridCol w:w="486"/>
        <w:gridCol w:w="486"/>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51090424T000011646123-2024年村级公共服务经费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遂宁市安居区西眉镇人民政府部门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四川省财政厅关于印发&lt;村级公共服务经费补助资金管理办法&gt;的通知》（川财预〔2023〕91号）文件要求，结合西眉镇实际情况制定年度工作计划，主要用于办公运转、基层活动、服务群众、公共运维四类。</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依据川财预〔2023〕91号文件要求，结合西眉镇实际情况制定年度工作计划，主要用于办公运转、基层活动、服务群众、公共运维四类。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眉镇按上级文件要求，结合实际情况制定了工作计划，合理将村级公共服务经费用于办公运转、基层活动、服务群众、公共运维四类。进一步规范了村级公共服务经费补助资金管理，加强了各村（社区）组织运转经费保障，增强了村（社区）干部干事积极性，提升了村（居）民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100分，我镇按上级文件要求，结合实际情况制定了工作计划，合理将村级公共服务经费用于办公运转、基层活动、服务群众、公共运维四类。进一步规范了村级公共服务经费补助资金管理，加强了各村（社区）组织运转经费保障，增强了村（社区）干部干事积极性，提升了村（居）民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部分项目资金拨付进度滞后。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积极向上争取资金审批，建立动态调整机制，优先保障紧急民生需求。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项目负责人：何桂英</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财务负责人：杨利娟</w:t>
            </w:r>
          </w:p>
        </w:tc>
      </w:tr>
    </w:tbl>
    <w:p>
      <w:pPr>
        <w:pStyle w:val="3"/>
        <w:ind w:left="0" w:leftChars="0" w:firstLine="0" w:firstLineChars="0"/>
        <w:rPr>
          <w:rFonts w:hint="eastAsia"/>
          <w:lang w:val="en-US" w:eastAsia="zh-CN"/>
        </w:rPr>
        <w:sectPr>
          <w:pgSz w:w="11906" w:h="16838"/>
          <w:pgMar w:top="1440" w:right="1746" w:bottom="1327" w:left="1800" w:header="851" w:footer="992" w:gutter="0"/>
          <w:pgNumType w:fmt="decimal"/>
          <w:cols w:space="425" w:num="1"/>
          <w:titlePg/>
          <w:docGrid w:type="lines" w:linePitch="312" w:charSpace="0"/>
        </w:sectPr>
      </w:pP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000000"/>
          <w:kern w:val="0"/>
          <w:sz w:val="44"/>
          <w:szCs w:val="44"/>
          <w:highlight w:val="none"/>
          <w:lang w:val="en-US" w:eastAsia="zh-CN"/>
        </w:rPr>
      </w:pPr>
      <w:r>
        <w:rPr>
          <w:rFonts w:hint="eastAsia" w:ascii="方正小标宋简体" w:hAnsi="宋体" w:eastAsia="方正小标宋简体" w:cs="Times New Roman"/>
          <w:color w:val="000000"/>
          <w:kern w:val="0"/>
          <w:sz w:val="44"/>
          <w:szCs w:val="44"/>
          <w:highlight w:val="none"/>
          <w:lang w:val="en-US" w:eastAsia="zh-CN"/>
        </w:rPr>
        <w:t>遂宁市安居区西眉镇人民政府</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000000"/>
          <w:kern w:val="0"/>
          <w:sz w:val="44"/>
          <w:szCs w:val="44"/>
          <w:highlight w:val="none"/>
          <w:lang w:val="en-US" w:eastAsia="zh-CN"/>
        </w:rPr>
      </w:pPr>
      <w:r>
        <w:rPr>
          <w:rFonts w:hint="eastAsia" w:ascii="方正小标宋简体" w:hAnsi="宋体" w:eastAsia="方正小标宋简体" w:cs="Times New Roman"/>
          <w:color w:val="000000"/>
          <w:kern w:val="0"/>
          <w:sz w:val="44"/>
          <w:szCs w:val="44"/>
          <w:highlight w:val="none"/>
          <w:lang w:val="en-US" w:eastAsia="zh-CN"/>
        </w:rPr>
        <w:t>2024年民生实事票决制项目经费</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000000"/>
          <w:kern w:val="0"/>
          <w:sz w:val="44"/>
          <w:szCs w:val="44"/>
          <w:highlight w:val="none"/>
          <w:lang w:val="en-US" w:eastAsia="zh-CN"/>
        </w:rPr>
      </w:pPr>
      <w:r>
        <w:rPr>
          <w:rFonts w:hint="eastAsia" w:ascii="方正小标宋简体" w:hAnsi="宋体" w:eastAsia="方正小标宋简体" w:cs="Times New Roman"/>
          <w:color w:val="000000"/>
          <w:kern w:val="0"/>
          <w:sz w:val="44"/>
          <w:szCs w:val="44"/>
          <w:highlight w:val="none"/>
          <w:lang w:val="en-US" w:eastAsia="zh-CN"/>
        </w:rPr>
        <w:t>绩效自评报告</w:t>
      </w:r>
    </w:p>
    <w:p>
      <w:pPr>
        <w:pStyle w:val="36"/>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ascii="Times New Roman" w:hAnsi="Times New Roman" w:eastAsia="方正小标宋简体" w:cs="方正小标宋简体"/>
          <w:color w:val="auto"/>
          <w:kern w:val="2"/>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Times New Roman" w:hAnsi="Times New Roman" w:eastAsia="仿宋_GB2312" w:cs="仿宋_GB2312"/>
          <w:b w:val="0"/>
          <w:bCs w:val="0"/>
          <w:kern w:val="0"/>
          <w:position w:val="0"/>
          <w:sz w:val="32"/>
          <w:szCs w:val="32"/>
          <w:highlight w:val="none"/>
          <w:lang w:val="en-US" w:eastAsia="zh-CN" w:bidi="ar-SA"/>
        </w:rPr>
        <w:t>为切实回应群众对公共设施改善的迫切需求，落实民生实事民主决策机制，依据民生实事票决制相关政策规定，设立2024年民生实事票决制项目经费。该项目通过群众票决方式确定实施内容，聚焦群众急难愁盼的公共设施短板，旨在通过精准投入解决实际问题。</w:t>
      </w:r>
      <w:r>
        <w:rPr>
          <w:rFonts w:hint="eastAsia" w:eastAsia="仿宋_GB2312" w:cs="仿宋_GB2312"/>
          <w:b w:val="0"/>
          <w:bCs w:val="0"/>
          <w:kern w:val="0"/>
          <w:position w:val="0"/>
          <w:sz w:val="32"/>
          <w:szCs w:val="32"/>
          <w:highlight w:val="none"/>
          <w:lang w:val="en-US" w:eastAsia="zh-CN" w:bidi="ar-SA"/>
        </w:rPr>
        <w:t>由</w:t>
      </w:r>
      <w:r>
        <w:rPr>
          <w:rFonts w:hint="eastAsia" w:ascii="Times New Roman" w:hAnsi="Times New Roman" w:eastAsia="仿宋_GB2312" w:cs="仿宋_GB2312"/>
          <w:b w:val="0"/>
          <w:bCs w:val="0"/>
          <w:kern w:val="0"/>
          <w:position w:val="0"/>
          <w:sz w:val="32"/>
          <w:szCs w:val="32"/>
          <w:highlight w:val="none"/>
          <w:lang w:val="en-US" w:eastAsia="zh-CN" w:bidi="ar-SA"/>
        </w:rPr>
        <w:t>西眉镇人民政府负责项目的组织申报、实施监管及成效评估等工作，确保项目贴合群众需求、落地见效。</w:t>
      </w:r>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仿宋_GB2312"/>
          <w:b w:val="0"/>
          <w:bCs w:val="0"/>
          <w:kern w:val="0"/>
          <w:position w:val="0"/>
          <w:sz w:val="32"/>
          <w:szCs w:val="32"/>
          <w:highlight w:val="none"/>
          <w:lang w:val="en-US" w:eastAsia="zh-CN" w:bidi="ar-SA"/>
        </w:rPr>
        <w:t>本项目以“解决群众实际困难、提升生活品质”为核心目的，通过完善农村公共设施，增强居民生活安全感与幸福感。项目资金主要用于支持经群众票决确定的三类民生实事：一是马家社区道路更换路灯，改善夜间出行条件；二是龙崩村道路亮化及桥梁护栏维护，消除安全隐患；三是天台村建设公厕，完善基础设施配套。通过针对性投入，推动农村公共服务均等化，夯实乡村治理基础。</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仿宋_GB2312"/>
          <w:b w:val="0"/>
          <w:bCs w:val="0"/>
          <w:kern w:val="0"/>
          <w:position w:val="0"/>
          <w:sz w:val="32"/>
          <w:szCs w:val="32"/>
          <w:highlight w:val="none"/>
          <w:lang w:val="zh-CN" w:eastAsia="zh-CN" w:bidi="ar-SA"/>
        </w:rPr>
        <w:t>本项目预算数为18.73万元，全部为财政资金。资金分配严格遵循“群众票决优先、需求导向”原则，根据三个项目的实际工程量、建设标准及成本测算进行分配，确保每笔资金都投向群众最急需的领域。资金支付依据相关财经法规及项目合同执行，全程接受监督，未出现截留、挤占、挪用等违规情况。</w:t>
      </w:r>
    </w:p>
    <w:p>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总体目标：通过群众票决机制筛选并实施公共设施改善项目，构建“群众点单、政府接单、社会评单”的民生实事办理体系，完善农村基础设施，消除安全隐患，提升群众满意度和幸福感，推动基层治理与民生需求精准对接。</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阶段性目标：完成马家社区道路路灯更换、龙崩村道路亮化及桥梁护栏维护、天台村公厕建设三个项目，所有项目达到验收标准，实现“当年立项、当年完工、当年见效”。</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通过开展绩效评价，全面掌握2024年民生实事票决制项目经费的使用效率、项目实施成效及群众反馈，精准识别实施过程中存在的问题，总结票决制项目管理经验，为后续民生资金安排、项目决策及机制优化提供依据，进一步提升民生实事项目的针对性和实效性。</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评价重点围绕三个维度展开：一是资金分配的合理性，核查资金是否与票决项目的实际需求匹配，分配标准是否清晰规范；二是项目实施的规范性，检查项目流程是否合规（如招投标、验收等），工程质量是否达标；三是实施效果的显著性，评估项目是否真正解决群众困难，群众满意度是否达到预期。</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ascii="Times New Roman" w:hAnsi="Times New Roman" w:eastAsia="仿宋_GB2312" w:cs="仿宋_GB2312"/>
          <w:b w:val="0"/>
          <w:color w:val="auto"/>
          <w:kern w:val="0"/>
          <w:sz w:val="32"/>
          <w:szCs w:val="32"/>
          <w:highlight w:val="none"/>
          <w:u w:val="none"/>
          <w:lang w:val="zh-CN"/>
        </w:rPr>
        <w:t>本次评价覆盖2024年民生实事票决制项目全部实施点位，包括：马家社区道路路灯更换项目、龙崩村道路亮化及桥梁护栏维护项目、天台村公厕建设项目。通过全范围实地踏勘，确保评价结果全面反映项目实际情况。</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kern w:val="0"/>
          <w:position w:val="0"/>
          <w:sz w:val="32"/>
          <w:szCs w:val="32"/>
          <w:highlight w:val="none"/>
          <w:lang w:val="zh-CN" w:eastAsia="zh-CN" w:bidi="ar-SA"/>
        </w:rPr>
        <w:t>采本次绩效评价采用定量分析与定性分析相结合的综合评价方法。具体而言，运用成本效益分析法，对比项目投入与产生的社会效益（如安全隐患消除率、出行便利提升度）；采用比较法，对照项目计划目标与实际完成情况，分析偏差及原因；借助公众评判法，通过入户访谈等方式收集群众对项目的满意度反馈；结合实地勘察法，现场核查项目质量、功能实现情况及运维状态。</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kern w:val="0"/>
          <w:position w:val="0"/>
          <w:sz w:val="32"/>
          <w:szCs w:val="32"/>
          <w:highlight w:val="none"/>
          <w:lang w:val="zh-CN" w:eastAsia="zh-CN" w:bidi="ar-SA"/>
        </w:rPr>
        <w:t>本次绩效评价工作构建了“政府主导、部门协同”的组织架构，为评价工作的科学、规范、有序开展提供坚实保障。成立由镇政府牵头，财政、</w:t>
      </w:r>
      <w:r>
        <w:rPr>
          <w:rFonts w:hint="eastAsia" w:eastAsia="仿宋_GB2312" w:cs="仿宋_GB2312"/>
          <w:b w:val="0"/>
          <w:bCs w:val="0"/>
          <w:kern w:val="0"/>
          <w:position w:val="0"/>
          <w:sz w:val="32"/>
          <w:szCs w:val="32"/>
          <w:highlight w:val="none"/>
          <w:lang w:val="zh-CN" w:eastAsia="zh-CN" w:bidi="ar-SA"/>
        </w:rPr>
        <w:t>人大、</w:t>
      </w:r>
      <w:r>
        <w:rPr>
          <w:rFonts w:hint="eastAsia" w:ascii="Times New Roman" w:hAnsi="Times New Roman" w:eastAsia="仿宋_GB2312" w:cs="仿宋_GB2312"/>
          <w:b w:val="0"/>
          <w:bCs w:val="0"/>
          <w:kern w:val="0"/>
          <w:position w:val="0"/>
          <w:sz w:val="32"/>
          <w:szCs w:val="32"/>
          <w:highlight w:val="none"/>
          <w:lang w:val="zh-CN" w:eastAsia="zh-CN" w:bidi="ar-SA"/>
        </w:rPr>
        <w:t>纪委组成的绩效评价工作组。其中，财政部门负责资金使用合规性审核，</w:t>
      </w:r>
      <w:r>
        <w:rPr>
          <w:rFonts w:hint="eastAsia" w:eastAsia="仿宋_GB2312" w:cs="仿宋_GB2312"/>
          <w:b w:val="0"/>
          <w:bCs w:val="0"/>
          <w:kern w:val="0"/>
          <w:position w:val="0"/>
          <w:sz w:val="32"/>
          <w:szCs w:val="32"/>
          <w:highlight w:val="none"/>
          <w:lang w:val="zh-CN" w:eastAsia="zh-CN" w:bidi="ar-SA"/>
        </w:rPr>
        <w:t>人大</w:t>
      </w:r>
      <w:r>
        <w:rPr>
          <w:rFonts w:hint="eastAsia" w:ascii="Times New Roman" w:hAnsi="Times New Roman" w:eastAsia="仿宋_GB2312" w:cs="仿宋_GB2312"/>
          <w:b w:val="0"/>
          <w:bCs w:val="0"/>
          <w:kern w:val="0"/>
          <w:position w:val="0"/>
          <w:sz w:val="32"/>
          <w:szCs w:val="32"/>
          <w:highlight w:val="none"/>
          <w:lang w:val="zh-CN" w:eastAsia="zh-CN" w:bidi="ar-SA"/>
        </w:rPr>
        <w:t>参与群众满意度调查，纪委负责监督评价过程公正性</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工作组制定详细评价流程，明确各环节责任及时限，通过现场复核、材料审查、集体研讨等方式确保评价结果真实、可靠、客观。</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项目决策。项目通过群众票决确定，决策程序规范透明，符合“问需于民、问计于民”的要求；资金投向精准聚焦公共设施改善，与群众需求高度匹配。综合得分18分。</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ascii="Segoe UI" w:hAnsi="Segoe UI" w:eastAsia="Segoe UI" w:cs="Segoe UI"/>
          <w:i w:val="0"/>
          <w:iCs w:val="0"/>
          <w:caps w:val="0"/>
          <w:spacing w:val="0"/>
          <w:sz w:val="24"/>
          <w:szCs w:val="24"/>
          <w:shd w:val="clear" w:fill="FFFFFF"/>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项目管理。建立健全项目管理制度及资金使用细则，明确项目负责人、施工标准及验收流程；资金严格按预算执行，建立台账跟踪每笔支出，确保专款专用。综合得分18分。</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预算执行率达100%，资金支付与工程进度同步，无挪用、截留等违规行为；项目按计划推进，未出现重大延误。综合得分9分。</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4.项目结果。三个项目均完成建设并通过验收，功能达到设计标准，实现“当年完工、当年见效”；完成时效符合预期。综合得分9分。</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本项目属于民生保障领域，相关指标分析如下：</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en-US" w:eastAsia="zh-CN" w:bidi="ar-SA"/>
        </w:rPr>
        <w:t>区域均衡性：项目覆盖马家社区、龙崩村、天台村，兼顾社区与农村区域，有效缓解不同区域的公共设施短板问题。</w:t>
      </w:r>
      <w:r>
        <w:rPr>
          <w:rFonts w:hint="default" w:ascii="仿宋_GB2312" w:hAnsi="仿宋_GB2312" w:eastAsia="仿宋_GB2312" w:cs="仿宋_GB2312"/>
          <w:b w:val="0"/>
          <w:bCs w:val="0"/>
          <w:color w:val="auto"/>
          <w:kern w:val="0"/>
          <w:position w:val="0"/>
          <w:sz w:val="32"/>
          <w:szCs w:val="32"/>
          <w:highlight w:val="none"/>
          <w:lang w:val="en-US" w:eastAsia="zh-CN" w:bidi="ar-SA"/>
        </w:rPr>
        <w:t>综合评分</w:t>
      </w:r>
      <w:r>
        <w:rPr>
          <w:rFonts w:hint="eastAsia" w:ascii="仿宋_GB2312" w:hAnsi="仿宋_GB2312" w:eastAsia="仿宋_GB2312" w:cs="仿宋_GB2312"/>
          <w:b w:val="0"/>
          <w:bCs w:val="0"/>
          <w:color w:val="auto"/>
          <w:kern w:val="0"/>
          <w:position w:val="0"/>
          <w:sz w:val="32"/>
          <w:szCs w:val="32"/>
          <w:highlight w:val="none"/>
          <w:lang w:val="en-US" w:eastAsia="zh-CN" w:bidi="ar-SA"/>
        </w:rPr>
        <w:t>1</w:t>
      </w:r>
      <w:r>
        <w:rPr>
          <w:rFonts w:hint="default" w:ascii="仿宋_GB2312" w:hAnsi="仿宋_GB2312" w:eastAsia="仿宋_GB2312" w:cs="仿宋_GB2312"/>
          <w:b w:val="0"/>
          <w:bCs w:val="0"/>
          <w:color w:val="auto"/>
          <w:kern w:val="0"/>
          <w:position w:val="0"/>
          <w:sz w:val="32"/>
          <w:szCs w:val="32"/>
          <w:highlight w:val="none"/>
          <w:lang w:val="en-US" w:eastAsia="zh-CN" w:bidi="ar-SA"/>
        </w:rPr>
        <w:t>0分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en-US" w:eastAsia="zh-CN" w:bidi="ar-SA"/>
        </w:rPr>
        <w:t>对象精准性：资金投向完全匹配群众票决结果，直接解决夜间出行安全、如厕不便等群众反映强烈的问题，实现“靶向发力”。</w:t>
      </w:r>
      <w:r>
        <w:rPr>
          <w:rFonts w:hint="default" w:ascii="仿宋_GB2312" w:hAnsi="仿宋_GB2312" w:eastAsia="仿宋_GB2312" w:cs="仿宋_GB2312"/>
          <w:b w:val="0"/>
          <w:bCs w:val="0"/>
          <w:color w:val="auto"/>
          <w:kern w:val="0"/>
          <w:position w:val="0"/>
          <w:sz w:val="32"/>
          <w:szCs w:val="32"/>
          <w:highlight w:val="none"/>
          <w:lang w:val="en-US" w:eastAsia="zh-CN" w:bidi="ar-SA"/>
        </w:rPr>
        <w:t>综合评分</w:t>
      </w:r>
      <w:r>
        <w:rPr>
          <w:rFonts w:hint="eastAsia" w:ascii="仿宋_GB2312" w:hAnsi="仿宋_GB2312" w:eastAsia="仿宋_GB2312" w:cs="仿宋_GB2312"/>
          <w:b w:val="0"/>
          <w:bCs w:val="0"/>
          <w:color w:val="auto"/>
          <w:kern w:val="0"/>
          <w:position w:val="0"/>
          <w:sz w:val="32"/>
          <w:szCs w:val="32"/>
          <w:highlight w:val="none"/>
          <w:lang w:val="en-US" w:eastAsia="zh-CN" w:bidi="ar-SA"/>
        </w:rPr>
        <w:t>1</w:t>
      </w:r>
      <w:r>
        <w:rPr>
          <w:rFonts w:hint="default" w:ascii="仿宋_GB2312" w:hAnsi="仿宋_GB2312" w:eastAsia="仿宋_GB2312" w:cs="仿宋_GB2312"/>
          <w:b w:val="0"/>
          <w:bCs w:val="0"/>
          <w:color w:val="auto"/>
          <w:kern w:val="0"/>
          <w:position w:val="0"/>
          <w:sz w:val="32"/>
          <w:szCs w:val="32"/>
          <w:highlight w:val="none"/>
          <w:lang w:val="en-US" w:eastAsia="zh-CN" w:bidi="ar-SA"/>
        </w:rPr>
        <w:t>0分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标准合理性：项目建设标准参照农村公共设施相关规范，结合当地实际需求制定，如路灯亮度、护栏强度等指标既符合安全要求又避免资源浪费。</w:t>
      </w:r>
      <w:r>
        <w:rPr>
          <w:rFonts w:hint="default" w:ascii="仿宋_GB2312" w:hAnsi="仿宋_GB2312" w:eastAsia="仿宋_GB2312" w:cs="仿宋_GB2312"/>
          <w:b w:val="0"/>
          <w:bCs w:val="0"/>
          <w:color w:val="auto"/>
          <w:kern w:val="0"/>
          <w:position w:val="0"/>
          <w:sz w:val="32"/>
          <w:szCs w:val="32"/>
          <w:highlight w:val="none"/>
          <w:lang w:val="en-US" w:eastAsia="zh-CN" w:bidi="ar-SA"/>
        </w:rPr>
        <w:t>综合评分</w:t>
      </w:r>
      <w:r>
        <w:rPr>
          <w:rFonts w:hint="eastAsia" w:ascii="仿宋_GB2312" w:hAnsi="仿宋_GB2312" w:eastAsia="仿宋_GB2312" w:cs="仿宋_GB2312"/>
          <w:b w:val="0"/>
          <w:bCs w:val="0"/>
          <w:color w:val="auto"/>
          <w:kern w:val="0"/>
          <w:position w:val="0"/>
          <w:sz w:val="32"/>
          <w:szCs w:val="32"/>
          <w:highlight w:val="none"/>
          <w:lang w:val="en-US" w:eastAsia="zh-CN" w:bidi="ar-SA"/>
        </w:rPr>
        <w:t>5</w:t>
      </w:r>
      <w:r>
        <w:rPr>
          <w:rFonts w:hint="default" w:ascii="仿宋_GB2312" w:hAnsi="仿宋_GB2312" w:eastAsia="仿宋_GB2312" w:cs="仿宋_GB2312"/>
          <w:b w:val="0"/>
          <w:bCs w:val="0"/>
          <w:color w:val="auto"/>
          <w:kern w:val="0"/>
          <w:position w:val="0"/>
          <w:sz w:val="32"/>
          <w:szCs w:val="32"/>
          <w:highlight w:val="none"/>
          <w:lang w:val="en-US" w:eastAsia="zh-CN" w:bidi="ar-SA"/>
        </w:rPr>
        <w:t>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en-US" w:eastAsia="zh-CN" w:bidi="ar-SA"/>
        </w:rPr>
        <w:t>群众满意度：通过问卷调查显示，项目受益群众满意度达9</w:t>
      </w:r>
      <w:r>
        <w:rPr>
          <w:rFonts w:hint="eastAsia" w:eastAsia="仿宋_GB2312" w:cs="仿宋_GB2312"/>
          <w:b w:val="0"/>
          <w:bCs w:val="0"/>
          <w:kern w:val="0"/>
          <w:position w:val="0"/>
          <w:sz w:val="32"/>
          <w:szCs w:val="32"/>
          <w:highlight w:val="none"/>
          <w:lang w:val="en-US" w:eastAsia="zh-CN" w:bidi="ar-SA"/>
        </w:rPr>
        <w:t>8</w:t>
      </w:r>
      <w:r>
        <w:rPr>
          <w:rFonts w:hint="eastAsia" w:ascii="Times New Roman" w:hAnsi="Times New Roman" w:eastAsia="仿宋_GB2312" w:cs="仿宋_GB2312"/>
          <w:b w:val="0"/>
          <w:bCs w:val="0"/>
          <w:kern w:val="0"/>
          <w:position w:val="0"/>
          <w:sz w:val="32"/>
          <w:szCs w:val="32"/>
          <w:highlight w:val="none"/>
          <w:lang w:val="en-US" w:eastAsia="zh-CN" w:bidi="ar-SA"/>
        </w:rPr>
        <w:t>%以上，对设施功能、建设质量的认可度较高。综合得分</w:t>
      </w:r>
      <w:r>
        <w:rPr>
          <w:rFonts w:hint="eastAsia" w:eastAsia="仿宋_GB2312" w:cs="仿宋_GB2312"/>
          <w:b w:val="0"/>
          <w:bCs w:val="0"/>
          <w:kern w:val="0"/>
          <w:position w:val="0"/>
          <w:sz w:val="32"/>
          <w:szCs w:val="32"/>
          <w:highlight w:val="none"/>
          <w:lang w:val="en-US" w:eastAsia="zh-CN" w:bidi="ar-SA"/>
        </w:rPr>
        <w:t>5</w:t>
      </w:r>
      <w:r>
        <w:rPr>
          <w:rFonts w:hint="eastAsia" w:ascii="Times New Roman" w:hAnsi="Times New Roman" w:eastAsia="仿宋_GB2312" w:cs="仿宋_GB2312"/>
          <w:b w:val="0"/>
          <w:bCs w:val="0"/>
          <w:kern w:val="0"/>
          <w:position w:val="0"/>
          <w:sz w:val="32"/>
          <w:szCs w:val="32"/>
          <w:highlight w:val="none"/>
          <w:lang w:val="en-US" w:eastAsia="zh-CN" w:bidi="ar-SA"/>
        </w:rPr>
        <w:t>分。</w:t>
      </w:r>
    </w:p>
    <w:p>
      <w:pPr>
        <w:pStyle w:val="3"/>
        <w:ind w:left="0" w:leftChars="0" w:firstLine="643" w:firstLineChars="200"/>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设定“项目验收合格率”</w:t>
      </w:r>
      <w:r>
        <w:rPr>
          <w:rFonts w:hint="eastAsia" w:asci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“群众需求响应率”为个性指标。其中，三个项目验收合格率均为100%，完成预设目标；群众提出的公共设施改善需求响应率达100%，充分体现“民有所呼、我有所应”。综合得分16分。</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民生实事票决制项目经费绩效自评总分为100分。项目通过群众票决确定实施马家社区道路路灯更换、龙崩村道路亮化及桥梁护栏维护、天台村公厕建设三个项目，全部按计划完成并通过验收。项目有效改善了农村公共设施条件，提升了居民夜间出行安全，消除了安全隐患，群众满意度和幸福感显著提高，为构建共建共治共享的基层治理格局奠定了坚实基础。</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实施过程中存在公众参与深度不足的问题，虽然通过票决确定了项目，但在方案设计、施工监督等环节，群众参与渠道不够畅通；同时存在信息不对称现象，部分群众对项目进度、资金使用等情况了解不及时。</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en-US" w:eastAsia="zh-CN" w:bidi="ar-SA"/>
        </w:rPr>
        <w:t>拓宽公众参与渠道：在项目前期设计阶段组织村民代表座谈会，充分吸纳群众意见；施工过程中设立“群众监督员”，邀请村民参与质量监督，增强项目共建性。</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en-US" w:eastAsia="zh-CN" w:bidi="ar-SA"/>
        </w:rPr>
        <w:t>提升信息公开透明度：通过村（社区）公告栏、微信群等平台，定期公示项目进度、资金使用明细、验收结果等信息，确保群众知情权；开展项目成效“回头看”宣传，用图文、视频等形式展示成果，强化群众获得感。</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完善票决机制闭环管理：建立“票决</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实施</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反馈</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优化”的全流程机制，针对群众反馈的问题及时调整后续项目规划，形成民生实事办理的良性循环。</w:t>
      </w:r>
    </w:p>
    <w:p>
      <w:pPr>
        <w:pStyle w:val="3"/>
        <w:rPr>
          <w:rFonts w:hint="eastAsia" w:ascii="仿宋_GB2312" w:hAnsi="仿宋_GB2312" w:eastAsia="仿宋_GB2312" w:cs="仿宋_GB2312"/>
          <w:sz w:val="32"/>
          <w:szCs w:val="32"/>
          <w:lang w:val="en-US" w:eastAsia="zh-CN"/>
        </w:rPr>
      </w:pPr>
      <w:bookmarkStart w:id="93" w:name="_GoBack"/>
      <w:bookmarkEnd w:id="93"/>
    </w:p>
    <w:p>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附表：项目支出绩效自评表</w:t>
      </w:r>
    </w:p>
    <w:p>
      <w:pPr>
        <w:pStyle w:val="3"/>
        <w:rPr>
          <w:rFonts w:hint="eastAsia" w:ascii="Times New Roman" w:hAnsi="Times New Roman" w:eastAsia="仿宋_GB2312" w:cs="仿宋_GB2312"/>
          <w:b w:val="0"/>
          <w:bCs w:val="0"/>
          <w:kern w:val="0"/>
          <w:position w:val="0"/>
          <w:sz w:val="32"/>
          <w:szCs w:val="32"/>
          <w:highlight w:val="none"/>
          <w:lang w:val="en-US" w:eastAsia="zh-CN" w:bidi="ar-SA"/>
        </w:rPr>
        <w:sectPr>
          <w:pgSz w:w="11906" w:h="16838"/>
          <w:pgMar w:top="1440" w:right="1746" w:bottom="1327" w:left="1800" w:header="851" w:footer="992" w:gutter="0"/>
          <w:pgNumType w:fmt="decimal"/>
          <w:cols w:space="425" w:num="1"/>
          <w:titlePg/>
          <w:docGrid w:type="lines" w:linePitch="312" w:charSpace="0"/>
        </w:sect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69"/>
        <w:gridCol w:w="900"/>
        <w:gridCol w:w="1195"/>
        <w:gridCol w:w="396"/>
        <w:gridCol w:w="840"/>
        <w:gridCol w:w="396"/>
        <w:gridCol w:w="847"/>
        <w:gridCol w:w="487"/>
        <w:gridCol w:w="487"/>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51090424T000011156342-2024年民生实事票决制项目经费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遂宁市安居区西眉镇人民政府部门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通过群众票决确定项目，聚焦群众急难愁盼的公共设施改善需求，提高群众满意度和幸福感。</w:t>
            </w:r>
          </w:p>
        </w:tc>
        <w:tc>
          <w:tcPr>
            <w:tcW w:w="164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西眉镇通过群众票决确定马家社区道路更换路灯、龙崩村道路亮化及桥梁护栏维护、天台村建公厕三个项目，项目均按计划完成，验收符合标准。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眉镇通过群众票决确定马家社区道路更换路灯、龙崩村道路亮化及桥梁护栏维护、天台村建公厕三个项目，改善群众急难愁盼的公共设施需求，提升了居民夜间出行安全，消除了农村安全隐患，完善了农村基础设施，群众满意度和幸福感明显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18.73</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100分，我镇通过群众票决确定马家社区道路更换路灯、龙崩村道路亮化及桥梁护栏维护、天台村建公厕三个项目，改善群众急难愁盼的公共设施需求，提升了居民夜间出行安全，消除了农村安全隐患，完善了农村基础设施，群众满意度和幸福感明显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公众参与不足、信息不对称。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加强宣传培训，提高透明度。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项目负责人：许帅</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财务负责人：杨利娟</w:t>
            </w:r>
          </w:p>
        </w:tc>
      </w:tr>
    </w:tbl>
    <w:p>
      <w:pPr>
        <w:pStyle w:val="2"/>
        <w:rPr>
          <w:rFonts w:hint="eastAsia"/>
          <w:lang w:val="en-US" w:eastAsia="zh-CN"/>
        </w:rPr>
        <w:sectPr>
          <w:pgSz w:w="11906" w:h="16838"/>
          <w:pgMar w:top="1440" w:right="1746" w:bottom="1327" w:left="1800" w:header="851" w:footer="992" w:gutter="0"/>
          <w:pgNumType w:fmt="decimal"/>
          <w:cols w:space="425" w:num="1"/>
          <w:titlePg/>
          <w:docGrid w:type="lines" w:linePitch="312" w:charSpace="0"/>
        </w:sectPr>
      </w:pPr>
    </w:p>
    <w:p>
      <w:pPr>
        <w:widowControl/>
        <w:jc w:val="both"/>
        <w:rPr>
          <w:rFonts w:hint="eastAsia" w:ascii="方正小标宋简体" w:hAnsi="方正小标宋简体" w:eastAsia="方正小标宋简体" w:cs="方正小标宋简体"/>
          <w:color w:val="auto"/>
          <w:sz w:val="18"/>
          <w:szCs w:val="18"/>
          <w:highlight w:val="none"/>
        </w:rPr>
      </w:pP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4"/>
          <w:szCs w:val="44"/>
          <w:highlight w:val="none"/>
          <w:lang w:val="en-US" w:eastAsia="zh-CN"/>
        </w:rPr>
      </w:pPr>
      <w:r>
        <w:rPr>
          <w:rFonts w:hint="eastAsia" w:ascii="方正小标宋简体" w:hAnsi="宋体" w:eastAsia="方正小标宋简体" w:cs="Times New Roman"/>
          <w:color w:val="auto"/>
          <w:kern w:val="0"/>
          <w:sz w:val="44"/>
          <w:szCs w:val="44"/>
          <w:highlight w:val="none"/>
          <w:lang w:val="en-US" w:eastAsia="zh-CN"/>
        </w:rPr>
        <w:t>遂宁市安居区西眉镇人民政府</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4"/>
          <w:szCs w:val="44"/>
          <w:highlight w:val="none"/>
          <w:lang w:val="en-US" w:eastAsia="zh-CN"/>
        </w:rPr>
      </w:pPr>
      <w:r>
        <w:rPr>
          <w:rFonts w:hint="eastAsia" w:ascii="方正小标宋简体" w:hAnsi="宋体" w:eastAsia="方正小标宋简体" w:cs="Times New Roman"/>
          <w:color w:val="auto"/>
          <w:kern w:val="0"/>
          <w:sz w:val="44"/>
          <w:szCs w:val="44"/>
          <w:highlight w:val="none"/>
          <w:lang w:val="en-US" w:eastAsia="zh-CN"/>
        </w:rPr>
        <w:t>城乡基层治理能力建设专项资金绩效自评报告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highlight w:val="none"/>
          <w:lang w:val="zh-CN"/>
        </w:rPr>
      </w:pPr>
      <w:r>
        <w:rPr>
          <w:rFonts w:hint="eastAsia"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仿宋_GB2312" w:hAnsi="仿宋_GB2312" w:eastAsia="仿宋_GB2312" w:cs="仿宋_GB2312"/>
          <w:color w:val="auto"/>
          <w:kern w:val="0"/>
          <w:sz w:val="32"/>
          <w:szCs w:val="32"/>
          <w:highlight w:val="none"/>
          <w:u w:val="none"/>
          <w:shd w:val="clear" w:color="auto" w:fill="FFFFFF"/>
          <w:lang w:val="en-US" w:eastAsia="zh-CN"/>
        </w:rPr>
        <w:t>为深入贯彻落实党中央、省、市、区关于加强城乡基层治理体系和治理能力现代化建设的决策部署，特设立城乡基层治理能力建设专项资金，</w:t>
      </w:r>
      <w:r>
        <w:rPr>
          <w:rFonts w:hint="default" w:ascii="仿宋_GB2312" w:hAnsi="仿宋_GB2312" w:eastAsia="仿宋_GB2312" w:cs="仿宋_GB2312"/>
          <w:b w:val="0"/>
          <w:bCs w:val="0"/>
          <w:color w:val="auto"/>
          <w:kern w:val="0"/>
          <w:position w:val="0"/>
          <w:sz w:val="32"/>
          <w:szCs w:val="32"/>
          <w:highlight w:val="none"/>
          <w:lang w:val="en-US" w:eastAsia="zh-CN" w:bidi="ar-SA"/>
        </w:rPr>
        <w:t>该专项资金旨在通过精准的资金投入，完善基层治理基础设施，提升基层治理的精细化、智能化和法治化水平，进而推动城乡基层治理实现高质量发展，构建共建共治共享的社会治理新格局。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uppressAutoHyphens/>
        <w:kinsoku/>
        <w:wordWrap/>
        <w:overflowPunct/>
        <w:topLinePunct w:val="0"/>
        <w:autoSpaceDE/>
        <w:autoSpaceDN/>
        <w:bidi w:val="0"/>
        <w:adjustRightInd/>
        <w:snapToGrid/>
        <w:spacing w:beforeAutospacing="0" w:afterAutospacing="0" w:line="560" w:lineRule="exact"/>
        <w:ind w:leftChars="0" w:right="0" w:rightChars="0" w:firstLine="643" w:firstLineChars="200"/>
        <w:jc w:val="both"/>
        <w:textAlignment w:val="auto"/>
        <w:rPr>
          <w:rFonts w:hint="default" w:ascii="仿宋_GB2312" w:hAnsi="Calibri" w:eastAsia="仿宋_GB2312" w:cs="仿宋_GB2312"/>
          <w:b w:val="0"/>
          <w:bCs w:val="0"/>
          <w:color w:val="auto"/>
          <w:kern w:val="0"/>
          <w:sz w:val="32"/>
          <w:szCs w:val="32"/>
          <w:lang w:val="en-US" w:eastAsia="zh-CN" w:bidi="ar"/>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default" w:ascii="仿宋_GB2312" w:hAnsi="Calibri" w:eastAsia="仿宋_GB2312" w:cs="仿宋_GB2312"/>
          <w:b w:val="0"/>
          <w:bCs w:val="0"/>
          <w:color w:val="auto"/>
          <w:kern w:val="0"/>
          <w:sz w:val="32"/>
          <w:szCs w:val="32"/>
          <w:lang w:val="en-US" w:eastAsia="zh-CN" w:bidi="ar"/>
        </w:rPr>
        <w:t>本</w:t>
      </w:r>
      <w:r>
        <w:rPr>
          <w:rFonts w:hint="eastAsia" w:ascii="仿宋_GB2312" w:hAnsi="Calibri" w:eastAsia="仿宋_GB2312" w:cs="仿宋_GB2312"/>
          <w:b w:val="0"/>
          <w:bCs w:val="0"/>
          <w:color w:val="auto"/>
          <w:kern w:val="0"/>
          <w:sz w:val="32"/>
          <w:szCs w:val="32"/>
          <w:lang w:val="en-US" w:eastAsia="zh-CN" w:bidi="ar"/>
        </w:rPr>
        <w:t>项目</w:t>
      </w:r>
      <w:r>
        <w:rPr>
          <w:rFonts w:hint="default" w:ascii="仿宋_GB2312" w:hAnsi="Calibri" w:eastAsia="仿宋_GB2312" w:cs="仿宋_GB2312"/>
          <w:b w:val="0"/>
          <w:bCs w:val="0"/>
          <w:color w:val="auto"/>
          <w:kern w:val="0"/>
          <w:sz w:val="32"/>
          <w:szCs w:val="32"/>
          <w:lang w:val="en-US" w:eastAsia="zh-CN" w:bidi="ar"/>
        </w:rPr>
        <w:t>资金聚焦基层党群服务中心的办公室装修及整体建设。在空间规划上，科学合理地划分党建活动区、便民服务区、政策宣传展示区、民意沟通洽谈区等功能区域。通过优化办公空间布局，完善服务设施，优化服务窗口设置，</w:t>
      </w:r>
      <w:r>
        <w:rPr>
          <w:rFonts w:hint="eastAsia" w:ascii="仿宋_GB2312" w:eastAsia="仿宋_GB2312" w:cs="仿宋_GB2312"/>
          <w:b w:val="0"/>
          <w:bCs w:val="0"/>
          <w:color w:val="auto"/>
          <w:kern w:val="0"/>
          <w:sz w:val="32"/>
          <w:szCs w:val="32"/>
          <w:lang w:val="en-US" w:eastAsia="zh-CN" w:bidi="ar"/>
        </w:rPr>
        <w:t>进一步</w:t>
      </w:r>
      <w:r>
        <w:rPr>
          <w:rFonts w:hint="default" w:ascii="仿宋_GB2312" w:hAnsi="Calibri" w:eastAsia="仿宋_GB2312" w:cs="仿宋_GB2312"/>
          <w:b w:val="0"/>
          <w:bCs w:val="0"/>
          <w:color w:val="auto"/>
          <w:kern w:val="0"/>
          <w:sz w:val="32"/>
          <w:szCs w:val="32"/>
          <w:lang w:val="en-US" w:eastAsia="zh-CN" w:bidi="ar"/>
        </w:rPr>
        <w:t>提升服务流程的便捷性</w:t>
      </w:r>
      <w:r>
        <w:rPr>
          <w:rFonts w:hint="eastAsia" w:ascii="仿宋_GB2312" w:eastAsia="仿宋_GB2312" w:cs="仿宋_GB2312"/>
          <w:b w:val="0"/>
          <w:bCs w:val="0"/>
          <w:color w:val="auto"/>
          <w:kern w:val="0"/>
          <w:sz w:val="32"/>
          <w:szCs w:val="32"/>
          <w:lang w:val="en-US" w:eastAsia="zh-CN" w:bidi="ar"/>
        </w:rPr>
        <w:t>。</w:t>
      </w:r>
      <w:r>
        <w:rPr>
          <w:rFonts w:hint="default" w:ascii="仿宋_GB2312" w:hAnsi="Calibri" w:eastAsia="仿宋_GB2312" w:cs="仿宋_GB2312"/>
          <w:b w:val="0"/>
          <w:bCs w:val="0"/>
          <w:color w:val="auto"/>
          <w:kern w:val="0"/>
          <w:sz w:val="32"/>
          <w:szCs w:val="32"/>
          <w:lang w:val="en-US" w:eastAsia="zh-CN" w:bidi="ar"/>
        </w:rPr>
        <w:t>同时，积极拓展线上线下服务内容，将基层党群服务中心打造成为集党建引领、便民服务、政策宣传、民意沟通等多功能于一体的综合性服务阵地，充分发挥其在凝聚党群关系、提升基层治理水平方面的核心作用，切实增强基层党组织的号召力、凝聚力和战斗力。</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仿宋_GB2312"/>
          <w:b w:val="0"/>
          <w:bCs w:val="0"/>
          <w:color w:val="auto"/>
          <w:kern w:val="0"/>
          <w:position w:val="0"/>
          <w:sz w:val="32"/>
          <w:szCs w:val="32"/>
          <w:highlight w:val="none"/>
          <w:lang w:val="zh-CN" w:eastAsia="zh-CN" w:bidi="ar-SA"/>
        </w:rPr>
        <w:t>城乡基层治理能力建设专项资金年初预算为</w:t>
      </w:r>
      <w:r>
        <w:rPr>
          <w:rFonts w:hint="eastAsia" w:eastAsia="仿宋_GB2312" w:cs="仿宋_GB2312"/>
          <w:b w:val="0"/>
          <w:bCs w:val="0"/>
          <w:color w:val="auto"/>
          <w:kern w:val="0"/>
          <w:position w:val="0"/>
          <w:sz w:val="32"/>
          <w:szCs w:val="32"/>
          <w:highlight w:val="none"/>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zh-CN" w:eastAsia="zh-CN" w:bidi="ar-SA"/>
        </w:rPr>
        <w:t>万元，实际支出</w:t>
      </w:r>
      <w:r>
        <w:rPr>
          <w:rFonts w:hint="eastAsia" w:eastAsia="仿宋_GB2312" w:cs="仿宋_GB2312"/>
          <w:b w:val="0"/>
          <w:bCs w:val="0"/>
          <w:color w:val="auto"/>
          <w:kern w:val="0"/>
          <w:position w:val="0"/>
          <w:sz w:val="32"/>
          <w:szCs w:val="32"/>
          <w:highlight w:val="none"/>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zh-CN" w:eastAsia="zh-CN" w:bidi="ar-SA"/>
        </w:rPr>
        <w:t>万元。该资金全部投入</w:t>
      </w:r>
      <w:r>
        <w:rPr>
          <w:rFonts w:hint="eastAsia" w:eastAsia="仿宋_GB2312" w:cs="仿宋_GB2312"/>
          <w:b w:val="0"/>
          <w:bCs w:val="0"/>
          <w:color w:val="auto"/>
          <w:kern w:val="0"/>
          <w:position w:val="0"/>
          <w:sz w:val="32"/>
          <w:szCs w:val="32"/>
          <w:highlight w:val="none"/>
          <w:lang w:val="zh-CN" w:eastAsia="zh-CN" w:bidi="ar-SA"/>
        </w:rPr>
        <w:t>石圣</w:t>
      </w:r>
      <w:r>
        <w:rPr>
          <w:rFonts w:hint="eastAsia" w:ascii="Times New Roman" w:hAnsi="Times New Roman" w:eastAsia="仿宋_GB2312" w:cs="仿宋_GB2312"/>
          <w:b w:val="0"/>
          <w:bCs w:val="0"/>
          <w:color w:val="auto"/>
          <w:kern w:val="0"/>
          <w:position w:val="0"/>
          <w:sz w:val="32"/>
          <w:szCs w:val="32"/>
          <w:highlight w:val="none"/>
          <w:lang w:val="zh-CN" w:eastAsia="zh-CN" w:bidi="ar-SA"/>
        </w:rPr>
        <w:t>社区基层治理能力建设项目，支付依据严格遵循相关法律法规，资金支付与预算高度契合，未出现截留、挤占、挪用等违规情况，资金使用安全且高效，充分保障了项目建设需求。​</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zh-CN" w:eastAsia="zh-CN" w:bidi="ar-SA"/>
        </w:rPr>
        <w:t>总体目标：通过专项资金的合理使用，构建完善且高效的城乡基层治理体系，大力提升基层治理效能，切实增强群众的获得感、幸福感和安全感，实现基层治理与经济社会发展的良性互动，推动城乡基层治理迈向现代化。</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仿宋_GB2312"/>
          <w:b w:val="0"/>
          <w:bCs w:val="0"/>
          <w:color w:val="auto"/>
          <w:kern w:val="0"/>
          <w:position w:val="0"/>
          <w:sz w:val="32"/>
          <w:szCs w:val="32"/>
          <w:highlight w:val="none"/>
          <w:lang w:val="zh-CN" w:eastAsia="zh-CN" w:bidi="ar-SA"/>
        </w:rPr>
      </w:pPr>
      <w:r>
        <w:rPr>
          <w:rFonts w:hint="eastAsia" w:eastAsia="仿宋_GB2312" w:cs="仿宋_GB2312"/>
          <w:b w:val="0"/>
          <w:bCs w:val="0"/>
          <w:color w:val="auto"/>
          <w:kern w:val="0"/>
          <w:position w:val="0"/>
          <w:sz w:val="32"/>
          <w:szCs w:val="32"/>
          <w:highlight w:val="none"/>
          <w:lang w:val="en-US" w:eastAsia="zh-CN" w:bidi="ar-SA"/>
        </w:rPr>
        <w:t>2.</w:t>
      </w:r>
      <w:r>
        <w:rPr>
          <w:rFonts w:hint="eastAsia" w:ascii="Times New Roman" w:hAnsi="Times New Roman" w:eastAsia="仿宋_GB2312" w:cs="仿宋_GB2312"/>
          <w:b w:val="0"/>
          <w:bCs w:val="0"/>
          <w:color w:val="auto"/>
          <w:kern w:val="0"/>
          <w:position w:val="0"/>
          <w:sz w:val="32"/>
          <w:szCs w:val="32"/>
          <w:highlight w:val="none"/>
          <w:lang w:val="zh-CN" w:eastAsia="zh-CN" w:bidi="ar-SA"/>
        </w:rPr>
        <w:t>阶段性目标：完成</w:t>
      </w:r>
      <w:r>
        <w:rPr>
          <w:rFonts w:hint="eastAsia" w:eastAsia="仿宋_GB2312" w:cs="仿宋_GB2312"/>
          <w:b w:val="0"/>
          <w:bCs w:val="0"/>
          <w:color w:val="auto"/>
          <w:kern w:val="0"/>
          <w:position w:val="0"/>
          <w:sz w:val="32"/>
          <w:szCs w:val="32"/>
          <w:highlight w:val="none"/>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zh-CN" w:eastAsia="zh-CN" w:bidi="ar-SA"/>
        </w:rPr>
        <w:t>个基层党群服务中心的升级改造工作，通过优化空间布局、更新服务设施、丰富服务功能，满足群众多样化、个性化的服务需求。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rPr>
        <w:t>二、</w:t>
      </w:r>
      <w:r>
        <w:rPr>
          <w:rFonts w:hint="eastAsia" w:ascii="Times New Roman" w:hAnsi="Times New Roman" w:eastAsia="黑体"/>
          <w:color w:val="auto"/>
          <w:sz w:val="32"/>
          <w:szCs w:val="32"/>
          <w:highlight w:val="none"/>
          <w:lang w:eastAsia="zh-CN"/>
        </w:rPr>
        <w:t>评价实施</w:t>
      </w:r>
    </w:p>
    <w:p>
      <w:pPr>
        <w:keepNext w:val="0"/>
        <w:keepLines w:val="0"/>
        <w:pageBreakBefore w:val="0"/>
        <w:widowControl/>
        <w:numPr>
          <w:ilvl w:val="0"/>
          <w:numId w:val="0"/>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60" w:lineRule="exact"/>
        <w:ind w:leftChars="0" w:firstLine="643"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default" w:ascii="仿宋_GB2312" w:hAnsi="仿宋_GB2312" w:eastAsia="仿宋_GB2312" w:cs="仿宋_GB2312"/>
          <w:b w:val="0"/>
          <w:bCs w:val="0"/>
          <w:color w:val="auto"/>
          <w:kern w:val="0"/>
          <w:position w:val="0"/>
          <w:sz w:val="32"/>
          <w:szCs w:val="32"/>
          <w:highlight w:val="none"/>
          <w:lang w:val="en-US" w:eastAsia="zh-CN" w:bidi="ar-SA"/>
        </w:rPr>
        <w:t>通过开展绩效评价工作，全面、深入地掌握城乡基层治理能力建设专项资金的使用情况和项目实施效果，精准发现项目实施过程中存在的问题，系统总结成功经验和有效做法，为后续资金安排和项目决策提供科学、可靠的依据，进一步提高资金使用效益，推动基层治理能力建设水平实现新的提升</w:t>
      </w:r>
      <w:r>
        <w:rPr>
          <w:rFonts w:hint="eastAsia" w:ascii="Times New Roman" w:hAnsi="Times New Roman" w:eastAsia="仿宋_GB2312" w:cs="仿宋_GB2312"/>
          <w:b w:val="0"/>
          <w:bCs w:val="0"/>
          <w:color w:val="auto"/>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color w:val="auto"/>
          <w:kern w:val="0"/>
          <w:position w:val="0"/>
          <w:sz w:val="32"/>
          <w:szCs w:val="32"/>
          <w:highlight w:val="none"/>
          <w:lang w:val="zh-CN" w:eastAsia="zh-CN" w:bidi="ar-SA"/>
        </w:rPr>
        <w:t>重点围绕以下三个方面评价：一是资金分配的科学性与公平性，着重评估资金分配是否充分结合</w:t>
      </w:r>
      <w:r>
        <w:rPr>
          <w:rFonts w:hint="eastAsia" w:eastAsia="仿宋_GB2312" w:cs="仿宋_GB2312"/>
          <w:b w:val="0"/>
          <w:bCs w:val="0"/>
          <w:color w:val="auto"/>
          <w:kern w:val="0"/>
          <w:position w:val="0"/>
          <w:sz w:val="32"/>
          <w:szCs w:val="32"/>
          <w:highlight w:val="none"/>
          <w:lang w:val="zh-CN" w:eastAsia="zh-CN" w:bidi="ar-SA"/>
        </w:rPr>
        <w:t>石圣</w:t>
      </w:r>
      <w:r>
        <w:rPr>
          <w:rFonts w:hint="eastAsia" w:ascii="Times New Roman" w:hAnsi="Times New Roman" w:eastAsia="仿宋_GB2312" w:cs="仿宋_GB2312"/>
          <w:b w:val="0"/>
          <w:bCs w:val="0"/>
          <w:color w:val="auto"/>
          <w:kern w:val="0"/>
          <w:position w:val="0"/>
          <w:sz w:val="32"/>
          <w:szCs w:val="32"/>
          <w:highlight w:val="none"/>
          <w:lang w:val="zh-CN" w:eastAsia="zh-CN" w:bidi="ar-SA"/>
        </w:rPr>
        <w:t>社区的实际需求，是否具备合理、清晰的分配依据和标准；二是资金使用的规范性与有效性，严格审查资金使用是否严格遵循相关制度规定，是否切实达成预期的项目建设目标和效益；三是资金监管的健全性与执行力，全面考察资金监管制度是否完善，监管措施是否得到有效落实，能否及时发现并纠正资金使用过程中出现的各类问题。</w:t>
      </w:r>
    </w:p>
    <w:p>
      <w:pPr>
        <w:keepNext w:val="0"/>
        <w:keepLines w:val="0"/>
        <w:pageBreakBefore w:val="0"/>
        <w:widowControl/>
        <w:numPr>
          <w:ilvl w:val="0"/>
          <w:numId w:val="0"/>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60" w:lineRule="exact"/>
        <w:ind w:leftChars="0" w:firstLine="643" w:firstLineChars="200"/>
        <w:textAlignment w:val="auto"/>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楷体_GB2312"/>
          <w:b/>
          <w:color w:val="auto"/>
          <w:sz w:val="32"/>
          <w:szCs w:val="32"/>
          <w:highlight w:val="none"/>
          <w:u w:val="none"/>
          <w:lang w:val="zh-CN"/>
        </w:rPr>
        <w:t>（三）评价选点。</w:t>
      </w:r>
      <w:r>
        <w:rPr>
          <w:rFonts w:hint="default" w:ascii="仿宋_GB2312" w:hAnsi="仿宋_GB2312" w:eastAsia="仿宋_GB2312" w:cs="仿宋_GB2312"/>
          <w:b w:val="0"/>
          <w:bCs w:val="0"/>
          <w:color w:val="auto"/>
          <w:kern w:val="0"/>
          <w:position w:val="0"/>
          <w:sz w:val="32"/>
          <w:szCs w:val="32"/>
          <w:highlight w:val="none"/>
          <w:lang w:val="en-US" w:eastAsia="zh-CN" w:bidi="ar-SA"/>
        </w:rPr>
        <w:t>本次评价对象为2024年城乡基层治理能力建设专项资金，评价范围覆盖该专项资金支持的所有项目，其中基层党群服务中心建设项目作为重点评价内容，确保评价工作全面、无遗漏。​</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bCs w:val="0"/>
          <w:color w:val="auto"/>
          <w:kern w:val="0"/>
          <w:position w:val="0"/>
          <w:sz w:val="32"/>
          <w:szCs w:val="32"/>
          <w:highlight w:val="none"/>
          <w:lang w:val="zh-CN" w:eastAsia="zh-CN" w:bidi="ar-SA"/>
        </w:rPr>
        <w:t>本次绩效评价采用定量分析与定性分析相结合的综合评价方法。具体而言，运用成本效益分析法，对项目投入与产出的经济效益进行精确量化评估；采用比较法，对比项目实施前后基层治理状况的显著变化；运用因素分析法，深入剖析影响项目绩效的各类关键因素；借助公众评判法，广泛收集群众对项目实施效果的满意度反馈。通过对项目资金投入、产出数量、质量、时效、成本，以及项目实施所产生的经济效益、社会效益、可持续影响和服务对象满意度等多维度指标进行全面、系统的综合分析，确保评价结果全面、客观、准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bCs w:val="0"/>
          <w:color w:val="auto"/>
          <w:kern w:val="0"/>
          <w:position w:val="0"/>
          <w:sz w:val="32"/>
          <w:szCs w:val="32"/>
          <w:highlight w:val="none"/>
          <w:lang w:val="zh-CN" w:eastAsia="zh-CN" w:bidi="ar-SA"/>
        </w:rPr>
        <w:t>本次绩效评价工作构建了“政府主导、部门协同”的组织架构，为评价工作的科学、规范、有序开展提供坚实保障。成立由党建、财政、民政、纪检等多部门组成的绩效评价领导小组，负责统筹协调评价工作，审定评价方案、指标体系及评价报告，对评价工作进行全过程监督和指导。评价工作组严格遵循《财政支出绩效评价管理办法》等相关规定，制定详细、严谨的评价工作流程，明确各环节工作内容、责任人员及时间节点。通过定期召开工作推进会、开展内部质量审核等方式，切实保障评价工作的质量和效率，确保评价结果真实、可靠、客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eastAsia="仿宋_GB2312" w:cs="仿宋_GB2312"/>
          <w:b w:val="0"/>
          <w:bCs w:val="0"/>
          <w:color w:val="auto"/>
          <w:kern w:val="0"/>
          <w:sz w:val="32"/>
          <w:szCs w:val="32"/>
          <w:lang w:val="en-US" w:eastAsia="zh-CN" w:bidi="ar"/>
        </w:rPr>
      </w:pPr>
      <w:r>
        <w:rPr>
          <w:rFonts w:hint="eastAsia" w:ascii="Times New Roman" w:hAnsi="Times New Roman" w:eastAsia="仿宋_GB2312" w:cs="仿宋_GB2312"/>
          <w:b w:val="0"/>
          <w:bCs w:val="0"/>
          <w:color w:val="auto"/>
          <w:kern w:val="0"/>
          <w:position w:val="0"/>
          <w:sz w:val="32"/>
          <w:szCs w:val="32"/>
          <w:highlight w:val="none"/>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zh-CN" w:eastAsia="zh-CN" w:bidi="ar-SA"/>
        </w:rPr>
        <w:t>项目决策。</w:t>
      </w:r>
      <w:r>
        <w:rPr>
          <w:rFonts w:hint="default" w:ascii="仿宋_GB2312" w:hAnsi="仿宋_GB2312" w:eastAsia="仿宋_GB2312" w:cs="仿宋_GB2312"/>
          <w:b w:val="0"/>
          <w:bCs w:val="0"/>
          <w:color w:val="auto"/>
          <w:kern w:val="0"/>
          <w:position w:val="0"/>
          <w:sz w:val="32"/>
          <w:szCs w:val="32"/>
          <w:highlight w:val="none"/>
          <w:lang w:val="en-US" w:eastAsia="zh-CN" w:bidi="ar-SA"/>
        </w:rPr>
        <w:t>在决策程序方面，项目立项严格遵循申报、审核等规范流程，确保决策流程的严谨性与合规性。资金投向精准锁定</w:t>
      </w:r>
      <w:r>
        <w:rPr>
          <w:rFonts w:hint="eastAsia" w:ascii="仿宋_GB2312" w:hAnsi="仿宋_GB2312" w:eastAsia="仿宋_GB2312" w:cs="仿宋_GB2312"/>
          <w:b w:val="0"/>
          <w:bCs w:val="0"/>
          <w:color w:val="auto"/>
          <w:kern w:val="0"/>
          <w:position w:val="0"/>
          <w:sz w:val="32"/>
          <w:szCs w:val="32"/>
          <w:highlight w:val="none"/>
          <w:lang w:val="en-US" w:eastAsia="zh-CN" w:bidi="ar-SA"/>
        </w:rPr>
        <w:t>石圣社区</w:t>
      </w:r>
      <w:r>
        <w:rPr>
          <w:rFonts w:hint="default" w:ascii="仿宋_GB2312" w:hAnsi="仿宋_GB2312" w:eastAsia="仿宋_GB2312" w:cs="仿宋_GB2312"/>
          <w:b w:val="0"/>
          <w:bCs w:val="0"/>
          <w:color w:val="auto"/>
          <w:kern w:val="0"/>
          <w:position w:val="0"/>
          <w:sz w:val="32"/>
          <w:szCs w:val="32"/>
          <w:highlight w:val="none"/>
          <w:lang w:val="en-US" w:eastAsia="zh-CN" w:bidi="ar-SA"/>
        </w:rPr>
        <w:t>基层治理领域，紧密围绕基层治理的实际需求进行资源配置，为项目的顺利推进奠定坚实基础</w:t>
      </w:r>
      <w:r>
        <w:rPr>
          <w:rFonts w:hint="eastAsia" w:ascii="仿宋_GB2312" w:hAnsi="仿宋_GB2312" w:eastAsia="仿宋_GB2312" w:cs="仿宋_GB2312"/>
          <w:b w:val="0"/>
          <w:bCs w:val="0"/>
          <w:color w:val="auto"/>
          <w:kern w:val="0"/>
          <w:position w:val="0"/>
          <w:sz w:val="32"/>
          <w:szCs w:val="32"/>
          <w:highlight w:val="none"/>
          <w:lang w:val="en-US" w:eastAsia="zh-CN" w:bidi="ar-SA"/>
        </w:rPr>
        <w:t>。</w:t>
      </w:r>
      <w:r>
        <w:rPr>
          <w:rFonts w:hint="default" w:ascii="仿宋_GB2312" w:hAnsi="Calibri" w:eastAsia="仿宋_GB2312" w:cs="仿宋_GB2312"/>
          <w:b w:val="0"/>
          <w:bCs w:val="0"/>
          <w:color w:val="auto"/>
          <w:kern w:val="0"/>
          <w:sz w:val="32"/>
          <w:szCs w:val="32"/>
          <w:lang w:val="en-US" w:eastAsia="zh-CN" w:bidi="ar"/>
        </w:rPr>
        <w:t>综合得分18分</w:t>
      </w:r>
      <w:r>
        <w:rPr>
          <w:rFonts w:hint="eastAsia" w:ascii="仿宋_GB2312" w:eastAsia="仿宋_GB2312" w:cs="仿宋_GB2312"/>
          <w:b w:val="0"/>
          <w:bCs w:val="0"/>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2.</w:t>
      </w:r>
      <w:r>
        <w:rPr>
          <w:rFonts w:hint="eastAsia" w:ascii="Times New Roman" w:hAnsi="Times New Roman" w:eastAsia="仿宋_GB2312" w:cs="仿宋_GB2312"/>
          <w:b w:val="0"/>
          <w:bCs w:val="0"/>
          <w:color w:val="auto"/>
          <w:kern w:val="0"/>
          <w:position w:val="0"/>
          <w:sz w:val="32"/>
          <w:szCs w:val="32"/>
          <w:highlight w:val="none"/>
          <w:lang w:val="zh-CN" w:eastAsia="zh-CN" w:bidi="ar-SA"/>
        </w:rPr>
        <w:t>项目管理。</w:t>
      </w:r>
      <w:r>
        <w:rPr>
          <w:rFonts w:hint="default" w:ascii="仿宋_GB2312" w:hAnsi="仿宋_GB2312" w:eastAsia="仿宋_GB2312" w:cs="仿宋_GB2312"/>
          <w:b w:val="0"/>
          <w:bCs w:val="0"/>
          <w:color w:val="auto"/>
          <w:kern w:val="0"/>
          <w:position w:val="0"/>
          <w:sz w:val="32"/>
          <w:szCs w:val="32"/>
          <w:highlight w:val="none"/>
          <w:lang w:val="en-US" w:eastAsia="zh-CN" w:bidi="ar-SA"/>
        </w:rPr>
        <w:t>建立资金管理制度和项目管理制度</w:t>
      </w:r>
      <w:r>
        <w:rPr>
          <w:rFonts w:hint="eastAsia" w:ascii="仿宋_GB2312" w:hAnsi="仿宋_GB2312" w:eastAsia="仿宋_GB2312" w:cs="仿宋_GB2312"/>
          <w:b w:val="0"/>
          <w:bCs w:val="0"/>
          <w:color w:val="auto"/>
          <w:kern w:val="0"/>
          <w:position w:val="0"/>
          <w:sz w:val="32"/>
          <w:szCs w:val="32"/>
          <w:highlight w:val="none"/>
          <w:lang w:val="en-US" w:eastAsia="zh-CN" w:bidi="ar-SA"/>
        </w:rPr>
        <w:t>，</w:t>
      </w:r>
      <w:r>
        <w:rPr>
          <w:rFonts w:hint="default" w:ascii="仿宋_GB2312" w:hAnsi="仿宋_GB2312" w:eastAsia="仿宋_GB2312" w:cs="仿宋_GB2312"/>
          <w:b w:val="0"/>
          <w:bCs w:val="0"/>
          <w:color w:val="auto"/>
          <w:kern w:val="0"/>
          <w:position w:val="0"/>
          <w:sz w:val="32"/>
          <w:szCs w:val="32"/>
          <w:highlight w:val="none"/>
          <w:lang w:val="en-US" w:eastAsia="zh-CN" w:bidi="ar-SA"/>
        </w:rPr>
        <w:t>严格规范资金流转程序</w:t>
      </w:r>
      <w:r>
        <w:rPr>
          <w:rFonts w:hint="eastAsia" w:ascii="仿宋_GB2312" w:hAnsi="仿宋_GB2312" w:eastAsia="仿宋_GB2312" w:cs="仿宋_GB2312"/>
          <w:b w:val="0"/>
          <w:bCs w:val="0"/>
          <w:color w:val="auto"/>
          <w:kern w:val="0"/>
          <w:position w:val="0"/>
          <w:sz w:val="32"/>
          <w:szCs w:val="32"/>
          <w:highlight w:val="none"/>
          <w:lang w:val="en-US" w:eastAsia="zh-CN" w:bidi="ar-SA"/>
        </w:rPr>
        <w:t>，</w:t>
      </w:r>
      <w:r>
        <w:rPr>
          <w:rFonts w:hint="default" w:ascii="仿宋_GB2312" w:hAnsi="仿宋_GB2312" w:eastAsia="仿宋_GB2312" w:cs="仿宋_GB2312"/>
          <w:b w:val="0"/>
          <w:bCs w:val="0"/>
          <w:color w:val="auto"/>
          <w:kern w:val="0"/>
          <w:position w:val="0"/>
          <w:sz w:val="32"/>
          <w:szCs w:val="32"/>
          <w:highlight w:val="none"/>
          <w:lang w:val="en-US" w:eastAsia="zh-CN" w:bidi="ar-SA"/>
        </w:rPr>
        <w:t>为项目实施提供全面、细致的制度保障。在资金分配管理上，严格按照预算执行，建立资金使用台账，对每一笔资金的流向进行详细记录和跟踪，确保资金专款专用，未出现任何违规挪用、挤占现象，有力保障了项目建设的资金需求和使用安全。</w:t>
      </w:r>
      <w:r>
        <w:rPr>
          <w:rFonts w:hint="eastAsia" w:ascii="仿宋_GB2312" w:hAnsi="仿宋_GB2312" w:eastAsia="仿宋_GB2312" w:cs="仿宋_GB2312"/>
          <w:b w:val="0"/>
          <w:bCs w:val="0"/>
          <w:color w:val="auto"/>
          <w:kern w:val="0"/>
          <w:position w:val="0"/>
          <w:sz w:val="32"/>
          <w:szCs w:val="32"/>
          <w:highlight w:val="none"/>
          <w:lang w:val="en-US" w:eastAsia="zh-CN" w:bidi="ar-SA"/>
        </w:rPr>
        <w:t>综合得分18分。</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3.项目实施。</w:t>
      </w:r>
      <w:r>
        <w:rPr>
          <w:rFonts w:hint="default" w:ascii="仿宋_GB2312" w:hAnsi="Calibri" w:eastAsia="仿宋_GB2312" w:cs="仿宋_GB2312"/>
          <w:b w:val="0"/>
          <w:bCs w:val="0"/>
          <w:color w:val="auto"/>
          <w:kern w:val="0"/>
          <w:sz w:val="32"/>
          <w:szCs w:val="32"/>
          <w:lang w:val="en-US" w:eastAsia="zh-CN" w:bidi="ar"/>
        </w:rPr>
        <w:t>预算执行率达到100%，资金使用过程中严格遵守相关规范，未出现挪用、截留等违规现象，有效保障了项目资金安全。综合评分9分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4.项目结果。</w:t>
      </w:r>
      <w:r>
        <w:rPr>
          <w:rFonts w:hint="default" w:ascii="仿宋_GB2312" w:hAnsi="Calibri" w:eastAsia="仿宋_GB2312" w:cs="仿宋_GB2312"/>
          <w:b w:val="0"/>
          <w:bCs w:val="0"/>
          <w:color w:val="auto"/>
          <w:kern w:val="0"/>
          <w:sz w:val="32"/>
          <w:szCs w:val="32"/>
          <w:lang w:val="en-US" w:eastAsia="zh-CN" w:bidi="ar"/>
        </w:rPr>
        <w:t>在目标完成方面，顺利完成1个基层党群服务中心的升级改造，基本达成阶段性目标；在完成时效上，整体项目按照计划时间节点顺利完成。综合评分9分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default" w:ascii="仿宋_GB2312" w:hAnsi="仿宋_GB2312" w:eastAsia="仿宋_GB2312" w:cs="仿宋_GB2312"/>
          <w:b w:val="0"/>
          <w:bCs w:val="0"/>
          <w:color w:val="auto"/>
          <w:kern w:val="0"/>
          <w:position w:val="0"/>
          <w:sz w:val="32"/>
          <w:szCs w:val="32"/>
          <w:highlight w:val="none"/>
          <w:lang w:val="en-US" w:eastAsia="zh-CN" w:bidi="ar-SA"/>
        </w:rPr>
        <w:t>本专项资金主要用于民生保障领域，依据相关指标分析如下：</w:t>
      </w:r>
    </w:p>
    <w:p>
      <w:pPr>
        <w:keepNext w:val="0"/>
        <w:keepLines w:val="0"/>
        <w:pageBreakBefore w:val="0"/>
        <w:widowControl/>
        <w:numPr>
          <w:ilvl w:val="0"/>
          <w:numId w:val="0"/>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1.</w:t>
      </w:r>
      <w:r>
        <w:rPr>
          <w:rFonts w:hint="default" w:ascii="仿宋_GB2312" w:hAnsi="仿宋_GB2312" w:eastAsia="仿宋_GB2312" w:cs="仿宋_GB2312"/>
          <w:b w:val="0"/>
          <w:bCs w:val="0"/>
          <w:color w:val="auto"/>
          <w:kern w:val="0"/>
          <w:position w:val="0"/>
          <w:sz w:val="32"/>
          <w:szCs w:val="32"/>
          <w:highlight w:val="none"/>
          <w:lang w:val="en-US" w:eastAsia="zh-CN" w:bidi="ar-SA"/>
        </w:rPr>
        <w:t>区域均衡性：由于</w:t>
      </w:r>
      <w:r>
        <w:rPr>
          <w:rFonts w:hint="eastAsia" w:ascii="仿宋_GB2312" w:hAnsi="仿宋_GB2312" w:eastAsia="仿宋_GB2312" w:cs="仿宋_GB2312"/>
          <w:b w:val="0"/>
          <w:bCs w:val="0"/>
          <w:color w:val="auto"/>
          <w:kern w:val="0"/>
          <w:position w:val="0"/>
          <w:sz w:val="32"/>
          <w:szCs w:val="32"/>
          <w:highlight w:val="none"/>
          <w:lang w:val="en-US" w:eastAsia="zh-CN" w:bidi="ar-SA"/>
        </w:rPr>
        <w:t>我</w:t>
      </w:r>
      <w:r>
        <w:rPr>
          <w:rFonts w:hint="default" w:ascii="仿宋_GB2312" w:hAnsi="仿宋_GB2312" w:eastAsia="仿宋_GB2312" w:cs="仿宋_GB2312"/>
          <w:b w:val="0"/>
          <w:bCs w:val="0"/>
          <w:color w:val="auto"/>
          <w:kern w:val="0"/>
          <w:position w:val="0"/>
          <w:sz w:val="32"/>
          <w:szCs w:val="32"/>
          <w:highlight w:val="none"/>
          <w:lang w:val="en-US" w:eastAsia="zh-CN" w:bidi="ar-SA"/>
        </w:rPr>
        <w:t>镇仅有</w:t>
      </w:r>
      <w:r>
        <w:rPr>
          <w:rFonts w:hint="eastAsia" w:ascii="仿宋_GB2312" w:hAnsi="仿宋_GB2312" w:eastAsia="仿宋_GB2312" w:cs="仿宋_GB2312"/>
          <w:b w:val="0"/>
          <w:bCs w:val="0"/>
          <w:color w:val="auto"/>
          <w:kern w:val="0"/>
          <w:position w:val="0"/>
          <w:sz w:val="32"/>
          <w:szCs w:val="32"/>
          <w:highlight w:val="none"/>
          <w:lang w:val="en-US" w:eastAsia="zh-CN" w:bidi="ar-SA"/>
        </w:rPr>
        <w:t>石圣社区</w:t>
      </w:r>
      <w:r>
        <w:rPr>
          <w:rFonts w:hint="default" w:ascii="仿宋_GB2312" w:hAnsi="仿宋_GB2312" w:eastAsia="仿宋_GB2312" w:cs="仿宋_GB2312"/>
          <w:b w:val="0"/>
          <w:bCs w:val="0"/>
          <w:color w:val="auto"/>
          <w:kern w:val="0"/>
          <w:position w:val="0"/>
          <w:sz w:val="32"/>
          <w:szCs w:val="32"/>
          <w:highlight w:val="none"/>
          <w:lang w:val="en-US" w:eastAsia="zh-CN" w:bidi="ar-SA"/>
        </w:rPr>
        <w:t>作为专项资金支持对象，不存在区域发展不均衡问题</w:t>
      </w:r>
      <w:r>
        <w:rPr>
          <w:rFonts w:hint="eastAsia" w:ascii="仿宋_GB2312" w:hAnsi="仿宋_GB2312" w:eastAsia="仿宋_GB2312" w:cs="仿宋_GB2312"/>
          <w:b w:val="0"/>
          <w:bCs w:val="0"/>
          <w:color w:val="auto"/>
          <w:kern w:val="0"/>
          <w:position w:val="0"/>
          <w:sz w:val="32"/>
          <w:szCs w:val="32"/>
          <w:highlight w:val="none"/>
          <w:lang w:val="en-US" w:eastAsia="zh-CN" w:bidi="ar-SA"/>
        </w:rPr>
        <w:t>。</w:t>
      </w:r>
      <w:r>
        <w:rPr>
          <w:rFonts w:hint="default" w:ascii="仿宋_GB2312" w:hAnsi="仿宋_GB2312" w:eastAsia="仿宋_GB2312" w:cs="仿宋_GB2312"/>
          <w:b w:val="0"/>
          <w:bCs w:val="0"/>
          <w:color w:val="auto"/>
          <w:kern w:val="0"/>
          <w:position w:val="0"/>
          <w:sz w:val="32"/>
          <w:szCs w:val="32"/>
          <w:highlight w:val="none"/>
          <w:lang w:val="en-US" w:eastAsia="zh-CN" w:bidi="ar-SA"/>
        </w:rPr>
        <w:t>综合评分</w:t>
      </w:r>
      <w:r>
        <w:rPr>
          <w:rFonts w:hint="eastAsia" w:ascii="仿宋_GB2312" w:hAnsi="仿宋_GB2312" w:eastAsia="仿宋_GB2312" w:cs="仿宋_GB2312"/>
          <w:b w:val="0"/>
          <w:bCs w:val="0"/>
          <w:color w:val="auto"/>
          <w:kern w:val="0"/>
          <w:position w:val="0"/>
          <w:sz w:val="32"/>
          <w:szCs w:val="32"/>
          <w:highlight w:val="none"/>
          <w:lang w:val="en-US" w:eastAsia="zh-CN" w:bidi="ar-SA"/>
        </w:rPr>
        <w:t>1</w:t>
      </w:r>
      <w:r>
        <w:rPr>
          <w:rFonts w:hint="default" w:ascii="仿宋_GB2312" w:hAnsi="仿宋_GB2312" w:eastAsia="仿宋_GB2312" w:cs="仿宋_GB2312"/>
          <w:b w:val="0"/>
          <w:bCs w:val="0"/>
          <w:color w:val="auto"/>
          <w:kern w:val="0"/>
          <w:position w:val="0"/>
          <w:sz w:val="32"/>
          <w:szCs w:val="32"/>
          <w:highlight w:val="none"/>
          <w:lang w:val="en-US" w:eastAsia="zh-CN" w:bidi="ar-SA"/>
        </w:rPr>
        <w:t>0分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numPr>
          <w:ilvl w:val="0"/>
          <w:numId w:val="0"/>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2.</w:t>
      </w:r>
      <w:r>
        <w:rPr>
          <w:rFonts w:hint="default" w:ascii="仿宋_GB2312" w:hAnsi="仿宋_GB2312" w:eastAsia="仿宋_GB2312" w:cs="仿宋_GB2312"/>
          <w:b w:val="0"/>
          <w:bCs w:val="0"/>
          <w:color w:val="auto"/>
          <w:kern w:val="0"/>
          <w:position w:val="0"/>
          <w:sz w:val="32"/>
          <w:szCs w:val="32"/>
          <w:highlight w:val="none"/>
          <w:lang w:val="en-US" w:eastAsia="zh-CN" w:bidi="ar-SA"/>
        </w:rPr>
        <w:t>对象精准性：资金使用精准对接</w:t>
      </w:r>
      <w:r>
        <w:rPr>
          <w:rFonts w:hint="eastAsia" w:ascii="仿宋_GB2312" w:hAnsi="仿宋_GB2312" w:eastAsia="仿宋_GB2312" w:cs="仿宋_GB2312"/>
          <w:b w:val="0"/>
          <w:bCs w:val="0"/>
          <w:color w:val="auto"/>
          <w:kern w:val="0"/>
          <w:position w:val="0"/>
          <w:sz w:val="32"/>
          <w:szCs w:val="32"/>
          <w:highlight w:val="none"/>
          <w:lang w:val="en-US" w:eastAsia="zh-CN" w:bidi="ar-SA"/>
        </w:rPr>
        <w:t>石圣社区</w:t>
      </w:r>
      <w:r>
        <w:rPr>
          <w:rFonts w:hint="default" w:ascii="仿宋_GB2312" w:hAnsi="仿宋_GB2312" w:eastAsia="仿宋_GB2312" w:cs="仿宋_GB2312"/>
          <w:b w:val="0"/>
          <w:bCs w:val="0"/>
          <w:color w:val="auto"/>
          <w:kern w:val="0"/>
          <w:position w:val="0"/>
          <w:sz w:val="32"/>
          <w:szCs w:val="32"/>
          <w:highlight w:val="none"/>
          <w:lang w:val="en-US" w:eastAsia="zh-CN" w:bidi="ar-SA"/>
        </w:rPr>
        <w:t>基层治理需求，实现靶向投入，有效解决社区治理中的实际问题。综合评分</w:t>
      </w:r>
      <w:r>
        <w:rPr>
          <w:rFonts w:hint="eastAsia" w:ascii="仿宋_GB2312" w:hAnsi="仿宋_GB2312" w:eastAsia="仿宋_GB2312" w:cs="仿宋_GB2312"/>
          <w:b w:val="0"/>
          <w:bCs w:val="0"/>
          <w:color w:val="auto"/>
          <w:kern w:val="0"/>
          <w:position w:val="0"/>
          <w:sz w:val="32"/>
          <w:szCs w:val="32"/>
          <w:highlight w:val="none"/>
          <w:lang w:val="en-US" w:eastAsia="zh-CN" w:bidi="ar-SA"/>
        </w:rPr>
        <w:t>1</w:t>
      </w:r>
      <w:r>
        <w:rPr>
          <w:rFonts w:hint="default" w:ascii="仿宋_GB2312" w:hAnsi="仿宋_GB2312" w:eastAsia="仿宋_GB2312" w:cs="仿宋_GB2312"/>
          <w:b w:val="0"/>
          <w:bCs w:val="0"/>
          <w:color w:val="auto"/>
          <w:kern w:val="0"/>
          <w:position w:val="0"/>
          <w:sz w:val="32"/>
          <w:szCs w:val="32"/>
          <w:highlight w:val="none"/>
          <w:lang w:val="en-US" w:eastAsia="zh-CN" w:bidi="ar-SA"/>
        </w:rPr>
        <w:t>0分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r>
        <w:rPr>
          <w:rFonts w:hint="default"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numPr>
          <w:ilvl w:val="0"/>
          <w:numId w:val="0"/>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3.</w:t>
      </w:r>
      <w:r>
        <w:rPr>
          <w:rFonts w:hint="default" w:ascii="仿宋_GB2312" w:hAnsi="仿宋_GB2312" w:eastAsia="仿宋_GB2312" w:cs="仿宋_GB2312"/>
          <w:b w:val="0"/>
          <w:bCs w:val="0"/>
          <w:color w:val="auto"/>
          <w:kern w:val="0"/>
          <w:position w:val="0"/>
          <w:sz w:val="32"/>
          <w:szCs w:val="32"/>
          <w:highlight w:val="none"/>
          <w:lang w:val="en-US" w:eastAsia="zh-CN" w:bidi="ar-SA"/>
        </w:rPr>
        <w:t>标准合理性：在项目建设和费用标准设定上，严格遵循相关要求，结合项目实际需求和财政预算规范进行费用核定与支付，确保资金使用规范合理。综合评分</w:t>
      </w:r>
      <w:r>
        <w:rPr>
          <w:rFonts w:hint="eastAsia" w:ascii="仿宋_GB2312" w:hAnsi="仿宋_GB2312" w:eastAsia="仿宋_GB2312" w:cs="仿宋_GB2312"/>
          <w:b w:val="0"/>
          <w:bCs w:val="0"/>
          <w:color w:val="auto"/>
          <w:kern w:val="0"/>
          <w:position w:val="0"/>
          <w:sz w:val="32"/>
          <w:szCs w:val="32"/>
          <w:highlight w:val="none"/>
          <w:lang w:val="en-US" w:eastAsia="zh-CN" w:bidi="ar-SA"/>
        </w:rPr>
        <w:t>5</w:t>
      </w:r>
      <w:r>
        <w:rPr>
          <w:rFonts w:hint="default" w:ascii="仿宋_GB2312" w:hAnsi="仿宋_GB2312" w:eastAsia="仿宋_GB2312" w:cs="仿宋_GB2312"/>
          <w:b w:val="0"/>
          <w:bCs w:val="0"/>
          <w:color w:val="auto"/>
          <w:kern w:val="0"/>
          <w:position w:val="0"/>
          <w:sz w:val="32"/>
          <w:szCs w:val="32"/>
          <w:highlight w:val="none"/>
          <w:lang w:val="en-US" w:eastAsia="zh-CN" w:bidi="ar-SA"/>
        </w:rPr>
        <w:t>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numPr>
          <w:ilvl w:val="0"/>
          <w:numId w:val="0"/>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4.</w:t>
      </w:r>
      <w:r>
        <w:rPr>
          <w:rFonts w:hint="default" w:ascii="仿宋_GB2312" w:hAnsi="仿宋_GB2312" w:eastAsia="仿宋_GB2312" w:cs="仿宋_GB2312"/>
          <w:b w:val="0"/>
          <w:bCs w:val="0"/>
          <w:color w:val="auto"/>
          <w:kern w:val="0"/>
          <w:position w:val="0"/>
          <w:sz w:val="32"/>
          <w:szCs w:val="32"/>
          <w:highlight w:val="none"/>
          <w:lang w:val="en-US" w:eastAsia="zh-CN" w:bidi="ar-SA"/>
        </w:rPr>
        <w:t>群众满意度：参与项目服务的群众对党群服务中心改造、社会组织活动等方面表示</w:t>
      </w:r>
      <w:r>
        <w:rPr>
          <w:rFonts w:hint="eastAsia" w:ascii="仿宋_GB2312" w:hAnsi="仿宋_GB2312" w:eastAsia="仿宋_GB2312" w:cs="仿宋_GB2312"/>
          <w:b w:val="0"/>
          <w:bCs w:val="0"/>
          <w:color w:val="auto"/>
          <w:kern w:val="0"/>
          <w:position w:val="0"/>
          <w:sz w:val="32"/>
          <w:szCs w:val="32"/>
          <w:highlight w:val="none"/>
          <w:lang w:val="en-US" w:eastAsia="zh-CN" w:bidi="ar-SA"/>
        </w:rPr>
        <w:t>充分</w:t>
      </w:r>
      <w:r>
        <w:rPr>
          <w:rFonts w:hint="default" w:ascii="仿宋_GB2312" w:hAnsi="仿宋_GB2312" w:eastAsia="仿宋_GB2312" w:cs="仿宋_GB2312"/>
          <w:b w:val="0"/>
          <w:bCs w:val="0"/>
          <w:color w:val="auto"/>
          <w:kern w:val="0"/>
          <w:position w:val="0"/>
          <w:sz w:val="32"/>
          <w:szCs w:val="32"/>
          <w:highlight w:val="none"/>
          <w:lang w:val="en-US" w:eastAsia="zh-CN" w:bidi="ar-SA"/>
        </w:rPr>
        <w:t>认可</w:t>
      </w:r>
      <w:r>
        <w:rPr>
          <w:rFonts w:hint="eastAsia" w:ascii="仿宋_GB2312" w:hAnsi="仿宋_GB2312" w:eastAsia="仿宋_GB2312" w:cs="仿宋_GB2312"/>
          <w:b w:val="0"/>
          <w:bCs w:val="0"/>
          <w:color w:val="auto"/>
          <w:kern w:val="0"/>
          <w:position w:val="0"/>
          <w:sz w:val="32"/>
          <w:szCs w:val="32"/>
          <w:highlight w:val="none"/>
          <w:lang w:val="en-US" w:eastAsia="zh-CN" w:bidi="ar-SA"/>
        </w:rPr>
        <w:t>，群众满意率达98%</w:t>
      </w:r>
      <w:r>
        <w:rPr>
          <w:rFonts w:hint="default" w:ascii="仿宋_GB2312" w:hAnsi="仿宋_GB2312" w:eastAsia="仿宋_GB2312" w:cs="仿宋_GB2312"/>
          <w:b w:val="0"/>
          <w:bCs w:val="0"/>
          <w:color w:val="auto"/>
          <w:kern w:val="0"/>
          <w:position w:val="0"/>
          <w:sz w:val="32"/>
          <w:szCs w:val="32"/>
          <w:highlight w:val="none"/>
          <w:lang w:val="en-US" w:eastAsia="zh-CN" w:bidi="ar-SA"/>
        </w:rPr>
        <w:t>。综合评分</w:t>
      </w:r>
      <w:r>
        <w:rPr>
          <w:rFonts w:hint="eastAsia" w:ascii="仿宋_GB2312" w:hAnsi="仿宋_GB2312" w:eastAsia="仿宋_GB2312" w:cs="仿宋_GB2312"/>
          <w:b w:val="0"/>
          <w:bCs w:val="0"/>
          <w:color w:val="auto"/>
          <w:kern w:val="0"/>
          <w:position w:val="0"/>
          <w:sz w:val="32"/>
          <w:szCs w:val="32"/>
          <w:highlight w:val="none"/>
          <w:lang w:val="en-US" w:eastAsia="zh-CN" w:bidi="ar-SA"/>
        </w:rPr>
        <w:t>5</w:t>
      </w:r>
      <w:r>
        <w:rPr>
          <w:rFonts w:hint="default" w:ascii="仿宋_GB2312" w:hAnsi="仿宋_GB2312" w:eastAsia="仿宋_GB2312" w:cs="仿宋_GB2312"/>
          <w:b w:val="0"/>
          <w:bCs w:val="0"/>
          <w:color w:val="auto"/>
          <w:kern w:val="0"/>
          <w:position w:val="0"/>
          <w:sz w:val="32"/>
          <w:szCs w:val="32"/>
          <w:highlight w:val="none"/>
          <w:lang w:val="en-US" w:eastAsia="zh-CN" w:bidi="ar-SA"/>
        </w:rPr>
        <w:t>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仿宋_GB2312" w:hAnsi="仿宋_GB2312"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eastAsia" w:ascii="Times New Roman" w:hAnsi="Times New Roman" w:eastAsia="仿宋_GB2312" w:cs="仿宋_GB2312"/>
          <w:b w:val="0"/>
          <w:bCs w:val="0"/>
          <w:color w:val="auto"/>
          <w:kern w:val="0"/>
          <w:position w:val="0"/>
          <w:sz w:val="32"/>
          <w:szCs w:val="32"/>
          <w:highlight w:val="none"/>
          <w:lang w:val="zh-CN" w:eastAsia="zh-CN" w:bidi="ar-SA"/>
        </w:rPr>
        <w:t>根据项目特点，设定个性指标为</w:t>
      </w:r>
      <w:r>
        <w:rPr>
          <w:rFonts w:hint="default" w:ascii="仿宋_GB2312" w:hAnsi="仿宋_GB2312" w:eastAsia="仿宋_GB2312" w:cs="仿宋_GB2312"/>
          <w:b w:val="0"/>
          <w:bCs w:val="0"/>
          <w:color w:val="auto"/>
          <w:kern w:val="0"/>
          <w:position w:val="0"/>
          <w:sz w:val="32"/>
          <w:szCs w:val="32"/>
          <w:highlight w:val="none"/>
          <w:lang w:val="zh-CN" w:eastAsia="zh-CN" w:bidi="ar-SA"/>
        </w:rPr>
        <w:t>“功能区域达标率”。该指标用于衡量党群服务中心各规划功能区域的建成及实用情况。项目计划党建活动区、便民服务区等功能区域全部达标，实际各类区域均按标准建成并投入使用，达标率100%，充分满足群众多样化服务需求。综合评分16</w:t>
      </w:r>
      <w:r>
        <w:rPr>
          <w:rFonts w:hint="eastAsia" w:ascii="仿宋_GB2312" w:hAnsi="仿宋_GB2312" w:eastAsia="仿宋_GB2312" w:cs="仿宋_GB2312"/>
          <w:b w:val="0"/>
          <w:bCs w:val="0"/>
          <w:color w:val="auto"/>
          <w:kern w:val="0"/>
          <w:position w:val="0"/>
          <w:sz w:val="32"/>
          <w:szCs w:val="32"/>
          <w:highlight w:val="none"/>
          <w:lang w:val="zh-CN" w:eastAsia="zh-CN" w:bidi="ar-SA"/>
        </w:rPr>
        <w:t>分</w:t>
      </w:r>
      <w:r>
        <w:rPr>
          <w:rFonts w:hint="default" w:ascii="仿宋_GB2312" w:hAnsi="仿宋_GB2312" w:eastAsia="仿宋_GB2312" w:cs="仿宋_GB2312"/>
          <w:b w:val="0"/>
          <w:bCs w:val="0"/>
          <w:color w:val="auto"/>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hAnsi="黑体" w:eastAsia="黑体" w:cs="黑体"/>
          <w:b w:val="0"/>
          <w:bCs w:val="0"/>
          <w:color w:val="auto"/>
          <w:kern w:val="0"/>
          <w:position w:val="0"/>
          <w:sz w:val="32"/>
          <w:szCs w:val="32"/>
          <w:highlight w:val="none"/>
          <w:lang w:val="en-US" w:eastAsia="zh-CN" w:bidi="ar-SA"/>
        </w:rPr>
      </w:pPr>
      <w:r>
        <w:rPr>
          <w:rFonts w:hint="eastAsia" w:ascii="黑体" w:hAnsi="黑体" w:eastAsia="黑体" w:cs="黑体"/>
          <w:b w:val="0"/>
          <w:bCs w:val="0"/>
          <w:color w:val="auto"/>
          <w:kern w:val="0"/>
          <w:position w:val="0"/>
          <w:sz w:val="32"/>
          <w:szCs w:val="32"/>
          <w:highlight w:val="none"/>
          <w:lang w:val="en-US" w:eastAsia="zh-CN" w:bidi="ar-SA"/>
        </w:rPr>
        <w:t>四、评价结论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该项目实施过程中，在推动石圣社区基层治理能力建设方面成效较好，顺利完成既定阶段性目标，成功实现1个基层党群服务中心的功能优化升级，使其成为集党建引领、便民服务、政策宣传、民意沟通等多功能于一体的综合性服务阵地，切实提升了石圣社区基层治理的整体水平，为推动城乡基层治理高质量发展奠定了坚实基础。经综合评价，本项目绩效自评总分为100分。</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hAnsi="黑体" w:eastAsia="黑体" w:cs="黑体"/>
          <w:b w:val="0"/>
          <w:bCs w:val="0"/>
          <w:color w:val="auto"/>
          <w:kern w:val="0"/>
          <w:position w:val="0"/>
          <w:sz w:val="32"/>
          <w:szCs w:val="32"/>
          <w:highlight w:val="none"/>
          <w:lang w:val="en-US" w:eastAsia="zh-CN" w:bidi="ar-SA"/>
        </w:rPr>
      </w:pPr>
      <w:r>
        <w:rPr>
          <w:rFonts w:hint="eastAsia" w:ascii="黑体" w:hAnsi="黑体" w:eastAsia="黑体" w:cs="黑体"/>
          <w:b w:val="0"/>
          <w:bCs w:val="0"/>
          <w:color w:val="auto"/>
          <w:kern w:val="0"/>
          <w:position w:val="0"/>
          <w:sz w:val="32"/>
          <w:szCs w:val="32"/>
          <w:highlight w:val="none"/>
          <w:lang w:val="en-US" w:eastAsia="zh-CN" w:bidi="ar-SA"/>
        </w:rPr>
        <w:t>五、存在主要问题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项目经费不足。1万元专项资金仅能满足石圣社区基层治理能力建设的基础需求，难以支撑更深入的建设内容。</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hAnsi="黑体" w:eastAsia="黑体" w:cs="黑体"/>
          <w:b w:val="0"/>
          <w:bCs w:val="0"/>
          <w:color w:val="auto"/>
          <w:kern w:val="0"/>
          <w:position w:val="0"/>
          <w:sz w:val="32"/>
          <w:szCs w:val="32"/>
          <w:highlight w:val="none"/>
          <w:lang w:val="zh-CN" w:eastAsia="zh-CN" w:bidi="ar-SA"/>
        </w:rPr>
      </w:pPr>
      <w:r>
        <w:rPr>
          <w:rFonts w:hint="eastAsia" w:ascii="黑体" w:hAnsi="黑体" w:eastAsia="黑体" w:cs="黑体"/>
          <w:b w:val="0"/>
          <w:bCs w:val="0"/>
          <w:color w:val="auto"/>
          <w:kern w:val="0"/>
          <w:position w:val="0"/>
          <w:sz w:val="32"/>
          <w:szCs w:val="32"/>
          <w:highlight w:val="none"/>
          <w:lang w:val="zh-CN" w:eastAsia="zh-CN" w:bidi="ar-SA"/>
        </w:rPr>
        <w:t>六、改进建议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积极争取多方资金支持，</w:t>
      </w:r>
      <w:r>
        <w:rPr>
          <w:rFonts w:hint="default" w:ascii="仿宋_GB2312" w:hAnsi="仿宋_GB2312" w:eastAsia="仿宋_GB2312" w:cs="仿宋_GB2312"/>
          <w:b w:val="0"/>
          <w:bCs w:val="0"/>
          <w:color w:val="auto"/>
          <w:kern w:val="0"/>
          <w:position w:val="0"/>
          <w:sz w:val="32"/>
          <w:szCs w:val="32"/>
          <w:highlight w:val="none"/>
          <w:lang w:val="en-US" w:eastAsia="zh-CN" w:bidi="ar-SA"/>
        </w:rPr>
        <w:t>向上级部门申请增加城乡基层治理能力建设专项资金额度，结合</w:t>
      </w:r>
      <w:r>
        <w:rPr>
          <w:rFonts w:hint="eastAsia" w:ascii="仿宋_GB2312" w:hAnsi="仿宋_GB2312" w:eastAsia="仿宋_GB2312" w:cs="仿宋_GB2312"/>
          <w:b w:val="0"/>
          <w:bCs w:val="0"/>
          <w:color w:val="auto"/>
          <w:kern w:val="0"/>
          <w:position w:val="0"/>
          <w:sz w:val="32"/>
          <w:szCs w:val="32"/>
          <w:highlight w:val="none"/>
          <w:lang w:val="en-US" w:eastAsia="zh-CN" w:bidi="ar-SA"/>
        </w:rPr>
        <w:t>石圣社区</w:t>
      </w:r>
      <w:r>
        <w:rPr>
          <w:rFonts w:hint="default" w:ascii="仿宋_GB2312" w:hAnsi="仿宋_GB2312" w:eastAsia="仿宋_GB2312" w:cs="仿宋_GB2312"/>
          <w:b w:val="0"/>
          <w:bCs w:val="0"/>
          <w:color w:val="auto"/>
          <w:kern w:val="0"/>
          <w:position w:val="0"/>
          <w:sz w:val="32"/>
          <w:szCs w:val="32"/>
          <w:highlight w:val="none"/>
          <w:lang w:val="en-US" w:eastAsia="zh-CN" w:bidi="ar-SA"/>
        </w:rPr>
        <w:t>实际治理需求，争取政策和资金倾斜。鼓励</w:t>
      </w:r>
      <w:r>
        <w:rPr>
          <w:rFonts w:hint="eastAsia" w:ascii="仿宋_GB2312" w:hAnsi="仿宋_GB2312" w:eastAsia="仿宋_GB2312" w:cs="仿宋_GB2312"/>
          <w:b w:val="0"/>
          <w:bCs w:val="0"/>
          <w:color w:val="auto"/>
          <w:kern w:val="0"/>
          <w:position w:val="0"/>
          <w:sz w:val="32"/>
          <w:szCs w:val="32"/>
          <w:highlight w:val="none"/>
          <w:lang w:val="en-US" w:eastAsia="zh-CN" w:bidi="ar-SA"/>
        </w:rPr>
        <w:t>石圣社区</w:t>
      </w:r>
      <w:r>
        <w:rPr>
          <w:rFonts w:hint="default" w:ascii="仿宋_GB2312" w:hAnsi="仿宋_GB2312" w:eastAsia="仿宋_GB2312" w:cs="仿宋_GB2312"/>
          <w:b w:val="0"/>
          <w:bCs w:val="0"/>
          <w:color w:val="auto"/>
          <w:kern w:val="0"/>
          <w:position w:val="0"/>
          <w:sz w:val="32"/>
          <w:szCs w:val="32"/>
          <w:highlight w:val="none"/>
          <w:lang w:val="en-US" w:eastAsia="zh-CN" w:bidi="ar-SA"/>
        </w:rPr>
        <w:t>挖掘自身资源潜力，通过盘活社区闲置资产、发展社区特色产业等方式，增加社区经济收入，形成多元化的资金筹措和投入机制。</w:t>
      </w:r>
      <w:r>
        <w:rPr>
          <w:rFonts w:hint="eastAsia" w:ascii="仿宋_GB2312" w:hAnsi="仿宋_GB2312" w:eastAsia="仿宋_GB2312" w:cs="仿宋_GB2312"/>
          <w:b w:val="0"/>
          <w:bCs w:val="0"/>
          <w:color w:val="auto"/>
          <w:kern w:val="0"/>
          <w:position w:val="0"/>
          <w:sz w:val="32"/>
          <w:szCs w:val="32"/>
          <w:highlight w:val="none"/>
          <w:lang w:val="en-US" w:eastAsia="zh-CN" w:bidi="ar-SA"/>
        </w:rPr>
        <w:t>同时，</w:t>
      </w:r>
      <w:r>
        <w:rPr>
          <w:rFonts w:hint="default" w:ascii="仿宋_GB2312" w:hAnsi="仿宋_GB2312" w:eastAsia="仿宋_GB2312" w:cs="仿宋_GB2312"/>
          <w:b w:val="0"/>
          <w:bCs w:val="0"/>
          <w:color w:val="auto"/>
          <w:kern w:val="0"/>
          <w:position w:val="0"/>
          <w:sz w:val="32"/>
          <w:szCs w:val="32"/>
          <w:highlight w:val="none"/>
          <w:lang w:val="en-US" w:eastAsia="zh-CN" w:bidi="ar-SA"/>
        </w:rPr>
        <w:t>优化资金配置与使用效率</w:t>
      </w:r>
      <w:r>
        <w:rPr>
          <w:rFonts w:hint="eastAsia" w:ascii="仿宋_GB2312" w:hAnsi="仿宋_GB2312" w:eastAsia="仿宋_GB2312" w:cs="仿宋_GB2312"/>
          <w:b w:val="0"/>
          <w:bCs w:val="0"/>
          <w:color w:val="auto"/>
          <w:kern w:val="0"/>
          <w:position w:val="0"/>
          <w:sz w:val="32"/>
          <w:szCs w:val="32"/>
          <w:highlight w:val="none"/>
          <w:lang w:val="en-US" w:eastAsia="zh-CN" w:bidi="ar-SA"/>
        </w:rPr>
        <w:t>，</w:t>
      </w:r>
      <w:r>
        <w:rPr>
          <w:rFonts w:hint="default" w:ascii="仿宋_GB2312" w:hAnsi="仿宋_GB2312" w:eastAsia="仿宋_GB2312" w:cs="仿宋_GB2312"/>
          <w:b w:val="0"/>
          <w:bCs w:val="0"/>
          <w:color w:val="auto"/>
          <w:kern w:val="0"/>
          <w:position w:val="0"/>
          <w:sz w:val="32"/>
          <w:szCs w:val="32"/>
          <w:highlight w:val="none"/>
          <w:lang w:val="en-US" w:eastAsia="zh-CN" w:bidi="ar-SA"/>
        </w:rPr>
        <w:t>对项目资金进行精细化管理，优先保障</w:t>
      </w:r>
      <w:r>
        <w:rPr>
          <w:rFonts w:hint="eastAsia" w:ascii="仿宋_GB2312" w:hAnsi="仿宋_GB2312" w:eastAsia="仿宋_GB2312" w:cs="仿宋_GB2312"/>
          <w:b w:val="0"/>
          <w:bCs w:val="0"/>
          <w:color w:val="auto"/>
          <w:kern w:val="0"/>
          <w:position w:val="0"/>
          <w:sz w:val="32"/>
          <w:szCs w:val="32"/>
          <w:highlight w:val="none"/>
          <w:lang w:val="en-US" w:eastAsia="zh-CN" w:bidi="ar-SA"/>
        </w:rPr>
        <w:t>基本设施建设、办公</w:t>
      </w:r>
      <w:r>
        <w:rPr>
          <w:rFonts w:hint="default" w:ascii="仿宋_GB2312" w:hAnsi="仿宋_GB2312" w:eastAsia="仿宋_GB2312" w:cs="仿宋_GB2312"/>
          <w:b w:val="0"/>
          <w:bCs w:val="0"/>
          <w:color w:val="auto"/>
          <w:kern w:val="0"/>
          <w:position w:val="0"/>
          <w:sz w:val="32"/>
          <w:szCs w:val="32"/>
          <w:highlight w:val="none"/>
          <w:lang w:val="en-US" w:eastAsia="zh-CN" w:bidi="ar-SA"/>
        </w:rPr>
        <w:t>设备购置等关键环节的资金投入，定期对资金使用效果进行分析，及时调整资金分配，确保每一笔资金都发挥最大效益。​</w:t>
      </w:r>
    </w:p>
    <w:p>
      <w:pPr>
        <w:pStyle w:val="2"/>
        <w:rPr>
          <w:rFonts w:hint="eastAsia" w:ascii="Times New Roman" w:hAnsi="Times New Roman" w:eastAsia="仿宋_GB2312" w:cs="仿宋_GB2312"/>
          <w:b w:val="0"/>
          <w:bCs w:val="0"/>
          <w:color w:val="auto"/>
          <w:kern w:val="0"/>
          <w:position w:val="0"/>
          <w:sz w:val="32"/>
          <w:szCs w:val="32"/>
          <w:highlight w:val="none"/>
          <w:lang w:val="en-US" w:eastAsia="zh-CN" w:bidi="ar-SA"/>
        </w:rPr>
      </w:pPr>
    </w:p>
    <w:p>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附表：项目支出绩效自评表</w:t>
      </w:r>
    </w:p>
    <w:p>
      <w:pPr>
        <w:pStyle w:val="3"/>
        <w:rPr>
          <w:rFonts w:hint="eastAsia"/>
          <w:lang w:val="en-US" w:eastAsia="zh-CN"/>
        </w:rPr>
        <w:sectPr>
          <w:pgSz w:w="11906" w:h="16838"/>
          <w:pgMar w:top="1440" w:right="1746" w:bottom="1327" w:left="1800" w:header="851" w:footer="992" w:gutter="0"/>
          <w:pgNumType w:fmt="decimal"/>
          <w:cols w:space="425" w:num="1"/>
          <w:titlePg/>
          <w:docGrid w:type="lines" w:linePitch="312" w:charSpace="0"/>
        </w:sect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86"/>
        <w:gridCol w:w="918"/>
        <w:gridCol w:w="1216"/>
        <w:gridCol w:w="396"/>
        <w:gridCol w:w="859"/>
        <w:gridCol w:w="396"/>
        <w:gridCol w:w="846"/>
        <w:gridCol w:w="486"/>
        <w:gridCol w:w="396"/>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51090424T000011898955-城乡基层治理能力建设专项资金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完成基层社区阵地改造提升项目，设置办公室、图书馆、会议室、新时代文明实践站、多功能活动室及日间照料中心等功能，完成阵地改造标准化、规范化、便民化。</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西眉镇补助石圣社区阵地改造提升项目，完成基层社区阵地提升标准化、规范化、便民化改造，为民服务能力得到有效增强。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眉镇补助石圣社区阵地改造提升项目，完成基层社区阵地改造提升项目，设置办公室、图书馆、会议室、新时代文明实践站、多功能活动室及日间照料中心等功能，阵地改造标准化、规范化、便民化，为民服务能力得到有效增强，切实提高了社区居民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100分，我镇补助石圣社区阵地改造提升项目，完成基层社区阵地改造提升项目，设置办公室、图书馆、会议室、新时代文明实践站、多功能活动室及日间照料中心等功能，阵地改造标准化、规范化、便民化，为民服务能力得到有效增强，切实提高了社区居民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群众参与活动积极性不高。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增加活动多样性，引入社会组织协助设计参与式活动。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项目负责人：杨利娟</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财务负责人：杨利娟</w:t>
            </w:r>
          </w:p>
        </w:tc>
      </w:tr>
    </w:tbl>
    <w:p>
      <w:pPr>
        <w:pStyle w:val="2"/>
        <w:rPr>
          <w:rFonts w:hint="eastAsia"/>
          <w:lang w:val="en-US" w:eastAsia="zh-CN"/>
        </w:rPr>
        <w:sectPr>
          <w:pgSz w:w="11906" w:h="16838"/>
          <w:pgMar w:top="1440" w:right="1746" w:bottom="1327" w:left="1800" w:header="851" w:footer="992" w:gutter="0"/>
          <w:pgNumType w:fmt="decimal"/>
          <w:cols w:space="425" w:num="1"/>
          <w:titlePg/>
          <w:docGrid w:type="lines" w:linePitch="312" w:charSpace="0"/>
        </w:sectPr>
      </w:pP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4"/>
          <w:szCs w:val="44"/>
          <w:highlight w:val="none"/>
          <w:lang w:val="en-US" w:eastAsia="zh-CN"/>
        </w:rPr>
      </w:pPr>
      <w:r>
        <w:rPr>
          <w:rFonts w:hint="eastAsia" w:ascii="方正小标宋简体" w:hAnsi="宋体" w:eastAsia="方正小标宋简体" w:cs="Times New Roman"/>
          <w:color w:val="auto"/>
          <w:kern w:val="0"/>
          <w:sz w:val="44"/>
          <w:szCs w:val="44"/>
          <w:highlight w:val="none"/>
          <w:lang w:val="en-US" w:eastAsia="zh-CN"/>
        </w:rPr>
        <w:t>遂宁市安居区西眉镇人民政府</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4"/>
          <w:szCs w:val="44"/>
          <w:highlight w:val="none"/>
          <w:lang w:val="en-US" w:eastAsia="zh-CN"/>
        </w:rPr>
      </w:pPr>
      <w:r>
        <w:rPr>
          <w:rFonts w:hint="eastAsia" w:ascii="方正小标宋简体" w:hAnsi="宋体" w:eastAsia="方正小标宋简体" w:cs="Times New Roman"/>
          <w:color w:val="auto"/>
          <w:kern w:val="0"/>
          <w:sz w:val="44"/>
          <w:szCs w:val="44"/>
          <w:highlight w:val="none"/>
          <w:lang w:val="en-US" w:eastAsia="zh-CN"/>
        </w:rPr>
        <w:t>严重精神障碍患者投保监护人责任保险</w:t>
      </w:r>
    </w:p>
    <w:p>
      <w:pPr>
        <w:keepNext w:val="0"/>
        <w:keepLines w:val="0"/>
        <w:pageBreakBefore w:val="0"/>
        <w:widowControl w:val="0"/>
        <w:suppressAutoHyphens/>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color w:val="auto"/>
          <w:kern w:val="0"/>
          <w:sz w:val="44"/>
          <w:szCs w:val="44"/>
          <w:highlight w:val="none"/>
          <w:lang w:val="en-US" w:eastAsia="zh-CN"/>
        </w:rPr>
      </w:pPr>
      <w:r>
        <w:rPr>
          <w:rFonts w:hint="eastAsia" w:ascii="方正小标宋简体" w:hAnsi="宋体" w:eastAsia="方正小标宋简体" w:cs="Times New Roman"/>
          <w:color w:val="auto"/>
          <w:kern w:val="0"/>
          <w:sz w:val="44"/>
          <w:szCs w:val="44"/>
          <w:highlight w:val="none"/>
          <w:lang w:val="en-US" w:eastAsia="zh-CN"/>
        </w:rPr>
        <w:t>绩效自评报告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olor w:val="auto"/>
          <w:sz w:val="32"/>
          <w:szCs w:val="32"/>
          <w:highlight w:val="none"/>
          <w:lang w:val="zh-CN"/>
        </w:rPr>
      </w:pPr>
      <w:r>
        <w:rPr>
          <w:rFonts w:hint="eastAsia" w:ascii="Times New Roman" w:hAnsi="Times New Roman" w:eastAsia="黑体"/>
          <w:color w:val="auto"/>
          <w:sz w:val="32"/>
          <w:szCs w:val="32"/>
          <w:highlight w:val="none"/>
        </w:rPr>
        <w:t>一、</w:t>
      </w:r>
      <w:r>
        <w:rPr>
          <w:rFonts w:hint="eastAsia" w:ascii="Times New Roman" w:hAnsi="Times New Roman" w:eastAsia="黑体"/>
          <w:color w:val="auto"/>
          <w:sz w:val="32"/>
          <w:szCs w:val="32"/>
          <w:highlight w:val="none"/>
          <w:lang w:val="zh-CN"/>
        </w:rPr>
        <w:t>项目概况</w:t>
      </w:r>
    </w:p>
    <w:p>
      <w:pPr>
        <w:pStyle w:val="3"/>
        <w:keepNext w:val="0"/>
        <w:keepLines w:val="0"/>
        <w:pageBreakBefore w:val="0"/>
        <w:kinsoku/>
        <w:wordWrap/>
        <w:overflowPunct/>
        <w:topLinePunct w:val="0"/>
        <w:autoSpaceDE/>
        <w:autoSpaceDN/>
        <w:bidi w:val="0"/>
        <w:spacing w:after="0" w:line="560" w:lineRule="exact"/>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pPr>
        <w:pStyle w:val="3"/>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仿宋_GB2312" w:cs="仿宋_GB2312"/>
          <w:color w:val="auto"/>
          <w:kern w:val="0"/>
          <w:sz w:val="32"/>
          <w:szCs w:val="32"/>
          <w:highlight w:val="none"/>
          <w:u w:val="none"/>
          <w:shd w:val="clear" w:color="auto" w:fill="FFFFFF"/>
          <w:lang w:val="zh-CN"/>
        </w:rPr>
        <w:t>为减轻西眉镇严重精神障碍患者监护人的经济负担，强化其监护责任，维护社会稳定，西眉镇人民政府依据相关民生保障政策及地方实际需求设立该项目。通过村（社区）会议、入户宣传等方式提高政策知晓率，为西眉镇严重精神障碍患者的监护人购买保险。</w:t>
      </w:r>
    </w:p>
    <w:p>
      <w:pPr>
        <w:keepNext w:val="0"/>
        <w:keepLines w:val="0"/>
        <w:pageBreakBefore w:val="0"/>
        <w:numPr>
          <w:ilvl w:val="0"/>
          <w:numId w:val="7"/>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pPr>
        <w:pStyle w:val="3"/>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color w:val="auto"/>
          <w:lang w:val="zh-CN" w:eastAsia="zh-CN"/>
        </w:rPr>
      </w:pPr>
      <w:r>
        <w:rPr>
          <w:rFonts w:hint="eastAsia" w:ascii="Times New Roman" w:eastAsia="仿宋_GB2312" w:cs="仿宋_GB2312"/>
          <w:color w:val="auto"/>
          <w:kern w:val="0"/>
          <w:sz w:val="32"/>
          <w:szCs w:val="32"/>
          <w:highlight w:val="none"/>
          <w:u w:val="none"/>
          <w:shd w:val="clear" w:color="auto" w:fill="FFFFFF"/>
          <w:lang w:val="zh-CN" w:eastAsia="zh-CN"/>
        </w:rPr>
        <w:t>本项目旨在</w:t>
      </w:r>
      <w:r>
        <w:rPr>
          <w:rFonts w:hint="eastAsia" w:ascii="Times New Roman" w:hAnsi="Times New Roman" w:eastAsia="仿宋_GB2312" w:cs="仿宋_GB2312"/>
          <w:color w:val="auto"/>
          <w:kern w:val="0"/>
          <w:sz w:val="32"/>
          <w:szCs w:val="32"/>
          <w:highlight w:val="none"/>
          <w:u w:val="none"/>
          <w:shd w:val="clear" w:color="auto" w:fill="FFFFFF"/>
          <w:lang w:val="zh-CN" w:eastAsia="zh-CN"/>
        </w:rPr>
        <w:t>提高政策知晓率，为严重精神障碍患者监护人购买保险，减轻其经济负担，强化监护责任，维护社会稳定。根据相关财政管理制度，结合项目实际制定相应的资金管理办法，规范资金使用。</w:t>
      </w:r>
      <w:r>
        <w:rPr>
          <w:rFonts w:hint="eastAsia" w:ascii="Times New Roman" w:eastAsia="仿宋_GB2312" w:cs="仿宋_GB2312"/>
          <w:color w:val="auto"/>
          <w:kern w:val="0"/>
          <w:sz w:val="32"/>
          <w:szCs w:val="32"/>
          <w:highlight w:val="none"/>
          <w:u w:val="none"/>
          <w:shd w:val="clear" w:color="auto" w:fill="FFFFFF"/>
          <w:lang w:val="zh-CN" w:eastAsia="zh-CN"/>
        </w:rPr>
        <w:t>通过</w:t>
      </w:r>
      <w:r>
        <w:rPr>
          <w:rFonts w:hint="eastAsia" w:ascii="Times New Roman" w:hAnsi="Times New Roman" w:eastAsia="仿宋_GB2312" w:cs="仿宋_GB2312"/>
          <w:color w:val="auto"/>
          <w:kern w:val="0"/>
          <w:sz w:val="32"/>
          <w:szCs w:val="32"/>
          <w:highlight w:val="none"/>
          <w:u w:val="none"/>
          <w:shd w:val="clear" w:color="auto" w:fill="FFFFFF"/>
          <w:lang w:val="zh-CN"/>
        </w:rPr>
        <w:t>开展多形式的政策宣传活动，完成保险购买工作，确保</w:t>
      </w:r>
      <w:r>
        <w:rPr>
          <w:rFonts w:hint="eastAsia" w:ascii="Times New Roman" w:eastAsia="仿宋_GB2312" w:cs="仿宋_GB2312"/>
          <w:color w:val="auto"/>
          <w:kern w:val="0"/>
          <w:sz w:val="32"/>
          <w:szCs w:val="32"/>
          <w:highlight w:val="none"/>
          <w:u w:val="none"/>
          <w:shd w:val="clear" w:color="auto" w:fill="FFFFFF"/>
          <w:lang w:val="zh-CN"/>
        </w:rPr>
        <w:t>辖区</w:t>
      </w:r>
      <w:r>
        <w:rPr>
          <w:rFonts w:hint="eastAsia" w:ascii="Times New Roman" w:hAnsi="Times New Roman" w:eastAsia="仿宋_GB2312" w:cs="仿宋_GB2312"/>
          <w:color w:val="auto"/>
          <w:kern w:val="0"/>
          <w:sz w:val="32"/>
          <w:szCs w:val="32"/>
          <w:highlight w:val="none"/>
          <w:u w:val="none"/>
          <w:shd w:val="clear" w:color="auto" w:fill="FFFFFF"/>
          <w:lang w:val="zh-CN"/>
        </w:rPr>
        <w:t>范围内符合条件的严重精神障碍患者监护人都能享受到政策福利。</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color w:val="auto"/>
          <w:kern w:val="0"/>
          <w:sz w:val="32"/>
          <w:szCs w:val="32"/>
          <w:highlight w:val="none"/>
          <w:u w:val="none"/>
          <w:shd w:val="clear" w:color="auto" w:fill="FFFFFF"/>
          <w:lang w:val="zh-CN" w:eastAsia="zh-CN" w:bidi="ar-SA"/>
        </w:rPr>
      </w:pPr>
      <w:r>
        <w:rPr>
          <w:rFonts w:hint="eastAsia" w:ascii="Times New Roman" w:hAnsi="Times New Roman" w:eastAsia="仿宋_GB2312" w:cs="仿宋_GB2312"/>
          <w:color w:val="auto"/>
          <w:kern w:val="0"/>
          <w:sz w:val="32"/>
          <w:szCs w:val="32"/>
          <w:highlight w:val="none"/>
          <w:u w:val="none"/>
          <w:shd w:val="clear" w:color="auto" w:fill="FFFFFF"/>
          <w:lang w:val="zh-CN" w:eastAsia="zh-CN" w:bidi="ar-SA"/>
        </w:rPr>
        <w:t>该项目预算数为2.28万元，项目资金全部为财政资金，已全额用于为严重精神障碍患者的监护人购买保险。资金分配遵循按需分配、公平公正的原则，主要考虑西眉镇严重精神障碍患者的数量及监护人的实际需求等因素。</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仿宋_GB2312"/>
          <w:color w:val="auto"/>
          <w:kern w:val="0"/>
          <w:sz w:val="32"/>
          <w:szCs w:val="32"/>
          <w:highlight w:val="none"/>
          <w:u w:val="none"/>
          <w:shd w:val="clear" w:color="auto" w:fill="FFFFFF"/>
          <w:lang w:val="zh-CN" w:eastAsia="zh-CN" w:bidi="ar-SA"/>
        </w:rPr>
      </w:pPr>
      <w:r>
        <w:rPr>
          <w:rFonts w:hint="eastAsia" w:eastAsia="仿宋_GB2312" w:cs="仿宋_GB2312"/>
          <w:color w:val="auto"/>
          <w:kern w:val="0"/>
          <w:sz w:val="32"/>
          <w:szCs w:val="32"/>
          <w:highlight w:val="none"/>
          <w:u w:val="none"/>
          <w:shd w:val="clear" w:color="auto" w:fill="FFFFFF"/>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zh-CN" w:eastAsia="zh-CN" w:bidi="ar-SA"/>
        </w:rPr>
        <w:t>总体目标</w:t>
      </w:r>
      <w:r>
        <w:rPr>
          <w:rFonts w:hint="default" w:ascii="Times New Roman" w:hAnsi="Times New Roman" w:eastAsia="仿宋_GB2312" w:cs="仿宋_GB2312"/>
          <w:color w:val="auto"/>
          <w:kern w:val="0"/>
          <w:sz w:val="32"/>
          <w:szCs w:val="32"/>
          <w:highlight w:val="none"/>
          <w:u w:val="none"/>
          <w:shd w:val="clear" w:color="auto" w:fill="FFFFFF"/>
          <w:lang w:val="zh-CN" w:eastAsia="zh-CN" w:bidi="ar-SA"/>
        </w:rPr>
        <w:t>：提高政策知晓率，为西眉镇严重精神障碍患者的监护人购买保险，减轻其经济负担，强化监护责任，维护社会稳定，实现“政府主导、家庭尽责、社会参与”的综合管理目标。</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仿宋_GB2312"/>
          <w:color w:val="auto"/>
          <w:kern w:val="0"/>
          <w:sz w:val="32"/>
          <w:szCs w:val="32"/>
          <w:highlight w:val="none"/>
          <w:u w:val="none"/>
          <w:shd w:val="clear" w:color="auto" w:fill="FFFFFF"/>
          <w:lang w:val="zh-CN" w:eastAsia="zh-CN" w:bidi="ar-SA"/>
        </w:rPr>
      </w:pPr>
      <w:r>
        <w:rPr>
          <w:rFonts w:hint="eastAsia" w:eastAsia="仿宋_GB2312" w:cs="仿宋_GB2312"/>
          <w:color w:val="auto"/>
          <w:kern w:val="0"/>
          <w:sz w:val="32"/>
          <w:szCs w:val="32"/>
          <w:highlight w:val="none"/>
          <w:u w:val="none"/>
          <w:shd w:val="clear" w:color="auto" w:fill="FFFFFF"/>
          <w:lang w:val="en-US" w:eastAsia="zh-CN" w:bidi="ar-SA"/>
        </w:rPr>
        <w:t>2.</w:t>
      </w:r>
      <w:r>
        <w:rPr>
          <w:rFonts w:hint="eastAsia" w:ascii="Times New Roman" w:hAnsi="Times New Roman" w:eastAsia="仿宋_GB2312" w:cs="仿宋_GB2312"/>
          <w:b w:val="0"/>
          <w:bCs w:val="0"/>
          <w:color w:val="auto"/>
          <w:kern w:val="0"/>
          <w:position w:val="0"/>
          <w:sz w:val="32"/>
          <w:szCs w:val="32"/>
          <w:highlight w:val="none"/>
          <w:lang w:val="zh-CN" w:eastAsia="zh-CN" w:bidi="ar-SA"/>
        </w:rPr>
        <w:t>阶段性目标</w:t>
      </w:r>
      <w:r>
        <w:rPr>
          <w:rFonts w:hint="default" w:ascii="Times New Roman" w:hAnsi="Times New Roman" w:eastAsia="仿宋_GB2312" w:cs="仿宋_GB2312"/>
          <w:color w:val="auto"/>
          <w:kern w:val="0"/>
          <w:sz w:val="32"/>
          <w:szCs w:val="32"/>
          <w:highlight w:val="none"/>
          <w:u w:val="none"/>
          <w:shd w:val="clear" w:color="auto" w:fill="FFFFFF"/>
          <w:lang w:val="zh-CN" w:eastAsia="zh-CN" w:bidi="ar-SA"/>
        </w:rPr>
        <w:t>：在西眉镇</w:t>
      </w:r>
      <w:r>
        <w:rPr>
          <w:rFonts w:hint="eastAsia" w:eastAsia="仿宋_GB2312" w:cs="仿宋_GB2312"/>
          <w:color w:val="auto"/>
          <w:kern w:val="0"/>
          <w:sz w:val="32"/>
          <w:szCs w:val="32"/>
          <w:highlight w:val="none"/>
          <w:u w:val="none"/>
          <w:shd w:val="clear" w:color="auto" w:fill="FFFFFF"/>
          <w:lang w:val="zh-CN" w:eastAsia="zh-CN" w:bidi="ar-SA"/>
        </w:rPr>
        <w:t>辖区</w:t>
      </w:r>
      <w:r>
        <w:rPr>
          <w:rFonts w:hint="default" w:ascii="Times New Roman" w:hAnsi="Times New Roman" w:eastAsia="仿宋_GB2312" w:cs="仿宋_GB2312"/>
          <w:color w:val="auto"/>
          <w:kern w:val="0"/>
          <w:sz w:val="32"/>
          <w:szCs w:val="32"/>
          <w:highlight w:val="none"/>
          <w:u w:val="none"/>
          <w:shd w:val="clear" w:color="auto" w:fill="FFFFFF"/>
          <w:lang w:val="zh-CN" w:eastAsia="zh-CN" w:bidi="ar-SA"/>
        </w:rPr>
        <w:t>范围内全面推进项目实施，确保符合条件的监护人受益。通过村（社区）会议、入户宣传等方式，使政策知晓率得到有效提升；完成保险购买工作，保障监护人的合法权益。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rPr>
        <w:t>二、</w:t>
      </w:r>
      <w:r>
        <w:rPr>
          <w:rFonts w:hint="eastAsia" w:ascii="Times New Roman" w:hAnsi="Times New Roman" w:eastAsia="黑体"/>
          <w:color w:val="auto"/>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zh-CN" w:eastAsia="zh-CN" w:bidi="ar-SA"/>
        </w:rPr>
        <w:t>通过对该项目的绩效自评，全面了解项目的实施情况、资金使用效益和绩效目标完成情况，总结项目实施过程中的经验和不足，为今后项目的优化管理、提高资金使用效益提供依据。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eastAsia="仿宋_GB2312" w:cs="仿宋_GB2312"/>
          <w:b w:val="0"/>
          <w:bCs w:val="0"/>
          <w:color w:val="auto"/>
          <w:kern w:val="0"/>
          <w:position w:val="0"/>
          <w:sz w:val="32"/>
          <w:szCs w:val="32"/>
          <w:highlight w:val="none"/>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zh-CN" w:eastAsia="zh-CN" w:bidi="ar-SA"/>
        </w:rPr>
        <w:t>预设问题：项目决策是否科学合理、资金使用是否规范高效、绩效目标是否如期实现等。</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color w:val="auto"/>
          <w:lang w:val="zh-CN" w:eastAsia="zh-CN"/>
        </w:rPr>
      </w:pPr>
      <w:r>
        <w:rPr>
          <w:rFonts w:hint="eastAsia" w:eastAsia="仿宋_GB2312" w:cs="仿宋_GB2312"/>
          <w:b w:val="0"/>
          <w:bCs w:val="0"/>
          <w:color w:val="auto"/>
          <w:kern w:val="0"/>
          <w:position w:val="0"/>
          <w:sz w:val="32"/>
          <w:szCs w:val="32"/>
          <w:highlight w:val="none"/>
          <w:lang w:val="en-US" w:eastAsia="zh-CN" w:bidi="ar-SA"/>
        </w:rPr>
        <w:t>2.</w:t>
      </w:r>
      <w:r>
        <w:rPr>
          <w:rFonts w:hint="eastAsia" w:ascii="Times New Roman" w:hAnsi="Times New Roman" w:eastAsia="仿宋_GB2312" w:cs="仿宋_GB2312"/>
          <w:b w:val="0"/>
          <w:bCs w:val="0"/>
          <w:color w:val="auto"/>
          <w:kern w:val="0"/>
          <w:position w:val="0"/>
          <w:sz w:val="32"/>
          <w:szCs w:val="32"/>
          <w:highlight w:val="none"/>
          <w:lang w:val="zh-CN" w:eastAsia="zh-CN" w:bidi="ar-SA"/>
        </w:rPr>
        <w:t>评价重点：围绕项目的预算执行情况、绩效指标完成情况、资金使用合规性等方面进行综合评价和判断。</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default" w:ascii="仿宋_GB2312" w:hAnsi="仿宋_GB2312" w:eastAsia="仿宋_GB2312" w:cs="仿宋_GB2312"/>
          <w:b w:val="0"/>
          <w:bCs w:val="0"/>
          <w:color w:val="auto"/>
          <w:kern w:val="0"/>
          <w:position w:val="0"/>
          <w:sz w:val="32"/>
          <w:szCs w:val="32"/>
          <w:highlight w:val="none"/>
          <w:lang w:val="en-US" w:eastAsia="zh-CN" w:bidi="ar-SA"/>
        </w:rPr>
        <w:t>本次评价对象为严重精神障碍患者投保监护人责任保险</w:t>
      </w:r>
      <w:r>
        <w:rPr>
          <w:rFonts w:hint="eastAsia" w:ascii="仿宋_GB2312" w:hAnsi="仿宋_GB2312" w:eastAsia="仿宋_GB2312" w:cs="仿宋_GB2312"/>
          <w:b w:val="0"/>
          <w:bCs w:val="0"/>
          <w:color w:val="auto"/>
          <w:kern w:val="0"/>
          <w:position w:val="0"/>
          <w:sz w:val="32"/>
          <w:szCs w:val="32"/>
          <w:highlight w:val="none"/>
          <w:lang w:val="en-US" w:eastAsia="zh-CN" w:bidi="ar-SA"/>
        </w:rPr>
        <w:t>专项资金</w:t>
      </w:r>
      <w:r>
        <w:rPr>
          <w:rFonts w:hint="default" w:ascii="仿宋_GB2312" w:hAnsi="仿宋_GB2312" w:eastAsia="仿宋_GB2312" w:cs="仿宋_GB2312"/>
          <w:b w:val="0"/>
          <w:bCs w:val="0"/>
          <w:color w:val="auto"/>
          <w:kern w:val="0"/>
          <w:position w:val="0"/>
          <w:sz w:val="32"/>
          <w:szCs w:val="32"/>
          <w:highlight w:val="none"/>
          <w:lang w:val="en-US" w:eastAsia="zh-CN" w:bidi="ar-SA"/>
        </w:rPr>
        <w:t>，评价范围覆盖该专项资金支持的所有项目，其中严重精神障碍患者投保监护人责任保险</w:t>
      </w:r>
      <w:r>
        <w:rPr>
          <w:rFonts w:hint="eastAsia" w:ascii="仿宋_GB2312" w:hAnsi="仿宋_GB2312" w:eastAsia="仿宋_GB2312" w:cs="仿宋_GB2312"/>
          <w:b w:val="0"/>
          <w:bCs w:val="0"/>
          <w:color w:val="auto"/>
          <w:kern w:val="0"/>
          <w:position w:val="0"/>
          <w:sz w:val="32"/>
          <w:szCs w:val="32"/>
          <w:highlight w:val="none"/>
          <w:lang w:val="en-US" w:eastAsia="zh-CN" w:bidi="ar-SA"/>
        </w:rPr>
        <w:t>资金</w:t>
      </w:r>
      <w:r>
        <w:rPr>
          <w:rFonts w:hint="default" w:ascii="仿宋_GB2312" w:hAnsi="仿宋_GB2312" w:eastAsia="仿宋_GB2312" w:cs="仿宋_GB2312"/>
          <w:b w:val="0"/>
          <w:bCs w:val="0"/>
          <w:color w:val="auto"/>
          <w:kern w:val="0"/>
          <w:position w:val="0"/>
          <w:sz w:val="32"/>
          <w:szCs w:val="32"/>
          <w:highlight w:val="none"/>
          <w:lang w:val="en-US" w:eastAsia="zh-CN" w:bidi="ar-SA"/>
        </w:rPr>
        <w:t>作为重点评价内容，确保评价工作全面、无遗漏。</w:t>
      </w:r>
    </w:p>
    <w:p>
      <w:pPr>
        <w:keepNext w:val="0"/>
        <w:keepLines w:val="0"/>
        <w:pageBreakBefore w:val="0"/>
        <w:widowControl w:val="0"/>
        <w:numPr>
          <w:ilvl w:val="0"/>
          <w:numId w:val="7"/>
        </w:numPr>
        <w:kinsoku/>
        <w:wordWrap/>
        <w:overflowPunct/>
        <w:topLinePunct w:val="0"/>
        <w:autoSpaceDE/>
        <w:autoSpaceDN/>
        <w:bidi w:val="0"/>
        <w:spacing w:line="560" w:lineRule="exact"/>
        <w:ind w:left="0" w:leftChars="0" w:firstLine="643" w:firstLineChars="20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评价方法。</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zh-CN" w:eastAsia="zh-CN" w:bidi="ar-SA"/>
        </w:rPr>
        <w:t>本次绩效评价采用定量分析与定性分析相结合的综合评价方法。具体而言，运用成本效益分析法，对项目投入与产出的经济效益进行精确量化评估；运用因素分析法，深入剖析影响项目绩效的各类关键因素；借助公众评判法，广泛收集群众对项目实施效果的满意度反馈。通过对项目资金投入、产出数量、质量、时效、成本，以及项目实施所产生的经济效益、社会效益、可持续影响和服务对象满意度等多维度指标进行全面、系统的综合分析，确保评价结果全面、客观、准确。</w:t>
      </w:r>
    </w:p>
    <w:p>
      <w:pPr>
        <w:keepNext w:val="0"/>
        <w:keepLines w:val="0"/>
        <w:pageBreakBefore w:val="0"/>
        <w:widowControl w:val="0"/>
        <w:numPr>
          <w:ilvl w:val="0"/>
          <w:numId w:val="7"/>
        </w:numPr>
        <w:kinsoku/>
        <w:wordWrap/>
        <w:overflowPunct/>
        <w:topLinePunct w:val="0"/>
        <w:autoSpaceDE/>
        <w:autoSpaceDN/>
        <w:bidi w:val="0"/>
        <w:spacing w:line="560" w:lineRule="exact"/>
        <w:ind w:left="0" w:leftChars="0" w:firstLine="643" w:firstLineChars="20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评价组织。</w:t>
      </w:r>
      <w:r>
        <w:rPr>
          <w:rFonts w:hint="eastAsia" w:ascii="Times New Roman" w:hAnsi="Times New Roman" w:eastAsia="仿宋_GB2312" w:cs="仿宋_GB2312"/>
          <w:b w:val="0"/>
          <w:bCs w:val="0"/>
          <w:color w:val="auto"/>
          <w:kern w:val="0"/>
          <w:position w:val="0"/>
          <w:sz w:val="32"/>
          <w:szCs w:val="32"/>
          <w:highlight w:val="none"/>
          <w:lang w:val="zh-CN" w:eastAsia="zh-CN" w:bidi="ar-SA"/>
        </w:rPr>
        <w:t>本次绩效评价工作构建了“政府主导、部门协同”的组织架构，为评价工作的科学、规范、有序开展提供坚实保障。成立由财政、民政、纪检等多部门组成的绩效评价领导小组，负责统筹协调评价工作，审定评价方案、指标体系及评价报告，对评价工作进行全过程监督和指导。评价工作组严格遵循《财政支出绩效评价管理办法》等相关规定，制定详细、严谨的评价工作流程，明确各环节工作内容、责任人员及时间节点。通过定期召开工作推进会、开展内部质量审核等方式，切实保障评价工作的质量和效率，确保评价结果真实、可靠、客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p>
    <w:p>
      <w:pPr>
        <w:pStyle w:val="3"/>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zh-CN" w:eastAsia="zh-CN" w:bidi="ar-SA"/>
        </w:rPr>
        <w:t>项目决策。在决策程序方面，项目立项严格遵循申报、审核等规范流程，确保决策流程的严谨性与合规性。资金投向精准锁定严重精神障碍患者投保监护人责任保险领域，紧密围绕严重精神障碍患者投保监护人的实际需求进行资源配置，为项目的顺利推进奠定坚实基础。综合得分18分。</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2.</w:t>
      </w:r>
      <w:r>
        <w:rPr>
          <w:rFonts w:hint="eastAsia" w:ascii="Times New Roman" w:hAnsi="Times New Roman" w:eastAsia="仿宋_GB2312" w:cs="仿宋_GB2312"/>
          <w:b w:val="0"/>
          <w:bCs w:val="0"/>
          <w:color w:val="auto"/>
          <w:kern w:val="0"/>
          <w:position w:val="0"/>
          <w:sz w:val="32"/>
          <w:szCs w:val="32"/>
          <w:highlight w:val="none"/>
          <w:lang w:val="zh-CN" w:eastAsia="zh-CN" w:bidi="ar-SA"/>
        </w:rPr>
        <w:t>项目管理。</w:t>
      </w:r>
      <w:r>
        <w:rPr>
          <w:rFonts w:hint="default" w:ascii="仿宋_GB2312" w:hAnsi="仿宋_GB2312" w:eastAsia="仿宋_GB2312" w:cs="仿宋_GB2312"/>
          <w:b w:val="0"/>
          <w:bCs w:val="0"/>
          <w:color w:val="auto"/>
          <w:kern w:val="0"/>
          <w:position w:val="0"/>
          <w:sz w:val="32"/>
          <w:szCs w:val="32"/>
          <w:highlight w:val="none"/>
          <w:lang w:val="en-US" w:eastAsia="zh-CN" w:bidi="ar-SA"/>
        </w:rPr>
        <w:t>建立资金管理制度和项目管理制度</w:t>
      </w:r>
      <w:r>
        <w:rPr>
          <w:rFonts w:hint="eastAsia" w:ascii="仿宋_GB2312" w:hAnsi="仿宋_GB2312" w:eastAsia="仿宋_GB2312" w:cs="仿宋_GB2312"/>
          <w:b w:val="0"/>
          <w:bCs w:val="0"/>
          <w:color w:val="auto"/>
          <w:kern w:val="0"/>
          <w:position w:val="0"/>
          <w:sz w:val="32"/>
          <w:szCs w:val="32"/>
          <w:highlight w:val="none"/>
          <w:lang w:val="en-US" w:eastAsia="zh-CN" w:bidi="ar-SA"/>
        </w:rPr>
        <w:t>，</w:t>
      </w:r>
      <w:r>
        <w:rPr>
          <w:rFonts w:hint="default" w:ascii="仿宋_GB2312" w:hAnsi="仿宋_GB2312" w:eastAsia="仿宋_GB2312" w:cs="仿宋_GB2312"/>
          <w:b w:val="0"/>
          <w:bCs w:val="0"/>
          <w:color w:val="auto"/>
          <w:kern w:val="0"/>
          <w:position w:val="0"/>
          <w:sz w:val="32"/>
          <w:szCs w:val="32"/>
          <w:highlight w:val="none"/>
          <w:lang w:val="en-US" w:eastAsia="zh-CN" w:bidi="ar-SA"/>
        </w:rPr>
        <w:t>严格规范资金流转程序</w:t>
      </w:r>
      <w:r>
        <w:rPr>
          <w:rFonts w:hint="eastAsia" w:ascii="仿宋_GB2312" w:hAnsi="仿宋_GB2312" w:eastAsia="仿宋_GB2312" w:cs="仿宋_GB2312"/>
          <w:b w:val="0"/>
          <w:bCs w:val="0"/>
          <w:color w:val="auto"/>
          <w:kern w:val="0"/>
          <w:position w:val="0"/>
          <w:sz w:val="32"/>
          <w:szCs w:val="32"/>
          <w:highlight w:val="none"/>
          <w:lang w:val="en-US" w:eastAsia="zh-CN" w:bidi="ar-SA"/>
        </w:rPr>
        <w:t>，</w:t>
      </w:r>
      <w:r>
        <w:rPr>
          <w:rFonts w:hint="default" w:ascii="仿宋_GB2312" w:hAnsi="仿宋_GB2312" w:eastAsia="仿宋_GB2312" w:cs="仿宋_GB2312"/>
          <w:b w:val="0"/>
          <w:bCs w:val="0"/>
          <w:color w:val="auto"/>
          <w:kern w:val="0"/>
          <w:position w:val="0"/>
          <w:sz w:val="32"/>
          <w:szCs w:val="32"/>
          <w:highlight w:val="none"/>
          <w:lang w:val="en-US" w:eastAsia="zh-CN" w:bidi="ar-SA"/>
        </w:rPr>
        <w:t>为项目实施提供全面、细致的制度保障。在资金分配管理上，严格按照预算执行，建立资金使用台账，对每一笔资金的流向进行详细记录和跟踪，确保资金专款专用，未出现任何违规挪用、挤占现象，有力保障了资金需求和使用安全。</w:t>
      </w:r>
      <w:r>
        <w:rPr>
          <w:rFonts w:hint="eastAsia" w:ascii="仿宋_GB2312" w:hAnsi="仿宋_GB2312" w:eastAsia="仿宋_GB2312" w:cs="仿宋_GB2312"/>
          <w:b w:val="0"/>
          <w:bCs w:val="0"/>
          <w:color w:val="auto"/>
          <w:kern w:val="0"/>
          <w:position w:val="0"/>
          <w:sz w:val="32"/>
          <w:szCs w:val="32"/>
          <w:highlight w:val="none"/>
          <w:lang w:val="en-US" w:eastAsia="zh-CN" w:bidi="ar-SA"/>
        </w:rPr>
        <w:t>综合得分18分。</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3.项目实施。</w:t>
      </w:r>
      <w:r>
        <w:rPr>
          <w:rFonts w:hint="default" w:ascii="仿宋_GB2312" w:hAnsi="Calibri" w:eastAsia="仿宋_GB2312" w:cs="仿宋_GB2312"/>
          <w:b w:val="0"/>
          <w:bCs w:val="0"/>
          <w:color w:val="auto"/>
          <w:kern w:val="0"/>
          <w:sz w:val="32"/>
          <w:szCs w:val="32"/>
          <w:lang w:val="en-US" w:eastAsia="zh-CN" w:bidi="ar"/>
        </w:rPr>
        <w:t>预算执行率达到100%，资金使用过程中严格遵守相关规范，未出现挪用、截留等违规现象，有效保障了项目资金安全。综合评分9分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4.项目结果。</w:t>
      </w:r>
      <w:r>
        <w:rPr>
          <w:rFonts w:hint="default" w:ascii="仿宋_GB2312" w:hAnsi="Calibri" w:eastAsia="仿宋_GB2312" w:cs="仿宋_GB2312"/>
          <w:b w:val="0"/>
          <w:bCs w:val="0"/>
          <w:color w:val="auto"/>
          <w:kern w:val="0"/>
          <w:sz w:val="32"/>
          <w:szCs w:val="32"/>
          <w:lang w:val="en-US" w:eastAsia="zh-CN" w:bidi="ar"/>
        </w:rPr>
        <w:t>在目标完成方面，顺利完成严重精神障碍患者投保监护人责任保险</w:t>
      </w:r>
      <w:r>
        <w:rPr>
          <w:rFonts w:hint="eastAsia" w:ascii="仿宋_GB2312" w:hAnsi="Calibri" w:eastAsia="仿宋_GB2312" w:cs="仿宋_GB2312"/>
          <w:b w:val="0"/>
          <w:bCs w:val="0"/>
          <w:color w:val="auto"/>
          <w:kern w:val="0"/>
          <w:sz w:val="32"/>
          <w:szCs w:val="32"/>
          <w:lang w:val="en-US" w:eastAsia="zh-CN" w:bidi="ar"/>
        </w:rPr>
        <w:t>购买</w:t>
      </w:r>
      <w:r>
        <w:rPr>
          <w:rFonts w:hint="default" w:ascii="仿宋_GB2312" w:hAnsi="Calibri" w:eastAsia="仿宋_GB2312" w:cs="仿宋_GB2312"/>
          <w:b w:val="0"/>
          <w:bCs w:val="0"/>
          <w:color w:val="auto"/>
          <w:kern w:val="0"/>
          <w:sz w:val="32"/>
          <w:szCs w:val="32"/>
          <w:lang w:val="en-US" w:eastAsia="zh-CN" w:bidi="ar"/>
        </w:rPr>
        <w:t>，基本达成阶段性目标；在完成时效上，整体项目按照计划时间节点顺利完成。综合评分9分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default" w:ascii="仿宋_GB2312" w:hAnsi="仿宋_GB2312" w:eastAsia="仿宋_GB2312" w:cs="仿宋_GB2312"/>
          <w:b w:val="0"/>
          <w:bCs w:val="0"/>
          <w:color w:val="auto"/>
          <w:kern w:val="0"/>
          <w:position w:val="0"/>
          <w:sz w:val="32"/>
          <w:szCs w:val="32"/>
          <w:highlight w:val="none"/>
          <w:lang w:val="en-US" w:eastAsia="zh-CN" w:bidi="ar-SA"/>
        </w:rPr>
        <w:t>本专项资金主要用于民生保障领域，依据相关指标分析如下：</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zh-CN" w:eastAsia="zh-CN" w:bidi="ar-SA"/>
        </w:rPr>
        <w:t>区域均衡性：项目在西眉镇</w:t>
      </w:r>
      <w:r>
        <w:rPr>
          <w:rFonts w:hint="eastAsia" w:eastAsia="仿宋_GB2312" w:cs="仿宋_GB2312"/>
          <w:b w:val="0"/>
          <w:bCs w:val="0"/>
          <w:color w:val="auto"/>
          <w:kern w:val="0"/>
          <w:position w:val="0"/>
          <w:sz w:val="32"/>
          <w:szCs w:val="32"/>
          <w:highlight w:val="none"/>
          <w:lang w:val="zh-CN" w:eastAsia="zh-CN" w:bidi="ar-SA"/>
        </w:rPr>
        <w:t>辖区</w:t>
      </w:r>
      <w:r>
        <w:rPr>
          <w:rFonts w:hint="eastAsia" w:ascii="Times New Roman" w:hAnsi="Times New Roman" w:eastAsia="仿宋_GB2312" w:cs="仿宋_GB2312"/>
          <w:b w:val="0"/>
          <w:bCs w:val="0"/>
          <w:color w:val="auto"/>
          <w:kern w:val="0"/>
          <w:position w:val="0"/>
          <w:sz w:val="32"/>
          <w:szCs w:val="32"/>
          <w:highlight w:val="none"/>
          <w:lang w:val="zh-CN" w:eastAsia="zh-CN" w:bidi="ar-SA"/>
        </w:rPr>
        <w:t>内各村（社区）均有覆盖，保障了不同区域监护人的权益，区域均衡性较好。</w:t>
      </w:r>
      <w:r>
        <w:rPr>
          <w:rFonts w:hint="default" w:ascii="仿宋_GB2312" w:hAnsi="仿宋_GB2312" w:eastAsia="仿宋_GB2312" w:cs="仿宋_GB2312"/>
          <w:b w:val="0"/>
          <w:bCs w:val="0"/>
          <w:color w:val="auto"/>
          <w:kern w:val="0"/>
          <w:position w:val="0"/>
          <w:sz w:val="32"/>
          <w:szCs w:val="32"/>
          <w:highlight w:val="none"/>
          <w:lang w:val="en-US" w:eastAsia="zh-CN" w:bidi="ar-SA"/>
        </w:rPr>
        <w:t>综合评分</w:t>
      </w:r>
      <w:r>
        <w:rPr>
          <w:rFonts w:hint="eastAsia" w:ascii="仿宋_GB2312" w:hAnsi="仿宋_GB2312" w:eastAsia="仿宋_GB2312" w:cs="仿宋_GB2312"/>
          <w:b w:val="0"/>
          <w:bCs w:val="0"/>
          <w:color w:val="auto"/>
          <w:kern w:val="0"/>
          <w:position w:val="0"/>
          <w:sz w:val="32"/>
          <w:szCs w:val="32"/>
          <w:highlight w:val="none"/>
          <w:lang w:val="en-US" w:eastAsia="zh-CN" w:bidi="ar-SA"/>
        </w:rPr>
        <w:t>1</w:t>
      </w:r>
      <w:r>
        <w:rPr>
          <w:rFonts w:hint="default" w:ascii="仿宋_GB2312" w:hAnsi="仿宋_GB2312" w:eastAsia="仿宋_GB2312" w:cs="仿宋_GB2312"/>
          <w:b w:val="0"/>
          <w:bCs w:val="0"/>
          <w:color w:val="auto"/>
          <w:kern w:val="0"/>
          <w:position w:val="0"/>
          <w:sz w:val="32"/>
          <w:szCs w:val="32"/>
          <w:highlight w:val="none"/>
          <w:lang w:val="en-US" w:eastAsia="zh-CN" w:bidi="ar-SA"/>
        </w:rPr>
        <w:t>0分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eastAsia="仿宋_GB2312" w:cs="仿宋_GB2312"/>
          <w:b w:val="0"/>
          <w:bCs w:val="0"/>
          <w:color w:val="auto"/>
          <w:kern w:val="0"/>
          <w:position w:val="0"/>
          <w:sz w:val="32"/>
          <w:szCs w:val="32"/>
          <w:highlight w:val="none"/>
          <w:lang w:val="en-US" w:eastAsia="zh-CN" w:bidi="ar-SA"/>
        </w:rPr>
        <w:t>2.</w:t>
      </w:r>
      <w:r>
        <w:rPr>
          <w:rFonts w:hint="eastAsia" w:ascii="Times New Roman" w:hAnsi="Times New Roman" w:eastAsia="仿宋_GB2312" w:cs="仿宋_GB2312"/>
          <w:b w:val="0"/>
          <w:bCs w:val="0"/>
          <w:color w:val="auto"/>
          <w:kern w:val="0"/>
          <w:position w:val="0"/>
          <w:sz w:val="32"/>
          <w:szCs w:val="32"/>
          <w:highlight w:val="none"/>
          <w:lang w:val="zh-CN" w:eastAsia="zh-CN" w:bidi="ar-SA"/>
        </w:rPr>
        <w:t>对象精准性：项目精准针对西眉镇严重精神障碍患者的监护人，确保了资金和政策红利精准惠及目标群体。</w:t>
      </w:r>
      <w:r>
        <w:rPr>
          <w:rFonts w:hint="default" w:ascii="仿宋_GB2312" w:hAnsi="仿宋_GB2312" w:eastAsia="仿宋_GB2312" w:cs="仿宋_GB2312"/>
          <w:b w:val="0"/>
          <w:bCs w:val="0"/>
          <w:color w:val="auto"/>
          <w:kern w:val="0"/>
          <w:position w:val="0"/>
          <w:sz w:val="32"/>
          <w:szCs w:val="32"/>
          <w:highlight w:val="none"/>
          <w:lang w:val="en-US" w:eastAsia="zh-CN" w:bidi="ar-SA"/>
        </w:rPr>
        <w:t>综合评分</w:t>
      </w:r>
      <w:r>
        <w:rPr>
          <w:rFonts w:hint="eastAsia" w:ascii="仿宋_GB2312" w:hAnsi="仿宋_GB2312" w:eastAsia="仿宋_GB2312" w:cs="仿宋_GB2312"/>
          <w:b w:val="0"/>
          <w:bCs w:val="0"/>
          <w:color w:val="auto"/>
          <w:kern w:val="0"/>
          <w:position w:val="0"/>
          <w:sz w:val="32"/>
          <w:szCs w:val="32"/>
          <w:highlight w:val="none"/>
          <w:lang w:val="en-US" w:eastAsia="zh-CN" w:bidi="ar-SA"/>
        </w:rPr>
        <w:t>1</w:t>
      </w:r>
      <w:r>
        <w:rPr>
          <w:rFonts w:hint="default" w:ascii="仿宋_GB2312" w:hAnsi="仿宋_GB2312" w:eastAsia="仿宋_GB2312" w:cs="仿宋_GB2312"/>
          <w:b w:val="0"/>
          <w:bCs w:val="0"/>
          <w:color w:val="auto"/>
          <w:kern w:val="0"/>
          <w:position w:val="0"/>
          <w:sz w:val="32"/>
          <w:szCs w:val="32"/>
          <w:highlight w:val="none"/>
          <w:lang w:val="en-US" w:eastAsia="zh-CN" w:bidi="ar-SA"/>
        </w:rPr>
        <w:t>0分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eastAsia="仿宋_GB2312" w:cs="仿宋_GB2312"/>
          <w:b w:val="0"/>
          <w:bCs w:val="0"/>
          <w:color w:val="auto"/>
          <w:kern w:val="0"/>
          <w:position w:val="0"/>
          <w:sz w:val="32"/>
          <w:szCs w:val="32"/>
          <w:highlight w:val="none"/>
          <w:lang w:val="en-US" w:eastAsia="zh-CN" w:bidi="ar-SA"/>
        </w:rPr>
        <w:t>3.</w:t>
      </w:r>
      <w:r>
        <w:rPr>
          <w:rFonts w:hint="eastAsia" w:ascii="Times New Roman" w:hAnsi="Times New Roman" w:eastAsia="仿宋_GB2312" w:cs="仿宋_GB2312"/>
          <w:b w:val="0"/>
          <w:bCs w:val="0"/>
          <w:color w:val="auto"/>
          <w:kern w:val="0"/>
          <w:position w:val="0"/>
          <w:sz w:val="32"/>
          <w:szCs w:val="32"/>
          <w:highlight w:val="none"/>
          <w:lang w:val="zh-CN" w:eastAsia="zh-CN" w:bidi="ar-SA"/>
        </w:rPr>
        <w:t>标准合理性：保险购买的标准设置合理，符合当地的实际情况和监护人的需求。</w:t>
      </w:r>
      <w:r>
        <w:rPr>
          <w:rFonts w:hint="default" w:ascii="仿宋_GB2312" w:hAnsi="仿宋_GB2312" w:eastAsia="仿宋_GB2312" w:cs="仿宋_GB2312"/>
          <w:b w:val="0"/>
          <w:bCs w:val="0"/>
          <w:color w:val="auto"/>
          <w:kern w:val="0"/>
          <w:position w:val="0"/>
          <w:sz w:val="32"/>
          <w:szCs w:val="32"/>
          <w:highlight w:val="none"/>
          <w:lang w:val="en-US" w:eastAsia="zh-CN" w:bidi="ar-SA"/>
        </w:rPr>
        <w:t>综合评分</w:t>
      </w:r>
      <w:r>
        <w:rPr>
          <w:rFonts w:hint="eastAsia" w:ascii="仿宋_GB2312" w:hAnsi="仿宋_GB2312" w:eastAsia="仿宋_GB2312" w:cs="仿宋_GB2312"/>
          <w:b w:val="0"/>
          <w:bCs w:val="0"/>
          <w:color w:val="auto"/>
          <w:kern w:val="0"/>
          <w:position w:val="0"/>
          <w:sz w:val="32"/>
          <w:szCs w:val="32"/>
          <w:highlight w:val="none"/>
          <w:lang w:val="en-US" w:eastAsia="zh-CN" w:bidi="ar-SA"/>
        </w:rPr>
        <w:t>5</w:t>
      </w:r>
      <w:r>
        <w:rPr>
          <w:rFonts w:hint="default" w:ascii="仿宋_GB2312" w:hAnsi="仿宋_GB2312" w:eastAsia="仿宋_GB2312" w:cs="仿宋_GB2312"/>
          <w:b w:val="0"/>
          <w:bCs w:val="0"/>
          <w:color w:val="auto"/>
          <w:kern w:val="0"/>
          <w:position w:val="0"/>
          <w:sz w:val="32"/>
          <w:szCs w:val="32"/>
          <w:highlight w:val="none"/>
          <w:lang w:val="en-US" w:eastAsia="zh-CN" w:bidi="ar-SA"/>
        </w:rPr>
        <w:t>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numPr>
          <w:ilvl w:val="0"/>
          <w:numId w:val="0"/>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eastAsia" w:eastAsia="仿宋_GB2312" w:cs="仿宋_GB2312"/>
          <w:b w:val="0"/>
          <w:bCs w:val="0"/>
          <w:color w:val="auto"/>
          <w:kern w:val="0"/>
          <w:position w:val="0"/>
          <w:sz w:val="32"/>
          <w:szCs w:val="32"/>
          <w:highlight w:val="none"/>
          <w:lang w:val="en-US" w:eastAsia="zh-CN" w:bidi="ar-SA"/>
        </w:rPr>
        <w:t>4.</w:t>
      </w:r>
      <w:r>
        <w:rPr>
          <w:rFonts w:hint="eastAsia" w:ascii="Times New Roman" w:hAnsi="Times New Roman" w:eastAsia="仿宋_GB2312" w:cs="仿宋_GB2312"/>
          <w:b w:val="0"/>
          <w:bCs w:val="0"/>
          <w:color w:val="auto"/>
          <w:kern w:val="0"/>
          <w:position w:val="0"/>
          <w:sz w:val="32"/>
          <w:szCs w:val="32"/>
          <w:highlight w:val="none"/>
          <w:lang w:val="zh-CN" w:eastAsia="zh-CN" w:bidi="ar-SA"/>
        </w:rPr>
        <w:t>群众满意度：通过对受益监护人的调查反馈，群众对该项目的满意度较高，认为项目切实减轻了他们的经济负担。</w:t>
      </w:r>
      <w:r>
        <w:rPr>
          <w:rFonts w:hint="default" w:ascii="仿宋_GB2312" w:hAnsi="仿宋_GB2312" w:eastAsia="仿宋_GB2312" w:cs="仿宋_GB2312"/>
          <w:b w:val="0"/>
          <w:bCs w:val="0"/>
          <w:color w:val="auto"/>
          <w:kern w:val="0"/>
          <w:position w:val="0"/>
          <w:sz w:val="32"/>
          <w:szCs w:val="32"/>
          <w:highlight w:val="none"/>
          <w:lang w:val="en-US" w:eastAsia="zh-CN" w:bidi="ar-SA"/>
        </w:rPr>
        <w:t>综合评分</w:t>
      </w:r>
      <w:r>
        <w:rPr>
          <w:rFonts w:hint="eastAsia" w:ascii="仿宋_GB2312" w:hAnsi="仿宋_GB2312" w:eastAsia="仿宋_GB2312" w:cs="仿宋_GB2312"/>
          <w:b w:val="0"/>
          <w:bCs w:val="0"/>
          <w:color w:val="auto"/>
          <w:kern w:val="0"/>
          <w:position w:val="0"/>
          <w:sz w:val="32"/>
          <w:szCs w:val="32"/>
          <w:highlight w:val="none"/>
          <w:lang w:val="en-US" w:eastAsia="zh-CN" w:bidi="ar-SA"/>
        </w:rPr>
        <w:t>5</w:t>
      </w:r>
      <w:r>
        <w:rPr>
          <w:rFonts w:hint="default" w:ascii="仿宋_GB2312" w:hAnsi="仿宋_GB2312" w:eastAsia="仿宋_GB2312" w:cs="仿宋_GB2312"/>
          <w:b w:val="0"/>
          <w:bCs w:val="0"/>
          <w:color w:val="auto"/>
          <w:kern w:val="0"/>
          <w:position w:val="0"/>
          <w:sz w:val="32"/>
          <w:szCs w:val="32"/>
          <w:highlight w:val="none"/>
          <w:lang w:val="en-US" w:eastAsia="zh-CN" w:bidi="ar-SA"/>
        </w:rPr>
        <w:t>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numPr>
          <w:ilvl w:val="0"/>
          <w:numId w:val="0"/>
        </w:numPr>
        <w:suppressLineNumbers w:val="0"/>
        <w:pBdr>
          <w:left w:val="none" w:color="auto" w:sz="0" w:space="0"/>
        </w:pBdr>
        <w:suppressAutoHyphens/>
        <w:kinsoku/>
        <w:wordWrap/>
        <w:overflowPunct/>
        <w:topLinePunct w:val="0"/>
        <w:autoSpaceDE/>
        <w:autoSpaceDN/>
        <w:bidi w:val="0"/>
        <w:adjustRightInd/>
        <w:snapToGrid/>
        <w:spacing w:beforeAutospacing="0" w:afterAutospacing="0" w:line="560" w:lineRule="exact"/>
        <w:ind w:leftChars="0" w:firstLine="643" w:firstLineChars="200"/>
        <w:textAlignment w:val="auto"/>
        <w:rPr>
          <w:rFonts w:hint="eastAsia" w:ascii="Times New Roman" w:hAnsi="Times New Roman" w:eastAsia="仿宋_GB2312" w:cs="仿宋_GB2312"/>
          <w:b w:val="0"/>
          <w:bCs w:val="0"/>
          <w:color w:val="auto"/>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auto"/>
          <w:kern w:val="0"/>
          <w:sz w:val="32"/>
          <w:szCs w:val="32"/>
          <w:highlight w:val="none"/>
          <w:shd w:val="clear" w:color="auto" w:fill="FFFFFF"/>
          <w:lang w:val="zh-CN"/>
        </w:rPr>
        <w:t>绩效分析。</w:t>
      </w:r>
      <w:r>
        <w:rPr>
          <w:rFonts w:hint="eastAsia" w:ascii="Times New Roman" w:hAnsi="Times New Roman" w:eastAsia="仿宋_GB2312" w:cs="仿宋_GB2312"/>
          <w:b w:val="0"/>
          <w:bCs w:val="0"/>
          <w:color w:val="auto"/>
          <w:kern w:val="0"/>
          <w:position w:val="0"/>
          <w:sz w:val="32"/>
          <w:szCs w:val="32"/>
          <w:highlight w:val="none"/>
          <w:lang w:val="zh-CN" w:eastAsia="zh-CN" w:bidi="ar-SA"/>
        </w:rPr>
        <w:t>结合项目特点，设定</w:t>
      </w:r>
      <w:r>
        <w:rPr>
          <w:rFonts w:hint="eastAsia" w:eastAsia="仿宋_GB2312" w:cs="仿宋_GB2312"/>
          <w:b w:val="0"/>
          <w:bCs w:val="0"/>
          <w:color w:val="auto"/>
          <w:kern w:val="0"/>
          <w:position w:val="0"/>
          <w:sz w:val="32"/>
          <w:szCs w:val="32"/>
          <w:highlight w:val="none"/>
          <w:lang w:val="zh-CN" w:eastAsia="zh-CN" w:bidi="ar-SA"/>
        </w:rPr>
        <w:t>“</w:t>
      </w:r>
      <w:r>
        <w:rPr>
          <w:rFonts w:hint="eastAsia" w:ascii="Times New Roman" w:hAnsi="Times New Roman" w:eastAsia="仿宋_GB2312" w:cs="仿宋_GB2312"/>
          <w:b w:val="0"/>
          <w:bCs w:val="0"/>
          <w:color w:val="auto"/>
          <w:kern w:val="0"/>
          <w:position w:val="0"/>
          <w:sz w:val="32"/>
          <w:szCs w:val="32"/>
          <w:highlight w:val="none"/>
          <w:lang w:val="zh-CN" w:eastAsia="zh-CN" w:bidi="ar-SA"/>
        </w:rPr>
        <w:t>政策知晓率</w:t>
      </w:r>
      <w:r>
        <w:rPr>
          <w:rFonts w:hint="eastAsia" w:eastAsia="仿宋_GB2312" w:cs="仿宋_GB2312"/>
          <w:b w:val="0"/>
          <w:bCs w:val="0"/>
          <w:color w:val="auto"/>
          <w:kern w:val="0"/>
          <w:position w:val="0"/>
          <w:sz w:val="32"/>
          <w:szCs w:val="32"/>
          <w:highlight w:val="none"/>
          <w:lang w:val="zh-CN" w:eastAsia="zh-CN" w:bidi="ar-SA"/>
        </w:rPr>
        <w:t>”</w:t>
      </w:r>
      <w:r>
        <w:rPr>
          <w:rFonts w:hint="eastAsia" w:ascii="Times New Roman" w:hAnsi="Times New Roman" w:eastAsia="仿宋_GB2312" w:cs="仿宋_GB2312"/>
          <w:b w:val="0"/>
          <w:bCs w:val="0"/>
          <w:color w:val="auto"/>
          <w:kern w:val="0"/>
          <w:position w:val="0"/>
          <w:sz w:val="32"/>
          <w:szCs w:val="32"/>
          <w:highlight w:val="none"/>
          <w:lang w:val="zh-CN" w:eastAsia="zh-CN" w:bidi="ar-SA"/>
        </w:rPr>
        <w:t>作为个性指标。通过村（社区）会议、入户宣传等方式，西眉镇严重精神障碍患者监护人对该政策的知晓率有了显著提高，达到了预期目标，有效推动了项目的实施。</w:t>
      </w:r>
      <w:r>
        <w:rPr>
          <w:rFonts w:hint="default" w:ascii="仿宋_GB2312" w:hAnsi="仿宋_GB2312" w:eastAsia="仿宋_GB2312" w:cs="仿宋_GB2312"/>
          <w:b w:val="0"/>
          <w:bCs w:val="0"/>
          <w:color w:val="auto"/>
          <w:kern w:val="0"/>
          <w:position w:val="0"/>
          <w:sz w:val="32"/>
          <w:szCs w:val="32"/>
          <w:highlight w:val="none"/>
          <w:lang w:val="en-US" w:eastAsia="zh-CN" w:bidi="ar-SA"/>
        </w:rPr>
        <w:t>综合评分</w:t>
      </w:r>
      <w:r>
        <w:rPr>
          <w:rFonts w:hint="eastAsia" w:ascii="仿宋_GB2312" w:hAnsi="仿宋_GB2312" w:eastAsia="仿宋_GB2312" w:cs="仿宋_GB2312"/>
          <w:b w:val="0"/>
          <w:bCs w:val="0"/>
          <w:color w:val="auto"/>
          <w:kern w:val="0"/>
          <w:position w:val="0"/>
          <w:sz w:val="32"/>
          <w:szCs w:val="32"/>
          <w:highlight w:val="none"/>
          <w:lang w:val="en-US" w:eastAsia="zh-CN" w:bidi="ar-SA"/>
        </w:rPr>
        <w:t>16</w:t>
      </w:r>
      <w:r>
        <w:rPr>
          <w:rFonts w:hint="default" w:ascii="仿宋_GB2312" w:hAnsi="仿宋_GB2312" w:eastAsia="仿宋_GB2312" w:cs="仿宋_GB2312"/>
          <w:b w:val="0"/>
          <w:bCs w:val="0"/>
          <w:color w:val="auto"/>
          <w:kern w:val="0"/>
          <w:position w:val="0"/>
          <w:sz w:val="32"/>
          <w:szCs w:val="32"/>
          <w:highlight w:val="none"/>
          <w:lang w:val="en-US" w:eastAsia="zh-CN" w:bidi="ar-SA"/>
        </w:rPr>
        <w:t>分</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hAnsi="黑体" w:eastAsia="黑体" w:cs="黑体"/>
          <w:b w:val="0"/>
          <w:bCs w:val="0"/>
          <w:color w:val="auto"/>
          <w:kern w:val="0"/>
          <w:position w:val="0"/>
          <w:sz w:val="32"/>
          <w:szCs w:val="32"/>
          <w:highlight w:val="none"/>
          <w:lang w:val="en-US" w:eastAsia="zh-CN" w:bidi="ar-SA"/>
        </w:rPr>
      </w:pPr>
      <w:r>
        <w:rPr>
          <w:rFonts w:hint="eastAsia" w:ascii="黑体" w:hAnsi="黑体" w:eastAsia="黑体" w:cs="黑体"/>
          <w:b w:val="0"/>
          <w:bCs w:val="0"/>
          <w:color w:val="auto"/>
          <w:kern w:val="0"/>
          <w:position w:val="0"/>
          <w:sz w:val="32"/>
          <w:szCs w:val="32"/>
          <w:highlight w:val="none"/>
          <w:lang w:val="en-US" w:eastAsia="zh-CN" w:bidi="ar-SA"/>
        </w:rPr>
        <w:t>四、评价结论</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项目实施以来，西眉镇积极推进严重精神障碍患者监护人责任保险工作，通过多种宣传方式提高了政策知晓率，为严重精神障碍患者的监护人购买了保险，切实减轻了监护人的经济负担，强化了其监护责任，维护了社会稳定，实现了“政府主导、家庭尽责、社会参与”的综合管理目标，整体实施情况良好。项目绩效自评总得分为100分。</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hAnsi="黑体" w:eastAsia="黑体" w:cs="黑体"/>
          <w:b w:val="0"/>
          <w:bCs w:val="0"/>
          <w:color w:val="auto"/>
          <w:kern w:val="0"/>
          <w:position w:val="0"/>
          <w:sz w:val="32"/>
          <w:szCs w:val="32"/>
          <w:highlight w:val="none"/>
          <w:lang w:val="en-US" w:eastAsia="zh-CN" w:bidi="ar-SA"/>
        </w:rPr>
      </w:pPr>
      <w:r>
        <w:rPr>
          <w:rFonts w:hint="eastAsia" w:ascii="黑体" w:hAnsi="黑体" w:eastAsia="黑体" w:cs="黑体"/>
          <w:b w:val="0"/>
          <w:bCs w:val="0"/>
          <w:color w:val="auto"/>
          <w:kern w:val="0"/>
          <w:position w:val="0"/>
          <w:sz w:val="32"/>
          <w:szCs w:val="32"/>
          <w:highlight w:val="none"/>
          <w:lang w:val="en-US" w:eastAsia="zh-CN" w:bidi="ar-SA"/>
        </w:rPr>
        <w:t>五、存在主要问题</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宣传力度</w:t>
      </w:r>
      <w:r>
        <w:rPr>
          <w:rFonts w:hint="eastAsia" w:eastAsia="仿宋_GB2312" w:cs="仿宋_GB2312"/>
          <w:b w:val="0"/>
          <w:bCs w:val="0"/>
          <w:color w:val="auto"/>
          <w:kern w:val="0"/>
          <w:position w:val="0"/>
          <w:sz w:val="32"/>
          <w:szCs w:val="32"/>
          <w:highlight w:val="none"/>
          <w:lang w:val="en-US" w:eastAsia="zh-CN" w:bidi="ar-SA"/>
        </w:rPr>
        <w:t>稍有</w:t>
      </w:r>
      <w:r>
        <w:rPr>
          <w:rFonts w:hint="eastAsia" w:ascii="Times New Roman" w:hAnsi="Times New Roman" w:eastAsia="仿宋_GB2312" w:cs="仿宋_GB2312"/>
          <w:b w:val="0"/>
          <w:bCs w:val="0"/>
          <w:color w:val="auto"/>
          <w:kern w:val="0"/>
          <w:position w:val="0"/>
          <w:sz w:val="32"/>
          <w:szCs w:val="32"/>
          <w:highlight w:val="none"/>
          <w:lang w:val="en-US" w:eastAsia="zh-CN" w:bidi="ar-SA"/>
        </w:rPr>
        <w:t>不足，部分监护人投保意识薄弱，对该保险政策的了解不够深入，影响了项目效益的充分发挥。</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黑体" w:hAnsi="黑体" w:eastAsia="黑体" w:cs="黑体"/>
          <w:b w:val="0"/>
          <w:bCs w:val="0"/>
          <w:color w:val="auto"/>
          <w:kern w:val="0"/>
          <w:position w:val="0"/>
          <w:sz w:val="32"/>
          <w:szCs w:val="32"/>
          <w:highlight w:val="none"/>
          <w:lang w:val="zh-CN" w:eastAsia="zh-CN" w:bidi="ar-SA"/>
        </w:rPr>
      </w:pPr>
      <w:r>
        <w:rPr>
          <w:rFonts w:hint="eastAsia" w:ascii="黑体" w:hAnsi="黑体" w:eastAsia="黑体" w:cs="黑体"/>
          <w:b w:val="0"/>
          <w:bCs w:val="0"/>
          <w:color w:val="auto"/>
          <w:kern w:val="0"/>
          <w:position w:val="0"/>
          <w:sz w:val="32"/>
          <w:szCs w:val="32"/>
          <w:highlight w:val="none"/>
          <w:lang w:val="zh-CN" w:eastAsia="zh-CN" w:bidi="ar-SA"/>
        </w:rPr>
        <w:t>六、改进建议</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eastAsia="仿宋_GB2312" w:cs="仿宋_GB2312"/>
          <w:b w:val="0"/>
          <w:bCs w:val="0"/>
          <w:color w:val="auto"/>
          <w:kern w:val="0"/>
          <w:position w:val="0"/>
          <w:sz w:val="32"/>
          <w:szCs w:val="32"/>
          <w:highlight w:val="none"/>
          <w:lang w:val="en-US" w:eastAsia="zh-CN" w:bidi="ar-SA"/>
        </w:rPr>
        <w:t>1.</w:t>
      </w:r>
      <w:r>
        <w:rPr>
          <w:rFonts w:hint="eastAsia" w:ascii="Times New Roman" w:hAnsi="Times New Roman" w:eastAsia="仿宋_GB2312" w:cs="仿宋_GB2312"/>
          <w:b w:val="0"/>
          <w:bCs w:val="0"/>
          <w:color w:val="auto"/>
          <w:kern w:val="0"/>
          <w:position w:val="0"/>
          <w:sz w:val="32"/>
          <w:szCs w:val="32"/>
          <w:highlight w:val="none"/>
          <w:lang w:val="en-US" w:eastAsia="zh-CN" w:bidi="ar-SA"/>
        </w:rPr>
        <w:t>加强政策宣传：通过增加宣传频次、创新宣传方式（如利用新媒体平台）等，扩大政策宣传覆盖面，提高监护人对政策的知晓度和理解度。</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eastAsia="仿宋_GB2312" w:cs="仿宋_GB2312"/>
          <w:b w:val="0"/>
          <w:bCs w:val="0"/>
          <w:color w:val="auto"/>
          <w:kern w:val="0"/>
          <w:position w:val="0"/>
          <w:sz w:val="32"/>
          <w:szCs w:val="32"/>
          <w:highlight w:val="none"/>
          <w:lang w:val="en-US" w:eastAsia="zh-CN" w:bidi="ar-SA"/>
        </w:rPr>
        <w:t>2.</w:t>
      </w:r>
      <w:r>
        <w:rPr>
          <w:rFonts w:hint="eastAsia" w:ascii="Times New Roman" w:hAnsi="Times New Roman" w:eastAsia="仿宋_GB2312" w:cs="仿宋_GB2312"/>
          <w:b w:val="0"/>
          <w:bCs w:val="0"/>
          <w:color w:val="auto"/>
          <w:kern w:val="0"/>
          <w:position w:val="0"/>
          <w:sz w:val="32"/>
          <w:szCs w:val="32"/>
          <w:highlight w:val="none"/>
          <w:lang w:val="en-US" w:eastAsia="zh-CN" w:bidi="ar-SA"/>
        </w:rPr>
        <w:t>简化投保手续：优化投保流程，减少不必要的环节，为监护人投保提供便利，提高其投保积极性。</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r>
        <w:rPr>
          <w:rFonts w:hint="eastAsia" w:eastAsia="仿宋_GB2312" w:cs="仿宋_GB2312"/>
          <w:b w:val="0"/>
          <w:bCs w:val="0"/>
          <w:color w:val="auto"/>
          <w:kern w:val="0"/>
          <w:position w:val="0"/>
          <w:sz w:val="32"/>
          <w:szCs w:val="32"/>
          <w:highlight w:val="none"/>
          <w:lang w:val="en-US" w:eastAsia="zh-CN" w:bidi="ar-SA"/>
        </w:rPr>
        <w:t>3.</w:t>
      </w:r>
      <w:r>
        <w:rPr>
          <w:rFonts w:hint="eastAsia" w:ascii="Times New Roman" w:hAnsi="Times New Roman" w:eastAsia="仿宋_GB2312" w:cs="仿宋_GB2312"/>
          <w:b w:val="0"/>
          <w:bCs w:val="0"/>
          <w:color w:val="auto"/>
          <w:kern w:val="0"/>
          <w:position w:val="0"/>
          <w:sz w:val="32"/>
          <w:szCs w:val="32"/>
          <w:highlight w:val="none"/>
          <w:lang w:val="en-US" w:eastAsia="zh-CN" w:bidi="ar-SA"/>
        </w:rPr>
        <w:t>提升服务效率：加强工作人员培训，提高业务办理效率，及时为监护人解决投保过程中遇到的问题，确保应保尽保。</w:t>
      </w:r>
    </w:p>
    <w:p>
      <w:pPr>
        <w:pStyle w:val="3"/>
        <w:rPr>
          <w:rFonts w:hint="eastAsia" w:ascii="仿宋_GB2312" w:hAnsi="仿宋_GB2312" w:eastAsia="仿宋_GB2312" w:cs="仿宋_GB2312"/>
          <w:sz w:val="32"/>
          <w:szCs w:val="32"/>
          <w:lang w:val="en-US" w:eastAsia="zh-CN"/>
        </w:rPr>
      </w:pPr>
    </w:p>
    <w:p>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附表：项目支出绩效自评表</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color w:val="auto"/>
          <w:kern w:val="0"/>
          <w:position w:val="0"/>
          <w:sz w:val="32"/>
          <w:szCs w:val="32"/>
          <w:highlight w:val="none"/>
          <w:lang w:val="en-US" w:eastAsia="zh-CN" w:bidi="ar-SA"/>
        </w:rPr>
      </w:pPr>
    </w:p>
    <w:p>
      <w:pPr>
        <w:pStyle w:val="2"/>
        <w:rPr>
          <w:rFonts w:hint="eastAsia"/>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560" w:lineRule="exact"/>
        <w:textAlignment w:val="auto"/>
        <w:rPr>
          <w:color w:val="auto"/>
        </w:rPr>
      </w:pPr>
    </w:p>
    <w:p>
      <w:pPr>
        <w:widowControl/>
        <w:jc w:val="center"/>
        <w:rPr>
          <w:rFonts w:hint="eastAsia" w:ascii="方正小标宋简体" w:hAnsi="方正小标宋简体" w:eastAsia="方正小标宋简体" w:cs="方正小标宋简体"/>
          <w:color w:val="auto"/>
          <w:sz w:val="44"/>
          <w:szCs w:val="44"/>
          <w:highlight w:val="none"/>
        </w:rPr>
      </w:pPr>
    </w:p>
    <w:p>
      <w:pPr>
        <w:widowControl/>
        <w:jc w:val="center"/>
        <w:rPr>
          <w:rFonts w:hint="eastAsia" w:ascii="方正小标宋简体" w:hAnsi="方正小标宋简体" w:eastAsia="方正小标宋简体" w:cs="方正小标宋简体"/>
          <w:color w:val="auto"/>
          <w:sz w:val="44"/>
          <w:szCs w:val="44"/>
          <w:highlight w:val="none"/>
        </w:rPr>
      </w:pPr>
    </w:p>
    <w:p>
      <w:pPr>
        <w:widowControl/>
        <w:jc w:val="center"/>
        <w:rPr>
          <w:rFonts w:hint="eastAsia" w:ascii="方正小标宋简体" w:hAnsi="方正小标宋简体" w:eastAsia="方正小标宋简体" w:cs="方正小标宋简体"/>
          <w:color w:val="auto"/>
          <w:sz w:val="44"/>
          <w:szCs w:val="44"/>
          <w:highlight w:val="none"/>
        </w:rPr>
      </w:pPr>
    </w:p>
    <w:p>
      <w:pPr>
        <w:widowControl/>
        <w:jc w:val="center"/>
        <w:rPr>
          <w:rFonts w:hint="eastAsia" w:ascii="方正小标宋简体" w:hAnsi="方正小标宋简体" w:eastAsia="方正小标宋简体" w:cs="方正小标宋简体"/>
          <w:color w:val="auto"/>
          <w:sz w:val="44"/>
          <w:szCs w:val="44"/>
          <w:highlight w:val="none"/>
        </w:rPr>
      </w:pPr>
    </w:p>
    <w:p>
      <w:pPr>
        <w:widowControl/>
        <w:jc w:val="center"/>
        <w:rPr>
          <w:rFonts w:hint="eastAsia" w:ascii="方正小标宋简体" w:hAnsi="方正小标宋简体" w:eastAsia="方正小标宋简体" w:cs="方正小标宋简体"/>
          <w:color w:val="auto"/>
          <w:sz w:val="44"/>
          <w:szCs w:val="44"/>
          <w:highlight w:val="none"/>
        </w:rPr>
      </w:pPr>
    </w:p>
    <w:p>
      <w:pPr>
        <w:widowControl/>
        <w:jc w:val="center"/>
        <w:rPr>
          <w:rFonts w:hint="eastAsia" w:ascii="方正小标宋简体" w:hAnsi="方正小标宋简体" w:eastAsia="方正小标宋简体" w:cs="方正小标宋简体"/>
          <w:color w:val="auto"/>
          <w:sz w:val="44"/>
          <w:szCs w:val="44"/>
          <w:highlight w:val="none"/>
        </w:rPr>
      </w:pPr>
    </w:p>
    <w:p>
      <w:pPr>
        <w:widowControl/>
        <w:jc w:val="center"/>
        <w:rPr>
          <w:rFonts w:hint="eastAsia" w:ascii="方正小标宋简体" w:hAnsi="方正小标宋简体" w:eastAsia="方正小标宋简体" w:cs="方正小标宋简体"/>
          <w:color w:val="auto"/>
          <w:sz w:val="44"/>
          <w:szCs w:val="44"/>
          <w:highlight w:val="none"/>
        </w:rPr>
      </w:pPr>
    </w:p>
    <w:p>
      <w:pPr>
        <w:pStyle w:val="2"/>
        <w:rPr>
          <w:rFonts w:hint="eastAsia" w:ascii="方正小标宋简体" w:hAnsi="方正小标宋简体" w:eastAsia="方正小标宋简体" w:cs="方正小标宋简体"/>
          <w:color w:val="auto"/>
          <w:sz w:val="44"/>
          <w:szCs w:val="44"/>
          <w:highlight w:val="none"/>
        </w:rPr>
      </w:pPr>
    </w:p>
    <w:p>
      <w:pPr>
        <w:pStyle w:val="3"/>
        <w:rPr>
          <w:rFonts w:hint="eastAsia"/>
        </w:rPr>
      </w:pPr>
    </w:p>
    <w:p>
      <w:pPr>
        <w:pStyle w:val="2"/>
        <w:rPr>
          <w:rFonts w:hint="eastAsia" w:ascii="方正小标宋简体" w:hAnsi="方正小标宋简体" w:eastAsia="方正小标宋简体" w:cs="方正小标宋简体"/>
          <w:color w:val="auto"/>
          <w:sz w:val="44"/>
          <w:szCs w:val="44"/>
          <w:highlight w:val="none"/>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86"/>
        <w:gridCol w:w="918"/>
        <w:gridCol w:w="1216"/>
        <w:gridCol w:w="396"/>
        <w:gridCol w:w="859"/>
        <w:gridCol w:w="396"/>
        <w:gridCol w:w="846"/>
        <w:gridCol w:w="486"/>
        <w:gridCol w:w="396"/>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51090423T000009272847-严重精神障碍患者投保监护人责任保险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遂宁市安居区西眉镇人民政府部门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遂宁市安居区西眉镇人民政府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通过村（社区）会议、入户宣传等方式提高政策知晓率，为西眉镇严重精神障碍患者的监护人购买保险，减轻监护人经济负担，强化其监护责任，维护社会稳定。</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西眉镇积极推进严重精神障碍患者监护人责任保险工作，取得一定成效，实现了“政府主导、家庭尽责、社会参与”的综合管理目标。强化了监护责任，维护了社会稳定。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村（社区）会议、入户宣传等方式提高政策知晓率，为西眉镇严重精神障碍患者的监护人购买保险，减轻监护人经济负担，强化其监护责任，维护社会稳定，实现了“政府主导、家庭尽责、社会参与”的综合管理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项目自评得分100分，我镇通过村（社区）会议、入户宣传等方式提高政策知晓率，为严重精神障碍患者的监护人购买保险，减轻了监护人经济负担，强化其监护责任，维护社会稳定，实现了“政府主导、家庭尽责、社会参与”的综合管理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宣传力度不足，部分监护人投保意识薄弱。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加强政策宣传，简化投保手续，提升服务效率，确保应保尽保。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项目负责人：陈新国</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财务负责人：杨利娟</w:t>
            </w:r>
          </w:p>
        </w:tc>
      </w:tr>
    </w:tbl>
    <w:p>
      <w:pPr>
        <w:widowControl/>
        <w:jc w:val="both"/>
        <w:rPr>
          <w:rFonts w:hint="eastAsia" w:ascii="方正小标宋简体" w:hAnsi="方正小标宋简体" w:eastAsia="方正小标宋简体" w:cs="方正小标宋简体"/>
          <w:color w:val="auto"/>
          <w:sz w:val="44"/>
          <w:szCs w:val="44"/>
          <w:highlight w:val="none"/>
        </w:rPr>
      </w:pPr>
    </w:p>
    <w:p>
      <w:pPr>
        <w:widowControl/>
        <w:jc w:val="center"/>
        <w:rPr>
          <w:rFonts w:hint="eastAsia" w:ascii="方正小标宋简体" w:hAnsi="方正小标宋简体" w:eastAsia="方正小标宋简体" w:cs="方正小标宋简体"/>
          <w:b w:val="0"/>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w:t>
      </w:r>
      <w:r>
        <w:rPr>
          <w:rStyle w:val="30"/>
          <w:rFonts w:hint="eastAsia" w:ascii="方正小标宋简体" w:hAnsi="方正小标宋简体" w:eastAsia="方正小标宋简体" w:cs="方正小标宋简体"/>
          <w:b w:val="0"/>
          <w:color w:val="auto"/>
          <w:highlight w:val="none"/>
        </w:rPr>
        <w:t>五部分 附表</w:t>
      </w:r>
      <w:bookmarkEnd w:id="78"/>
      <w:bookmarkEnd w:id="79"/>
      <w:bookmarkStart w:id="80"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8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20"/>
      <w:r>
        <w:rPr>
          <w:rFonts w:hint="eastAsia" w:ascii="Times New Roman" w:hAnsi="Times New Roman" w:eastAsia="仿宋_GB2312" w:cs="仿宋_GB2312"/>
          <w:color w:val="auto"/>
          <w:sz w:val="32"/>
          <w:szCs w:val="32"/>
          <w:highlight w:val="none"/>
        </w:rPr>
        <w:t>二、收入决算表</w:t>
      </w:r>
      <w:bookmarkEnd w:id="8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21"/>
      <w:r>
        <w:rPr>
          <w:rFonts w:hint="eastAsia" w:ascii="Times New Roman" w:hAnsi="Times New Roman" w:eastAsia="仿宋_GB2312" w:cs="仿宋_GB2312"/>
          <w:color w:val="auto"/>
          <w:sz w:val="32"/>
          <w:szCs w:val="32"/>
          <w:highlight w:val="none"/>
        </w:rPr>
        <w:t>三、支出决算表</w:t>
      </w:r>
      <w:bookmarkEnd w:id="8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22"/>
      <w:r>
        <w:rPr>
          <w:rFonts w:hint="eastAsia" w:ascii="Times New Roman" w:hAnsi="Times New Roman" w:eastAsia="仿宋_GB2312" w:cs="仿宋_GB2312"/>
          <w:color w:val="auto"/>
          <w:sz w:val="32"/>
          <w:szCs w:val="32"/>
          <w:highlight w:val="none"/>
        </w:rPr>
        <w:t>四、财政拨款收入支出决算总表</w:t>
      </w:r>
      <w:bookmarkEnd w:id="8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4" w:name="_Toc15396623"/>
      <w:r>
        <w:rPr>
          <w:rFonts w:hint="eastAsia" w:ascii="Times New Roman" w:hAnsi="Times New Roman" w:eastAsia="仿宋_GB2312" w:cs="仿宋_GB2312"/>
          <w:color w:val="auto"/>
          <w:sz w:val="32"/>
          <w:szCs w:val="32"/>
          <w:highlight w:val="none"/>
        </w:rPr>
        <w:t>五、财政拨款支出决算明细表</w:t>
      </w:r>
      <w:bookmarkEnd w:id="84"/>
      <w:bookmarkStart w:id="85"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8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6" w:name="_Toc15396625"/>
      <w:r>
        <w:rPr>
          <w:rFonts w:hint="eastAsia" w:ascii="Times New Roman" w:hAnsi="Times New Roman" w:eastAsia="仿宋_GB2312" w:cs="仿宋_GB2312"/>
          <w:color w:val="auto"/>
          <w:sz w:val="32"/>
          <w:szCs w:val="32"/>
          <w:highlight w:val="none"/>
        </w:rPr>
        <w:t>七、一般公共预算财政拨款支出决算明细表</w:t>
      </w:r>
      <w:bookmarkEnd w:id="8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7" w:name="_Toc15396626"/>
      <w:r>
        <w:rPr>
          <w:rFonts w:hint="eastAsia" w:ascii="Times New Roman" w:hAnsi="Times New Roman" w:eastAsia="仿宋_GB2312" w:cs="仿宋_GB2312"/>
          <w:color w:val="auto"/>
          <w:sz w:val="32"/>
          <w:szCs w:val="32"/>
          <w:highlight w:val="none"/>
        </w:rPr>
        <w:t>八、一般公共预算财政拨款基本支出决算表</w:t>
      </w:r>
      <w:bookmarkEnd w:id="8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8" w:name="_Toc15396627"/>
      <w:r>
        <w:rPr>
          <w:rFonts w:hint="eastAsia" w:ascii="Times New Roman" w:hAnsi="Times New Roman" w:eastAsia="仿宋_GB2312" w:cs="仿宋_GB2312"/>
          <w:color w:val="auto"/>
          <w:sz w:val="32"/>
          <w:szCs w:val="32"/>
          <w:highlight w:val="none"/>
        </w:rPr>
        <w:t>九、一般公共预算财政拨款项目支出决算表</w:t>
      </w:r>
      <w:bookmarkEnd w:id="8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9" w:name="_Toc15396628"/>
      <w:r>
        <w:rPr>
          <w:rFonts w:hint="eastAsia" w:ascii="Times New Roman" w:hAnsi="Times New Roman" w:eastAsia="仿宋_GB2312" w:cs="仿宋_GB2312"/>
          <w:color w:val="auto"/>
          <w:sz w:val="32"/>
          <w:szCs w:val="32"/>
          <w:highlight w:val="none"/>
        </w:rPr>
        <w:t>十、</w:t>
      </w:r>
      <w:bookmarkEnd w:id="89"/>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0" w:name="_Toc15396629"/>
      <w:r>
        <w:rPr>
          <w:rFonts w:hint="eastAsia" w:ascii="Times New Roman" w:hAnsi="Times New Roman" w:eastAsia="仿宋_GB2312" w:cs="仿宋_GB2312"/>
          <w:color w:val="auto"/>
          <w:sz w:val="32"/>
          <w:szCs w:val="32"/>
          <w:highlight w:val="none"/>
        </w:rPr>
        <w:t>十一、</w:t>
      </w:r>
      <w:bookmarkEnd w:id="9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1" w:name="_Toc15396630"/>
      <w:r>
        <w:rPr>
          <w:rFonts w:hint="eastAsia" w:ascii="Times New Roman" w:hAnsi="Times New Roman" w:eastAsia="仿宋_GB2312" w:cs="仿宋_GB2312"/>
          <w:color w:val="auto"/>
          <w:sz w:val="32"/>
          <w:szCs w:val="32"/>
          <w:highlight w:val="none"/>
        </w:rPr>
        <w:t>十二、</w:t>
      </w:r>
      <w:bookmarkEnd w:id="91"/>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92" w:name="_Toc15396631"/>
      <w:r>
        <w:rPr>
          <w:rFonts w:hint="eastAsia" w:ascii="Times New Roman" w:hAnsi="Times New Roman" w:eastAsia="仿宋_GB2312" w:cs="仿宋_GB2312"/>
          <w:color w:val="auto"/>
          <w:sz w:val="32"/>
          <w:szCs w:val="32"/>
          <w:highlight w:val="none"/>
        </w:rPr>
        <w:t>十三、</w:t>
      </w:r>
      <w:bookmarkEnd w:id="92"/>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pgSz w:w="11906" w:h="16838"/>
      <w:pgMar w:top="1440" w:right="1746" w:bottom="1327"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95176"/>
    <w:multiLevelType w:val="singleLevel"/>
    <w:tmpl w:val="A6995176"/>
    <w:lvl w:ilvl="0" w:tentative="0">
      <w:start w:val="2"/>
      <w:numFmt w:val="decimal"/>
      <w:lvlText w:val="%1."/>
      <w:lvlJc w:val="left"/>
      <w:pPr>
        <w:tabs>
          <w:tab w:val="left" w:pos="312"/>
        </w:tabs>
      </w:pPr>
    </w:lvl>
  </w:abstractNum>
  <w:abstractNum w:abstractNumId="1">
    <w:nsid w:val="B5C1C5ED"/>
    <w:multiLevelType w:val="singleLevel"/>
    <w:tmpl w:val="B5C1C5ED"/>
    <w:lvl w:ilvl="0" w:tentative="0">
      <w:start w:val="2"/>
      <w:numFmt w:val="chineseCounting"/>
      <w:suff w:val="nothing"/>
      <w:lvlText w:val="（%1）"/>
      <w:lvlJc w:val="left"/>
      <w:rPr>
        <w:rFonts w:hint="eastAsia"/>
      </w:rPr>
    </w:lvl>
  </w:abstractNum>
  <w:abstractNum w:abstractNumId="2">
    <w:nsid w:val="CB2E5B85"/>
    <w:multiLevelType w:val="singleLevel"/>
    <w:tmpl w:val="CB2E5B85"/>
    <w:lvl w:ilvl="0" w:tentative="0">
      <w:start w:val="2"/>
      <w:numFmt w:val="chineseCounting"/>
      <w:suff w:val="nothing"/>
      <w:lvlText w:val="（%1）"/>
      <w:lvlJc w:val="left"/>
      <w:rPr>
        <w:rFonts w:hint="eastAsia"/>
      </w:rPr>
    </w:lvl>
  </w:abstractNum>
  <w:abstractNum w:abstractNumId="3">
    <w:nsid w:val="EDE5D036"/>
    <w:multiLevelType w:val="singleLevel"/>
    <w:tmpl w:val="EDE5D036"/>
    <w:lvl w:ilvl="0" w:tentative="0">
      <w:start w:val="4"/>
      <w:numFmt w:val="chineseCounting"/>
      <w:suff w:val="nothing"/>
      <w:lvlText w:val="（%1）"/>
      <w:lvlJc w:val="left"/>
      <w:rPr>
        <w:rFonts w:hint="eastAsia"/>
      </w:rPr>
    </w:lvl>
  </w:abstractNum>
  <w:abstractNum w:abstractNumId="4">
    <w:nsid w:val="72BE205E"/>
    <w:multiLevelType w:val="singleLevel"/>
    <w:tmpl w:val="72BE205E"/>
    <w:lvl w:ilvl="0" w:tentative="0">
      <w:start w:val="1"/>
      <w:numFmt w:val="decimal"/>
      <w:lvlText w:val="%1."/>
      <w:lvlJc w:val="left"/>
      <w:pPr>
        <w:tabs>
          <w:tab w:val="left" w:pos="312"/>
        </w:tabs>
      </w:pPr>
    </w:lvl>
  </w:abstractNum>
  <w:abstractNum w:abstractNumId="5">
    <w:nsid w:val="7AD5F858"/>
    <w:multiLevelType w:val="singleLevel"/>
    <w:tmpl w:val="7AD5F858"/>
    <w:lvl w:ilvl="0" w:tentative="0">
      <w:start w:val="1"/>
      <w:numFmt w:val="decimal"/>
      <w:suff w:val="space"/>
      <w:lvlText w:val="%1."/>
      <w:lvlJc w:val="left"/>
    </w:lvl>
  </w:abstractNum>
  <w:abstractNum w:abstractNumId="6">
    <w:nsid w:val="7F085CCB"/>
    <w:multiLevelType w:val="singleLevel"/>
    <w:tmpl w:val="7F085CCB"/>
    <w:lvl w:ilvl="0" w:tentative="0">
      <w:start w:val="1"/>
      <w:numFmt w:val="chineseCounting"/>
      <w:suff w:val="nothing"/>
      <w:lvlText w:val="%1、"/>
      <w:lvlJc w:val="left"/>
      <w:rPr>
        <w:rFonts w:hint="eastAsia"/>
      </w:rPr>
    </w:lvl>
  </w:abstractNum>
  <w:num w:numId="1">
    <w:abstractNumId w:val="6"/>
  </w:num>
  <w:num w:numId="2">
    <w:abstractNumId w:val="4"/>
  </w:num>
  <w:num w:numId="3">
    <w:abstractNumId w:val="0"/>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1A22DFA"/>
    <w:rsid w:val="02FEBE30"/>
    <w:rsid w:val="061E35DE"/>
    <w:rsid w:val="066E0107"/>
    <w:rsid w:val="07996F6E"/>
    <w:rsid w:val="07DFD8BA"/>
    <w:rsid w:val="09867E8F"/>
    <w:rsid w:val="0A2032A3"/>
    <w:rsid w:val="0AD06A70"/>
    <w:rsid w:val="0B0C701E"/>
    <w:rsid w:val="0CA8290A"/>
    <w:rsid w:val="0D35B1ED"/>
    <w:rsid w:val="0E286492"/>
    <w:rsid w:val="0F98263C"/>
    <w:rsid w:val="101860EC"/>
    <w:rsid w:val="10C055FF"/>
    <w:rsid w:val="11772AA4"/>
    <w:rsid w:val="118107EC"/>
    <w:rsid w:val="13D50BC4"/>
    <w:rsid w:val="165E0673"/>
    <w:rsid w:val="16BB723D"/>
    <w:rsid w:val="186504BB"/>
    <w:rsid w:val="19A445FC"/>
    <w:rsid w:val="1A643C10"/>
    <w:rsid w:val="1BE8440E"/>
    <w:rsid w:val="1BF05E3C"/>
    <w:rsid w:val="1D155CEE"/>
    <w:rsid w:val="1E740ACF"/>
    <w:rsid w:val="1FF35744"/>
    <w:rsid w:val="1FF6BC77"/>
    <w:rsid w:val="2113219B"/>
    <w:rsid w:val="222D671F"/>
    <w:rsid w:val="22B52031"/>
    <w:rsid w:val="23860B96"/>
    <w:rsid w:val="240371BF"/>
    <w:rsid w:val="24052A09"/>
    <w:rsid w:val="24AA2312"/>
    <w:rsid w:val="260F557C"/>
    <w:rsid w:val="281408E2"/>
    <w:rsid w:val="28956781"/>
    <w:rsid w:val="29FD04D3"/>
    <w:rsid w:val="2BFF7BC6"/>
    <w:rsid w:val="2C8A61B5"/>
    <w:rsid w:val="2D1734D2"/>
    <w:rsid w:val="2DF04E50"/>
    <w:rsid w:val="2E382087"/>
    <w:rsid w:val="2E87706E"/>
    <w:rsid w:val="2F040D46"/>
    <w:rsid w:val="2FAE5751"/>
    <w:rsid w:val="2FB1A395"/>
    <w:rsid w:val="2FD9A7D8"/>
    <w:rsid w:val="319F7F4E"/>
    <w:rsid w:val="3304709D"/>
    <w:rsid w:val="349D6851"/>
    <w:rsid w:val="36AA5135"/>
    <w:rsid w:val="36BE0DA7"/>
    <w:rsid w:val="376B6AA6"/>
    <w:rsid w:val="376D39B2"/>
    <w:rsid w:val="37E16F03"/>
    <w:rsid w:val="37F53A3B"/>
    <w:rsid w:val="389B3CD5"/>
    <w:rsid w:val="389B6C89"/>
    <w:rsid w:val="38D469F0"/>
    <w:rsid w:val="3962251F"/>
    <w:rsid w:val="39627CCD"/>
    <w:rsid w:val="39680F7C"/>
    <w:rsid w:val="397BAF1F"/>
    <w:rsid w:val="398C363C"/>
    <w:rsid w:val="39A81D7A"/>
    <w:rsid w:val="3AB79AF3"/>
    <w:rsid w:val="3B7EF35A"/>
    <w:rsid w:val="3B9FDB6C"/>
    <w:rsid w:val="3BF5BC2F"/>
    <w:rsid w:val="3CEBA265"/>
    <w:rsid w:val="3D98207C"/>
    <w:rsid w:val="3DEE7CF3"/>
    <w:rsid w:val="3E78745D"/>
    <w:rsid w:val="3FF4CAE0"/>
    <w:rsid w:val="3FF7B227"/>
    <w:rsid w:val="42FF6E9C"/>
    <w:rsid w:val="43D50C45"/>
    <w:rsid w:val="44E268DA"/>
    <w:rsid w:val="45A05A23"/>
    <w:rsid w:val="46DB4FB7"/>
    <w:rsid w:val="486A6C7A"/>
    <w:rsid w:val="4A627F82"/>
    <w:rsid w:val="4B0E749A"/>
    <w:rsid w:val="4B4F25DA"/>
    <w:rsid w:val="4BA76580"/>
    <w:rsid w:val="4BE068DB"/>
    <w:rsid w:val="4CCF7FB4"/>
    <w:rsid w:val="4D577224"/>
    <w:rsid w:val="4DBF1CEB"/>
    <w:rsid w:val="4EAB630A"/>
    <w:rsid w:val="4ECE2238"/>
    <w:rsid w:val="4F833267"/>
    <w:rsid w:val="4FE9BD67"/>
    <w:rsid w:val="4FFB052F"/>
    <w:rsid w:val="537E6D0A"/>
    <w:rsid w:val="53974DAF"/>
    <w:rsid w:val="53F74C96"/>
    <w:rsid w:val="56E47B74"/>
    <w:rsid w:val="57BD3DD4"/>
    <w:rsid w:val="5AF92295"/>
    <w:rsid w:val="5BDD79E6"/>
    <w:rsid w:val="5BF561CA"/>
    <w:rsid w:val="5BFF5DFC"/>
    <w:rsid w:val="5CD71FC4"/>
    <w:rsid w:val="5D1F11B5"/>
    <w:rsid w:val="5DAE1B18"/>
    <w:rsid w:val="5DE7D9E5"/>
    <w:rsid w:val="5E2A01A1"/>
    <w:rsid w:val="5ECEC941"/>
    <w:rsid w:val="5FBF9FF3"/>
    <w:rsid w:val="5FCD4E2C"/>
    <w:rsid w:val="5FEF394A"/>
    <w:rsid w:val="5FF67715"/>
    <w:rsid w:val="625F2CEE"/>
    <w:rsid w:val="62BF3928"/>
    <w:rsid w:val="6319270C"/>
    <w:rsid w:val="647F5392"/>
    <w:rsid w:val="653D04DA"/>
    <w:rsid w:val="664B1D71"/>
    <w:rsid w:val="67AA3209"/>
    <w:rsid w:val="698D0931"/>
    <w:rsid w:val="6B053271"/>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B47EC"/>
    <w:rsid w:val="6FFF034A"/>
    <w:rsid w:val="70312DB7"/>
    <w:rsid w:val="712A28F1"/>
    <w:rsid w:val="715C0E4B"/>
    <w:rsid w:val="72233669"/>
    <w:rsid w:val="72734D90"/>
    <w:rsid w:val="7332FE48"/>
    <w:rsid w:val="738D0206"/>
    <w:rsid w:val="73AB61DA"/>
    <w:rsid w:val="73AD73D5"/>
    <w:rsid w:val="73B6EB34"/>
    <w:rsid w:val="73FA497D"/>
    <w:rsid w:val="744731E5"/>
    <w:rsid w:val="74BBD01D"/>
    <w:rsid w:val="74ED5379"/>
    <w:rsid w:val="74F9746A"/>
    <w:rsid w:val="75DEEEC2"/>
    <w:rsid w:val="76E3355F"/>
    <w:rsid w:val="76FF5125"/>
    <w:rsid w:val="776F6FFA"/>
    <w:rsid w:val="778769C8"/>
    <w:rsid w:val="77DC22F5"/>
    <w:rsid w:val="79086DAD"/>
    <w:rsid w:val="79D7FD79"/>
    <w:rsid w:val="79EE5BA4"/>
    <w:rsid w:val="7A894339"/>
    <w:rsid w:val="7AFF7572"/>
    <w:rsid w:val="7B6C7DFB"/>
    <w:rsid w:val="7BBFBED0"/>
    <w:rsid w:val="7BC3E394"/>
    <w:rsid w:val="7C1F3737"/>
    <w:rsid w:val="7CBFC87B"/>
    <w:rsid w:val="7CFE0F48"/>
    <w:rsid w:val="7D7EC23E"/>
    <w:rsid w:val="7D986DA2"/>
    <w:rsid w:val="7E087D12"/>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font71"/>
    <w:basedOn w:val="18"/>
    <w:qFormat/>
    <w:uiPriority w:val="0"/>
    <w:rPr>
      <w:rFonts w:hint="eastAsia" w:ascii="方正小标宋简体" w:hAnsi="方正小标宋简体" w:eastAsia="方正小标宋简体" w:cs="方正小标宋简体"/>
      <w:color w:val="000000"/>
      <w:sz w:val="44"/>
      <w:szCs w:val="44"/>
      <w:u w:val="none"/>
    </w:rPr>
  </w:style>
  <w:style w:type="character" w:customStyle="1" w:styleId="38">
    <w:name w:val="font61"/>
    <w:basedOn w:val="18"/>
    <w:qFormat/>
    <w:uiPriority w:val="0"/>
    <w:rPr>
      <w:rFonts w:hint="default" w:ascii="Times New Roman" w:hAnsi="Times New Roman" w:cs="Times New Roman"/>
      <w:color w:val="000000"/>
      <w:sz w:val="30"/>
      <w:szCs w:val="30"/>
      <w:u w:val="none"/>
    </w:rPr>
  </w:style>
  <w:style w:type="character" w:customStyle="1" w:styleId="39">
    <w:name w:val="font91"/>
    <w:basedOn w:val="18"/>
    <w:qFormat/>
    <w:uiPriority w:val="0"/>
    <w:rPr>
      <w:rFonts w:hint="eastAsia" w:ascii="宋体" w:hAnsi="宋体" w:eastAsia="宋体" w:cs="宋体"/>
      <w:color w:val="000000"/>
      <w:sz w:val="30"/>
      <w:szCs w:val="30"/>
      <w:u w:val="none"/>
    </w:rPr>
  </w:style>
  <w:style w:type="character" w:customStyle="1" w:styleId="40">
    <w:name w:val="font101"/>
    <w:basedOn w:val="18"/>
    <w:qFormat/>
    <w:uiPriority w:val="0"/>
    <w:rPr>
      <w:rFonts w:hint="eastAsia" w:ascii="宋体" w:hAnsi="宋体" w:eastAsia="宋体" w:cs="宋体"/>
      <w:b/>
      <w:bCs/>
      <w:color w:val="FF0000"/>
      <w:sz w:val="28"/>
      <w:szCs w:val="28"/>
      <w:u w:val="none"/>
    </w:rPr>
  </w:style>
  <w:style w:type="character" w:customStyle="1" w:styleId="41">
    <w:name w:val="font31"/>
    <w:basedOn w:val="18"/>
    <w:qFormat/>
    <w:uiPriority w:val="0"/>
    <w:rPr>
      <w:rFonts w:hint="eastAsia" w:ascii="宋体" w:hAnsi="宋体" w:eastAsia="宋体" w:cs="宋体"/>
      <w:color w:val="000000"/>
      <w:sz w:val="20"/>
      <w:szCs w:val="20"/>
      <w:u w:val="none"/>
    </w:rPr>
  </w:style>
  <w:style w:type="character" w:customStyle="1" w:styleId="42">
    <w:name w:val="font51"/>
    <w:basedOn w:val="18"/>
    <w:qFormat/>
    <w:uiPriority w:val="0"/>
    <w:rPr>
      <w:rFonts w:hint="default" w:ascii="Times New Roman" w:hAnsi="Times New Roman" w:cs="Times New Roman"/>
      <w:color w:val="000000"/>
      <w:sz w:val="20"/>
      <w:szCs w:val="20"/>
      <w:u w:val="none"/>
    </w:rPr>
  </w:style>
  <w:style w:type="character" w:customStyle="1" w:styleId="43">
    <w:name w:val="font81"/>
    <w:basedOn w:val="18"/>
    <w:qFormat/>
    <w:uiPriority w:val="0"/>
    <w:rPr>
      <w:rFonts w:hint="eastAsia" w:ascii="宋体" w:hAnsi="宋体" w:eastAsia="宋体" w:cs="宋体"/>
      <w:color w:val="000000"/>
      <w:sz w:val="20"/>
      <w:szCs w:val="20"/>
      <w:u w:val="none"/>
    </w:rPr>
  </w:style>
  <w:style w:type="paragraph" w:customStyle="1" w:styleId="44">
    <w:name w:val="常用样式（方正仿宋简）"/>
    <w:basedOn w:val="1"/>
    <w:next w:val="1"/>
    <w:qFormat/>
    <w:uiPriority w:val="0"/>
    <w:pPr>
      <w:spacing w:line="560" w:lineRule="exact"/>
      <w:ind w:firstLine="200" w:firstLineChars="200"/>
    </w:pPr>
    <w:rPr>
      <w:rFonts w:eastAsia="方正仿宋简体"/>
      <w:sz w:val="32"/>
      <w:szCs w:val="32"/>
    </w:rPr>
  </w:style>
  <w:style w:type="character" w:customStyle="1" w:styleId="45">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2426.87</c:v>
                </c:pt>
                <c:pt idx="1">
                  <c:v>2426.87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3052.6</c:v>
                </c:pt>
                <c:pt idx="1">
                  <c:v>3052.6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640720955"/>
        <c:axId val="507825759"/>
      </c:barChart>
      <c:catAx>
        <c:axId val="6407209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825759"/>
        <c:crosses val="autoZero"/>
        <c:auto val="1"/>
        <c:lblAlgn val="ctr"/>
        <c:lblOffset val="100"/>
        <c:noMultiLvlLbl val="0"/>
      </c:catAx>
      <c:valAx>
        <c:axId val="507825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0720955"/>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5652821316614"/>
          <c:y val="0.0323782587309395"/>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0.9785</c:v>
                </c:pt>
                <c:pt idx="1">
                  <c:v>0.0215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0.8216</c:v>
                </c:pt>
                <c:pt idx="1">
                  <c:v>0.1784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2024年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2426.87</c:v>
                </c:pt>
                <c:pt idx="1">
                  <c:v>2426.87</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3052.6</c:v>
                </c:pt>
                <c:pt idx="1">
                  <c:v>3052.6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19"/>
        <c:overlap val="-27"/>
        <c:axId val="712997532"/>
        <c:axId val="848752970"/>
      </c:barChart>
      <c:catAx>
        <c:axId val="7129975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8752970"/>
        <c:crosses val="autoZero"/>
        <c:auto val="1"/>
        <c:lblAlgn val="ctr"/>
        <c:lblOffset val="100"/>
        <c:noMultiLvlLbl val="0"/>
      </c:catAx>
      <c:valAx>
        <c:axId val="84875297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2997532"/>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631479736098"/>
          <c:y val="0.104171521789793"/>
          <c:w val="0.90942507068803"/>
          <c:h val="0.6036821253787"/>
        </c:manualLayout>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#,##0.00</c:formatCode>
                <c:ptCount val="2"/>
                <c:pt idx="0">
                  <c:v>2374.72</c:v>
                </c:pt>
                <c:pt idx="1" c:formatCode="General">
                  <c:v>2460.6</c:v>
                </c:pt>
              </c:numCache>
            </c:numRef>
          </c:val>
        </c:ser>
        <c:dLbls>
          <c:showLegendKey val="0"/>
          <c:showVal val="1"/>
          <c:showCatName val="0"/>
          <c:showSerName val="0"/>
          <c:showPercent val="0"/>
          <c:showBubbleSize val="0"/>
        </c:dLbls>
        <c:gapWidth val="219"/>
        <c:overlap val="-27"/>
        <c:axId val="965714072"/>
        <c:axId val="98685305"/>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2024年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2024年</c:v>
                      </c:pt>
                      <c:pt idx="1">
                        <c:v>2023年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9657140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85305"/>
        <c:crosses val="autoZero"/>
        <c:auto val="1"/>
        <c:lblAlgn val="ctr"/>
        <c:lblOffset val="100"/>
        <c:noMultiLvlLbl val="0"/>
      </c:catAx>
      <c:valAx>
        <c:axId val="9868530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5714072"/>
        <c:crosses val="autoZero"/>
        <c:crossBetween val="between"/>
      </c:valAx>
      <c:spPr>
        <a:noFill/>
        <a:ln>
          <a:noFill/>
        </a:ln>
        <a:effectLst/>
      </c:spPr>
    </c:plotArea>
    <c:legend>
      <c:legendPos val="b"/>
      <c:layout>
        <c:manualLayout>
          <c:xMode val="edge"/>
          <c:yMode val="edge"/>
          <c:x val="0.286050895381715"/>
          <c:y val="0.84549056164064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文化旅游体育与传媒支出</c:v>
                </c:pt>
                <c:pt idx="2">
                  <c:v>社会保障和就业支出</c:v>
                </c:pt>
                <c:pt idx="3">
                  <c:v>卫生健康支出</c:v>
                </c:pt>
                <c:pt idx="4">
                  <c:v>住房保障支出</c:v>
                </c:pt>
                <c:pt idx="5">
                  <c:v>节能环保支出</c:v>
                </c:pt>
                <c:pt idx="6">
                  <c:v>城乡社区支出</c:v>
                </c:pt>
                <c:pt idx="7">
                  <c:v>农林水支出</c:v>
                </c:pt>
                <c:pt idx="8">
                  <c:v>灾害防治及应急管理支出</c:v>
                </c:pt>
              </c:strCache>
            </c:strRef>
          </c:cat>
          <c:val>
            <c:numRef>
              <c:f>Sheet1!$B$2:$B$10</c:f>
              <c:numCache>
                <c:formatCode>0.00%</c:formatCode>
                <c:ptCount val="9"/>
                <c:pt idx="0">
                  <c:v>0.363</c:v>
                </c:pt>
                <c:pt idx="1">
                  <c:v>0.0186</c:v>
                </c:pt>
                <c:pt idx="2">
                  <c:v>0.1392</c:v>
                </c:pt>
                <c:pt idx="3">
                  <c:v>0.0298</c:v>
                </c:pt>
                <c:pt idx="4">
                  <c:v>0.0392</c:v>
                </c:pt>
                <c:pt idx="5">
                  <c:v>0.0126</c:v>
                </c:pt>
                <c:pt idx="6">
                  <c:v>0.0114</c:v>
                </c:pt>
                <c:pt idx="7">
                  <c:v>0.3774</c:v>
                </c:pt>
                <c:pt idx="8">
                  <c:v>0.0088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78476778592564"/>
          <c:y val="0.825463655099898"/>
          <c:w val="0.862729962691368"/>
          <c:h val="0.15235401091129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c:v>
                </c:pt>
                <c:pt idx="1">
                  <c:v>因公出国（境）费</c:v>
                </c:pt>
                <c:pt idx="2">
                  <c:v>公务用车购置及运行维护费</c:v>
                </c:pt>
              </c:strCache>
            </c:strRef>
          </c:cat>
          <c:val>
            <c:numRef>
              <c:f>Sheet1!$B$2:$B$4</c:f>
              <c:numCache>
                <c:formatCode>0%</c:formatCode>
                <c:ptCount val="3"/>
                <c:pt idx="0">
                  <c:v>1</c:v>
                </c:pt>
                <c:pt idx="1" c:formatCode="General">
                  <c:v>0</c:v>
                </c:pt>
                <c:pt idx="2" c:formatCode="General">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100</Pages>
  <Words>12711</Words>
  <Characters>13628</Characters>
  <Lines>61</Lines>
  <Paragraphs>17</Paragraphs>
  <TotalTime>32</TotalTime>
  <ScaleCrop>false</ScaleCrop>
  <LinksUpToDate>false</LinksUpToDate>
  <CharactersWithSpaces>13707</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2025-07-29T14:54:00Z</cp:lastPrinted>
  <dcterms:modified xsi:type="dcterms:W3CDTF">2025-08-12T00:30:45Z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D4D7CB1F35E74248B46C7302730019E4</vt:lpwstr>
  </property>
  <property fmtid="{D5CDD505-2E9C-101B-9397-08002B2CF9AE}" pid="4" name="KSOTemplateDocerSaveRecord">
    <vt:lpwstr>eyJoZGlkIjoiMmY5ZTQzZDQ3NTQ1N2U0ODgyNTA0ZWM1YWUwZGE0NGIifQ==</vt:lpwstr>
  </property>
</Properties>
</file>