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46"/>
        </w:tabs>
        <w:spacing w:line="600" w:lineRule="exact"/>
        <w:jc w:val="left"/>
        <w:outlineLvl w:val="0"/>
        <w:rPr>
          <w:rFonts w:ascii="方正小标宋简体" w:hAnsi="宋体" w:eastAsia="方正小标宋简体"/>
          <w:color w:val="000000"/>
          <w:sz w:val="72"/>
          <w:szCs w:val="72"/>
        </w:rPr>
      </w:pPr>
      <w:bookmarkStart w:id="0" w:name="_Toc15306267"/>
      <w:r>
        <w:rPr>
          <w:rFonts w:hint="eastAsia" w:ascii="方正小标宋简体" w:hAnsi="宋体" w:eastAsia="方正小标宋简体"/>
          <w:color w:val="000000"/>
          <w:sz w:val="30"/>
          <w:szCs w:val="30"/>
          <w:lang w:eastAsia="zh-CN"/>
        </w:rPr>
        <w:tab/>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360" w:lineRule="auto"/>
        <w:jc w:val="center"/>
        <w:outlineLvl w:val="0"/>
        <w:rPr>
          <w:rFonts w:ascii="黑体" w:hAnsi="黑体" w:eastAsia="黑体"/>
          <w:color w:val="000000"/>
          <w:sz w:val="48"/>
          <w:szCs w:val="48"/>
        </w:rPr>
      </w:pPr>
      <w:bookmarkStart w:id="1" w:name="_Toc15396475"/>
      <w:bookmarkStart w:id="2" w:name="_Toc15377193"/>
      <w:bookmarkStart w:id="3" w:name="_Toc15377425"/>
      <w:bookmarkStart w:id="4" w:name="_Toc15396597"/>
      <w:bookmarkStart w:id="5" w:name="_Toc15378441"/>
      <w:r>
        <w:rPr>
          <w:rFonts w:ascii="黑体" w:hAnsi="黑体" w:eastAsia="黑体"/>
          <w:color w:val="000000"/>
          <w:sz w:val="48"/>
          <w:szCs w:val="48"/>
        </w:rPr>
        <w:t>202</w:t>
      </w:r>
      <w:r>
        <w:rPr>
          <w:rFonts w:hint="eastAsia" w:ascii="黑体" w:hAnsi="黑体" w:eastAsia="黑体"/>
          <w:color w:val="000000"/>
          <w:sz w:val="48"/>
          <w:szCs w:val="48"/>
          <w:lang w:val="en-US" w:eastAsia="zh-CN"/>
        </w:rPr>
        <w:t>4</w:t>
      </w:r>
      <w:r>
        <w:rPr>
          <w:rFonts w:hint="eastAsia" w:ascii="黑体" w:hAnsi="黑体" w:eastAsia="黑体"/>
          <w:color w:val="000000"/>
          <w:sz w:val="48"/>
          <w:szCs w:val="48"/>
        </w:rPr>
        <w:t>年度</w:t>
      </w:r>
      <w:bookmarkEnd w:id="1"/>
      <w:bookmarkEnd w:id="2"/>
      <w:bookmarkEnd w:id="3"/>
      <w:bookmarkEnd w:id="4"/>
      <w:bookmarkEnd w:id="5"/>
    </w:p>
    <w:p>
      <w:pPr>
        <w:spacing w:line="360" w:lineRule="auto"/>
        <w:jc w:val="center"/>
        <w:outlineLvl w:val="0"/>
        <w:rPr>
          <w:rFonts w:hint="eastAsia" w:ascii="黑体" w:hAnsi="黑体" w:eastAsia="黑体"/>
          <w:color w:val="000000"/>
          <w:sz w:val="48"/>
          <w:szCs w:val="48"/>
        </w:rPr>
      </w:pPr>
      <w:bookmarkStart w:id="6" w:name="_Toc15378442"/>
      <w:bookmarkStart w:id="7" w:name="_Toc15377194"/>
      <w:bookmarkStart w:id="8" w:name="_Toc15396476"/>
      <w:bookmarkStart w:id="9" w:name="_Toc15306268"/>
      <w:bookmarkStart w:id="10" w:name="_Toc15377426"/>
      <w:bookmarkStart w:id="11" w:name="_Toc15396598"/>
      <w:r>
        <w:rPr>
          <w:rFonts w:hint="eastAsia" w:ascii="黑体" w:hAnsi="黑体" w:eastAsia="黑体"/>
          <w:color w:val="000000"/>
          <w:sz w:val="48"/>
          <w:szCs w:val="48"/>
        </w:rPr>
        <w:t>四川省遂宁市安居区</w:t>
      </w:r>
      <w:r>
        <w:rPr>
          <w:rFonts w:hint="eastAsia" w:ascii="黑体" w:hAnsi="黑体" w:eastAsia="黑体"/>
          <w:color w:val="000000"/>
          <w:sz w:val="48"/>
          <w:szCs w:val="48"/>
          <w:lang w:val="en-US" w:eastAsia="zh-CN"/>
        </w:rPr>
        <w:t>拦江镇马河</w:t>
      </w:r>
      <w:r>
        <w:rPr>
          <w:rFonts w:hint="eastAsia" w:ascii="黑体" w:hAnsi="黑体" w:eastAsia="黑体"/>
          <w:color w:val="000000"/>
          <w:sz w:val="48"/>
          <w:szCs w:val="48"/>
        </w:rPr>
        <w:t>小</w:t>
      </w:r>
    </w:p>
    <w:p>
      <w:pPr>
        <w:spacing w:line="360" w:lineRule="auto"/>
        <w:jc w:val="center"/>
        <w:outlineLvl w:val="0"/>
        <w:rPr>
          <w:rFonts w:hint="eastAsia" w:ascii="方正小标宋简体" w:hAnsi="宋体" w:eastAsia="方正小标宋简体"/>
          <w:color w:val="000000"/>
          <w:sz w:val="72"/>
          <w:szCs w:val="72"/>
          <w:lang w:eastAsia="zh-CN"/>
        </w:rPr>
      </w:pPr>
      <w:r>
        <w:rPr>
          <w:rFonts w:hint="eastAsia" w:ascii="黑体" w:hAnsi="黑体" w:eastAsia="黑体"/>
          <w:color w:val="000000"/>
          <w:sz w:val="48"/>
          <w:szCs w:val="48"/>
        </w:rPr>
        <w:t>学校决算</w:t>
      </w:r>
      <w:bookmarkEnd w:id="6"/>
      <w:bookmarkEnd w:id="7"/>
      <w:bookmarkEnd w:id="8"/>
      <w:bookmarkEnd w:id="9"/>
      <w:bookmarkEnd w:id="10"/>
      <w:bookmarkEnd w:id="11"/>
    </w:p>
    <w:p>
      <w:pPr>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202"/>
      </w:pPr>
      <w:r>
        <w:rPr>
          <w:rFonts w:hint="eastAsia"/>
        </w:rPr>
        <w:t>公开时间：</w:t>
      </w:r>
      <w:r>
        <w:t>20</w:t>
      </w:r>
      <w:r>
        <w:rPr>
          <w:rFonts w:hint="eastAsia"/>
          <w:lang w:eastAsia="zh-CN"/>
        </w:rPr>
        <w:t>25</w:t>
      </w:r>
      <w:r>
        <w:rPr>
          <w:rFonts w:hint="eastAsia"/>
        </w:rPr>
        <w:t>年</w:t>
      </w:r>
      <w:r>
        <w:rPr>
          <w:rFonts w:hint="eastAsia"/>
          <w:lang w:val="en-US" w:eastAsia="zh-CN"/>
        </w:rPr>
        <w:t>08</w:t>
      </w:r>
      <w:r>
        <w:rPr>
          <w:rFonts w:hint="eastAsia"/>
        </w:rPr>
        <w:t>月</w:t>
      </w:r>
      <w:r>
        <w:rPr>
          <w:rFonts w:hint="eastAsia"/>
          <w:lang w:val="en-US" w:eastAsia="zh-CN"/>
        </w:rPr>
        <w:t>28</w:t>
      </w:r>
      <w:r>
        <w:rPr>
          <w:rFonts w:hint="eastAsia"/>
        </w:rPr>
        <w:t>日</w:t>
      </w:r>
    </w:p>
    <w:p/>
    <w:p>
      <w:pPr>
        <w:pStyle w:val="202"/>
        <w:spacing w:before="0" w:line="440" w:lineRule="exact"/>
        <w:jc w:val="left"/>
        <w:rPr>
          <w:rFonts w:hint="eastAsia" w:ascii="黑体" w:hAnsi="黑体" w:eastAsia="黑体" w:cs="Times New Roman"/>
          <w:color w:val="000000"/>
          <w:sz w:val="32"/>
          <w:szCs w:val="32"/>
          <w:lang w:val="en-US" w:eastAsia="zh-CN" w:bidi="ar-SA"/>
        </w:rPr>
      </w:pPr>
      <w:r>
        <w:rPr>
          <w:rFonts w:hint="eastAsia" w:ascii="黑体" w:hAnsi="黑体" w:eastAsia="黑体" w:cs="Times New Roman"/>
          <w:color w:val="000000"/>
          <w:sz w:val="32"/>
          <w:szCs w:val="32"/>
          <w:lang w:val="en-US" w:eastAsia="zh-CN" w:bidi="ar-SA"/>
        </w:rPr>
        <w:t>第一部分 部门概况</w:t>
      </w:r>
      <w:r>
        <w:rPr>
          <w:rFonts w:hint="eastAsia" w:ascii="黑体" w:hAnsi="黑体" w:eastAsia="黑体" w:cs="Times New Roman"/>
          <w:color w:val="000000"/>
          <w:sz w:val="32"/>
          <w:szCs w:val="32"/>
          <w:lang w:val="en-US" w:eastAsia="zh-CN" w:bidi="ar-SA"/>
        </w:rPr>
        <w:tab/>
      </w:r>
      <w:r>
        <w:rPr>
          <w:rFonts w:hint="eastAsia" w:ascii="黑体" w:hAnsi="黑体" w:eastAsia="黑体" w:cs="Times New Roman"/>
          <w:color w:val="000000"/>
          <w:sz w:val="32"/>
          <w:szCs w:val="32"/>
          <w:lang w:val="en-US" w:eastAsia="zh-CN" w:bidi="ar-SA"/>
        </w:rPr>
        <w:t>4</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一、基本职能及主要工作</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4</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二、机构设置</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4</w:t>
      </w:r>
    </w:p>
    <w:p>
      <w:pPr>
        <w:pStyle w:val="202"/>
        <w:spacing w:before="0" w:line="440" w:lineRule="exact"/>
        <w:jc w:val="left"/>
        <w:rPr>
          <w:rFonts w:hint="eastAsia" w:ascii="黑体" w:hAnsi="黑体" w:eastAsia="黑体" w:cs="Times New Roman"/>
          <w:color w:val="000000"/>
          <w:sz w:val="32"/>
          <w:szCs w:val="32"/>
          <w:lang w:val="en-US" w:eastAsia="zh-CN" w:bidi="ar-SA"/>
        </w:rPr>
      </w:pPr>
      <w:r>
        <w:rPr>
          <w:rFonts w:hint="eastAsia" w:ascii="黑体" w:hAnsi="黑体" w:eastAsia="黑体" w:cs="Times New Roman"/>
          <w:color w:val="000000"/>
          <w:sz w:val="32"/>
          <w:szCs w:val="32"/>
          <w:lang w:val="en-US" w:eastAsia="zh-CN" w:bidi="ar-SA"/>
        </w:rPr>
        <w:t>第二部分 部门决算情况说明</w:t>
      </w:r>
      <w:r>
        <w:rPr>
          <w:rFonts w:hint="eastAsia" w:ascii="黑体" w:hAnsi="黑体" w:eastAsia="黑体" w:cs="Times New Roman"/>
          <w:color w:val="000000"/>
          <w:sz w:val="32"/>
          <w:szCs w:val="32"/>
          <w:lang w:val="en-US" w:eastAsia="zh-CN" w:bidi="ar-SA"/>
        </w:rPr>
        <w:tab/>
      </w:r>
      <w:r>
        <w:rPr>
          <w:rFonts w:hint="eastAsia" w:ascii="黑体" w:hAnsi="黑体" w:eastAsia="黑体" w:cs="Times New Roman"/>
          <w:color w:val="000000"/>
          <w:sz w:val="32"/>
          <w:szCs w:val="32"/>
          <w:lang w:val="en-US" w:eastAsia="zh-CN" w:bidi="ar-SA"/>
        </w:rPr>
        <w:t>5</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一、收入支出决算总体情况说明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5</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二、收入决算情况说明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5</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三、支出决算情况说明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6</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四、财政拨款收入支出决算总体情况说明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6</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五、一般公共预算财政拨款支出决算情况说明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6</w:t>
      </w:r>
    </w:p>
    <w:p>
      <w:pPr>
        <w:pStyle w:val="203"/>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六、一般公共预算财政拨款基本支出决算情况说明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10</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七、“三公”经费财政拨款支出决算情况说明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11</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八、政府性基金预算支出决算情况说明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12</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九、 国有资本经营预算支出决算情况说明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12</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十、其他重要事项的情况说明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12</w:t>
      </w:r>
    </w:p>
    <w:p>
      <w:pPr>
        <w:pStyle w:val="202"/>
        <w:spacing w:before="0" w:line="440" w:lineRule="exact"/>
        <w:jc w:val="left"/>
        <w:rPr>
          <w:rFonts w:hint="eastAsia" w:ascii="黑体" w:hAnsi="黑体" w:eastAsia="黑体" w:cs="Times New Roman"/>
          <w:color w:val="000000"/>
          <w:sz w:val="32"/>
          <w:szCs w:val="32"/>
          <w:lang w:val="en-US" w:eastAsia="zh-CN" w:bidi="ar-SA"/>
        </w:rPr>
      </w:pPr>
      <w:r>
        <w:rPr>
          <w:rFonts w:hint="eastAsia" w:ascii="黑体" w:hAnsi="黑体" w:eastAsia="黑体" w:cs="Times New Roman"/>
          <w:color w:val="000000"/>
          <w:sz w:val="32"/>
          <w:szCs w:val="32"/>
          <w:lang w:val="en-US" w:eastAsia="zh-CN" w:bidi="ar-SA"/>
        </w:rPr>
        <w:t>第三部分 名词解释</w:t>
      </w:r>
      <w:r>
        <w:rPr>
          <w:rFonts w:hint="eastAsia" w:ascii="黑体" w:hAnsi="黑体" w:eastAsia="黑体" w:cs="Times New Roman"/>
          <w:color w:val="000000"/>
          <w:sz w:val="32"/>
          <w:szCs w:val="32"/>
          <w:lang w:val="en-US" w:eastAsia="zh-CN" w:bidi="ar-SA"/>
        </w:rPr>
        <w:tab/>
      </w:r>
      <w:r>
        <w:rPr>
          <w:rFonts w:hint="eastAsia" w:ascii="黑体" w:hAnsi="黑体" w:eastAsia="黑体" w:cs="Times New Roman"/>
          <w:color w:val="000000"/>
          <w:sz w:val="32"/>
          <w:szCs w:val="32"/>
          <w:lang w:val="en-US" w:eastAsia="zh-CN" w:bidi="ar-SA"/>
        </w:rPr>
        <w:t>15</w:t>
      </w:r>
    </w:p>
    <w:p>
      <w:pPr>
        <w:pStyle w:val="202"/>
        <w:spacing w:before="0" w:line="440" w:lineRule="exact"/>
        <w:jc w:val="left"/>
        <w:rPr>
          <w:rFonts w:hint="eastAsia" w:ascii="黑体" w:hAnsi="黑体" w:eastAsia="黑体" w:cs="Times New Roman"/>
          <w:color w:val="000000"/>
          <w:sz w:val="32"/>
          <w:szCs w:val="32"/>
          <w:lang w:val="en-US" w:eastAsia="zh-CN" w:bidi="ar-SA"/>
        </w:rPr>
      </w:pPr>
      <w:r>
        <w:rPr>
          <w:rFonts w:hint="eastAsia" w:ascii="黑体" w:hAnsi="黑体" w:eastAsia="黑体" w:cs="Times New Roman"/>
          <w:color w:val="000000"/>
          <w:sz w:val="32"/>
          <w:szCs w:val="32"/>
          <w:lang w:val="en-US" w:eastAsia="zh-CN" w:bidi="ar-SA"/>
        </w:rPr>
        <w:t>第四部分 附件</w:t>
      </w:r>
      <w:r>
        <w:rPr>
          <w:rFonts w:hint="eastAsia" w:ascii="黑体" w:hAnsi="黑体" w:eastAsia="黑体" w:cs="Times New Roman"/>
          <w:color w:val="000000"/>
          <w:sz w:val="32"/>
          <w:szCs w:val="32"/>
          <w:lang w:val="en-US" w:eastAsia="zh-CN" w:bidi="ar-SA"/>
        </w:rPr>
        <w:tab/>
      </w:r>
      <w:r>
        <w:rPr>
          <w:rFonts w:hint="eastAsia" w:ascii="黑体" w:hAnsi="黑体" w:eastAsia="黑体" w:cs="Times New Roman"/>
          <w:color w:val="000000"/>
          <w:sz w:val="32"/>
          <w:szCs w:val="32"/>
          <w:lang w:val="en-US" w:eastAsia="zh-CN" w:bidi="ar-SA"/>
        </w:rPr>
        <w:t>18</w:t>
      </w:r>
    </w:p>
    <w:p>
      <w:pPr>
        <w:pStyle w:val="202"/>
        <w:spacing w:before="0" w:line="440" w:lineRule="exact"/>
        <w:jc w:val="left"/>
        <w:rPr>
          <w:rFonts w:hint="eastAsia" w:ascii="黑体" w:hAnsi="黑体" w:eastAsia="黑体" w:cs="Times New Roman"/>
          <w:color w:val="000000"/>
          <w:sz w:val="32"/>
          <w:szCs w:val="32"/>
          <w:lang w:val="en-US" w:eastAsia="zh-CN" w:bidi="ar-SA"/>
        </w:rPr>
      </w:pPr>
      <w:r>
        <w:rPr>
          <w:rFonts w:hint="eastAsia" w:ascii="黑体" w:hAnsi="黑体" w:eastAsia="黑体" w:cs="Times New Roman"/>
          <w:color w:val="000000"/>
          <w:sz w:val="32"/>
          <w:szCs w:val="32"/>
          <w:lang w:val="en-US" w:eastAsia="zh-CN" w:bidi="ar-SA"/>
        </w:rPr>
        <w:t>第五部分 附表</w:t>
      </w:r>
      <w:r>
        <w:rPr>
          <w:rFonts w:hint="eastAsia" w:ascii="黑体" w:hAnsi="黑体" w:eastAsia="黑体" w:cs="Times New Roman"/>
          <w:color w:val="000000"/>
          <w:sz w:val="32"/>
          <w:szCs w:val="32"/>
          <w:lang w:val="zh-CN" w:eastAsia="zh-CN" w:bidi="ar-SA"/>
        </w:rPr>
        <w:t xml:space="preserve"> </w:t>
      </w:r>
      <w:r>
        <w:rPr>
          <w:rFonts w:hint="eastAsia" w:ascii="黑体" w:hAnsi="黑体" w:eastAsia="黑体" w:cs="Times New Roman"/>
          <w:color w:val="000000"/>
          <w:sz w:val="32"/>
          <w:szCs w:val="32"/>
          <w:lang w:val="en-US" w:eastAsia="zh-CN" w:bidi="ar-SA"/>
        </w:rPr>
        <w:tab/>
      </w:r>
      <w:r>
        <w:rPr>
          <w:rFonts w:hint="eastAsia" w:ascii="黑体" w:hAnsi="黑体" w:eastAsia="黑体" w:cs="Times New Roman"/>
          <w:color w:val="000000"/>
          <w:sz w:val="32"/>
          <w:szCs w:val="32"/>
          <w:lang w:val="zh-CN" w:eastAsia="zh-CN" w:bidi="ar-SA"/>
        </w:rPr>
        <w:t>2</w:t>
      </w:r>
      <w:r>
        <w:rPr>
          <w:rFonts w:hint="eastAsia" w:ascii="黑体" w:hAnsi="黑体" w:eastAsia="黑体" w:cs="Times New Roman"/>
          <w:color w:val="000000"/>
          <w:sz w:val="32"/>
          <w:szCs w:val="32"/>
          <w:lang w:val="en-US" w:eastAsia="zh-CN" w:bidi="ar-SA"/>
        </w:rPr>
        <w:t>8</w:t>
      </w:r>
    </w:p>
    <w:p>
      <w:pPr>
        <w:pStyle w:val="203"/>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一、收入支出决算总表</w:t>
      </w:r>
      <w:r>
        <w:rPr>
          <w:rFonts w:hint="eastAsia" w:ascii="仿宋" w:hAnsi="仿宋" w:eastAsia="仿宋" w:cs="Times New Roman"/>
          <w:sz w:val="32"/>
          <w:szCs w:val="32"/>
          <w:lang w:val="zh-CN" w:eastAsia="zh-CN" w:bidi="ar-SA"/>
        </w:rPr>
        <w:t xml:space="preserve"> </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二、收入决算表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三、支出决算表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四、财政拨款收入支出决算总表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五、财政拨款支出决算明细表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六、一般公共预算财政拨款支出决算表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七、一般公共预算财政拨款支出决算明细表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八、一般公共预算财政拨款基本支出决算表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九、一般公共预算财政拨款项目支出决算表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十、政府性基金预算财政拨款收入支出决算表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十一、国有资本经营预算财政拨款收入支出决算表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十二、国有资本经营预算财政拨款支出决算表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zh-CN" w:eastAsia="zh-CN" w:bidi="ar-SA"/>
        </w:rPr>
        <w:t>2</w:t>
      </w:r>
      <w:r>
        <w:rPr>
          <w:rFonts w:hint="eastAsia" w:ascii="仿宋" w:hAnsi="仿宋" w:eastAsia="仿宋" w:cs="Times New Roman"/>
          <w:sz w:val="32"/>
          <w:szCs w:val="32"/>
          <w:lang w:val="en-US" w:eastAsia="zh-CN" w:bidi="ar-SA"/>
        </w:rPr>
        <w:t>8</w:t>
      </w:r>
    </w:p>
    <w:p>
      <w:pPr>
        <w:pStyle w:val="203"/>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十三、财政拨款“三公”经费支出决算表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28</w:t>
      </w:r>
    </w:p>
    <w:p>
      <w:pPr>
        <w:pStyle w:val="203"/>
        <w:spacing w:line="440" w:lineRule="exact"/>
        <w:jc w:val="left"/>
        <w:rPr>
          <w:rFonts w:hint="eastAsia" w:ascii="仿宋" w:hAnsi="仿宋" w:eastAsia="仿宋" w:cs="Times New Roman"/>
          <w:sz w:val="32"/>
          <w:szCs w:val="32"/>
          <w:lang w:val="en-US" w:eastAsia="zh-CN" w:bidi="ar-SA"/>
        </w:rPr>
      </w:pPr>
      <w:bookmarkStart w:id="12" w:name="_Toc15396599"/>
      <w:bookmarkStart w:id="13" w:name="_Toc15377196"/>
      <w:r>
        <w:rPr>
          <w:rFonts w:hint="eastAsia" w:ascii="仿宋" w:hAnsi="仿宋" w:eastAsia="仿宋" w:cs="Times New Roman"/>
          <w:sz w:val="32"/>
          <w:szCs w:val="32"/>
          <w:lang w:val="en-US" w:eastAsia="zh-CN" w:bidi="ar-SA"/>
        </w:rPr>
        <w:br w:type="page"/>
      </w:r>
    </w:p>
    <w:p>
      <w:pPr>
        <w:pStyle w:val="183"/>
        <w:jc w:val="center"/>
        <w:rPr>
          <w:rStyle w:val="189"/>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184"/>
        <w:rPr>
          <w:rStyle w:val="190"/>
          <w:rFonts w:ascii="仿宋" w:hAnsi="仿宋" w:eastAsia="仿宋"/>
          <w:b w:val="0"/>
          <w:bCs w:val="0"/>
        </w:rPr>
      </w:pPr>
      <w:bookmarkStart w:id="14" w:name="_Toc15377197"/>
      <w:bookmarkStart w:id="15" w:name="_Toc15396600"/>
      <w:r>
        <w:rPr>
          <w:rFonts w:hint="eastAsia" w:ascii="黑体" w:hAnsi="黑体" w:eastAsia="黑体"/>
          <w:color w:val="000000"/>
        </w:rPr>
        <w:t>一、基</w:t>
      </w:r>
      <w:r>
        <w:rPr>
          <w:rStyle w:val="190"/>
          <w:rFonts w:hint="eastAsia" w:ascii="黑体" w:hAnsi="黑体" w:eastAsia="黑体"/>
          <w:b w:val="0"/>
          <w:bCs w:val="0"/>
        </w:rPr>
        <w:t>本职能及主要工作</w:t>
      </w:r>
      <w:bookmarkEnd w:id="14"/>
      <w:bookmarkEnd w:id="15"/>
    </w:p>
    <w:p>
      <w:pPr>
        <w:pStyle w:val="193"/>
        <w:spacing w:before="93" w:line="600" w:lineRule="exact"/>
        <w:ind w:firstLine="672"/>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pStyle w:val="193"/>
        <w:spacing w:before="93" w:line="600" w:lineRule="exact"/>
        <w:ind w:firstLine="672"/>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年重点工作完成情况。</w:t>
      </w:r>
      <w:bookmarkEnd w:id="18"/>
      <w:bookmarkEnd w:id="19"/>
    </w:p>
    <w:p>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年主要负责完成小学学历教育，六年级送生工作、一年级招生工作。本单位顺利完成年度工作任务。</w:t>
      </w:r>
    </w:p>
    <w:p>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pPr>
        <w:pStyle w:val="184"/>
        <w:rPr>
          <w:rStyle w:val="190"/>
          <w:b w:val="0"/>
          <w:bCs w:val="0"/>
        </w:rPr>
      </w:pPr>
      <w:bookmarkStart w:id="20" w:name="_Toc15396601"/>
      <w:bookmarkStart w:id="21" w:name="_Toc15377200"/>
      <w:r>
        <w:rPr>
          <w:rFonts w:hint="eastAsia" w:ascii="黑体" w:eastAsia="黑体"/>
          <w:color w:val="000000"/>
        </w:rPr>
        <w:t>二、</w:t>
      </w:r>
      <w:r>
        <w:rPr>
          <w:rFonts w:hint="eastAsia" w:ascii="黑体" w:hAnsi="黑体" w:eastAsia="黑体"/>
          <w:color w:val="000000"/>
        </w:rPr>
        <w:t>机</w:t>
      </w:r>
      <w:r>
        <w:rPr>
          <w:rStyle w:val="190"/>
          <w:rFonts w:hint="eastAsia" w:ascii="黑体" w:hAnsi="黑体" w:eastAsia="黑体"/>
          <w:b w:val="0"/>
          <w:bCs w:val="0"/>
        </w:rPr>
        <w:t>构设置</w:t>
      </w:r>
      <w:bookmarkEnd w:id="20"/>
      <w:bookmarkEnd w:id="21"/>
    </w:p>
    <w:p>
      <w:pPr>
        <w:ind w:firstLine="800"/>
        <w:rPr>
          <w:rFonts w:ascii="仿宋" w:hAnsi="仿宋" w:eastAsia="仿宋"/>
          <w:sz w:val="32"/>
          <w:szCs w:val="32"/>
        </w:rPr>
      </w:pPr>
      <w:r>
        <w:rPr>
          <w:rFonts w:hint="eastAsia" w:ascii="仿宋" w:hAnsi="仿宋" w:eastAsia="仿宋"/>
          <w:sz w:val="32"/>
          <w:szCs w:val="32"/>
        </w:rPr>
        <w:t>本单位为事业单位1个，隶属于遂宁市安居区教体局。</w:t>
      </w:r>
    </w:p>
    <w:p>
      <w:pPr>
        <w:pStyle w:val="193"/>
        <w:spacing w:before="93" w:line="600" w:lineRule="exact"/>
        <w:ind w:firstLine="672"/>
        <w:rPr>
          <w:rFonts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zh-CN"/>
        </w:rPr>
        <w:t>。</w:t>
      </w:r>
    </w:p>
    <w:p>
      <w:pPr>
        <w:pStyle w:val="183"/>
        <w:ind w:right="440"/>
        <w:jc w:val="right"/>
        <w:rPr>
          <w:rFonts w:hint="eastAsia" w:ascii="黑体" w:hAnsi="黑体" w:eastAsia="黑体"/>
          <w:color w:val="000000"/>
        </w:rPr>
      </w:pPr>
      <w:bookmarkStart w:id="22" w:name="_Toc15377204"/>
      <w:bookmarkStart w:id="23" w:name="_Toc15396602"/>
    </w:p>
    <w:p>
      <w:pPr>
        <w:pStyle w:val="183"/>
        <w:ind w:right="440"/>
        <w:jc w:val="right"/>
        <w:rPr>
          <w:rStyle w:val="189"/>
          <w:rFonts w:ascii="黑体" w:hAnsi="黑体" w:eastAsia="黑体"/>
          <w:b w:val="0"/>
          <w:bCs w:val="0"/>
        </w:rPr>
      </w:pPr>
      <w:r>
        <w:rPr>
          <w:rFonts w:hint="eastAsia" w:ascii="黑体" w:hAnsi="黑体" w:eastAsia="黑体"/>
          <w:color w:val="000000"/>
        </w:rPr>
        <w:t>第二部分</w:t>
      </w:r>
      <w:r>
        <w:rPr>
          <w:rFonts w:ascii="黑体" w:hAnsi="黑体" w:eastAsia="黑体"/>
          <w:color w:val="000000"/>
        </w:rPr>
        <w:t xml:space="preserve"> </w:t>
      </w:r>
      <w:r>
        <w:rPr>
          <w:rStyle w:val="189"/>
          <w:rFonts w:ascii="黑体" w:hAnsi="黑体" w:eastAsia="黑体"/>
          <w:b w:val="0"/>
          <w:bCs w:val="0"/>
        </w:rPr>
        <w:t>202</w:t>
      </w:r>
      <w:r>
        <w:rPr>
          <w:rStyle w:val="189"/>
          <w:rFonts w:hint="eastAsia" w:ascii="黑体" w:hAnsi="黑体" w:eastAsia="黑体"/>
          <w:b w:val="0"/>
          <w:bCs w:val="0"/>
          <w:lang w:val="en-US" w:eastAsia="zh-CN"/>
        </w:rPr>
        <w:t>4</w:t>
      </w:r>
      <w:r>
        <w:rPr>
          <w:rStyle w:val="189"/>
          <w:rFonts w:hint="eastAsia" w:ascii="黑体" w:hAnsi="黑体" w:eastAsia="黑体"/>
          <w:b w:val="0"/>
          <w:bCs w:val="0"/>
        </w:rPr>
        <w:t>年度部门决算情况说明</w:t>
      </w:r>
      <w:bookmarkEnd w:id="22"/>
      <w:bookmarkEnd w:id="23"/>
    </w:p>
    <w:p>
      <w:pPr>
        <w:pStyle w:val="210"/>
        <w:numPr>
          <w:ilvl w:val="0"/>
          <w:numId w:val="1"/>
        </w:numPr>
        <w:spacing w:line="600" w:lineRule="exact"/>
        <w:outlineLvl w:val="1"/>
        <w:rPr>
          <w:rStyle w:val="190"/>
          <w:rFonts w:ascii="黑体" w:hAnsi="黑体" w:eastAsia="黑体"/>
        </w:rPr>
      </w:pPr>
      <w:bookmarkStart w:id="24" w:name="_Toc15377205"/>
      <w:bookmarkStart w:id="25" w:name="_Toc15396603"/>
      <w:r>
        <w:rPr>
          <w:rFonts w:hint="eastAsia" w:ascii="黑体" w:hAnsi="黑体" w:eastAsia="黑体"/>
          <w:color w:val="000000"/>
          <w:sz w:val="32"/>
          <w:szCs w:val="32"/>
        </w:rPr>
        <w:t>收</w:t>
      </w:r>
      <w:r>
        <w:rPr>
          <w:rStyle w:val="190"/>
          <w:rFonts w:hint="eastAsia" w:ascii="黑体" w:hAnsi="黑体" w:eastAsia="黑体"/>
        </w:rPr>
        <w:t>入支出决算总体情况说明</w:t>
      </w:r>
      <w:bookmarkEnd w:id="24"/>
      <w:bookmarkEnd w:id="25"/>
    </w:p>
    <w:p>
      <w:pPr>
        <w:spacing w:line="600" w:lineRule="exact"/>
        <w:ind w:firstLine="640"/>
        <w:rPr>
          <w:rFonts w:hint="eastAsia" w:ascii="仿宋" w:hAnsi="仿宋" w:eastAsia="仿宋"/>
          <w:color w:val="000000"/>
          <w:sz w:val="32"/>
          <w:szCs w:val="32"/>
        </w:rPr>
      </w:pPr>
      <w:bookmarkStart w:id="26" w:name="_Hlk83972007"/>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453.25</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增加12.2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增加2.69</w:t>
      </w:r>
      <w:r>
        <w:rPr>
          <w:rFonts w:ascii="仿宋" w:hAnsi="仿宋" w:eastAsia="仿宋"/>
          <w:color w:val="000000"/>
          <w:sz w:val="32"/>
          <w:szCs w:val="32"/>
        </w:rPr>
        <w:t>%。</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en-US" w:eastAsia="zh-CN"/>
        </w:rPr>
        <w:t>453.25</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 w:hAnsi="仿宋" w:eastAsia="仿宋"/>
          <w:color w:val="000000"/>
          <w:sz w:val="32"/>
          <w:szCs w:val="32"/>
          <w:lang w:val="en-US" w:eastAsia="zh-CN"/>
        </w:rPr>
        <w:t>增加12.2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增加2.69</w:t>
      </w:r>
      <w:r>
        <w:rPr>
          <w:rFonts w:ascii="仿宋" w:hAnsi="仿宋" w:eastAsia="仿宋"/>
          <w:color w:val="000000"/>
          <w:sz w:val="32"/>
          <w:szCs w:val="32"/>
        </w:rPr>
        <w:t>%</w:t>
      </w:r>
      <w:r>
        <w:rPr>
          <w:rFonts w:hint="eastAsia" w:ascii="仿宋" w:hAnsi="仿宋" w:eastAsia="仿宋"/>
          <w:color w:val="000000"/>
          <w:sz w:val="32"/>
          <w:szCs w:val="32"/>
        </w:rPr>
        <w:t>。主要变动原因</w:t>
      </w:r>
      <w:bookmarkStart w:id="27" w:name="_Hlk83972104"/>
      <w:r>
        <w:rPr>
          <w:rFonts w:hint="eastAsia" w:ascii="仿宋" w:hAnsi="仿宋" w:eastAsia="仿宋"/>
          <w:color w:val="000000"/>
          <w:sz w:val="32"/>
          <w:szCs w:val="32"/>
        </w:rPr>
        <w:t>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年度人员较上年有变化。且人均工资基数较上年有上涨，致五险两金等人员经费有一定增加</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且增加了课后服务费及食堂伙食费</w:t>
      </w:r>
      <w:r>
        <w:rPr>
          <w:rFonts w:hint="eastAsia" w:ascii="仿宋" w:hAnsi="仿宋" w:eastAsia="仿宋"/>
          <w:color w:val="000000"/>
          <w:sz w:val="32"/>
          <w:szCs w:val="32"/>
        </w:rPr>
        <w:t>。</w:t>
      </w:r>
      <w:bookmarkEnd w:id="26"/>
      <w:bookmarkEnd w:id="27"/>
    </w:p>
    <w:p>
      <w:pPr>
        <w:ind w:firstLine="640"/>
        <w:rPr>
          <w:rFonts w:hint="eastAsia" w:ascii="仿宋" w:hAnsi="仿宋" w:eastAsia="仿宋"/>
          <w:color w:val="000000"/>
          <w:sz w:val="32"/>
          <w:szCs w:val="32"/>
          <w:lang w:eastAsia="zh-CN"/>
        </w:rPr>
      </w:pPr>
      <w:r>
        <w:drawing>
          <wp:inline distT="0" distB="0" distL="114300" distR="114300">
            <wp:extent cx="4826000" cy="2743200"/>
            <wp:effectExtent l="4445" t="4445" r="8255" b="14605"/>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rPr>
          <w:rFonts w:hint="eastAsia" w:ascii="仿宋" w:hAnsi="仿宋" w:eastAsia="仿宋"/>
          <w:color w:val="000000"/>
          <w:sz w:val="32"/>
          <w:szCs w:val="32"/>
          <w:lang w:eastAsia="zh-CN"/>
        </w:rPr>
      </w:pP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210"/>
        <w:numPr>
          <w:ilvl w:val="0"/>
          <w:numId w:val="1"/>
        </w:numPr>
        <w:spacing w:line="600" w:lineRule="exact"/>
        <w:outlineLvl w:val="1"/>
        <w:rPr>
          <w:rStyle w:val="190"/>
          <w:rFonts w:ascii="黑体" w:hAnsi="黑体" w:eastAsia="黑体"/>
        </w:rPr>
      </w:pPr>
      <w:bookmarkStart w:id="28" w:name="_Toc15396604"/>
      <w:bookmarkStart w:id="29" w:name="_Toc15377206"/>
      <w:r>
        <w:rPr>
          <w:rFonts w:hint="eastAsia" w:ascii="黑体" w:hAnsi="黑体" w:eastAsia="黑体"/>
          <w:color w:val="000000"/>
          <w:sz w:val="32"/>
          <w:szCs w:val="32"/>
        </w:rPr>
        <w:t>收</w:t>
      </w:r>
      <w:r>
        <w:rPr>
          <w:rStyle w:val="190"/>
          <w:rFonts w:hint="eastAsia" w:ascii="黑体" w:hAnsi="黑体" w:eastAsia="黑体"/>
        </w:rPr>
        <w:t>入决算情况说明</w:t>
      </w:r>
      <w:bookmarkEnd w:id="28"/>
      <w:bookmarkEnd w:id="29"/>
    </w:p>
    <w:p>
      <w:pPr>
        <w:spacing w:line="600" w:lineRule="exact"/>
        <w:ind w:firstLine="640"/>
        <w:outlineLvl w:val="1"/>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453.25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424.57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93.68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其他收入28.68万元，占比6.32%。</w:t>
      </w:r>
    </w:p>
    <w:p>
      <w:pPr>
        <w:spacing w:line="600" w:lineRule="exact"/>
        <w:ind w:firstLine="643"/>
        <w:outlineLvl w:val="1"/>
        <w:rPr>
          <w:rFonts w:ascii="仿宋" w:hAnsi="仿宋" w:eastAsia="仿宋"/>
          <w:b/>
          <w:color w:val="FF0000"/>
          <w:sz w:val="32"/>
          <w:szCs w:val="32"/>
        </w:rPr>
      </w:pPr>
      <w:r>
        <w:drawing>
          <wp:anchor distT="0" distB="0" distL="114300" distR="114300" simplePos="0" relativeHeight="251661312" behindDoc="0" locked="0" layoutInCell="1" allowOverlap="1">
            <wp:simplePos x="0" y="0"/>
            <wp:positionH relativeFrom="column">
              <wp:posOffset>155575</wp:posOffset>
            </wp:positionH>
            <wp:positionV relativeFrom="paragraph">
              <wp:posOffset>71120</wp:posOffset>
            </wp:positionV>
            <wp:extent cx="4826000" cy="2743200"/>
            <wp:effectExtent l="4445" t="4445" r="825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ind w:firstLine="640"/>
        <w:outlineLvl w:val="1"/>
        <w:rPr>
          <w:rFonts w:hint="eastAsia" w:ascii="仿宋" w:hAnsi="仿宋" w:eastAsia="仿宋"/>
          <w:color w:val="000000"/>
          <w:sz w:val="32"/>
          <w:szCs w:val="32"/>
          <w:lang w:eastAsia="zh-CN"/>
        </w:rPr>
      </w:pPr>
    </w:p>
    <w:p>
      <w:pPr>
        <w:ind w:firstLine="640"/>
        <w:outlineLvl w:val="1"/>
        <w:rPr>
          <w:rFonts w:hint="eastAsia" w:ascii="仿宋" w:hAnsi="仿宋" w:eastAsia="仿宋"/>
          <w:color w:val="000000"/>
          <w:sz w:val="32"/>
          <w:szCs w:val="32"/>
          <w:lang w:eastAsia="zh-CN"/>
        </w:rPr>
      </w:pPr>
    </w:p>
    <w:p>
      <w:pPr>
        <w:ind w:firstLine="640"/>
        <w:outlineLvl w:val="1"/>
        <w:rPr>
          <w:rFonts w:hint="eastAsia" w:ascii="仿宋" w:hAnsi="仿宋" w:eastAsia="仿宋"/>
          <w:color w:val="000000"/>
          <w:sz w:val="32"/>
          <w:szCs w:val="32"/>
          <w:lang w:eastAsia="zh-CN"/>
        </w:rPr>
      </w:pPr>
    </w:p>
    <w:p>
      <w:pPr>
        <w:ind w:firstLine="640"/>
        <w:outlineLvl w:val="1"/>
        <w:rPr>
          <w:rFonts w:hint="eastAsia" w:ascii="仿宋" w:hAnsi="仿宋" w:eastAsia="仿宋"/>
          <w:color w:val="000000"/>
          <w:sz w:val="32"/>
          <w:szCs w:val="32"/>
          <w:lang w:eastAsia="zh-CN"/>
        </w:rPr>
      </w:pPr>
    </w:p>
    <w:p>
      <w:pPr>
        <w:ind w:firstLine="640"/>
        <w:outlineLvl w:val="1"/>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210"/>
        <w:numPr>
          <w:ilvl w:val="0"/>
          <w:numId w:val="1"/>
        </w:numPr>
        <w:spacing w:line="600" w:lineRule="exact"/>
        <w:outlineLvl w:val="1"/>
        <w:rPr>
          <w:rStyle w:val="190"/>
          <w:rFonts w:ascii="黑体" w:hAnsi="黑体" w:eastAsia="黑体"/>
        </w:rPr>
      </w:pPr>
      <w:bookmarkStart w:id="30" w:name="_Toc15396605"/>
      <w:bookmarkStart w:id="31" w:name="_Toc15377207"/>
      <w:r>
        <w:rPr>
          <w:rFonts w:hint="eastAsia" w:ascii="黑体" w:hAnsi="黑体" w:eastAsia="黑体"/>
          <w:color w:val="000000"/>
          <w:sz w:val="32"/>
          <w:szCs w:val="32"/>
        </w:rPr>
        <w:t>支</w:t>
      </w:r>
      <w:r>
        <w:rPr>
          <w:rStyle w:val="190"/>
          <w:rFonts w:hint="eastAsia" w:ascii="黑体" w:hAnsi="黑体" w:eastAsia="黑体"/>
        </w:rPr>
        <w:t>出决算情况说明</w:t>
      </w:r>
      <w:bookmarkEnd w:id="30"/>
      <w:bookmarkEnd w:id="31"/>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453.25</w:t>
      </w:r>
      <w:r>
        <w:rPr>
          <w:rFonts w:hint="eastAsia" w:ascii="仿宋" w:hAnsi="仿宋" w:eastAsia="仿宋"/>
          <w:color w:val="000000"/>
          <w:sz w:val="32"/>
          <w:szCs w:val="32"/>
        </w:rPr>
        <w:t>万元，其中：基本支出</w:t>
      </w:r>
      <w:r>
        <w:rPr>
          <w:rFonts w:hint="eastAsia" w:ascii="仿宋" w:hAnsi="仿宋" w:eastAsia="仿宋"/>
          <w:color w:val="000000"/>
          <w:sz w:val="36"/>
          <w:szCs w:val="36"/>
          <w:lang w:val="en-US" w:eastAsia="zh-CN"/>
        </w:rPr>
        <w:t>392.09</w:t>
      </w:r>
      <w:r>
        <w:rPr>
          <w:rFonts w:hint="eastAsia" w:ascii="仿宋" w:hAnsi="仿宋" w:eastAsia="仿宋"/>
          <w:color w:val="000000"/>
          <w:sz w:val="36"/>
          <w:szCs w:val="36"/>
        </w:rPr>
        <w:t>万元，占</w:t>
      </w:r>
      <w:r>
        <w:rPr>
          <w:rFonts w:hint="eastAsia" w:ascii="仿宋" w:hAnsi="仿宋" w:eastAsia="仿宋"/>
          <w:color w:val="000000"/>
          <w:sz w:val="36"/>
          <w:szCs w:val="36"/>
          <w:lang w:val="en-US" w:eastAsia="zh-CN"/>
        </w:rPr>
        <w:t>86.5</w:t>
      </w:r>
      <w:r>
        <w:rPr>
          <w:rFonts w:ascii="仿宋" w:hAnsi="仿宋" w:eastAsia="仿宋"/>
          <w:color w:val="000000"/>
          <w:sz w:val="36"/>
          <w:szCs w:val="36"/>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61.16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13.5</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pPr>
        <w:ind w:left="210" w:firstLine="640"/>
        <w:rPr>
          <w:rFonts w:hint="eastAsia" w:ascii="仿宋" w:hAnsi="仿宋" w:eastAsia="仿宋"/>
          <w:color w:val="000000"/>
          <w:sz w:val="32"/>
          <w:szCs w:val="32"/>
          <w:shd w:val="pct10" w:color="auto" w:fill="FFFFFF"/>
          <w:lang w:eastAsia="zh-CN"/>
        </w:rPr>
      </w:pPr>
      <w:r>
        <w:drawing>
          <wp:inline distT="0" distB="0" distL="0" distR="0">
            <wp:extent cx="5171440" cy="2505075"/>
            <wp:effectExtent l="4445" t="4445" r="571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rPr>
          <w:rFonts w:ascii="仿宋_GB2312" w:eastAsia="仿宋_GB2312"/>
          <w:color w:val="FF0000"/>
          <w:sz w:val="32"/>
          <w:szCs w:val="32"/>
        </w:rPr>
      </w:pPr>
    </w:p>
    <w:p>
      <w:pPr>
        <w:numPr>
          <w:ilvl w:val="0"/>
          <w:numId w:val="1"/>
        </w:numPr>
        <w:spacing w:line="600" w:lineRule="exact"/>
        <w:ind w:left="1360" w:hanging="720"/>
        <w:outlineLvl w:val="1"/>
        <w:rPr>
          <w:rStyle w:val="190"/>
          <w:rFonts w:hint="eastAsia" w:ascii="黑体" w:hAnsi="黑体" w:eastAsia="黑体"/>
        </w:rPr>
      </w:pPr>
      <w:bookmarkStart w:id="32" w:name="_Toc15396606"/>
      <w:bookmarkStart w:id="33" w:name="_Toc15377208"/>
      <w:r>
        <w:rPr>
          <w:rFonts w:hint="eastAsia" w:ascii="黑体" w:hAnsi="黑体" w:eastAsia="黑体"/>
          <w:color w:val="000000"/>
          <w:sz w:val="32"/>
          <w:szCs w:val="32"/>
        </w:rPr>
        <w:t>财</w:t>
      </w:r>
      <w:r>
        <w:rPr>
          <w:rStyle w:val="190"/>
          <w:rFonts w:hint="eastAsia" w:ascii="黑体" w:hAnsi="黑体" w:eastAsia="黑体"/>
        </w:rPr>
        <w:t>政拨款收入支出决算总体情况说明</w:t>
      </w:r>
      <w:bookmarkEnd w:id="32"/>
      <w:bookmarkEnd w:id="33"/>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453.25</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增加12.2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增加2.69</w:t>
      </w:r>
      <w:r>
        <w:rPr>
          <w:rFonts w:ascii="仿宋" w:hAnsi="仿宋" w:eastAsia="仿宋"/>
          <w:color w:val="000000"/>
          <w:sz w:val="32"/>
          <w:szCs w:val="32"/>
        </w:rPr>
        <w:t>%</w:t>
      </w:r>
      <w:r>
        <w:rPr>
          <w:rFonts w:hint="eastAsia" w:ascii="仿宋" w:hAnsi="仿宋" w:eastAsia="仿宋"/>
          <w:color w:val="000000"/>
          <w:sz w:val="32"/>
          <w:szCs w:val="32"/>
        </w:rPr>
        <w:t>。主要变动原因是本单位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人员工资略有增长，增加了课后服务费及食堂伙食费。</w:t>
      </w:r>
    </w:p>
    <w:p>
      <w:pPr>
        <w:pStyle w:val="16"/>
        <w:rPr>
          <w:rFonts w:hint="eastAsia" w:ascii="仿宋" w:hAnsi="仿宋" w:eastAsia="仿宋"/>
          <w:color w:val="000000"/>
          <w:sz w:val="32"/>
          <w:szCs w:val="32"/>
          <w:lang w:eastAsia="zh-CN"/>
        </w:rPr>
      </w:pPr>
      <w:r>
        <w:drawing>
          <wp:inline distT="0" distB="0" distL="114300" distR="114300">
            <wp:extent cx="5034915" cy="1886585"/>
            <wp:effectExtent l="4445" t="4445" r="8890" b="1397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jc w:val="center"/>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outlineLvl w:val="1"/>
        <w:rPr>
          <w:rStyle w:val="190"/>
          <w:rFonts w:ascii="黑体" w:hAnsi="黑体" w:eastAsia="黑体"/>
        </w:rPr>
      </w:pPr>
      <w:bookmarkStart w:id="34" w:name="_Toc15396607"/>
      <w:bookmarkStart w:id="3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0"/>
          <w:rFonts w:hint="eastAsia" w:ascii="黑体" w:hAnsi="黑体" w:eastAsia="黑体"/>
        </w:rPr>
        <w:t>般公共预算财政拨款支出决算情况说明</w:t>
      </w:r>
      <w:bookmarkEnd w:id="34"/>
      <w:bookmarkEnd w:id="35"/>
    </w:p>
    <w:p>
      <w:pPr>
        <w:spacing w:line="600" w:lineRule="exact"/>
        <w:ind w:firstLine="643"/>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424.57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86.5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减少16.48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减少3.88</w:t>
      </w:r>
      <w:r>
        <w:rPr>
          <w:rFonts w:ascii="仿宋" w:hAnsi="仿宋" w:eastAsia="仿宋"/>
          <w:color w:val="000000"/>
          <w:sz w:val="32"/>
          <w:szCs w:val="32"/>
        </w:rPr>
        <w:t>%</w:t>
      </w:r>
      <w:r>
        <w:rPr>
          <w:rFonts w:hint="eastAsia" w:ascii="仿宋" w:hAnsi="仿宋" w:eastAsia="仿宋"/>
          <w:color w:val="000000"/>
          <w:sz w:val="32"/>
          <w:szCs w:val="32"/>
        </w:rPr>
        <w:t>。主要变动原因是本单位人员较上年有变化</w:t>
      </w:r>
      <w:r>
        <w:rPr>
          <w:rFonts w:hint="eastAsia" w:ascii="仿宋" w:hAnsi="仿宋" w:eastAsia="仿宋"/>
          <w:color w:val="000000"/>
          <w:sz w:val="32"/>
          <w:szCs w:val="32"/>
          <w:lang w:eastAsia="zh-CN"/>
        </w:rPr>
        <w:t>，</w:t>
      </w:r>
      <w:r>
        <w:rPr>
          <w:rFonts w:hint="eastAsia" w:ascii="仿宋" w:hAnsi="仿宋" w:eastAsia="仿宋"/>
          <w:color w:val="000000"/>
          <w:sz w:val="32"/>
          <w:szCs w:val="32"/>
        </w:rPr>
        <w:t>且人均工资基数较上年有上涨，致五险两金等人员经费有一定增加。</w:t>
      </w:r>
    </w:p>
    <w:p>
      <w:pPr>
        <w:ind w:firstLine="640"/>
        <w:rPr>
          <w:rFonts w:hint="eastAsia" w:ascii="仿宋" w:hAnsi="仿宋" w:eastAsia="仿宋"/>
          <w:color w:val="000000"/>
          <w:sz w:val="32"/>
          <w:szCs w:val="32"/>
          <w:lang w:eastAsia="zh-CN"/>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214630</wp:posOffset>
            </wp:positionH>
            <wp:positionV relativeFrom="paragraph">
              <wp:posOffset>-7391400</wp:posOffset>
            </wp:positionV>
            <wp:extent cx="4779010" cy="2486025"/>
            <wp:effectExtent l="4445" t="4445" r="17145"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3"/>
        <w:ind w:left="0" w:leftChars="0" w:firstLine="0" w:firstLineChars="0"/>
        <w:rPr>
          <w:rFonts w:hint="eastAsia" w:ascii="仿宋" w:hAnsi="仿宋" w:eastAsia="仿宋"/>
          <w:color w:val="000000"/>
          <w:sz w:val="32"/>
          <w:szCs w:val="32"/>
          <w:lang w:eastAsia="zh-CN"/>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3"/>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424.57</w:t>
      </w:r>
      <w:r>
        <w:rPr>
          <w:rFonts w:hint="eastAsia" w:ascii="仿宋" w:hAnsi="仿宋" w:eastAsia="仿宋"/>
          <w:color w:val="000000"/>
          <w:sz w:val="32"/>
          <w:szCs w:val="32"/>
        </w:rPr>
        <w:t>万元，主要用于以下方面:教育支出（类）</w:t>
      </w:r>
      <w:r>
        <w:rPr>
          <w:rFonts w:hint="eastAsia" w:ascii="仿宋" w:hAnsi="仿宋" w:eastAsia="仿宋"/>
          <w:color w:val="000000"/>
          <w:sz w:val="32"/>
          <w:szCs w:val="32"/>
          <w:lang w:val="en-US" w:eastAsia="zh-CN"/>
        </w:rPr>
        <w:t>336.76</w:t>
      </w:r>
      <w:r>
        <w:rPr>
          <w:rFonts w:hint="eastAsia" w:ascii="仿宋" w:hAnsi="仿宋" w:eastAsia="仿宋"/>
          <w:color w:val="000000"/>
          <w:sz w:val="32"/>
          <w:szCs w:val="32"/>
        </w:rPr>
        <w:t>万元，；社会保障和就业（类）支出</w:t>
      </w:r>
      <w:r>
        <w:rPr>
          <w:rFonts w:hint="eastAsia" w:ascii="仿宋" w:hAnsi="仿宋" w:eastAsia="仿宋"/>
          <w:color w:val="000000"/>
          <w:sz w:val="32"/>
          <w:szCs w:val="32"/>
          <w:lang w:val="en-US" w:eastAsia="zh-CN"/>
        </w:rPr>
        <w:t>41.49</w:t>
      </w:r>
      <w:r>
        <w:rPr>
          <w:rFonts w:hint="eastAsia" w:ascii="仿宋" w:hAnsi="仿宋" w:eastAsia="仿宋"/>
          <w:color w:val="000000"/>
          <w:sz w:val="32"/>
          <w:szCs w:val="32"/>
        </w:rPr>
        <w:t>万元；卫生健康支出</w:t>
      </w:r>
      <w:r>
        <w:rPr>
          <w:rFonts w:hint="eastAsia" w:ascii="仿宋" w:hAnsi="仿宋" w:eastAsia="仿宋"/>
          <w:color w:val="000000"/>
          <w:sz w:val="32"/>
          <w:szCs w:val="32"/>
          <w:lang w:val="en-US" w:eastAsia="zh-CN"/>
        </w:rPr>
        <w:t>17.30</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29.02</w:t>
      </w:r>
      <w:r>
        <w:rPr>
          <w:rFonts w:hint="eastAsia" w:ascii="仿宋" w:hAnsi="仿宋" w:eastAsia="仿宋"/>
          <w:color w:val="000000"/>
          <w:sz w:val="32"/>
          <w:szCs w:val="32"/>
        </w:rPr>
        <w:t>万元。</w:t>
      </w:r>
    </w:p>
    <w:p>
      <w:pPr>
        <w:ind w:firstLine="640"/>
        <w:jc w:val="center"/>
        <w:rPr>
          <w:rFonts w:ascii="仿宋" w:hAnsi="仿宋" w:eastAsia="仿宋"/>
          <w:color w:val="000000"/>
          <w:sz w:val="32"/>
          <w:szCs w:val="32"/>
        </w:rPr>
      </w:pPr>
    </w:p>
    <w:p>
      <w:pPr>
        <w:pStyle w:val="2"/>
        <w:rPr>
          <w:rFonts w:ascii="仿宋" w:hAnsi="仿宋" w:eastAsia="仿宋"/>
          <w:color w:val="000000"/>
          <w:sz w:val="32"/>
          <w:szCs w:val="32"/>
        </w:rPr>
      </w:pPr>
      <w:r>
        <w:rPr>
          <w:rFonts w:hint="eastAsia" w:ascii="仿宋" w:hAnsi="仿宋" w:eastAsia="仿宋"/>
          <w:b/>
          <w:sz w:val="32"/>
          <w:szCs w:val="32"/>
        </w:rPr>
        <w:drawing>
          <wp:anchor distT="0" distB="0" distL="114300" distR="114300" simplePos="0" relativeHeight="251660288" behindDoc="0" locked="0" layoutInCell="1" allowOverlap="1">
            <wp:simplePos x="0" y="0"/>
            <wp:positionH relativeFrom="column">
              <wp:posOffset>243205</wp:posOffset>
            </wp:positionH>
            <wp:positionV relativeFrom="paragraph">
              <wp:posOffset>22860</wp:posOffset>
            </wp:positionV>
            <wp:extent cx="4740910" cy="2505075"/>
            <wp:effectExtent l="4445" t="4445" r="17145"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3"/>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pPr>
        <w:spacing w:line="600" w:lineRule="exact"/>
        <w:ind w:firstLine="640"/>
        <w:rPr>
          <w:rFonts w:hint="eastAsia" w:ascii="仿宋" w:hAnsi="仿宋" w:eastAsia="仿宋"/>
          <w:color w:val="000000"/>
          <w:sz w:val="32"/>
          <w:szCs w:val="32"/>
        </w:rPr>
      </w:pPr>
      <w:bookmarkStart w:id="39" w:name="_Toc15377444"/>
      <w:bookmarkStart w:id="40" w:name="_Toc15378460"/>
      <w:bookmarkStart w:id="41" w:name="_Toc15377213"/>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年一般公共预算支出决算数为</w:t>
      </w:r>
      <w:bookmarkStart w:id="42" w:name="_Hlk83974142"/>
      <w:r>
        <w:rPr>
          <w:rFonts w:hint="eastAsia" w:ascii="仿宋" w:hAnsi="仿宋" w:eastAsia="仿宋"/>
          <w:color w:val="000000"/>
          <w:sz w:val="32"/>
          <w:szCs w:val="32"/>
          <w:lang w:val="en-US" w:eastAsia="zh-CN"/>
        </w:rPr>
        <w:t>424.57</w:t>
      </w:r>
      <w:r>
        <w:rPr>
          <w:rFonts w:hint="eastAsia" w:ascii="仿宋" w:hAnsi="仿宋" w:eastAsia="仿宋"/>
          <w:color w:val="000000"/>
          <w:sz w:val="32"/>
          <w:szCs w:val="32"/>
        </w:rPr>
        <w:t>万元</w:t>
      </w:r>
      <w:bookmarkEnd w:id="42"/>
      <w:r>
        <w:rPr>
          <w:rFonts w:hint="eastAsia" w:ascii="仿宋" w:hAnsi="仿宋" w:eastAsia="仿宋"/>
          <w:color w:val="000000"/>
          <w:sz w:val="32"/>
          <w:szCs w:val="32"/>
        </w:rPr>
        <w:t>，完成预算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决算数与预算数持平</w:t>
      </w:r>
      <w:r>
        <w:rPr>
          <w:rFonts w:hint="eastAsia" w:ascii="仿宋" w:hAnsi="仿宋" w:eastAsia="仿宋"/>
          <w:color w:val="000000"/>
          <w:sz w:val="32"/>
          <w:szCs w:val="32"/>
        </w:rPr>
        <w:t>。其中：</w:t>
      </w:r>
      <w:bookmarkEnd w:id="39"/>
      <w:bookmarkEnd w:id="40"/>
      <w:bookmarkEnd w:id="41"/>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1.教育</w:t>
      </w:r>
      <w:r>
        <w:rPr>
          <w:rFonts w:hint="eastAsia" w:ascii="仿宋" w:hAnsi="仿宋" w:eastAsia="仿宋"/>
          <w:color w:val="000000"/>
          <w:sz w:val="32"/>
          <w:szCs w:val="32"/>
          <w:lang w:val="en-US" w:eastAsia="zh-CN"/>
        </w:rPr>
        <w:t>205</w:t>
      </w:r>
      <w:r>
        <w:rPr>
          <w:rFonts w:hint="eastAsia" w:ascii="仿宋" w:hAnsi="仿宋" w:eastAsia="仿宋"/>
          <w:color w:val="000000"/>
          <w:sz w:val="32"/>
          <w:szCs w:val="32"/>
        </w:rPr>
        <w:t>: 支出决算为</w:t>
      </w:r>
      <w:r>
        <w:rPr>
          <w:rFonts w:hint="eastAsia" w:ascii="仿宋" w:hAnsi="仿宋" w:eastAsia="仿宋"/>
          <w:color w:val="000000"/>
          <w:sz w:val="32"/>
          <w:szCs w:val="32"/>
          <w:lang w:val="en-US" w:eastAsia="zh-CN"/>
        </w:rPr>
        <w:t>336.76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1）教育支出205</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01学前教育</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9.21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主要用于学前教育资助、办公费</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2）教育支出205</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02小学教育</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326.54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主要用于人员工资、福利支出、</w:t>
      </w:r>
      <w:r>
        <w:rPr>
          <w:rFonts w:hint="eastAsia" w:ascii="仿宋" w:hAnsi="仿宋" w:eastAsia="仿宋"/>
          <w:color w:val="000000"/>
          <w:sz w:val="32"/>
          <w:szCs w:val="32"/>
          <w:lang w:val="en-US" w:eastAsia="zh-CN"/>
        </w:rPr>
        <w:t>驻村工作队生活补助、义务教育贫困生生活补助、退休人员公用经费</w:t>
      </w:r>
      <w:r>
        <w:rPr>
          <w:rFonts w:hint="eastAsia" w:ascii="仿宋" w:hAnsi="仿宋" w:eastAsia="仿宋"/>
          <w:color w:val="000000"/>
          <w:sz w:val="32"/>
          <w:szCs w:val="32"/>
          <w:lang w:eastAsia="zh-CN"/>
        </w:rPr>
        <w:t>等</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3）教育支出205</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99其他普通教育支出</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0.15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w:t>
      </w:r>
      <w:r>
        <w:rPr>
          <w:rFonts w:hint="eastAsia" w:ascii="仿宋" w:hAnsi="仿宋" w:eastAsia="仿宋"/>
          <w:color w:val="000000"/>
          <w:sz w:val="32"/>
          <w:szCs w:val="32"/>
          <w:lang w:val="en-US" w:eastAsia="zh-CN"/>
        </w:rPr>
        <w:t>免作业本费</w:t>
      </w:r>
      <w:r>
        <w:rPr>
          <w:rFonts w:hint="eastAsia" w:ascii="仿宋" w:hAnsi="仿宋" w:eastAsia="仿宋"/>
          <w:color w:val="000000"/>
          <w:sz w:val="32"/>
          <w:szCs w:val="32"/>
          <w:lang w:eastAsia="zh-CN"/>
        </w:rPr>
        <w:t>等</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4）教育支出205</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99其他普通教育支出</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zh-CN"/>
        </w:rPr>
        <w:t>0.</w:t>
      </w:r>
      <w:r>
        <w:rPr>
          <w:rFonts w:hint="eastAsia" w:ascii="仿宋" w:hAnsi="仿宋" w:eastAsia="仿宋"/>
          <w:color w:val="000000"/>
          <w:sz w:val="32"/>
          <w:szCs w:val="32"/>
          <w:lang w:val="en-US" w:eastAsia="zh-CN"/>
        </w:rPr>
        <w:t>86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主要是</w:t>
      </w:r>
      <w:r>
        <w:rPr>
          <w:rFonts w:hint="eastAsia" w:ascii="仿宋" w:hAnsi="仿宋" w:eastAsia="仿宋"/>
          <w:color w:val="000000"/>
          <w:sz w:val="32"/>
          <w:szCs w:val="32"/>
          <w:lang w:val="en-US" w:eastAsia="zh-CN"/>
        </w:rPr>
        <w:t>一次性追加教体局2024年驻脱贫村及乡村振兴重点工作队经费</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.社会保障和就业</w:t>
      </w:r>
      <w:r>
        <w:rPr>
          <w:rFonts w:hint="eastAsia" w:ascii="仿宋" w:hAnsi="仿宋" w:eastAsia="仿宋"/>
          <w:color w:val="000000"/>
          <w:sz w:val="32"/>
          <w:szCs w:val="32"/>
          <w:lang w:val="en-US" w:eastAsia="zh-CN"/>
        </w:rPr>
        <w:t>208</w:t>
      </w:r>
      <w:r>
        <w:rPr>
          <w:rFonts w:hint="eastAsia" w:ascii="仿宋" w:hAnsi="仿宋" w:eastAsia="仿宋"/>
          <w:color w:val="000000"/>
          <w:sz w:val="32"/>
          <w:szCs w:val="32"/>
        </w:rPr>
        <w:t>: 支出决算为</w:t>
      </w:r>
      <w:r>
        <w:rPr>
          <w:rFonts w:hint="eastAsia" w:ascii="仿宋" w:hAnsi="仿宋" w:eastAsia="仿宋"/>
          <w:color w:val="000000"/>
          <w:sz w:val="32"/>
          <w:szCs w:val="32"/>
          <w:lang w:val="en-US" w:eastAsia="zh-CN"/>
        </w:rPr>
        <w:t>41.49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zh-CN"/>
        </w:rPr>
        <w:t>1</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社会保障和就业</w:t>
      </w:r>
      <w:r>
        <w:rPr>
          <w:rFonts w:hint="eastAsia" w:ascii="仿宋" w:hAnsi="仿宋" w:eastAsia="仿宋"/>
          <w:color w:val="000000"/>
          <w:sz w:val="32"/>
          <w:szCs w:val="32"/>
          <w:lang w:val="en-US" w:eastAsia="zh-CN"/>
        </w:rPr>
        <w:t>208</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05事业单位基本养老保险缴费支出</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38.31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主要用于购买</w:t>
      </w:r>
      <w:r>
        <w:rPr>
          <w:rFonts w:hint="eastAsia" w:ascii="仿宋" w:hAnsi="仿宋" w:eastAsia="仿宋"/>
          <w:color w:val="000000"/>
          <w:sz w:val="32"/>
          <w:szCs w:val="32"/>
          <w:lang w:val="en-US" w:eastAsia="zh-CN"/>
        </w:rPr>
        <w:t>基本养老保险。</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zh-CN"/>
        </w:rPr>
        <w:t>2</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社会保障和就业</w:t>
      </w:r>
      <w:r>
        <w:rPr>
          <w:rFonts w:hint="eastAsia" w:ascii="仿宋" w:hAnsi="仿宋" w:eastAsia="仿宋"/>
          <w:color w:val="000000"/>
          <w:sz w:val="32"/>
          <w:szCs w:val="32"/>
          <w:lang w:val="en-US" w:eastAsia="zh-CN"/>
        </w:rPr>
        <w:t>208</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99其他社会保障和就业支出</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3.18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，主要用于遗属人员生活补助</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.卫生健康</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17.30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卫生健康</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02事业单位医疗</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17.30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，主要用于单位医疗生育等保险支出</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221</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29.02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221</w:t>
      </w:r>
      <w:r>
        <w:rPr>
          <w:rFonts w:hint="eastAsia" w:ascii="仿宋" w:hAnsi="仿宋" w:eastAsia="仿宋"/>
          <w:color w:val="000000"/>
          <w:sz w:val="32"/>
          <w:szCs w:val="32"/>
        </w:rPr>
        <w:t>（类）</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（款）</w:t>
      </w:r>
      <w:r>
        <w:rPr>
          <w:rFonts w:hint="eastAsia" w:ascii="仿宋" w:hAnsi="仿宋" w:eastAsia="仿宋"/>
          <w:color w:val="000000"/>
          <w:sz w:val="32"/>
          <w:szCs w:val="32"/>
          <w:lang w:val="en-US" w:eastAsia="zh-CN"/>
        </w:rPr>
        <w:t>01住房公积金</w:t>
      </w:r>
      <w:r>
        <w:rPr>
          <w:rFonts w:hint="eastAsia" w:ascii="仿宋" w:hAnsi="仿宋" w:eastAsia="仿宋"/>
          <w:color w:val="000000"/>
          <w:sz w:val="32"/>
          <w:szCs w:val="32"/>
        </w:rPr>
        <w:t>（项）</w:t>
      </w:r>
      <w:r>
        <w:rPr>
          <w:rFonts w:hint="eastAsia" w:ascii="仿宋" w:hAnsi="仿宋" w:eastAsia="仿宋"/>
          <w:color w:val="000000"/>
          <w:sz w:val="32"/>
          <w:szCs w:val="32"/>
          <w:lang w:val="en-US" w:eastAsia="zh-CN"/>
        </w:rPr>
        <w:t>2023年</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29.02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，主要用于单位住房公积金保险支出</w:t>
      </w:r>
      <w:r>
        <w:rPr>
          <w:rFonts w:hint="eastAsia" w:ascii="仿宋" w:hAnsi="仿宋" w:eastAsia="仿宋"/>
          <w:color w:val="000000"/>
          <w:sz w:val="32"/>
          <w:szCs w:val="32"/>
          <w:lang w:val="en-US" w:eastAsia="zh-CN"/>
        </w:rPr>
        <w:t>。</w:t>
      </w:r>
    </w:p>
    <w:p>
      <w:pPr>
        <w:tabs>
          <w:tab w:val="right" w:pos="8306"/>
        </w:tabs>
        <w:spacing w:line="600" w:lineRule="exact"/>
        <w:ind w:firstLine="640"/>
        <w:outlineLvl w:val="1"/>
        <w:rPr>
          <w:rStyle w:val="190"/>
        </w:rPr>
      </w:pPr>
      <w:bookmarkStart w:id="43" w:name="_Toc15396608"/>
      <w:bookmarkStart w:id="44"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0"/>
          <w:rFonts w:hint="eastAsia" w:ascii="黑体" w:hAnsi="黑体" w:eastAsia="黑体"/>
        </w:rPr>
        <w:t>般公共预算财政拨款基本支出决算情况说明</w:t>
      </w:r>
      <w:bookmarkEnd w:id="43"/>
      <w:bookmarkEnd w:id="44"/>
      <w:r>
        <w:rPr>
          <w:rStyle w:val="190"/>
          <w:rFonts w:ascii="黑体" w:hAnsi="黑体" w:eastAsia="黑体"/>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392.09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zh-CN"/>
        </w:rPr>
        <w:t>3</w:t>
      </w:r>
      <w:r>
        <w:rPr>
          <w:rFonts w:hint="eastAsia" w:ascii="仿宋" w:hAnsi="仿宋" w:eastAsia="仿宋"/>
          <w:color w:val="000000"/>
          <w:sz w:val="32"/>
          <w:szCs w:val="32"/>
          <w:lang w:val="en-US" w:eastAsia="zh-CN"/>
        </w:rPr>
        <w:t>35.58</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10.73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pPr>
      <w:r>
        <w:rPr>
          <w:rFonts w:hint="eastAsia" w:ascii="黑体" w:eastAsia="黑体"/>
          <w:sz w:val="32"/>
          <w:szCs w:val="32"/>
        </w:rPr>
        <w:t>七、</w:t>
      </w:r>
      <w:r>
        <w:rPr>
          <w:rStyle w:val="213"/>
          <w:rFonts w:hint="eastAsia" w:ascii="黑体" w:hAnsi="黑体" w:eastAsia="黑体"/>
        </w:rPr>
        <w:t>财政拨款“三公”经费支出决算情况说明</w:t>
      </w:r>
    </w:p>
    <w:p>
      <w:pPr>
        <w:spacing w:line="600" w:lineRule="exact"/>
        <w:ind w:firstLine="640"/>
        <w:outlineLvl w:val="2"/>
      </w:pPr>
      <w:bookmarkStart w:id="45" w:name="undefined"/>
      <w:r>
        <w:rPr>
          <w:rFonts w:hint="eastAsia" w:ascii="仿宋" w:hAnsi="仿宋" w:eastAsia="仿宋"/>
          <w:b/>
          <w:sz w:val="32"/>
          <w:szCs w:val="32"/>
        </w:rPr>
        <w:t>（一）“三公”经费财政拨款支出决算总体情况说明</w:t>
      </w:r>
      <w:bookmarkEnd w:id="45"/>
    </w:p>
    <w:p>
      <w:pPr>
        <w:spacing w:line="600" w:lineRule="exact"/>
        <w:ind w:firstLine="640"/>
        <w:outlineLvl w:val="2"/>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pPr>
      <w:r>
        <w:rPr>
          <w:rFonts w:hint="eastAsia" w:ascii="仿宋" w:hAnsi="仿宋" w:eastAsia="仿宋"/>
          <w:b/>
          <w:sz w:val="32"/>
          <w:szCs w:val="32"/>
        </w:rPr>
        <w:t>（二）“三公”经费财政拨款支出决算具体情况说明</w:t>
      </w:r>
    </w:p>
    <w:p>
      <w:pPr>
        <w:spacing w:line="600" w:lineRule="exact"/>
        <w:ind w:firstLine="640"/>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numPr>
          <w:ilvl w:val="0"/>
          <w:numId w:val="2"/>
        </w:numPr>
        <w:spacing w:line="600" w:lineRule="exact"/>
        <w:ind w:firstLine="640"/>
        <w:outlineLvl w:val="2"/>
        <w:rPr>
          <w:rStyle w:val="34"/>
          <w:rFonts w:hint="eastAsia" w:ascii="仿宋" w:hAnsi="仿宋" w:eastAsia="仿宋"/>
          <w:bCs/>
          <w:sz w:val="32"/>
          <w:szCs w:val="32"/>
        </w:rPr>
      </w:pPr>
      <w:r>
        <w:rPr>
          <w:rFonts w:hint="eastAsia" w:ascii="仿宋_GB2312" w:eastAsia="仿宋_GB2312"/>
          <w:b/>
          <w:sz w:val="32"/>
          <w:szCs w:val="32"/>
        </w:rPr>
        <w:t>因公出国（境）经费支出0万元</w:t>
      </w:r>
      <w:r>
        <w:rPr>
          <w:rFonts w:hint="eastAsia" w:ascii="仿宋_GB2312" w:eastAsia="仿宋_GB2312"/>
          <w:sz w:val="32"/>
          <w:szCs w:val="32"/>
        </w:rPr>
        <w:t>，</w:t>
      </w:r>
      <w:r>
        <w:rPr>
          <w:rStyle w:val="34"/>
          <w:rFonts w:hint="eastAsia" w:ascii="仿宋" w:hAnsi="仿宋" w:eastAsia="仿宋"/>
          <w:bCs/>
          <w:sz w:val="32"/>
          <w:szCs w:val="32"/>
        </w:rPr>
        <w:t>完成预算</w:t>
      </w:r>
      <w:r>
        <w:rPr>
          <w:rStyle w:val="34"/>
          <w:rFonts w:hint="eastAsia" w:ascii="仿宋" w:hAnsi="仿宋" w:eastAsia="仿宋"/>
          <w:bCs/>
          <w:sz w:val="32"/>
          <w:szCs w:val="32"/>
          <w:lang w:val="en-US" w:eastAsia="zh-CN"/>
        </w:rPr>
        <w:t>10</w:t>
      </w:r>
      <w:r>
        <w:rPr>
          <w:sz w:val="32"/>
          <w:szCs w:val="32"/>
        </w:rPr>
        <w:t>0</w:t>
      </w:r>
      <w:r>
        <w:rPr>
          <w:rStyle w:val="34"/>
          <w:rFonts w:hint="eastAsia" w:ascii="仿宋" w:hAnsi="仿宋" w:eastAsia="仿宋"/>
          <w:bCs/>
          <w:sz w:val="32"/>
          <w:szCs w:val="32"/>
        </w:rPr>
        <w:t>%。</w:t>
      </w:r>
    </w:p>
    <w:p>
      <w:pPr>
        <w:numPr>
          <w:ilvl w:val="0"/>
          <w:numId w:val="0"/>
        </w:numPr>
        <w:spacing w:line="600" w:lineRule="exact"/>
        <w:ind w:firstLine="640" w:firstLineChars="200"/>
        <w:outlineLvl w:val="2"/>
      </w:pPr>
      <w:r>
        <w:rPr>
          <w:rFonts w:hint="eastAsia" w:ascii="仿宋" w:hAnsi="仿宋" w:eastAsia="仿宋" w:cs="Times New Roman"/>
          <w:sz w:val="32"/>
          <w:szCs w:val="32"/>
          <w:lang w:eastAsia="zh-CN"/>
        </w:rPr>
        <w:t>全年安排因公出国（境）团组0次，出国（境）0人。因公出国（境）支出决算与202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年持平。</w:t>
      </w:r>
    </w:p>
    <w:p>
      <w:pPr>
        <w:spacing w:line="600" w:lineRule="exact"/>
        <w:ind w:firstLine="640"/>
      </w:pPr>
      <w:r>
        <w:rPr>
          <w:rFonts w:hint="eastAsia" w:ascii="仿宋_GB2312" w:eastAsia="仿宋_GB2312"/>
          <w:b/>
          <w:sz w:val="32"/>
          <w:szCs w:val="32"/>
        </w:rPr>
        <w:t>2.公务用车购置及运行维护费支出0万元</w:t>
      </w:r>
      <w:r>
        <w:rPr>
          <w:rFonts w:hint="eastAsia" w:ascii="仿宋_GB2312" w:eastAsia="仿宋_GB2312"/>
          <w:sz w:val="32"/>
          <w:szCs w:val="32"/>
        </w:rPr>
        <w:t>,</w:t>
      </w:r>
      <w:r>
        <w:rPr>
          <w:rStyle w:val="214"/>
          <w:rFonts w:hint="eastAsia" w:ascii="仿宋" w:hAnsi="仿宋" w:eastAsia="仿宋"/>
          <w:bCs/>
          <w:sz w:val="32"/>
          <w:szCs w:val="32"/>
        </w:rPr>
        <w:t>完成预算</w:t>
      </w:r>
      <w:r>
        <w:rPr>
          <w:rStyle w:val="214"/>
          <w:rFonts w:hint="eastAsia" w:ascii="仿宋" w:hAnsi="仿宋" w:eastAsia="仿宋"/>
          <w:bCs/>
          <w:sz w:val="32"/>
          <w:szCs w:val="32"/>
          <w:lang w:val="en-US" w:eastAsia="zh-CN"/>
        </w:rPr>
        <w:t>10</w:t>
      </w:r>
      <w:r>
        <w:rPr>
          <w:sz w:val="32"/>
          <w:szCs w:val="32"/>
        </w:rPr>
        <w:t>0</w:t>
      </w:r>
      <w:r>
        <w:rPr>
          <w:rStyle w:val="214"/>
          <w:rFonts w:hint="eastAsia" w:ascii="仿宋" w:hAnsi="仿宋" w:eastAsia="仿宋"/>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pPr>
      <w:r>
        <w:rPr>
          <w:rFonts w:hint="eastAsia" w:ascii="仿宋_GB2312" w:eastAsia="仿宋_GB2312"/>
          <w:sz w:val="32"/>
          <w:szCs w:val="32"/>
        </w:rPr>
        <w:t>其中：公务用车购置支出0万元。全年按规定更新购置公务用车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jc w:val="left"/>
        <w:outlineLvl w:val="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公务用车运行维护费支出0万元。</w:t>
      </w:r>
    </w:p>
    <w:p>
      <w:pPr>
        <w:numPr>
          <w:ilvl w:val="0"/>
          <w:numId w:val="3"/>
        </w:numPr>
        <w:spacing w:line="600" w:lineRule="exact"/>
        <w:ind w:firstLine="640"/>
      </w:pPr>
      <w:r>
        <w:rPr>
          <w:rFonts w:hint="eastAsia" w:ascii="仿宋_GB2312" w:eastAsia="仿宋_GB2312"/>
          <w:b/>
          <w:sz w:val="32"/>
          <w:szCs w:val="32"/>
        </w:rPr>
        <w:t>公务接待费支出</w:t>
      </w:r>
      <w:r>
        <w:rPr>
          <w:sz w:val="32"/>
          <w:szCs w:val="32"/>
        </w:rPr>
        <w:t>0</w:t>
      </w:r>
      <w:r>
        <w:rPr>
          <w:rFonts w:hint="eastAsia" w:ascii="仿宋_GB2312" w:eastAsia="仿宋_GB2312"/>
          <w:b/>
          <w:sz w:val="32"/>
          <w:szCs w:val="32"/>
        </w:rPr>
        <w:t>万元</w:t>
      </w:r>
      <w:r>
        <w:rPr>
          <w:rFonts w:hint="eastAsia" w:ascii="仿宋_GB2312" w:eastAsia="仿宋_GB2312"/>
          <w:sz w:val="32"/>
          <w:szCs w:val="32"/>
        </w:rPr>
        <w:t>，</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%。公务接待费支出决算与202</w:t>
      </w:r>
      <w:r>
        <w:rPr>
          <w:rFonts w:hint="eastAsia" w:ascii="仿宋_GB2312" w:eastAsia="仿宋_GB2312"/>
          <w:b/>
          <w:sz w:val="32"/>
          <w:szCs w:val="32"/>
          <w:lang w:val="en-US" w:eastAsia="zh-CN"/>
        </w:rPr>
        <w:t>3</w:t>
      </w:r>
      <w:r>
        <w:rPr>
          <w:rFonts w:hint="eastAsia" w:ascii="仿宋_GB2312" w:eastAsia="仿宋_GB2312"/>
          <w:b/>
          <w:sz w:val="32"/>
          <w:szCs w:val="32"/>
        </w:rPr>
        <w:t>年度持平。其中：</w:t>
      </w:r>
    </w:p>
    <w:p>
      <w:pPr>
        <w:spacing w:line="600" w:lineRule="exact"/>
        <w:ind w:firstLine="640"/>
        <w:jc w:val="left"/>
        <w:outlineLvl w:val="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国内公务接待支出0万元。国内公务接待0批次，0人次（不包括陪同人员），共计支出0万元。</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外事接待支出0万元。外事接待0批次，0人次（不包括陪同人员），共计支出0万元。</w:t>
      </w:r>
    </w:p>
    <w:p>
      <w:pPr>
        <w:spacing w:line="600" w:lineRule="exact"/>
        <w:ind w:firstLine="480"/>
        <w:outlineLvl w:val="1"/>
      </w:pPr>
      <w:r>
        <w:rPr>
          <w:rFonts w:hint="eastAsia" w:ascii="黑体" w:eastAsia="黑体"/>
          <w:sz w:val="32"/>
          <w:szCs w:val="32"/>
        </w:rPr>
        <w:t>八、</w:t>
      </w:r>
      <w:r>
        <w:rPr>
          <w:rStyle w:val="213"/>
          <w:rFonts w:hint="eastAsia" w:ascii="黑体" w:hAnsi="黑体" w:eastAsia="黑体"/>
        </w:rPr>
        <w:t>政府性基金预算支出决算情况说明</w:t>
      </w:r>
    </w:p>
    <w:p>
      <w:pPr>
        <w:spacing w:line="600" w:lineRule="exact"/>
        <w:ind w:firstLine="640"/>
        <w:rPr>
          <w:rFonts w:hint="eastAsia" w:eastAsia="仿宋_GB2312"/>
          <w:color w:val="000000" w:themeColor="text1"/>
          <w:lang w:val="en-US"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numPr>
          <w:ilvl w:val="0"/>
          <w:numId w:val="4"/>
        </w:numPr>
        <w:spacing w:line="600" w:lineRule="exact"/>
        <w:ind w:firstLine="640"/>
        <w:outlineLvl w:val="1"/>
      </w:pPr>
      <w:r>
        <w:rPr>
          <w:rStyle w:val="213"/>
          <w:rFonts w:hint="eastAsia" w:ascii="黑体" w:hAnsi="黑体" w:eastAsia="黑体"/>
        </w:rPr>
        <w:t>国有资本经营预算支出决算情况说明</w:t>
      </w:r>
    </w:p>
    <w:p>
      <w:pPr>
        <w:pStyle w:val="210"/>
        <w:spacing w:line="600" w:lineRule="exact"/>
        <w:ind w:left="360" w:firstLine="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pPr>
        <w:pStyle w:val="210"/>
        <w:spacing w:line="600" w:lineRule="exact"/>
        <w:ind w:left="360" w:firstLine="321"/>
        <w:outlineLvl w:val="1"/>
      </w:pPr>
      <w:r>
        <w:rPr>
          <w:rStyle w:val="213"/>
          <w:rFonts w:hint="eastAsia" w:ascii="黑体" w:hAnsi="黑体" w:eastAsia="黑体"/>
        </w:rPr>
        <w:t>十</w:t>
      </w:r>
      <w:r>
        <w:rPr>
          <w:rStyle w:val="213"/>
          <w:rFonts w:ascii="黑体" w:hAnsi="黑体" w:eastAsia="黑体"/>
        </w:rPr>
        <w:t>、</w:t>
      </w:r>
      <w:r>
        <w:rPr>
          <w:rStyle w:val="213"/>
          <w:rFonts w:hint="eastAsia" w:ascii="黑体" w:hAnsi="黑体" w:eastAsia="黑体"/>
        </w:rPr>
        <w:t>其他重要事项的情况说明</w:t>
      </w:r>
    </w:p>
    <w:p>
      <w:pPr>
        <w:spacing w:line="600" w:lineRule="exact"/>
        <w:ind w:firstLine="643"/>
        <w:outlineLvl w:val="2"/>
      </w:pPr>
      <w:r>
        <w:rPr>
          <w:rFonts w:hint="eastAsia" w:ascii="仿宋" w:hAnsi="仿宋" w:eastAsia="仿宋"/>
          <w:b/>
          <w:sz w:val="32"/>
          <w:szCs w:val="32"/>
        </w:rPr>
        <w:t>（一）机关运行经费支出情况</w:t>
      </w:r>
    </w:p>
    <w:p>
      <w:pPr>
        <w:spacing w:line="600" w:lineRule="exact"/>
        <w:ind w:firstLine="64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拦江镇马河小学校</w:t>
      </w:r>
      <w:r>
        <w:rPr>
          <w:rFonts w:hint="eastAsia" w:ascii="仿宋_GB2312" w:eastAsia="仿宋_GB2312"/>
          <w:sz w:val="32"/>
          <w:szCs w:val="32"/>
        </w:rPr>
        <w:t>机关运行经费支出0万元。与202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pPr>
        <w:spacing w:line="600" w:lineRule="exact"/>
        <w:ind w:firstLine="643"/>
        <w:jc w:val="left"/>
        <w:outlineLvl w:val="2"/>
      </w:pPr>
      <w:r>
        <w:rPr>
          <w:rFonts w:hint="eastAsia" w:ascii="仿宋" w:hAnsi="仿宋" w:eastAsia="仿宋"/>
          <w:b/>
          <w:sz w:val="32"/>
          <w:szCs w:val="32"/>
        </w:rPr>
        <w:t>（二）政府采购支出情况</w:t>
      </w:r>
    </w:p>
    <w:p>
      <w:pPr>
        <w:spacing w:line="600" w:lineRule="exact"/>
        <w:ind w:firstLine="640"/>
        <w:jc w:val="left"/>
        <w:outlineLvl w:val="2"/>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拦江镇马河小学校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3"/>
        <w:jc w:val="left"/>
        <w:outlineLvl w:val="2"/>
      </w:pPr>
      <w:r>
        <w:rPr>
          <w:rFonts w:hint="eastAsia" w:ascii="仿宋" w:hAnsi="仿宋" w:eastAsia="仿宋"/>
          <w:b/>
          <w:sz w:val="32"/>
          <w:szCs w:val="32"/>
        </w:rPr>
        <w:t>（三）国有资产占有使用情况</w:t>
      </w:r>
    </w:p>
    <w:p>
      <w:pPr>
        <w:spacing w:line="600" w:lineRule="exact"/>
        <w:ind w:firstLine="640"/>
        <w:outlineLvl w:val="1"/>
        <w:rPr>
          <w:rStyle w:val="190"/>
          <w:rFonts w:ascii="黑体" w:hAnsi="黑体" w:eastAsia="黑体"/>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拦江镇马河小学校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1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第一书记、驻村工作队补助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2024年马河小学</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val="en-US" w:eastAsia="zh-CN"/>
        </w:rPr>
        <w:t>2024年马河小学</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Times New Roman" w:hAnsi="Times New Roman" w:eastAsia="仿宋_GB2312" w:cs="仿宋_GB2312"/>
          <w:color w:val="auto"/>
          <w:kern w:val="2"/>
          <w:sz w:val="32"/>
          <w:szCs w:val="32"/>
          <w:highlight w:val="none"/>
          <w:lang w:val="en-US" w:eastAsia="zh-CN" w:bidi="ar-SA"/>
        </w:rPr>
        <w:t>2024年度部门预算项目支出绩效自评项目共计</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个，分别如下：</w:t>
      </w:r>
    </w:p>
    <w:p>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、51090422T000006815845-义务教育家庭经济困难学生生活补助，年初预算数0万元，调整后预算数</w:t>
      </w:r>
      <w:r>
        <w:rPr>
          <w:rFonts w:hint="eastAsia" w:eastAsia="仿宋_GB2312" w:cs="仿宋_GB2312"/>
          <w:color w:val="auto"/>
          <w:kern w:val="2"/>
          <w:sz w:val="32"/>
          <w:szCs w:val="32"/>
          <w:highlight w:val="none"/>
          <w:lang w:val="en-US" w:eastAsia="zh-CN" w:bidi="ar-SA"/>
        </w:rPr>
        <w:t>0.69</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0.69</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、51090422T000006818424-幼儿资助及幼儿发展资金，年初预算数0万元，调整后预算数</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、51090423T000009404312-城乡义务教育-免作业本费，年初预算数0万元，调整后预算数</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、51090424T000011170084-辞退民师定额养老困难补助费，年初预算数0万元，调整后预算数</w:t>
      </w:r>
      <w:r>
        <w:rPr>
          <w:rFonts w:hint="eastAsia" w:eastAsia="仿宋_GB2312" w:cs="仿宋_GB2312"/>
          <w:color w:val="auto"/>
          <w:kern w:val="2"/>
          <w:sz w:val="32"/>
          <w:szCs w:val="32"/>
          <w:highlight w:val="none"/>
          <w:lang w:val="en-US" w:eastAsia="zh-CN" w:bidi="ar-SA"/>
        </w:rPr>
        <w:t>0.86</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0.86</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、51090425T000013013564-义教免作业本费（省市区级），年初预算数0万元，调整后预算数</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pPr>
        <w:pStyle w:val="3"/>
        <w:rPr>
          <w:rFonts w:hint="eastAsia" w:ascii="仿宋_GB2312" w:hAnsi="仿宋_GB2312" w:eastAsia="仿宋_GB2312" w:cs="仿宋_GB2312"/>
          <w:sz w:val="32"/>
          <w:szCs w:val="32"/>
        </w:rPr>
      </w:pPr>
      <w:r>
        <w:rPr>
          <w:rFonts w:hint="eastAsia" w:ascii="Times New Roman"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、51090425T000013020556-秋季省级义务教育家庭经济困难学生生活补助，年初预算数0万元，调整后预算数</w:t>
      </w:r>
      <w:r>
        <w:rPr>
          <w:rFonts w:hint="eastAsia" w:eastAsia="仿宋_GB2312" w:cs="仿宋_GB2312"/>
          <w:color w:val="auto"/>
          <w:kern w:val="2"/>
          <w:sz w:val="32"/>
          <w:szCs w:val="32"/>
          <w:highlight w:val="none"/>
          <w:lang w:val="en-US" w:eastAsia="zh-CN" w:bidi="ar-SA"/>
        </w:rPr>
        <w:t>0.53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0.53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绩效自评综述：</w:t>
      </w:r>
      <w:r>
        <w:rPr>
          <w:rFonts w:hint="eastAsia" w:eastAsia="仿宋_GB2312" w:cs="Times New Roman"/>
          <w:sz w:val="32"/>
          <w:szCs w:val="32"/>
          <w:lang w:val="en-US" w:eastAsia="zh-CN"/>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步深化课程改革，提高教育质量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努力改善办学条件,促进教育均衡发展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本单位无专项预算项目，因此未组织开展项目支出绩效评价。</w:t>
      </w:r>
    </w:p>
    <w:p>
      <w:pPr>
        <w:pStyle w:val="1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keepNext w:val="0"/>
        <w:keepLines w:val="0"/>
        <w:pageBreakBefore w:val="0"/>
        <w:kinsoku/>
        <w:wordWrap/>
        <w:overflowPunct/>
        <w:topLinePunct w:val="0"/>
        <w:autoSpaceDE/>
        <w:autoSpaceDN/>
        <w:bidi w:val="0"/>
        <w:adjustRightInd/>
        <w:snapToGrid/>
        <w:spacing w:line="600" w:lineRule="exact"/>
        <w:ind w:firstLine="643"/>
        <w:textAlignment w:val="auto"/>
        <w:rPr>
          <w:rFonts w:ascii="仿宋_GB2312" w:eastAsia="仿宋_GB2312"/>
          <w:b/>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color w:val="000000"/>
          <w:sz w:val="32"/>
          <w:szCs w:val="32"/>
        </w:rPr>
      </w:pPr>
    </w:p>
    <w:p>
      <w:pPr>
        <w:pStyle w:val="2"/>
        <w:rPr>
          <w:rFonts w:ascii="仿宋_GB2312" w:eastAsia="仿宋_GB2312"/>
          <w:b/>
          <w:color w:val="000000"/>
          <w:sz w:val="32"/>
          <w:szCs w:val="32"/>
        </w:rPr>
      </w:pPr>
    </w:p>
    <w:p>
      <w:pPr>
        <w:pStyle w:val="3"/>
        <w:rPr>
          <w:rFonts w:ascii="仿宋_GB2312" w:eastAsia="仿宋_GB2312"/>
          <w:b/>
          <w:color w:val="000000"/>
          <w:sz w:val="32"/>
          <w:szCs w:val="32"/>
        </w:rPr>
      </w:pPr>
    </w:p>
    <w:p>
      <w:pPr>
        <w:pStyle w:val="3"/>
        <w:rPr>
          <w:rFonts w:ascii="仿宋_GB2312" w:eastAsia="仿宋_GB2312"/>
          <w:b/>
          <w:color w:val="000000"/>
          <w:sz w:val="32"/>
          <w:szCs w:val="32"/>
        </w:rPr>
      </w:pPr>
    </w:p>
    <w:p>
      <w:pPr>
        <w:pStyle w:val="3"/>
        <w:rPr>
          <w:rFonts w:ascii="仿宋_GB2312" w:eastAsia="仿宋_GB2312"/>
          <w:b/>
          <w:color w:val="000000"/>
          <w:sz w:val="32"/>
          <w:szCs w:val="32"/>
        </w:rPr>
      </w:pPr>
    </w:p>
    <w:p>
      <w:pPr>
        <w:pStyle w:val="3"/>
        <w:rPr>
          <w:rFonts w:ascii="仿宋_GB2312" w:eastAsia="仿宋_GB2312"/>
          <w:b/>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color w:val="000000"/>
          <w:sz w:val="32"/>
          <w:szCs w:val="32"/>
        </w:rPr>
      </w:pPr>
    </w:p>
    <w:p>
      <w:pPr>
        <w:pStyle w:val="2"/>
      </w:pPr>
    </w:p>
    <w:p>
      <w:pPr>
        <w:numPr>
          <w:ilvl w:val="0"/>
          <w:numId w:val="5"/>
        </w:numPr>
        <w:spacing w:line="600" w:lineRule="exact"/>
        <w:ind w:firstLine="660"/>
        <w:jc w:val="center"/>
        <w:outlineLvl w:val="0"/>
        <w:rPr>
          <w:rStyle w:val="189"/>
          <w:rFonts w:ascii="黑体" w:hAnsi="黑体" w:eastAsia="黑体"/>
        </w:rPr>
      </w:pPr>
      <w:bookmarkStart w:id="46" w:name="_Toc15377225"/>
      <w:bookmarkStart w:id="47" w:name="_Toc15396613"/>
      <w:r>
        <w:rPr>
          <w:rFonts w:hint="eastAsia" w:ascii="黑体" w:hAnsi="黑体" w:eastAsia="黑体"/>
          <w:color w:val="000000"/>
          <w:sz w:val="44"/>
          <w:szCs w:val="44"/>
        </w:rPr>
        <w:t>名</w:t>
      </w:r>
      <w:r>
        <w:rPr>
          <w:rStyle w:val="189"/>
          <w:rFonts w:hint="eastAsia" w:ascii="黑体" w:hAnsi="黑体" w:eastAsia="黑体"/>
        </w:rPr>
        <w:t>词解释</w:t>
      </w:r>
      <w:bookmarkEnd w:id="46"/>
      <w:bookmarkEnd w:id="47"/>
    </w:p>
    <w:p>
      <w:pPr>
        <w:spacing w:line="600" w:lineRule="exact"/>
        <w:jc w:val="left"/>
        <w:rPr>
          <w:rFonts w:ascii="宋体"/>
          <w:b/>
          <w:color w:val="000000"/>
          <w:sz w:val="44"/>
          <w:szCs w:val="44"/>
        </w:rPr>
      </w:pPr>
    </w:p>
    <w:p>
      <w:pPr>
        <w:pStyle w:val="209"/>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Ansi="仿宋"/>
          <w:color w:val="000000"/>
          <w:sz w:val="32"/>
          <w:szCs w:val="32"/>
        </w:rPr>
      </w:pPr>
      <w:r>
        <w:rPr>
          <w:rFonts w:hAnsi="仿宋"/>
          <w:color w:val="000000"/>
          <w:sz w:val="32"/>
          <w:szCs w:val="32"/>
        </w:rPr>
        <w:t>1.</w:t>
      </w:r>
      <w:r>
        <w:rPr>
          <w:rFonts w:hint="eastAsia" w:hAnsi="仿宋"/>
          <w:color w:val="000000"/>
          <w:sz w:val="32"/>
          <w:szCs w:val="32"/>
        </w:rPr>
        <w:t>财政拨款收入：指单位从同级财政部门取得的财政预算资金。</w:t>
      </w:r>
    </w:p>
    <w:p>
      <w:pPr>
        <w:pStyle w:val="209"/>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Ansi="仿宋"/>
          <w:color w:val="000000"/>
          <w:sz w:val="32"/>
          <w:szCs w:val="32"/>
        </w:rPr>
      </w:pPr>
      <w:r>
        <w:rPr>
          <w:rFonts w:hAnsi="仿宋"/>
          <w:color w:val="000000"/>
          <w:sz w:val="32"/>
          <w:szCs w:val="32"/>
        </w:rPr>
        <w:t>2.</w:t>
      </w:r>
      <w:r>
        <w:rPr>
          <w:rFonts w:hint="eastAsia" w:hAnsi="仿宋"/>
          <w:color w:val="000000"/>
          <w:sz w:val="32"/>
          <w:szCs w:val="32"/>
        </w:rPr>
        <w:t>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zh-CN"/>
        </w:rPr>
        <w:t>3</w:t>
      </w:r>
      <w:r>
        <w:rPr>
          <w:rFonts w:ascii="仿宋" w:hAnsi="仿宋" w:eastAsia="仿宋" w:cs="仿宋"/>
          <w:sz w:val="32"/>
          <w:szCs w:val="32"/>
        </w:rPr>
        <w:t>.</w:t>
      </w:r>
      <w:r>
        <w:rPr>
          <w:rFonts w:hint="eastAsia" w:ascii="仿宋" w:hAnsi="仿宋" w:eastAsia="仿宋" w:cs="仿宋"/>
          <w:sz w:val="32"/>
          <w:szCs w:val="32"/>
        </w:rPr>
        <w:t>一般公共服务（类）组织事务（款）一般行政管理事务（项）：指用于人才引进等方面的支出。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sz w:val="32"/>
          <w:szCs w:val="32"/>
          <w:lang w:eastAsia="zh-CN"/>
        </w:rPr>
      </w:pPr>
      <w:r>
        <w:rPr>
          <w:rFonts w:hint="eastAsia" w:ascii="仿宋" w:hAnsi="仿宋" w:eastAsia="仿宋" w:cs="仿宋"/>
          <w:sz w:val="32"/>
          <w:szCs w:val="32"/>
          <w:lang w:val="zh-CN"/>
        </w:rPr>
        <w:t>4</w:t>
      </w:r>
      <w:r>
        <w:rPr>
          <w:rFonts w:ascii="仿宋" w:hAnsi="仿宋" w:eastAsia="仿宋" w:cs="仿宋"/>
          <w:sz w:val="32"/>
          <w:szCs w:val="32"/>
        </w:rPr>
        <w:t>.</w:t>
      </w:r>
      <w:r>
        <w:rPr>
          <w:rFonts w:hint="eastAsia" w:ascii="仿宋" w:hAnsi="仿宋" w:eastAsia="仿宋" w:cs="仿宋"/>
          <w:sz w:val="32"/>
          <w:szCs w:val="32"/>
        </w:rPr>
        <w:t>一般公共服务（类）其他一般行政管理事务（款）其他一般行政管理事务（项）：指用于备战省运会等方面的支出。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zh-CN"/>
        </w:rPr>
        <w:t>5</w:t>
      </w:r>
      <w:r>
        <w:rPr>
          <w:rFonts w:ascii="仿宋" w:hAnsi="仿宋" w:eastAsia="仿宋" w:cs="仿宋"/>
          <w:sz w:val="32"/>
          <w:szCs w:val="32"/>
        </w:rPr>
        <w:t>.</w:t>
      </w:r>
      <w:r>
        <w:rPr>
          <w:rFonts w:hint="eastAsia" w:ascii="仿宋" w:hAnsi="仿宋" w:eastAsia="仿宋" w:cs="仿宋"/>
          <w:sz w:val="32"/>
          <w:szCs w:val="32"/>
        </w:rPr>
        <w:t>教育（类）普通教育（款）初中教育（项）：指各部门举办的初中教育支出。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zh-CN"/>
        </w:rPr>
        <w:t>6</w:t>
      </w:r>
      <w:r>
        <w:rPr>
          <w:rFonts w:ascii="仿宋" w:hAnsi="仿宋" w:eastAsia="仿宋" w:cs="仿宋"/>
          <w:sz w:val="32"/>
          <w:szCs w:val="32"/>
        </w:rPr>
        <w:t>.</w:t>
      </w:r>
      <w:r>
        <w:rPr>
          <w:rFonts w:hint="eastAsia" w:ascii="仿宋" w:hAnsi="仿宋" w:eastAsia="仿宋" w:cs="仿宋"/>
          <w:sz w:val="32"/>
          <w:szCs w:val="32"/>
        </w:rPr>
        <w:t>教育（类）普通教育（款）其他普通教育支出（项）：指除上述项目以外其他用于普通教育方面的支出。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ascii="仿宋" w:hAnsi="仿宋" w:eastAsia="仿宋" w:cs="仿宋"/>
          <w:sz w:val="32"/>
          <w:szCs w:val="32"/>
          <w:lang w:val="zh-CN"/>
        </w:rPr>
        <w:t>7</w:t>
      </w:r>
      <w:r>
        <w:rPr>
          <w:rFonts w:ascii="仿宋" w:hAnsi="仿宋" w:eastAsia="仿宋" w:cs="仿宋"/>
          <w:sz w:val="32"/>
          <w:szCs w:val="32"/>
        </w:rPr>
        <w:t>.</w:t>
      </w:r>
      <w:r>
        <w:rPr>
          <w:rFonts w:hint="eastAsia" w:ascii="仿宋" w:hAnsi="仿宋" w:eastAsia="仿宋" w:cs="仿宋"/>
          <w:sz w:val="32"/>
          <w:szCs w:val="32"/>
        </w:rPr>
        <w:t xml:space="preserve"> 教育（类）教育费附加安排的支出（款）其他教育附加安排的支出（项）：指除上述项目以外其的教育附加支出。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ascii="仿宋" w:hAnsi="仿宋" w:eastAsia="仿宋" w:cs="仿宋"/>
          <w:sz w:val="32"/>
          <w:szCs w:val="32"/>
          <w:lang w:val="zh-CN"/>
        </w:rPr>
        <w:t>8</w:t>
      </w:r>
      <w:r>
        <w:rPr>
          <w:rFonts w:ascii="仿宋" w:hAnsi="仿宋" w:eastAsia="仿宋" w:cs="仿宋"/>
          <w:sz w:val="32"/>
          <w:szCs w:val="32"/>
        </w:rPr>
        <w:t>.</w:t>
      </w:r>
      <w:r>
        <w:rPr>
          <w:rFonts w:hint="eastAsia" w:ascii="仿宋" w:hAnsi="仿宋" w:eastAsia="仿宋" w:cs="仿宋"/>
          <w:sz w:val="32"/>
          <w:szCs w:val="32"/>
        </w:rPr>
        <w:t>教育（类）其他教育支出（款）其他教育支出（项）：指除上述项目以外其他教育支出。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ascii="仿宋" w:hAnsi="仿宋" w:eastAsia="仿宋" w:cs="仿宋"/>
          <w:sz w:val="32"/>
          <w:szCs w:val="32"/>
          <w:lang w:val="zh-CN"/>
        </w:rPr>
        <w:t>9</w:t>
      </w:r>
      <w:r>
        <w:rPr>
          <w:rFonts w:ascii="仿宋" w:hAnsi="仿宋" w:eastAsia="仿宋" w:cs="仿宋"/>
          <w:sz w:val="32"/>
          <w:szCs w:val="32"/>
        </w:rPr>
        <w:t>.</w:t>
      </w:r>
      <w:r>
        <w:rPr>
          <w:rFonts w:hint="eastAsia" w:ascii="仿宋" w:hAnsi="仿宋" w:eastAsia="仿宋" w:cs="仿宋"/>
          <w:sz w:val="32"/>
          <w:szCs w:val="32"/>
        </w:rPr>
        <w:t>社会保障和就业（类）行政事业单位养老（款）机关事业单位基本养老保险缴费支出（项）：指机关事业单位实施养老保险制度由单位缴纳的基本养老保险费支出。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0</w:t>
      </w:r>
      <w:r>
        <w:rPr>
          <w:rFonts w:ascii="仿宋" w:hAnsi="仿宋" w:eastAsia="仿宋" w:cs="仿宋"/>
          <w:sz w:val="32"/>
          <w:szCs w:val="32"/>
        </w:rPr>
        <w:t>.</w:t>
      </w:r>
      <w:r>
        <w:rPr>
          <w:rFonts w:hint="eastAsia" w:ascii="仿宋" w:hAnsi="仿宋" w:eastAsia="仿宋" w:cs="仿宋"/>
          <w:sz w:val="32"/>
          <w:szCs w:val="32"/>
        </w:rPr>
        <w:t>社会保障和就业（类）行政事业单位养老（款）其他行政事业单位养老支出（项）：指除上述项目以外其他用于行政事业单位养老方面的支出。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1</w:t>
      </w:r>
      <w:r>
        <w:rPr>
          <w:rFonts w:ascii="仿宋" w:hAnsi="仿宋" w:eastAsia="仿宋" w:cs="仿宋"/>
          <w:sz w:val="32"/>
          <w:szCs w:val="32"/>
        </w:rPr>
        <w:t>.</w:t>
      </w:r>
      <w:r>
        <w:rPr>
          <w:rFonts w:hint="eastAsia" w:ascii="仿宋" w:hAnsi="仿宋" w:eastAsia="仿宋" w:cs="仿宋"/>
          <w:sz w:val="32"/>
          <w:szCs w:val="32"/>
        </w:rPr>
        <w:t>卫生健康（类）公共卫生（款）突发公共卫生事件应急处理（项）：指用于突发公共卫生事件应急处理的支出。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2</w:t>
      </w:r>
      <w:r>
        <w:rPr>
          <w:rFonts w:ascii="仿宋" w:hAnsi="仿宋" w:eastAsia="仿宋" w:cs="仿宋"/>
          <w:sz w:val="32"/>
          <w:szCs w:val="32"/>
        </w:rPr>
        <w:t>.</w:t>
      </w:r>
      <w:r>
        <w:rPr>
          <w:rFonts w:hint="eastAsia" w:ascii="仿宋" w:hAnsi="仿宋" w:eastAsia="仿宋" w:cs="仿宋"/>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3</w:t>
      </w:r>
      <w:r>
        <w:rPr>
          <w:rFonts w:ascii="仿宋" w:hAnsi="仿宋" w:eastAsia="仿宋" w:cs="仿宋"/>
          <w:sz w:val="32"/>
          <w:szCs w:val="32"/>
        </w:rPr>
        <w:t>.</w:t>
      </w:r>
      <w:r>
        <w:rPr>
          <w:rFonts w:hint="eastAsia" w:ascii="仿宋" w:hAnsi="仿宋" w:eastAsia="仿宋" w:cs="仿宋"/>
          <w:sz w:val="32"/>
          <w:szCs w:val="32"/>
        </w:rPr>
        <w:t xml:space="preserve"> 卫生健康（类）行政事业单位医疗（款）公务员医疗补助（项）：指财政部门集中安排的公务员医疗补助经费。</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4</w:t>
      </w:r>
      <w:r>
        <w:rPr>
          <w:rFonts w:ascii="仿宋" w:hAnsi="仿宋" w:eastAsia="仿宋" w:cs="仿宋"/>
          <w:sz w:val="32"/>
          <w:szCs w:val="32"/>
        </w:rPr>
        <w:t>.</w:t>
      </w:r>
      <w:r>
        <w:rPr>
          <w:rFonts w:hint="eastAsia" w:ascii="仿宋" w:hAnsi="仿宋" w:eastAsia="仿宋" w:cs="仿宋"/>
          <w:sz w:val="32"/>
          <w:szCs w:val="32"/>
        </w:rPr>
        <w:t>住房保障（类）住房改革支出（款）住房公积金（项）：指行政事业单位按人力资源和社会保障部、财政部规定的基本工资和津贴补贴以及规定比便为职工缴纳的住房公积金。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5</w:t>
      </w:r>
      <w:r>
        <w:rPr>
          <w:rFonts w:ascii="仿宋" w:hAnsi="仿宋" w:eastAsia="仿宋" w:cs="仿宋"/>
          <w:sz w:val="32"/>
          <w:szCs w:val="32"/>
        </w:rPr>
        <w:t>.</w:t>
      </w:r>
      <w:r>
        <w:rPr>
          <w:rFonts w:hint="eastAsia" w:ascii="仿宋" w:hAnsi="仿宋" w:eastAsia="仿宋" w:cs="仿宋"/>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6</w:t>
      </w:r>
      <w:r>
        <w:rPr>
          <w:rFonts w:ascii="仿宋" w:hAnsi="仿宋" w:eastAsia="仿宋" w:cs="仿宋"/>
          <w:sz w:val="32"/>
          <w:szCs w:val="32"/>
        </w:rPr>
        <w:t>.</w:t>
      </w:r>
      <w:r>
        <w:rPr>
          <w:rFonts w:hint="eastAsia" w:ascii="仿宋" w:hAnsi="仿宋" w:eastAsia="仿宋" w:cs="仿宋"/>
          <w:sz w:val="32"/>
          <w:szCs w:val="32"/>
        </w:rPr>
        <w:t>项目支出：指在基本支出之外为完成特定行政任务和事业发展目标所发生的支出。</w:t>
      </w:r>
      <w:r>
        <w:rPr>
          <w:rFonts w:ascii="仿宋" w:hAnsi="仿宋" w:eastAsia="仿宋" w:cs="仿宋"/>
          <w:sz w:val="32"/>
          <w:szCs w:val="32"/>
        </w:rPr>
        <w:t xml:space="preserve"> </w:t>
      </w:r>
    </w:p>
    <w:p>
      <w:pPr>
        <w:pStyle w:val="209"/>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Ansi="仿宋"/>
          <w:color w:val="000000"/>
          <w:sz w:val="32"/>
          <w:szCs w:val="32"/>
        </w:rPr>
      </w:pPr>
      <w:r>
        <w:rPr>
          <w:rFonts w:hint="eastAsia" w:hAnsi="仿宋"/>
          <w:color w:val="000000"/>
          <w:sz w:val="32"/>
          <w:szCs w:val="32"/>
          <w:lang w:val="zh-CN"/>
        </w:rPr>
        <w:t>17</w:t>
      </w:r>
      <w:r>
        <w:rPr>
          <w:rFonts w:hAnsi="仿宋"/>
          <w:color w:val="000000"/>
          <w:sz w:val="32"/>
          <w:szCs w:val="32"/>
        </w:rPr>
        <w:t>.</w:t>
      </w:r>
      <w:r>
        <w:rPr>
          <w:rFonts w:hint="eastAsia" w:hAnsi="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方正小标宋简体" w:hAnsi="方正小标宋简体" w:eastAsia="方正小标宋简体" w:cs="方正小标宋简体"/>
          <w:sz w:val="44"/>
          <w:szCs w:val="44"/>
        </w:rPr>
      </w:pPr>
      <w:bookmarkStart w:id="48" w:name="_Toc15377226"/>
      <w:r>
        <w:rPr>
          <w:rFonts w:ascii="宋体"/>
          <w:b/>
          <w:color w:val="000000"/>
          <w:sz w:val="44"/>
          <w:szCs w:val="44"/>
        </w:rPr>
        <w:br w:type="page" w:clear="all"/>
      </w:r>
      <w:bookmarkStart w:id="49" w:name="_Toc15396614"/>
      <w:r>
        <w:rPr>
          <w:rFonts w:hint="eastAsia" w:ascii="黑体" w:hAnsi="黑体" w:eastAsia="黑体"/>
          <w:color w:val="000000"/>
          <w:sz w:val="44"/>
          <w:szCs w:val="44"/>
        </w:rPr>
        <w:t>第</w:t>
      </w:r>
      <w:r>
        <w:rPr>
          <w:rStyle w:val="189"/>
          <w:rFonts w:hint="eastAsia" w:ascii="黑体" w:hAnsi="黑体" w:eastAsia="黑体"/>
        </w:rPr>
        <w:t>四部分</w:t>
      </w:r>
      <w:r>
        <w:rPr>
          <w:rStyle w:val="189"/>
          <w:rFonts w:ascii="黑体" w:hAnsi="黑体" w:eastAsia="黑体"/>
        </w:rPr>
        <w:t xml:space="preserve"> </w:t>
      </w:r>
      <w:r>
        <w:rPr>
          <w:rStyle w:val="189"/>
          <w:rFonts w:hint="eastAsia" w:ascii="黑体" w:hAnsi="黑体" w:eastAsia="黑体"/>
        </w:rPr>
        <w:t>附件</w:t>
      </w:r>
      <w:bookmarkEnd w:id="49"/>
    </w:p>
    <w:p>
      <w:pPr>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jc w:val="center"/>
        <w:textAlignment w:val="auto"/>
        <w:rPr>
          <w:rFonts w:ascii="黑体" w:hAnsi="宋体" w:eastAsia="黑体" w:cs="宋体"/>
          <w:color w:val="000000"/>
          <w:sz w:val="24"/>
          <w:szCs w:val="32"/>
          <w:shd w:val="clear" w:color="auto" w:fill="FFFFFF"/>
        </w:rPr>
      </w:pPr>
      <w:r>
        <w:rPr>
          <w:rFonts w:hint="eastAsia" w:ascii="方正小标宋简体" w:hAnsi="宋体" w:eastAsia="方正小标宋简体"/>
          <w:color w:val="000000"/>
          <w:sz w:val="40"/>
          <w:szCs w:val="44"/>
          <w:lang w:eastAsia="zh-CN"/>
        </w:rPr>
        <w:t>202</w:t>
      </w:r>
      <w:r>
        <w:rPr>
          <w:rFonts w:hint="eastAsia" w:ascii="方正小标宋简体" w:hAnsi="宋体" w:eastAsia="方正小标宋简体"/>
          <w:color w:val="000000"/>
          <w:sz w:val="40"/>
          <w:szCs w:val="44"/>
          <w:lang w:val="en-US" w:eastAsia="zh-CN"/>
        </w:rPr>
        <w:t>4</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pPr>
        <w:pStyle w:val="193"/>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22</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lang w:val="en-US" w:eastAsia="zh-CN"/>
        </w:rPr>
        <w:t>27</w:t>
      </w:r>
      <w:r>
        <w:rPr>
          <w:rFonts w:hint="eastAsia" w:ascii="仿宋_GB2312" w:hAnsi="宋体" w:eastAsia="仿宋_GB2312" w:cs="宋体"/>
          <w:color w:val="000000"/>
          <w:sz w:val="32"/>
          <w:szCs w:val="32"/>
          <w:shd w:val="clear" w:color="auto" w:fill="FFFFFF"/>
          <w:lang w:val="zh-CN"/>
        </w:rPr>
        <w:t>人，遗属</w:t>
      </w:r>
      <w:r>
        <w:rPr>
          <w:rFonts w:hint="eastAsia" w:ascii="仿宋_GB2312" w:hAnsi="宋体" w:eastAsia="仿宋_GB2312" w:cs="宋体"/>
          <w:color w:val="000000"/>
          <w:sz w:val="32"/>
          <w:szCs w:val="32"/>
          <w:shd w:val="clear" w:color="auto" w:fill="FFFFFF"/>
          <w:lang w:val="en-US" w:eastAsia="zh-CN"/>
        </w:rPr>
        <w:t>2</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lang w:val="en-US" w:eastAsia="zh-CN"/>
        </w:rPr>
        <w:t>124</w:t>
      </w:r>
      <w:r>
        <w:rPr>
          <w:rFonts w:hint="eastAsia" w:ascii="仿宋_GB2312" w:hAnsi="宋体" w:eastAsia="仿宋_GB2312" w:cs="宋体"/>
          <w:color w:val="000000"/>
          <w:sz w:val="32"/>
          <w:szCs w:val="32"/>
          <w:shd w:val="clear" w:color="auto" w:fill="FFFFFF"/>
          <w:lang w:val="zh-CN"/>
        </w:rPr>
        <w:t>人。</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453.25</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453.25</w:t>
      </w:r>
      <w:r>
        <w:rPr>
          <w:rFonts w:hint="eastAsia" w:ascii="仿宋_GB2312" w:hAnsi="宋体" w:eastAsia="仿宋_GB2312" w:cs="宋体"/>
          <w:color w:val="000000"/>
          <w:sz w:val="32"/>
          <w:szCs w:val="32"/>
          <w:shd w:val="clear" w:color="auto" w:fill="FFFFFF"/>
          <w:lang w:val="zh-CN"/>
        </w:rPr>
        <w:t>万元。</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执行，完善内控制度。严格按财经规章制度执行经费支出。保障学校正常运转，提升公用经费使用效益。</w:t>
      </w:r>
    </w:p>
    <w:p>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0"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0"/>
    </w:p>
    <w:p>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pPr>
        <w:keepNext w:val="0"/>
        <w:keepLines w:val="0"/>
        <w:pageBreakBefore w:val="0"/>
        <w:widowControl w:val="0"/>
        <w:kinsoku/>
        <w:wordWrap/>
        <w:overflowPunct/>
        <w:topLinePunct w:val="0"/>
        <w:autoSpaceDE/>
        <w:autoSpaceDN/>
        <w:bidi w:val="0"/>
        <w:adjustRightInd/>
        <w:snapToGrid/>
        <w:spacing w:before="361" w:beforeLines="100" w:line="58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附件：1、部门整体支出绩效自评表</w:t>
      </w:r>
    </w:p>
    <w:p>
      <w:pPr>
        <w:spacing w:line="58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2、部门预算项目支出绩效自评表（2024年度）</w:t>
      </w:r>
    </w:p>
    <w:p>
      <w:pPr>
        <w:spacing w:line="580" w:lineRule="exact"/>
        <w:ind w:firstLine="640"/>
        <w:rPr>
          <w:rFonts w:hint="eastAsia" w:ascii="仿宋_GB2312" w:hAnsi="仿宋_GB2312" w:eastAsia="仿宋_GB2312" w:cs="仿宋_GB2312"/>
          <w:sz w:val="32"/>
          <w:szCs w:val="32"/>
          <w:lang w:val="en-US" w:eastAsia="zh-CN"/>
        </w:rPr>
      </w:pPr>
    </w:p>
    <w:tbl>
      <w:tblPr>
        <w:tblStyle w:val="31"/>
        <w:tblW w:w="5000" w:type="pct"/>
        <w:jc w:val="center"/>
        <w:tblLayout w:type="autofit"/>
        <w:tblCellMar>
          <w:top w:w="0" w:type="dxa"/>
          <w:left w:w="108" w:type="dxa"/>
          <w:bottom w:w="0" w:type="dxa"/>
          <w:right w:w="108" w:type="dxa"/>
        </w:tblCellMar>
      </w:tblPr>
      <w:tblGrid>
        <w:gridCol w:w="699"/>
        <w:gridCol w:w="736"/>
        <w:gridCol w:w="1162"/>
        <w:gridCol w:w="456"/>
        <w:gridCol w:w="1390"/>
        <w:gridCol w:w="3154"/>
        <w:gridCol w:w="609"/>
        <w:gridCol w:w="558"/>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33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spacing w:line="580" w:lineRule="exact"/>
        <w:rPr>
          <w:rFonts w:ascii="仿宋_GB2312" w:hAnsi="仿宋_GB2312" w:eastAsia="仿宋_GB2312" w:cs="仿宋_GB2312"/>
          <w:sz w:val="32"/>
          <w:szCs w:val="32"/>
        </w:rPr>
      </w:pPr>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03"/>
        <w:gridCol w:w="931"/>
        <w:gridCol w:w="1239"/>
        <w:gridCol w:w="396"/>
        <w:gridCol w:w="870"/>
        <w:gridCol w:w="396"/>
        <w:gridCol w:w="847"/>
        <w:gridCol w:w="486"/>
        <w:gridCol w:w="487"/>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198"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bookmarkStart w:id="51" w:name="_Toc15396618"/>
            <w:r>
              <w:rPr>
                <w:rFonts w:hint="default" w:ascii="宋体" w:hAnsi="宋体" w:eastAsia="宋体" w:cs="宋体"/>
                <w:i w:val="0"/>
                <w:iCs w:val="0"/>
                <w:color w:val="C0C0C0"/>
                <w:kern w:val="0"/>
                <w:sz w:val="20"/>
                <w:szCs w:val="20"/>
                <w:u w:val="none"/>
                <w:lang w:val="en-US" w:eastAsia="zh-CN" w:bidi="ar"/>
              </w:rPr>
              <w:t>报表编号：510000_0013zp</w:t>
            </w:r>
          </w:p>
        </w:tc>
        <w:tc>
          <w:tcPr>
            <w:tcW w:w="22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p>
            <w:pPr>
              <w:pStyle w:val="3"/>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遂宁市安居区拦江镇马河小学校部门</w:t>
            </w:r>
          </w:p>
        </w:tc>
        <w:tc>
          <w:tcPr>
            <w:tcW w:w="48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0.69</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0.69</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0.69</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0.69</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17"/>
                <w:lang w:val="en-US" w:eastAsia="zh-CN" w:bidi="ar"/>
              </w:rPr>
              <w:t xml:space="preserve">   </w:t>
            </w:r>
            <w:r>
              <w:rPr>
                <w:rStyle w:val="218"/>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因留守儿童多，父母外出务工，爷爷奶奶对银行卡记录不</w:t>
            </w:r>
            <w:r>
              <w:rPr>
                <w:rFonts w:hint="eastAsia" w:ascii="宋体" w:hAnsi="宋体" w:cs="宋体"/>
                <w:i w:val="0"/>
                <w:iCs w:val="0"/>
                <w:color w:val="000000"/>
                <w:kern w:val="0"/>
                <w:sz w:val="18"/>
                <w:szCs w:val="18"/>
                <w:u w:val="none"/>
                <w:lang w:val="en-US" w:eastAsia="zh-CN" w:bidi="ar"/>
              </w:rPr>
              <w:t>熟悉</w:t>
            </w:r>
            <w:r>
              <w:rPr>
                <w:rFonts w:hint="eastAsia" w:ascii="宋体" w:hAnsi="宋体" w:eastAsia="宋体" w:cs="宋体"/>
                <w:i w:val="0"/>
                <w:iCs w:val="0"/>
                <w:color w:val="000000"/>
                <w:kern w:val="0"/>
                <w:sz w:val="18"/>
                <w:szCs w:val="18"/>
                <w:u w:val="none"/>
                <w:lang w:val="en-US" w:eastAsia="zh-CN" w:bidi="ar"/>
              </w:rPr>
              <w:t>，对自己孩子享有的助学金额不清楚。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进一步加强教育资助政策宣传及资助情况的反馈公示。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项目负责人：王成华</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遂宁市安居区拦江镇马河小学校部门</w:t>
            </w:r>
          </w:p>
        </w:tc>
        <w:tc>
          <w:tcPr>
            <w:tcW w:w="48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0.75</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0.75</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建设进度与申报资金计划不一致。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按需申报资金、及时发放。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项目负责人：王成华</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财务负责人：张传军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遂宁市安居区拦江镇马河小学校部门</w:t>
            </w:r>
          </w:p>
        </w:tc>
        <w:tc>
          <w:tcPr>
            <w:tcW w:w="48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计划资金有时与学生实有人员有差异。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提高预算精准度、及时申报支付。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项目负责人：王成华</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51090424T000011170084-辞退民师定额养老困难补助费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遂宁市安居区拦江镇马河小学校部门</w:t>
            </w:r>
          </w:p>
        </w:tc>
        <w:tc>
          <w:tcPr>
            <w:tcW w:w="48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严格执行相关政策，严格按需申报预算资金，及时支付，保障补助支出。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严格执行相关政策，按需申报，及时发放。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0.86</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0.86</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0.86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绩效目标实现指标自评得分100.00分，自评等次为：优，严格执行相关政策，按要求支付，保障生活补助及时、足额发放。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部分辞退民师年龄过大，核定其生存状况有难度。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及时按需申报、足额发放。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项目负责人：王成华</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51090425T000013013564-义教免作业本费（省市区级）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遂宁市安居区拦江镇马河小学校部门</w:t>
            </w:r>
          </w:p>
        </w:tc>
        <w:tc>
          <w:tcPr>
            <w:tcW w:w="48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0.15</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0.15</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计划资金有时与学生实有人员有差异。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提高预算精准度、及时申报支付。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项目负责人：王成华</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遂宁市安居区拦江镇马河小学校部门</w:t>
            </w:r>
          </w:p>
        </w:tc>
        <w:tc>
          <w:tcPr>
            <w:tcW w:w="48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遂宁市安居区拦江镇马河小学校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8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0.53</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0.53</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0.53</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0.53</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17"/>
                <w:lang w:val="en-US" w:eastAsia="zh-CN" w:bidi="ar"/>
              </w:rPr>
              <w:t xml:space="preserve">   </w:t>
            </w:r>
            <w:r>
              <w:rPr>
                <w:rStyle w:val="218"/>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因留守儿童多，父母外出务工，爷爷奶奶对银行卡记录</w:t>
            </w:r>
            <w:bookmarkStart w:id="52" w:name="_GoBack"/>
            <w:bookmarkEnd w:id="52"/>
            <w:r>
              <w:rPr>
                <w:rFonts w:hint="eastAsia" w:ascii="宋体" w:hAnsi="宋体" w:cs="宋体"/>
                <w:i w:val="0"/>
                <w:iCs w:val="0"/>
                <w:color w:val="000000"/>
                <w:kern w:val="0"/>
                <w:sz w:val="18"/>
                <w:szCs w:val="18"/>
                <w:u w:val="none"/>
                <w:lang w:val="en-US" w:eastAsia="zh-CN" w:bidi="ar"/>
              </w:rPr>
              <w:t>不熟悉</w:t>
            </w:r>
            <w:r>
              <w:rPr>
                <w:rFonts w:hint="eastAsia" w:ascii="宋体" w:hAnsi="宋体" w:eastAsia="宋体" w:cs="宋体"/>
                <w:i w:val="0"/>
                <w:iCs w:val="0"/>
                <w:color w:val="000000"/>
                <w:kern w:val="0"/>
                <w:sz w:val="18"/>
                <w:szCs w:val="18"/>
                <w:u w:val="none"/>
                <w:lang w:val="en-US" w:eastAsia="zh-CN" w:bidi="ar"/>
              </w:rPr>
              <w:t>，对自己孩子享有的助学金额不清楚。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进一步加强教育资助政策宣传及资助情况的反馈公示。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Style w:val="216"/>
                <w:lang w:val="en-US" w:eastAsia="zh-CN" w:bidi="ar"/>
              </w:rPr>
              <w:t>项目负责人：王成华</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both"/>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3"/>
        <w:rPr>
          <w:rFonts w:hint="eastAsia" w:ascii="黑体" w:hAnsi="黑体" w:eastAsia="黑体"/>
          <w:color w:val="000000"/>
          <w:sz w:val="44"/>
          <w:szCs w:val="44"/>
        </w:rPr>
      </w:pPr>
    </w:p>
    <w:p>
      <w:pPr>
        <w:pStyle w:val="3"/>
        <w:rPr>
          <w:rFonts w:hint="eastAsia" w:ascii="黑体" w:hAnsi="黑体" w:eastAsia="黑体"/>
          <w:color w:val="000000"/>
          <w:sz w:val="44"/>
          <w:szCs w:val="44"/>
        </w:rPr>
      </w:pPr>
    </w:p>
    <w:p>
      <w:pPr>
        <w:pStyle w:val="3"/>
        <w:rPr>
          <w:rFonts w:hint="eastAsia" w:ascii="黑体" w:hAnsi="黑体" w:eastAsia="黑体"/>
          <w:color w:val="000000"/>
          <w:sz w:val="44"/>
          <w:szCs w:val="44"/>
        </w:rPr>
      </w:pPr>
    </w:p>
    <w:p>
      <w:pPr>
        <w:pStyle w:val="3"/>
        <w:rPr>
          <w:rFonts w:hint="eastAsia" w:ascii="黑体" w:hAnsi="黑体" w:eastAsia="黑体"/>
          <w:color w:val="000000"/>
          <w:sz w:val="44"/>
          <w:szCs w:val="44"/>
        </w:rPr>
      </w:pPr>
    </w:p>
    <w:p>
      <w:pPr>
        <w:pStyle w:val="3"/>
        <w:rPr>
          <w:rFonts w:hint="eastAsia" w:ascii="黑体" w:hAnsi="黑体" w:eastAsia="黑体"/>
          <w:color w:val="000000"/>
          <w:sz w:val="44"/>
          <w:szCs w:val="44"/>
        </w:rPr>
      </w:pPr>
    </w:p>
    <w:p>
      <w:pPr>
        <w:spacing w:line="600" w:lineRule="exact"/>
        <w:jc w:val="center"/>
        <w:outlineLvl w:val="0"/>
        <w:rPr>
          <w:highlight w:val="none"/>
        </w:rPr>
      </w:pPr>
      <w:r>
        <w:rPr>
          <w:rFonts w:hint="eastAsia" w:ascii="黑体" w:hAnsi="黑体" w:eastAsia="黑体"/>
          <w:color w:val="000000"/>
          <w:sz w:val="44"/>
          <w:szCs w:val="44"/>
        </w:rPr>
        <w:t>第</w:t>
      </w:r>
      <w:r>
        <w:rPr>
          <w:rStyle w:val="189"/>
          <w:rFonts w:hint="eastAsia" w:ascii="黑体" w:hAnsi="黑体" w:eastAsia="黑体"/>
        </w:rPr>
        <w:t>五部分</w:t>
      </w:r>
      <w:r>
        <w:rPr>
          <w:rStyle w:val="189"/>
          <w:rFonts w:ascii="黑体" w:hAnsi="黑体" w:eastAsia="黑体"/>
        </w:rPr>
        <w:t xml:space="preserve"> </w:t>
      </w:r>
      <w:r>
        <w:rPr>
          <w:rStyle w:val="189"/>
          <w:rFonts w:hint="eastAsia" w:ascii="黑体" w:hAnsi="黑体" w:eastAsia="黑体"/>
        </w:rPr>
        <w:t>附表</w:t>
      </w:r>
      <w:bookmarkEnd w:id="48"/>
      <w:bookmarkEnd w:id="51"/>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一、收入支出决算总表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二、收入决算表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三、支出决算表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四、财政拨款收入支出决算总表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五、财政拨款支出决算明细表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六、一般公共预算财政拨款支出决算表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七、一般公共预算财政拨款支出决算明细表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八、一般公共预算财政拨款基本支出决算表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九、一般公共预算财政拨款项目支出决算表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十、政府性基金预算财政拨款收入支出决算表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十一、国有资本经营预算财政拨款收入支出决算表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十二、国有资本经营预算财政拨款支出决算表</w:t>
      </w:r>
    </w:p>
    <w:p>
      <w:pPr>
        <w:pStyle w:val="6"/>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十三、</w:t>
      </w:r>
      <w:bookmarkEnd w:id="0"/>
      <w:r>
        <w:rPr>
          <w:rFonts w:hint="eastAsia" w:ascii="仿宋_GB2312" w:hAnsi="仿宋_GB2312" w:eastAsia="仿宋_GB2312" w:cs="仿宋_GB2312"/>
          <w:color w:val="auto"/>
          <w:sz w:val="32"/>
          <w:szCs w:val="32"/>
          <w:highlight w:val="none"/>
          <w:lang w:val="en-US" w:eastAsia="zh-CN" w:bidi="ar-SA"/>
        </w:rPr>
        <w:t>财政拨款“三公”经费支出决算表</w:t>
      </w:r>
    </w:p>
    <w:p>
      <w:pPr>
        <w:pStyle w:val="184"/>
        <w:rPr>
          <w:rStyle w:val="190"/>
          <w:rFonts w:hint="eastAsia"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Candara"/>
    <w:panose1 w:val="020E0502030303020204"/>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andara">
    <w:panose1 w:val="020E0502030303020204"/>
    <w:charset w:val="00"/>
    <w:family w:val="auto"/>
    <w:pitch w:val="default"/>
    <w:sig w:usb0="A00002EF" w:usb1="4000A44B" w:usb2="00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8"/>
      <w:jc w:val="center"/>
    </w:pPr>
    <w:r>
      <w:fldChar w:fldCharType="begin"/>
    </w:r>
    <w:r>
      <w:instrText xml:space="preserve">PAGE   \* MERGEFORMAT</w:instrText>
    </w:r>
    <w:r>
      <w:fldChar w:fldCharType="separate"/>
    </w:r>
    <w:r>
      <w:rPr>
        <w:lang w:val="zh-CN"/>
      </w:rPr>
      <w:t>19</w:t>
    </w:r>
    <w:r>
      <w:fldChar w:fldCharType="end"/>
    </w:r>
  </w:p>
  <w:p>
    <w:pPr>
      <w:pStyle w:val="19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3"/>
      <w:numFmt w:val="decimal"/>
      <w:lvlText w:val="%1."/>
      <w:lvlJc w:val="left"/>
      <w:pPr>
        <w:tabs>
          <w:tab w:val="left" w:pos="312"/>
        </w:tabs>
      </w:pPr>
      <w:rPr>
        <w:rFonts w:hint="default"/>
        <w:sz w:val="36"/>
        <w:szCs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E3A242CA"/>
    <w:multiLevelType w:val="singleLevel"/>
    <w:tmpl w:val="E3A242CA"/>
    <w:lvl w:ilvl="0" w:tentative="0">
      <w:start w:val="1"/>
      <w:numFmt w:val="decimal"/>
      <w:lvlText w:val="%1."/>
      <w:lvlJc w:val="left"/>
      <w:pPr>
        <w:tabs>
          <w:tab w:val="left" w:pos="312"/>
        </w:tabs>
      </w:pPr>
    </w:lvl>
  </w:abstractNum>
  <w:abstractNum w:abstractNumId="3">
    <w:nsid w:val="0053208E"/>
    <w:multiLevelType w:val="multilevel"/>
    <w:tmpl w:val="0053208E"/>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59ADCABA"/>
    <w:multiLevelType w:val="multilevel"/>
    <w:tmpl w:val="59ADCABA"/>
    <w:lvl w:ilvl="0" w:tentative="0">
      <w:start w:val="9"/>
      <w:numFmt w:val="chineseCounting"/>
      <w:suff w:val="nothing"/>
      <w:lvlText w:val="%1、"/>
      <w:lvlJc w:val="left"/>
      <w:rPr>
        <w:rFonts w:hint="eastAsia"/>
        <w:b/>
        <w:bCs/>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YzIwNzM1YTI5ZWEzN2I3ZGJmZWIyMjNlMjhlYzMifQ=="/>
  </w:docVars>
  <w:rsids>
    <w:rsidRoot w:val="00000000"/>
    <w:rsid w:val="09304B4A"/>
    <w:rsid w:val="0A602CFF"/>
    <w:rsid w:val="1281781A"/>
    <w:rsid w:val="16B72009"/>
    <w:rsid w:val="26E054C2"/>
    <w:rsid w:val="280E42B1"/>
    <w:rsid w:val="312B42EA"/>
    <w:rsid w:val="31630496"/>
    <w:rsid w:val="3D511140"/>
    <w:rsid w:val="3DC049AF"/>
    <w:rsid w:val="40843764"/>
    <w:rsid w:val="40C54BBF"/>
    <w:rsid w:val="43E611A4"/>
    <w:rsid w:val="491D575A"/>
    <w:rsid w:val="4B8B4DF8"/>
    <w:rsid w:val="522F1934"/>
    <w:rsid w:val="55E5368C"/>
    <w:rsid w:val="58857EC6"/>
    <w:rsid w:val="593A3A18"/>
    <w:rsid w:val="599C2C1B"/>
    <w:rsid w:val="59F71550"/>
    <w:rsid w:val="5B5F3859"/>
    <w:rsid w:val="65740A89"/>
    <w:rsid w:val="67CE5982"/>
    <w:rsid w:val="691205D0"/>
    <w:rsid w:val="6F563B40"/>
    <w:rsid w:val="78283BA0"/>
    <w:rsid w:val="7C9A5CF7"/>
    <w:rsid w:val="7E717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8"/>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5">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80"/>
    <w:semiHidden/>
    <w:unhideWhenUsed/>
    <w:qFormat/>
    <w:uiPriority w:val="99"/>
    <w:pPr>
      <w:spacing w:after="40" w:line="240" w:lineRule="auto"/>
    </w:pPr>
    <w:rPr>
      <w:sz w:val="18"/>
    </w:rPr>
  </w:style>
  <w:style w:type="paragraph" w:styleId="3">
    <w:name w:val="Body Text First Indent 2"/>
    <w:basedOn w:val="4"/>
    <w:unhideWhenUsed/>
    <w:qFormat/>
    <w:uiPriority w:val="99"/>
    <w:pPr>
      <w:ind w:firstLine="420"/>
    </w:pPr>
  </w:style>
  <w:style w:type="paragraph" w:styleId="4">
    <w:name w:val="Body Text Indent"/>
    <w:basedOn w:val="1"/>
    <w:next w:val="3"/>
    <w:qFormat/>
    <w:uiPriority w:val="0"/>
    <w:pPr>
      <w:spacing w:after="120"/>
    </w:pPr>
    <w:rPr>
      <w:rFonts w:ascii="仿宋_GB2312"/>
      <w:szCs w:val="32"/>
    </w:r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Body Text"/>
    <w:basedOn w:val="1"/>
    <w:qFormat/>
    <w:uiPriority w:val="0"/>
    <w:pPr>
      <w:spacing w:before="0" w:after="140" w:line="276" w:lineRule="auto"/>
    </w:p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1"/>
    <w:semiHidden/>
    <w:unhideWhenUsed/>
    <w:qFormat/>
    <w:uiPriority w:val="99"/>
    <w:pPr>
      <w:spacing w:after="0" w:line="240" w:lineRule="auto"/>
    </w:pPr>
    <w:rPr>
      <w:sz w:val="20"/>
    </w:rPr>
  </w:style>
  <w:style w:type="paragraph" w:styleId="21">
    <w:name w:val="footer"/>
    <w:basedOn w:val="1"/>
    <w:link w:val="54"/>
    <w:unhideWhenUsed/>
    <w:qFormat/>
    <w:uiPriority w:val="99"/>
    <w:pPr>
      <w:tabs>
        <w:tab w:val="center" w:pos="7143"/>
        <w:tab w:val="right" w:pos="14287"/>
      </w:tabs>
      <w:spacing w:after="0" w:line="240" w:lineRule="auto"/>
    </w:pPr>
  </w:style>
  <w:style w:type="paragraph" w:styleId="22">
    <w:name w:val="header"/>
    <w:basedOn w:val="1"/>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49"/>
    <w:qFormat/>
    <w:uiPriority w:val="11"/>
    <w:pPr>
      <w:spacing w:before="200" w:after="200"/>
    </w:pPr>
    <w:rPr>
      <w:sz w:val="24"/>
      <w:szCs w:val="24"/>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99"/>
    <w:rPr>
      <w:b/>
    </w:r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character" w:customStyle="1" w:styleId="38">
    <w:name w:val="Heading 1 Char"/>
    <w:link w:val="5"/>
    <w:qFormat/>
    <w:uiPriority w:val="9"/>
    <w:rPr>
      <w:rFonts w:ascii="Arial" w:hAnsi="Arial" w:eastAsia="Arial" w:cs="Arial"/>
      <w:sz w:val="40"/>
      <w:szCs w:val="40"/>
    </w:rPr>
  </w:style>
  <w:style w:type="character" w:customStyle="1" w:styleId="39">
    <w:name w:val="Heading 2 Char"/>
    <w:link w:val="6"/>
    <w:qFormat/>
    <w:uiPriority w:val="9"/>
    <w:rPr>
      <w:rFonts w:ascii="Arial" w:hAnsi="Arial" w:eastAsia="Arial" w:cs="Arial"/>
      <w:sz w:val="34"/>
    </w:rPr>
  </w:style>
  <w:style w:type="character" w:customStyle="1" w:styleId="40">
    <w:name w:val="Heading 3 Char"/>
    <w:link w:val="7"/>
    <w:qFormat/>
    <w:uiPriority w:val="9"/>
    <w:rPr>
      <w:rFonts w:ascii="Arial" w:hAnsi="Arial" w:eastAsia="Arial" w:cs="Arial"/>
      <w:sz w:val="30"/>
      <w:szCs w:val="30"/>
    </w:rPr>
  </w:style>
  <w:style w:type="character" w:customStyle="1" w:styleId="41">
    <w:name w:val="Heading 4 Char"/>
    <w:link w:val="8"/>
    <w:qFormat/>
    <w:uiPriority w:val="9"/>
    <w:rPr>
      <w:rFonts w:ascii="Arial" w:hAnsi="Arial" w:eastAsia="Arial" w:cs="Arial"/>
      <w:b/>
      <w:bCs/>
      <w:sz w:val="26"/>
      <w:szCs w:val="26"/>
    </w:rPr>
  </w:style>
  <w:style w:type="character" w:customStyle="1" w:styleId="42">
    <w:name w:val="Heading 5 Char"/>
    <w:link w:val="9"/>
    <w:qFormat/>
    <w:uiPriority w:val="9"/>
    <w:rPr>
      <w:rFonts w:ascii="Arial" w:hAnsi="Arial" w:eastAsia="Arial" w:cs="Arial"/>
      <w:b/>
      <w:bCs/>
      <w:sz w:val="24"/>
      <w:szCs w:val="24"/>
    </w:rPr>
  </w:style>
  <w:style w:type="character" w:customStyle="1" w:styleId="43">
    <w:name w:val="Heading 6 Char"/>
    <w:link w:val="10"/>
    <w:qFormat/>
    <w:uiPriority w:val="9"/>
    <w:rPr>
      <w:rFonts w:ascii="Arial" w:hAnsi="Arial" w:eastAsia="Arial" w:cs="Arial"/>
      <w:b/>
      <w:bCs/>
      <w:sz w:val="22"/>
      <w:szCs w:val="22"/>
    </w:rPr>
  </w:style>
  <w:style w:type="character" w:customStyle="1" w:styleId="44">
    <w:name w:val="Heading 7 Char"/>
    <w:link w:val="11"/>
    <w:qFormat/>
    <w:uiPriority w:val="9"/>
    <w:rPr>
      <w:rFonts w:ascii="Arial" w:hAnsi="Arial" w:eastAsia="Arial" w:cs="Arial"/>
      <w:b/>
      <w:bCs/>
      <w:i/>
      <w:iCs/>
      <w:sz w:val="22"/>
      <w:szCs w:val="22"/>
    </w:rPr>
  </w:style>
  <w:style w:type="character" w:customStyle="1" w:styleId="45">
    <w:name w:val="Heading 8 Char"/>
    <w:link w:val="12"/>
    <w:qFormat/>
    <w:uiPriority w:val="9"/>
    <w:rPr>
      <w:rFonts w:ascii="Arial" w:hAnsi="Arial" w:eastAsia="Arial" w:cs="Arial"/>
      <w:i/>
      <w:iCs/>
      <w:sz w:val="22"/>
      <w:szCs w:val="22"/>
    </w:rPr>
  </w:style>
  <w:style w:type="character" w:customStyle="1" w:styleId="46">
    <w:name w:val="Heading 9 Char"/>
    <w:link w:val="13"/>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5"/>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Caption Char"/>
    <w:link w:val="21"/>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
    <w:qFormat/>
    <w:uiPriority w:val="99"/>
    <w:rPr>
      <w:sz w:val="18"/>
    </w:rPr>
  </w:style>
  <w:style w:type="character" w:customStyle="1" w:styleId="181">
    <w:name w:val="Endnote Text Char"/>
    <w:link w:val="20"/>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link w:val="189"/>
    <w:qFormat/>
    <w:uiPriority w:val="9"/>
    <w:pPr>
      <w:keepNext/>
      <w:keepLines/>
      <w:spacing w:before="340" w:after="330" w:line="578" w:lineRule="auto"/>
      <w:outlineLvl w:val="0"/>
    </w:pPr>
    <w:rPr>
      <w:b/>
      <w:bCs/>
      <w:sz w:val="44"/>
      <w:szCs w:val="44"/>
    </w:rPr>
  </w:style>
  <w:style w:type="paragraph" w:customStyle="1" w:styleId="184">
    <w:name w:val="标题 21"/>
    <w:basedOn w:val="1"/>
    <w:next w:val="1"/>
    <w:link w:val="190"/>
    <w:qFormat/>
    <w:uiPriority w:val="9"/>
    <w:pPr>
      <w:keepNext/>
      <w:keepLines/>
      <w:spacing w:before="260" w:after="260" w:line="416" w:lineRule="auto"/>
      <w:outlineLvl w:val="1"/>
    </w:pPr>
    <w:rPr>
      <w:rFonts w:ascii="Cambria" w:hAnsi="Cambria"/>
      <w:b/>
      <w:bCs/>
      <w:sz w:val="32"/>
      <w:szCs w:val="32"/>
    </w:rPr>
  </w:style>
  <w:style w:type="paragraph" w:customStyle="1" w:styleId="185">
    <w:name w:val="标题 31"/>
    <w:basedOn w:val="1"/>
    <w:next w:val="1"/>
    <w:link w:val="191"/>
    <w:qFormat/>
    <w:uiPriority w:val="9"/>
    <w:pPr>
      <w:keepNext/>
      <w:keepLines/>
      <w:spacing w:before="260" w:after="260" w:line="416" w:lineRule="auto"/>
      <w:outlineLvl w:val="2"/>
    </w:pPr>
    <w:rPr>
      <w:b/>
      <w:bCs/>
      <w:sz w:val="32"/>
      <w:szCs w:val="32"/>
    </w:rPr>
  </w:style>
  <w:style w:type="paragraph" w:customStyle="1" w:styleId="186">
    <w:name w:val="标题 41"/>
    <w:basedOn w:val="1"/>
    <w:next w:val="1"/>
    <w:link w:val="192"/>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7">
    <w:name w:val="默认段落字体1"/>
    <w:link w:val="1"/>
    <w:unhideWhenUsed/>
    <w:qFormat/>
    <w:uiPriority w:val="1"/>
  </w:style>
  <w:style w:type="table" w:customStyle="1" w:styleId="188">
    <w:name w:val="普通表格1"/>
    <w:unhideWhenUsed/>
    <w:qFormat/>
    <w:uiPriority w:val="99"/>
  </w:style>
  <w:style w:type="character" w:customStyle="1" w:styleId="189">
    <w:name w:val="标题 1 字符"/>
    <w:link w:val="183"/>
    <w:qFormat/>
    <w:uiPriority w:val="9"/>
    <w:rPr>
      <w:rFonts w:ascii="Times New Roman" w:hAnsi="Times New Roman" w:cs="Times New Roman"/>
      <w:b/>
      <w:bCs/>
      <w:sz w:val="44"/>
      <w:szCs w:val="44"/>
    </w:rPr>
  </w:style>
  <w:style w:type="character" w:customStyle="1" w:styleId="190">
    <w:name w:val="标题 2 字符"/>
    <w:link w:val="184"/>
    <w:qFormat/>
    <w:uiPriority w:val="9"/>
    <w:rPr>
      <w:rFonts w:ascii="Cambria" w:hAnsi="Cambria" w:eastAsia="宋体" w:cs="Times New Roman"/>
      <w:b/>
      <w:bCs/>
      <w:sz w:val="32"/>
      <w:szCs w:val="32"/>
    </w:rPr>
  </w:style>
  <w:style w:type="character" w:customStyle="1" w:styleId="191">
    <w:name w:val="标题 3 字符"/>
    <w:link w:val="185"/>
    <w:qFormat/>
    <w:uiPriority w:val="9"/>
    <w:rPr>
      <w:rFonts w:ascii="Times New Roman" w:hAnsi="Times New Roman" w:cs="Times New Roman"/>
      <w:b/>
      <w:bCs/>
      <w:sz w:val="32"/>
      <w:szCs w:val="32"/>
    </w:rPr>
  </w:style>
  <w:style w:type="character" w:customStyle="1" w:styleId="192">
    <w:name w:val="标题 4 字符"/>
    <w:link w:val="186"/>
    <w:qFormat/>
    <w:uiPriority w:val="9"/>
    <w:rPr>
      <w:rFonts w:ascii="等线 Light" w:hAnsi="等线 Light" w:eastAsia="等线 Light" w:cs="Times New Roman"/>
      <w:b/>
      <w:bCs/>
      <w:sz w:val="28"/>
      <w:szCs w:val="28"/>
    </w:rPr>
  </w:style>
  <w:style w:type="paragraph" w:customStyle="1" w:styleId="193">
    <w:name w:val="正文文本1"/>
    <w:basedOn w:val="1"/>
    <w:link w:val="213"/>
    <w:qFormat/>
    <w:uiPriority w:val="99"/>
    <w:rPr>
      <w:rFonts w:ascii="仿宋_GB2312" w:eastAsia="仿宋_GB2312"/>
      <w:sz w:val="24"/>
      <w:szCs w:val="20"/>
    </w:rPr>
  </w:style>
  <w:style w:type="character" w:customStyle="1" w:styleId="194">
    <w:name w:val="正文文本 字符"/>
    <w:link w:val="193"/>
    <w:qFormat/>
    <w:uiPriority w:val="99"/>
    <w:rPr>
      <w:rFonts w:ascii="仿宋_GB2312" w:hAnsi="Times New Roman" w:eastAsia="仿宋_GB2312"/>
      <w:sz w:val="24"/>
    </w:rPr>
  </w:style>
  <w:style w:type="paragraph" w:customStyle="1" w:styleId="195">
    <w:name w:val="目录 31"/>
    <w:basedOn w:val="1"/>
    <w:next w:val="1"/>
    <w:unhideWhenUsed/>
    <w:qFormat/>
    <w:uiPriority w:val="39"/>
    <w:pPr>
      <w:tabs>
        <w:tab w:val="right" w:leader="dot" w:pos="8296"/>
      </w:tabs>
      <w:ind w:left="840"/>
    </w:pPr>
  </w:style>
  <w:style w:type="paragraph" w:customStyle="1" w:styleId="196">
    <w:name w:val="批注框文本1"/>
    <w:basedOn w:val="1"/>
    <w:link w:val="197"/>
    <w:unhideWhenUsed/>
    <w:qFormat/>
    <w:uiPriority w:val="99"/>
    <w:rPr>
      <w:sz w:val="18"/>
      <w:szCs w:val="18"/>
    </w:rPr>
  </w:style>
  <w:style w:type="character" w:customStyle="1" w:styleId="197">
    <w:name w:val="批注框文本 字符"/>
    <w:link w:val="196"/>
    <w:semiHidden/>
    <w:qFormat/>
    <w:uiPriority w:val="99"/>
    <w:rPr>
      <w:rFonts w:ascii="Times New Roman" w:hAnsi="Times New Roman" w:cs="Times New Roman"/>
      <w:sz w:val="18"/>
      <w:szCs w:val="18"/>
    </w:rPr>
  </w:style>
  <w:style w:type="paragraph" w:customStyle="1" w:styleId="198">
    <w:name w:val="页脚1"/>
    <w:basedOn w:val="1"/>
    <w:link w:val="199"/>
    <w:qFormat/>
    <w:uiPriority w:val="99"/>
    <w:pPr>
      <w:tabs>
        <w:tab w:val="center" w:pos="4153"/>
        <w:tab w:val="right" w:pos="8306"/>
      </w:tabs>
      <w:jc w:val="left"/>
    </w:pPr>
    <w:rPr>
      <w:rFonts w:ascii="Calibri" w:hAnsi="Calibri"/>
      <w:sz w:val="18"/>
      <w:szCs w:val="20"/>
    </w:rPr>
  </w:style>
  <w:style w:type="character" w:customStyle="1" w:styleId="199">
    <w:name w:val="页脚 字符"/>
    <w:link w:val="198"/>
    <w:qFormat/>
    <w:uiPriority w:val="99"/>
    <w:rPr>
      <w:sz w:val="18"/>
    </w:rPr>
  </w:style>
  <w:style w:type="paragraph" w:customStyle="1" w:styleId="200">
    <w:name w:val="页眉1"/>
    <w:basedOn w:val="1"/>
    <w:link w:val="201"/>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1">
    <w:name w:val="页眉 字符"/>
    <w:link w:val="200"/>
    <w:semiHidden/>
    <w:qFormat/>
    <w:uiPriority w:val="99"/>
    <w:rPr>
      <w:sz w:val="18"/>
    </w:rPr>
  </w:style>
  <w:style w:type="paragraph" w:customStyle="1" w:styleId="202">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3">
    <w:name w:val="目录 21"/>
    <w:basedOn w:val="1"/>
    <w:next w:val="1"/>
    <w:unhideWhenUsed/>
    <w:qFormat/>
    <w:uiPriority w:val="39"/>
    <w:pPr>
      <w:tabs>
        <w:tab w:val="right" w:leader="dot" w:pos="8296"/>
      </w:tabs>
      <w:ind w:left="420"/>
    </w:pPr>
  </w:style>
  <w:style w:type="character" w:customStyle="1" w:styleId="204">
    <w:name w:val="要点1"/>
    <w:link w:val="1"/>
    <w:qFormat/>
    <w:uiPriority w:val="99"/>
    <w:rPr>
      <w:rFonts w:cs="Times New Roman"/>
      <w:b/>
    </w:rPr>
  </w:style>
  <w:style w:type="character" w:customStyle="1" w:styleId="205">
    <w:name w:val="超链接1"/>
    <w:link w:val="1"/>
    <w:unhideWhenUsed/>
    <w:qFormat/>
    <w:uiPriority w:val="99"/>
    <w:rPr>
      <w:rFonts w:cs="Times New Roman"/>
      <w:color w:val="0000FF"/>
      <w:u w:val="single"/>
    </w:rPr>
  </w:style>
  <w:style w:type="character" w:customStyle="1" w:styleId="206">
    <w:name w:val="Body Text Char"/>
    <w:link w:val="1"/>
    <w:semiHidden/>
    <w:qFormat/>
    <w:uiPriority w:val="99"/>
    <w:rPr>
      <w:rFonts w:ascii="Times New Roman" w:hAnsi="Times New Roman" w:cs="Times New Roman"/>
      <w:sz w:val="24"/>
      <w:szCs w:val="24"/>
    </w:rPr>
  </w:style>
  <w:style w:type="character" w:customStyle="1" w:styleId="207">
    <w:name w:val="Footer Char"/>
    <w:link w:val="1"/>
    <w:semiHidden/>
    <w:qFormat/>
    <w:uiPriority w:val="99"/>
    <w:rPr>
      <w:rFonts w:ascii="Times New Roman" w:hAnsi="Times New Roman" w:cs="Times New Roman"/>
      <w:sz w:val="18"/>
      <w:szCs w:val="18"/>
    </w:rPr>
  </w:style>
  <w:style w:type="character" w:customStyle="1" w:styleId="208">
    <w:name w:val="Header Char"/>
    <w:link w:val="1"/>
    <w:semiHidden/>
    <w:qFormat/>
    <w:uiPriority w:val="99"/>
    <w:rPr>
      <w:rFonts w:ascii="Times New Roman" w:hAnsi="Times New Roman" w:cs="Times New Roman"/>
      <w:sz w:val="18"/>
      <w:szCs w:val="18"/>
    </w:rPr>
  </w:style>
  <w:style w:type="paragraph" w:customStyle="1" w:styleId="209">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10">
    <w:name w:val="List Paragraph"/>
    <w:basedOn w:val="1"/>
    <w:qFormat/>
    <w:uiPriority w:val="34"/>
    <w:pPr>
      <w:ind w:firstLine="420"/>
    </w:pPr>
  </w:style>
  <w:style w:type="paragraph" w:customStyle="1" w:styleId="211">
    <w:name w:val="TOC 标题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2">
    <w:name w:val="TOC Heading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3">
    <w:name w:val="标题 2 Char"/>
    <w:link w:val="193"/>
    <w:qFormat/>
    <w:uiPriority w:val="9"/>
    <w:rPr>
      <w:rFonts w:asciiTheme="majorHAnsi" w:hAnsiTheme="majorHAnsi" w:eastAsiaTheme="majorEastAsia" w:cstheme="majorBidi"/>
      <w:b/>
      <w:bCs/>
      <w:sz w:val="32"/>
      <w:szCs w:val="32"/>
    </w:rPr>
  </w:style>
  <w:style w:type="character" w:customStyle="1" w:styleId="214">
    <w:name w:val="Strong"/>
    <w:qFormat/>
    <w:uiPriority w:val="99"/>
    <w:rPr>
      <w:b/>
    </w:rPr>
  </w:style>
  <w:style w:type="paragraph" w:customStyle="1" w:styleId="215">
    <w:name w:val="四号正文"/>
    <w:basedOn w:val="1"/>
    <w:qFormat/>
    <w:uiPriority w:val="0"/>
    <w:pPr>
      <w:spacing w:line="360" w:lineRule="auto"/>
    </w:pPr>
    <w:rPr>
      <w:rFonts w:ascii="??" w:hAnsi="??" w:eastAsia="宋体"/>
      <w:color w:val="000000"/>
      <w:sz w:val="28"/>
      <w:szCs w:val="21"/>
      <w:lang w:val="zh-CN" w:eastAsia="zh-CN"/>
    </w:rPr>
  </w:style>
  <w:style w:type="character" w:customStyle="1" w:styleId="216">
    <w:name w:val="font71"/>
    <w:basedOn w:val="33"/>
    <w:qFormat/>
    <w:uiPriority w:val="0"/>
    <w:rPr>
      <w:rFonts w:hint="eastAsia" w:ascii="黑体" w:hAnsi="黑体" w:eastAsia="黑体" w:cs="黑体"/>
      <w:color w:val="000000"/>
      <w:sz w:val="18"/>
      <w:szCs w:val="18"/>
      <w:u w:val="none"/>
    </w:rPr>
  </w:style>
  <w:style w:type="character" w:customStyle="1" w:styleId="217">
    <w:name w:val="font121"/>
    <w:basedOn w:val="33"/>
    <w:qFormat/>
    <w:uiPriority w:val="0"/>
    <w:rPr>
      <w:rFonts w:hint="eastAsia" w:ascii="宋体" w:hAnsi="宋体" w:eastAsia="宋体" w:cs="宋体"/>
      <w:color w:val="000000"/>
      <w:sz w:val="22"/>
      <w:szCs w:val="22"/>
      <w:u w:val="none"/>
    </w:rPr>
  </w:style>
  <w:style w:type="character" w:customStyle="1" w:styleId="218">
    <w:name w:val="font91"/>
    <w:basedOn w:val="3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Desktop\&#25318;&#27743;&#29255;&#20915;&#31639;&#20844;&#24320;\&#20937;&#39118;&#23567;&#23398;\2024&#24180;&#36930;&#23425;&#24066;&#23433;&#23621;&#21306;&#25318;&#27743;&#38215;&#20937;&#39118;&#23567;&#23398;&#26657;&#20915;&#31639;&#20844;&#2432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2023、2024年收支决算总计变动图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[工作簿1]Sheet1!$B$2:$C$3</c:f>
              <c:multiLvlStrCache>
                <c:ptCount val="2"/>
                <c:lvl>
                  <c:pt idx="0">
                    <c:v>2023年</c:v>
                  </c:pt>
                  <c:pt idx="1">
                    <c:v>2024年</c:v>
                  </c:pt>
                </c:lvl>
                <c:lvl>
                  <c:pt idx="0">
                    <c:v>2023、2024年收支决算总计变动图 单位：万元</c:v>
                  </c:pt>
                </c:lvl>
              </c:multiLvlStrCache>
            </c:multiLvlStrRef>
          </c:cat>
          <c:val>
            <c:numRef>
              <c:f>[工作簿1]Sheet1!$B$4:$C$4</c:f>
              <c:numCache>
                <c:formatCode>General</c:formatCode>
                <c:ptCount val="2"/>
                <c:pt idx="0">
                  <c:v>441.05</c:v>
                </c:pt>
                <c:pt idx="1">
                  <c:v>453.25</c:v>
                </c:pt>
              </c:numCache>
            </c:numRef>
          </c:val>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[工作簿1]Sheet1!$B$2:$C$3</c:f>
              <c:multiLvlStrCache>
                <c:ptCount val="2"/>
                <c:lvl>
                  <c:pt idx="0">
                    <c:v>2023年</c:v>
                  </c:pt>
                  <c:pt idx="1">
                    <c:v>2024年</c:v>
                  </c:pt>
                </c:lvl>
                <c:lvl>
                  <c:pt idx="0">
                    <c:v>2023、2024年收支决算总计变动图 单位：万元</c:v>
                  </c:pt>
                </c:lvl>
              </c:multiLvlStrCache>
            </c:multiLvlStrRef>
          </c:cat>
          <c:val>
            <c:numRef>
              <c:f>[工作簿1]Sheet1!$B$5:$C$5</c:f>
              <c:numCache>
                <c:formatCode>General</c:formatCode>
                <c:ptCount val="2"/>
                <c:pt idx="0">
                  <c:v>441.05</c:v>
                </c:pt>
                <c:pt idx="1">
                  <c:v>453.25</c:v>
                </c:pt>
              </c:numCache>
            </c:numRef>
          </c:val>
        </c:ser>
        <c:dLbls>
          <c:showLegendKey val="0"/>
          <c:showVal val="1"/>
          <c:showCatName val="0"/>
          <c:showSerName val="0"/>
          <c:showPercent val="0"/>
          <c:showBubbleSize val="0"/>
        </c:dLbls>
        <c:gapWidth val="246"/>
        <c:overlap val="-28"/>
        <c:axId val="685885305"/>
        <c:axId val="57062354"/>
      </c:barChart>
      <c:catAx>
        <c:axId val="6858853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62354"/>
        <c:crosses val="autoZero"/>
        <c:auto val="1"/>
        <c:lblAlgn val="ctr"/>
        <c:lblOffset val="100"/>
        <c:noMultiLvlLbl val="0"/>
      </c:catAx>
      <c:valAx>
        <c:axId val="5706235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8853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[2024年遂宁市安居区拦江镇凉风小学校决算公开表.xls]Sheet1!$E$5:$E$6</c:f>
              <c:strCache>
                <c:ptCount val="2"/>
                <c:pt idx="0">
                  <c:v>一般公共预算财政拨款收入</c:v>
                </c:pt>
                <c:pt idx="1">
                  <c:v>其他收入</c:v>
                </c:pt>
              </c:strCache>
            </c:strRef>
          </c:cat>
          <c:val>
            <c:numRef>
              <c:f>[2024年遂宁市安居区拦江镇凉风小学校决算公开表.xls]Sheet1!$F$5:$F$6</c:f>
              <c:numCache>
                <c:formatCode>0.00%</c:formatCode>
                <c:ptCount val="2"/>
                <c:pt idx="0">
                  <c:v>0.9368</c:v>
                </c:pt>
                <c:pt idx="1">
                  <c:v>0.0632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年支出决算结构图</a:t>
            </a:r>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6.5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0223367408121142"/>
                  <c:y val="0.130695410076578"/>
                </c:manualLayout>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3.5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393.24</c:v>
                </c:pt>
                <c:pt idx="1">
                  <c:v>47.81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2023、2024年财政拨款收支决算总计变动图</a:t>
            </a:r>
          </a:p>
        </c:rich>
      </c:tx>
      <c:layout/>
      <c:overlay val="0"/>
      <c:spPr>
        <a:noFill/>
        <a:ln>
          <a:noFill/>
        </a:ln>
        <a:effectLst/>
      </c:spPr>
    </c:title>
    <c:autoTitleDeleted val="0"/>
    <c:plotArea>
      <c:layout/>
      <c:barChart>
        <c:barDir val="col"/>
        <c:grouping val="clustered"/>
        <c:varyColors val="0"/>
        <c:ser>
          <c:idx val="0"/>
          <c:order val="0"/>
          <c:tx>
            <c:strRef>
              <c:f>[工作簿1]Sheet1!$A$4</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[工作簿1]Sheet1!$B$3:$C$3</c:f>
              <c:strCache>
                <c:ptCount val="2"/>
                <c:pt idx="0">
                  <c:v>收入</c:v>
                </c:pt>
                <c:pt idx="1">
                  <c:v>支出</c:v>
                </c:pt>
              </c:strCache>
            </c:strRef>
          </c:cat>
          <c:val>
            <c:numRef>
              <c:f>[工作簿1]Sheet1!$B$4:$C$4</c:f>
              <c:numCache>
                <c:formatCode>General</c:formatCode>
                <c:ptCount val="2"/>
                <c:pt idx="0">
                  <c:v>441.05</c:v>
                </c:pt>
                <c:pt idx="1">
                  <c:v>441.05</c:v>
                </c:pt>
              </c:numCache>
            </c:numRef>
          </c:val>
        </c:ser>
        <c:ser>
          <c:idx val="1"/>
          <c:order val="1"/>
          <c:tx>
            <c:strRef>
              <c:f>[工作簿1]Sheet1!$A$5</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[工作簿1]Sheet1!$B$3:$C$3</c:f>
              <c:strCache>
                <c:ptCount val="2"/>
                <c:pt idx="0">
                  <c:v>收入</c:v>
                </c:pt>
                <c:pt idx="1">
                  <c:v>支出</c:v>
                </c:pt>
              </c:strCache>
            </c:strRef>
          </c:cat>
          <c:val>
            <c:numRef>
              <c:f>[工作簿1]Sheet1!$B$5:$C$5</c:f>
              <c:numCache>
                <c:formatCode>General</c:formatCode>
                <c:ptCount val="2"/>
                <c:pt idx="0">
                  <c:v>453.25</c:v>
                </c:pt>
                <c:pt idx="1">
                  <c:v>453.25</c:v>
                </c:pt>
              </c:numCache>
            </c:numRef>
          </c:val>
        </c:ser>
        <c:dLbls>
          <c:showLegendKey val="0"/>
          <c:showVal val="1"/>
          <c:showCatName val="0"/>
          <c:showSerName val="0"/>
          <c:showPercent val="0"/>
          <c:showBubbleSize val="0"/>
        </c:dLbls>
        <c:gapWidth val="246"/>
        <c:overlap val="-28"/>
        <c:axId val="275936755"/>
        <c:axId val="770349169"/>
      </c:barChart>
      <c:catAx>
        <c:axId val="2759367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349169"/>
        <c:crosses val="autoZero"/>
        <c:auto val="1"/>
        <c:lblAlgn val="ctr"/>
        <c:lblOffset val="100"/>
        <c:noMultiLvlLbl val="0"/>
      </c:catAx>
      <c:valAx>
        <c:axId val="7703491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59367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Lbl>
              <c:idx val="0"/>
              <c:layout>
                <c:manualLayout>
                  <c:x val="-0.00180592342884662"/>
                  <c:y val="-0.003095975232198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424.57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441.05</c:v>
                </c:pt>
                <c:pt idx="1">
                  <c:v>424.57</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936"/>
        <c:crosses val="autoZero"/>
        <c:auto val="1"/>
        <c:lblAlgn val="ctr"/>
        <c:lblOffset val="100"/>
        <c:noMultiLvlLbl val="0"/>
      </c:catAx>
      <c:valAx>
        <c:axId val="379235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358.53</c:v>
                </c:pt>
                <c:pt idx="1">
                  <c:v>36.3</c:v>
                </c:pt>
                <c:pt idx="2">
                  <c:v>17.32</c:v>
                </c:pt>
                <c:pt idx="3">
                  <c:v>28.89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四川省</Company>
  <Pages>28</Pages>
  <Words>3232</Words>
  <Characters>3672</Characters>
  <TotalTime>9</TotalTime>
  <ScaleCrop>false</ScaleCrop>
  <LinksUpToDate>false</LinksUpToDate>
  <CharactersWithSpaces>3723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Lenovo</cp:lastModifiedBy>
  <dcterms:modified xsi:type="dcterms:W3CDTF">2025-08-28T02:22:28Z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F685DB438CC54935AD2B546B8D080DA5_13</vt:lpwstr>
  </property>
  <property fmtid="{D5CDD505-2E9C-101B-9397-08002B2CF9AE}" pid="4" name="KSOTemplateDocerSaveRecord">
    <vt:lpwstr>eyJoZGlkIjoiMmYwY2Y1YzI2MDAxNTUxMmU5OGJkZTE3ZWQwMjYyMjIiLCJ1c2VySWQiOiI2NjM0NTAwNTMifQ==</vt:lpwstr>
  </property>
</Properties>
</file>