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80BEE">
      <w:pPr>
        <w:pStyle w:val="8"/>
        <w:spacing w:before="93"/>
        <w:jc w:val="center"/>
        <w:rPr>
          <w:rFonts w:ascii="Times New Roman" w:eastAsia="方正小标宋简体"/>
          <w:kern w:val="2"/>
          <w:sz w:val="44"/>
          <w:szCs w:val="44"/>
        </w:rPr>
      </w:pPr>
      <w:bookmarkStart w:id="0" w:name="_Toc15396475"/>
      <w:bookmarkStart w:id="1" w:name="_Toc15377425"/>
      <w:bookmarkStart w:id="2" w:name="_Toc15377193"/>
      <w:bookmarkStart w:id="3" w:name="_Toc15378441"/>
      <w:bookmarkStart w:id="4" w:name="_Toc15396597"/>
      <w:bookmarkStart w:id="5" w:name="_Toc15306267"/>
    </w:p>
    <w:p w14:paraId="34E41F21">
      <w:pPr>
        <w:pStyle w:val="8"/>
        <w:spacing w:before="93"/>
        <w:jc w:val="center"/>
        <w:rPr>
          <w:rFonts w:ascii="Times New Roman" w:eastAsia="方正小标宋简体"/>
          <w:kern w:val="2"/>
          <w:sz w:val="44"/>
          <w:szCs w:val="44"/>
        </w:rPr>
      </w:pPr>
    </w:p>
    <w:bookmarkEnd w:id="0"/>
    <w:bookmarkEnd w:id="1"/>
    <w:bookmarkEnd w:id="2"/>
    <w:bookmarkEnd w:id="3"/>
    <w:bookmarkEnd w:id="4"/>
    <w:p w14:paraId="56095E3A">
      <w:pPr>
        <w:pStyle w:val="8"/>
        <w:spacing w:before="93"/>
        <w:jc w:val="center"/>
        <w:rPr>
          <w:rFonts w:hint="eastAsia" w:ascii="Times New Roman" w:eastAsia="方正小标宋简体"/>
          <w:kern w:val="2"/>
          <w:sz w:val="44"/>
          <w:szCs w:val="44"/>
        </w:rPr>
      </w:pPr>
      <w:bookmarkStart w:id="6" w:name="_Toc15396476"/>
      <w:bookmarkStart w:id="7" w:name="_Toc15377194"/>
      <w:bookmarkStart w:id="8" w:name="_Toc15378442"/>
      <w:bookmarkStart w:id="9" w:name="_Toc15396598"/>
      <w:bookmarkStart w:id="10" w:name="_Toc15377426"/>
      <w:r>
        <w:rPr>
          <w:rFonts w:hint="eastAsia" w:ascii="Times New Roman" w:eastAsia="方正小标宋简体"/>
          <w:kern w:val="2"/>
          <w:sz w:val="44"/>
          <w:szCs w:val="44"/>
        </w:rPr>
        <w:t>2024年度四川省</w:t>
      </w:r>
      <w:bookmarkEnd w:id="5"/>
      <w:bookmarkStart w:id="11" w:name="_Toc15306268"/>
      <w:r>
        <w:rPr>
          <w:rFonts w:hint="eastAsia" w:ascii="Times New Roman" w:eastAsia="方正小标宋简体"/>
          <w:kern w:val="2"/>
          <w:sz w:val="44"/>
          <w:szCs w:val="44"/>
        </w:rPr>
        <w:t>遂宁市安居区三家镇中心小学校</w:t>
      </w:r>
    </w:p>
    <w:p w14:paraId="514DF6E8">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6"/>
      <w:bookmarkEnd w:id="7"/>
      <w:bookmarkEnd w:id="8"/>
      <w:bookmarkEnd w:id="9"/>
      <w:bookmarkEnd w:id="10"/>
      <w:bookmarkEnd w:id="11"/>
    </w:p>
    <w:p w14:paraId="2F2E19BF">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0DDD55C9">
      <w:pPr>
        <w:widowControl/>
        <w:jc w:val="center"/>
        <w:rPr>
          <w:rFonts w:eastAsia="黑体" w:cstheme="minorBidi"/>
          <w:sz w:val="28"/>
          <w:szCs w:val="28"/>
        </w:rPr>
      </w:pPr>
    </w:p>
    <w:p w14:paraId="2D3A00F8">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公开时间：2025年08月2</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日</w:t>
      </w:r>
    </w:p>
    <w:p w14:paraId="458AFABC"/>
    <w:p w14:paraId="1BF16D09">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第一部分 部门概况</w:t>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32"/>
          <w:szCs w:val="32"/>
        </w:rPr>
        <w:t>…………………………………………4</w:t>
      </w:r>
    </w:p>
    <w:p w14:paraId="4BFDE2DE">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一、部门职责 </w:t>
      </w:r>
      <w:r>
        <w:rPr>
          <w:rFonts w:hint="eastAsia" w:ascii="仿宋_GB2312" w:hAnsi="仿宋_GB2312" w:eastAsia="仿宋_GB2312" w:cs="仿宋_GB2312"/>
          <w:sz w:val="32"/>
          <w:szCs w:val="32"/>
        </w:rPr>
        <w:t>……………………………………………4</w:t>
      </w:r>
    </w:p>
    <w:p w14:paraId="63B7D656">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二、机构设置 </w:t>
      </w:r>
      <w:r>
        <w:rPr>
          <w:rFonts w:hint="eastAsia" w:ascii="仿宋_GB2312" w:hAnsi="仿宋_GB2312" w:eastAsia="仿宋_GB2312" w:cs="仿宋_GB2312"/>
          <w:sz w:val="32"/>
          <w:szCs w:val="32"/>
        </w:rPr>
        <w:t>……………………………………………4</w:t>
      </w:r>
    </w:p>
    <w:p w14:paraId="71E62820">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 xml:space="preserve">第二部分 2024年度部门决算情况说明 </w:t>
      </w:r>
      <w:r>
        <w:rPr>
          <w:rFonts w:hint="eastAsia" w:ascii="仿宋_GB2312" w:hAnsi="仿宋_GB2312" w:eastAsia="仿宋_GB2312" w:cs="仿宋_GB2312"/>
          <w:sz w:val="32"/>
          <w:szCs w:val="32"/>
        </w:rPr>
        <w:t>……………………5</w:t>
      </w:r>
    </w:p>
    <w:p w14:paraId="26E50F2E">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一、收入支出决算总体情况说明 </w:t>
      </w:r>
      <w:r>
        <w:rPr>
          <w:rFonts w:hint="eastAsia" w:ascii="仿宋_GB2312" w:hAnsi="仿宋_GB2312" w:eastAsia="仿宋_GB2312" w:cs="仿宋_GB2312"/>
          <w:sz w:val="32"/>
          <w:szCs w:val="32"/>
        </w:rPr>
        <w:t>………………………5</w:t>
      </w:r>
    </w:p>
    <w:p w14:paraId="73918B32">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二、收入决算情况说明 </w:t>
      </w:r>
      <w:r>
        <w:rPr>
          <w:rFonts w:hint="eastAsia" w:ascii="仿宋_GB2312" w:hAnsi="仿宋_GB2312" w:eastAsia="仿宋_GB2312" w:cs="仿宋_GB2312"/>
          <w:sz w:val="32"/>
          <w:szCs w:val="32"/>
        </w:rPr>
        <w:t>…………………………………5</w:t>
      </w:r>
    </w:p>
    <w:p w14:paraId="5B7CEC7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三、支出决算情况说明 </w:t>
      </w:r>
      <w:r>
        <w:rPr>
          <w:rFonts w:hint="eastAsia" w:ascii="仿宋_GB2312" w:hAnsi="仿宋_GB2312" w:eastAsia="仿宋_GB2312" w:cs="仿宋_GB2312"/>
          <w:sz w:val="32"/>
          <w:szCs w:val="32"/>
        </w:rPr>
        <w:t>…………………………………6</w:t>
      </w:r>
    </w:p>
    <w:p w14:paraId="29EB579D">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四、财政拨款收入支出决算总体情况说明 </w:t>
      </w:r>
      <w:r>
        <w:rPr>
          <w:rFonts w:hint="eastAsia" w:ascii="仿宋_GB2312" w:hAnsi="仿宋_GB2312" w:eastAsia="仿宋_GB2312" w:cs="仿宋_GB2312"/>
          <w:sz w:val="32"/>
          <w:szCs w:val="32"/>
        </w:rPr>
        <w:t>……………7</w:t>
      </w:r>
    </w:p>
    <w:p w14:paraId="474C721B">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五、一般公共预算财政拨款支出决算情况说明 </w:t>
      </w:r>
      <w:r>
        <w:rPr>
          <w:rFonts w:hint="eastAsia" w:ascii="仿宋_GB2312" w:hAnsi="仿宋_GB2312" w:eastAsia="仿宋_GB2312" w:cs="仿宋_GB2312"/>
          <w:sz w:val="32"/>
          <w:szCs w:val="32"/>
        </w:rPr>
        <w:t>………8</w:t>
      </w:r>
    </w:p>
    <w:p w14:paraId="03D32D16">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…11</w:t>
      </w:r>
    </w:p>
    <w:p w14:paraId="5BF69556">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ascii="仿宋_GB2312" w:hAnsi="仿宋_GB2312" w:eastAsia="仿宋_GB2312" w:cs="仿宋_GB2312"/>
          <w:sz w:val="32"/>
          <w:szCs w:val="32"/>
        </w:rPr>
        <w:t>………11</w:t>
      </w:r>
    </w:p>
    <w:p w14:paraId="36CD170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ascii="仿宋_GB2312" w:hAnsi="仿宋_GB2312" w:eastAsia="仿宋_GB2312" w:cs="仿宋_GB2312"/>
          <w:sz w:val="32"/>
          <w:szCs w:val="32"/>
        </w:rPr>
        <w:t>………………12</w:t>
      </w:r>
    </w:p>
    <w:p w14:paraId="47C651C3">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ascii="仿宋_GB2312" w:hAnsi="仿宋_GB2312" w:eastAsia="仿宋_GB2312" w:cs="仿宋_GB2312"/>
          <w:sz w:val="32"/>
          <w:szCs w:val="32"/>
        </w:rPr>
        <w:t>……………12</w:t>
      </w:r>
    </w:p>
    <w:p w14:paraId="4A4FBBBB">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ascii="仿宋_GB2312" w:hAnsi="仿宋_GB2312" w:eastAsia="仿宋_GB2312" w:cs="仿宋_GB2312"/>
          <w:sz w:val="32"/>
          <w:szCs w:val="32"/>
        </w:rPr>
        <w:t>…………………………13</w:t>
      </w:r>
    </w:p>
    <w:p w14:paraId="48F2EFF4">
      <w:pPr>
        <w:tabs>
          <w:tab w:val="right" w:leader="dot" w:pos="8296"/>
        </w:tabs>
        <w:adjustRightInd w:val="0"/>
        <w:snapToGrid w:val="0"/>
        <w:spacing w:line="560" w:lineRule="exact"/>
        <w:jc w:val="left"/>
        <w:rPr>
          <w:rFonts w:hint="eastAsia" w:eastAsia="仿宋_GB2312" w:cs="黑体"/>
          <w:sz w:val="32"/>
          <w:szCs w:val="32"/>
          <w:lang w:eastAsia="zh-CN"/>
        </w:rPr>
      </w:pPr>
      <w:r>
        <w:rPr>
          <w:rFonts w:hint="eastAsia" w:eastAsia="黑体" w:cs="黑体"/>
          <w:sz w:val="32"/>
          <w:szCs w:val="32"/>
        </w:rPr>
        <w:t>第三部分 名词解释</w:t>
      </w:r>
      <w:r>
        <w:rPr>
          <w:rFonts w:hint="eastAsia" w:eastAsia="黑体" w:cs="黑体"/>
          <w:sz w:val="24"/>
          <w:szCs w:val="32"/>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p>
    <w:p w14:paraId="0914340F">
      <w:pPr>
        <w:tabs>
          <w:tab w:val="right" w:leader="dot" w:pos="8296"/>
        </w:tabs>
        <w:adjustRightInd w:val="0"/>
        <w:snapToGrid w:val="0"/>
        <w:spacing w:line="560" w:lineRule="exact"/>
        <w:jc w:val="left"/>
        <w:rPr>
          <w:rFonts w:hint="default" w:eastAsia="仿宋_GB2312" w:cs="黑体"/>
          <w:sz w:val="32"/>
          <w:szCs w:val="32"/>
          <w:lang w:val="en-US" w:eastAsia="zh-CN"/>
        </w:rPr>
      </w:pPr>
      <w:r>
        <w:rPr>
          <w:rFonts w:hint="eastAsia" w:eastAsia="黑体" w:cs="黑体"/>
          <w:sz w:val="32"/>
          <w:szCs w:val="32"/>
        </w:rPr>
        <w:t>第四部分 附件</w:t>
      </w:r>
      <w:r>
        <w:rPr>
          <w:rFonts w:hint="eastAsia" w:eastAsia="黑体" w:cs="黑体"/>
          <w:sz w:val="24"/>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p>
    <w:p w14:paraId="74AF8D04">
      <w:pPr>
        <w:tabs>
          <w:tab w:val="right" w:leader="dot" w:pos="8296"/>
        </w:tabs>
        <w:adjustRightInd w:val="0"/>
        <w:snapToGrid w:val="0"/>
        <w:spacing w:line="560" w:lineRule="exact"/>
        <w:jc w:val="left"/>
        <w:rPr>
          <w:rFonts w:hint="eastAsia" w:eastAsia="黑体" w:cs="黑体"/>
          <w:sz w:val="32"/>
          <w:szCs w:val="32"/>
          <w:lang w:eastAsia="zh-CN"/>
        </w:rPr>
      </w:pPr>
      <w:r>
        <w:rPr>
          <w:rFonts w:hint="eastAsia" w:eastAsia="黑体" w:cs="黑体"/>
          <w:sz w:val="32"/>
          <w:szCs w:val="32"/>
        </w:rPr>
        <w:t>第五部分 附表</w:t>
      </w:r>
      <w:r>
        <w:rPr>
          <w:rFonts w:hint="eastAsia" w:eastAsia="黑体" w:cs="黑体"/>
          <w:sz w:val="24"/>
          <w:szCs w:val="32"/>
        </w:rPr>
        <w:t xml:space="preserve"> </w:t>
      </w:r>
      <w:r>
        <w:rPr>
          <w:rFonts w:hint="eastAsia" w:eastAsia="黑体" w:cs="黑体"/>
          <w:sz w:val="32"/>
          <w:szCs w:val="32"/>
        </w:rPr>
        <w:t>………………………………………………3</w:t>
      </w:r>
      <w:r>
        <w:rPr>
          <w:rFonts w:hint="eastAsia" w:eastAsia="黑体" w:cs="黑体"/>
          <w:sz w:val="32"/>
          <w:szCs w:val="32"/>
          <w:lang w:val="en-US" w:eastAsia="zh-CN"/>
        </w:rPr>
        <w:t>6</w:t>
      </w:r>
    </w:p>
    <w:p w14:paraId="053D190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14:paraId="3731CF7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14:paraId="5E5782A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14:paraId="69518CA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14:paraId="1C2ED93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14:paraId="18F9B68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14:paraId="774DCEA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14:paraId="74A484E0">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14:paraId="272C5D3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14:paraId="6676FA7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14:paraId="1621F76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14:paraId="443501D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14:paraId="39D74C1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14:paraId="70B6D1CA">
      <w:pPr>
        <w:widowControl/>
        <w:spacing w:line="560" w:lineRule="exact"/>
        <w:jc w:val="left"/>
        <w:rPr>
          <w:rFonts w:eastAsia="仿宋_GB2312" w:cs="仿宋_GB2312"/>
          <w:bCs/>
          <w:kern w:val="44"/>
          <w:sz w:val="32"/>
          <w:szCs w:val="32"/>
        </w:rPr>
      </w:pPr>
      <w:bookmarkStart w:id="12" w:name="_Toc15377196"/>
      <w:bookmarkStart w:id="13" w:name="_Toc15396599"/>
      <w:r>
        <w:rPr>
          <w:rFonts w:hint="eastAsia" w:eastAsia="仿宋_GB2312" w:cs="仿宋_GB2312"/>
          <w:b/>
          <w:sz w:val="32"/>
          <w:szCs w:val="32"/>
        </w:rPr>
        <w:br w:type="page"/>
      </w:r>
    </w:p>
    <w:p w14:paraId="34B5ECDC">
      <w:pPr>
        <w:pStyle w:val="5"/>
        <w:jc w:val="center"/>
        <w:rPr>
          <w:rStyle w:val="20"/>
          <w:rFonts w:eastAsia="方正小标宋简体" w:cs="方正小标宋简体"/>
          <w:b/>
          <w:bCs w:val="0"/>
        </w:rPr>
      </w:pPr>
      <w:r>
        <w:rPr>
          <w:rFonts w:hint="eastAsia" w:eastAsia="方正小标宋简体" w:cs="方正小标宋简体"/>
          <w:b w:val="0"/>
        </w:rPr>
        <w:t xml:space="preserve">第一部分  </w:t>
      </w:r>
      <w:r>
        <w:rPr>
          <w:rStyle w:val="20"/>
          <w:rFonts w:hint="eastAsia" w:eastAsia="方正小标宋简体" w:cs="方正小标宋简体"/>
          <w:b w:val="0"/>
          <w:bCs w:val="0"/>
        </w:rPr>
        <w:t>部门概况</w:t>
      </w:r>
      <w:bookmarkEnd w:id="12"/>
      <w:bookmarkEnd w:id="13"/>
    </w:p>
    <w:p w14:paraId="648AA0B5">
      <w:pPr>
        <w:widowControl/>
        <w:jc w:val="left"/>
        <w:rPr>
          <w:rFonts w:eastAsia="黑体"/>
          <w:sz w:val="32"/>
          <w:szCs w:val="32"/>
        </w:rPr>
      </w:pPr>
    </w:p>
    <w:p w14:paraId="533DE7EA">
      <w:pPr>
        <w:pStyle w:val="6"/>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7EF863AC">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四川省遂宁市安居区三家镇中心小学校地处遂宁市安居区三家镇建设路下街109号，我校主要服务区域为四川省遂宁市安居区三家镇全镇区域及附近区域。我校正确贯彻执行党和国家的教育方针、政策、法规；积极实施小学教育，促进小学教育发展，负责小学教育及相关社会服务；维护学校的教学秩序，为学生创造良好的学习环境；积极稳妥地推进教育改革，按教育规律办事，不</w:t>
      </w:r>
      <w:bookmarkStart w:id="67" w:name="_GoBack"/>
      <w:bookmarkEnd w:id="67"/>
      <w:r>
        <w:rPr>
          <w:rFonts w:hint="eastAsia" w:ascii="仿宋_GB2312" w:hAnsi="仿宋_GB2312" w:eastAsia="仿宋_GB2312" w:cs="仿宋_GB2312"/>
          <w:sz w:val="32"/>
          <w:szCs w:val="32"/>
        </w:rPr>
        <w:t>断提高教育质量；坚持教书育人，服务育人，环境育人方针，加强对学生的思想品德教育，使学生的德智体美劳全面发展。做好安全防范，保证学生的人身安全。</w:t>
      </w:r>
    </w:p>
    <w:p w14:paraId="6A56E474">
      <w:pPr>
        <w:pStyle w:val="6"/>
        <w:rPr>
          <w:rStyle w:val="21"/>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21"/>
          <w:rFonts w:hint="eastAsia" w:ascii="Times New Roman" w:hAnsi="Times New Roman" w:eastAsia="黑体"/>
          <w:b w:val="0"/>
          <w:bCs w:val="0"/>
        </w:rPr>
        <w:t>构设置</w:t>
      </w:r>
      <w:bookmarkEnd w:id="14"/>
      <w:bookmarkEnd w:id="15"/>
    </w:p>
    <w:p w14:paraId="21659AE1">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我校为独立编制机构1个，独立核算机构1个。</w:t>
      </w:r>
    </w:p>
    <w:p w14:paraId="651CD26A">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我校现有在编教师60人,遗属4人，退休职工49人，在校学生480人。学校现设有行政办、德育处、教导处、后勤处等部门。</w:t>
      </w:r>
    </w:p>
    <w:p w14:paraId="482229DB">
      <w:pPr>
        <w:pStyle w:val="8"/>
        <w:adjustRightInd w:val="0"/>
        <w:snapToGrid w:val="0"/>
        <w:spacing w:before="93" w:line="600" w:lineRule="exact"/>
        <w:ind w:firstLine="1120" w:firstLineChars="350"/>
        <w:rPr>
          <w:rFonts w:ascii="Times New Roman" w:cs="仿宋_GB2312"/>
          <w:sz w:val="32"/>
          <w:szCs w:val="32"/>
        </w:rPr>
      </w:pPr>
    </w:p>
    <w:p w14:paraId="4381CB03">
      <w:pPr>
        <w:widowControl/>
        <w:jc w:val="left"/>
        <w:rPr>
          <w:rFonts w:eastAsia="仿宋"/>
          <w:kern w:val="0"/>
          <w:sz w:val="32"/>
          <w:szCs w:val="32"/>
        </w:rPr>
      </w:pPr>
      <w:r>
        <w:rPr>
          <w:rFonts w:eastAsia="仿宋"/>
          <w:sz w:val="32"/>
          <w:szCs w:val="32"/>
        </w:rPr>
        <w:br w:type="page"/>
      </w:r>
    </w:p>
    <w:p w14:paraId="57EF0BF0">
      <w:pPr>
        <w:pStyle w:val="5"/>
        <w:jc w:val="center"/>
        <w:rPr>
          <w:rFonts w:eastAsia="方正小标宋简体" w:cs="方正小标宋简体"/>
          <w:b w:val="0"/>
        </w:rPr>
      </w:pPr>
      <w:bookmarkStart w:id="16" w:name="_Toc15396602"/>
      <w:bookmarkStart w:id="17" w:name="_Toc15377204"/>
      <w:r>
        <w:rPr>
          <w:rFonts w:hint="eastAsia" w:eastAsia="方正小标宋简体" w:cs="方正小标宋简体"/>
          <w:b w:val="0"/>
        </w:rPr>
        <w:t>第二部分  2024年度部门决算情况说明</w:t>
      </w:r>
      <w:bookmarkEnd w:id="16"/>
      <w:bookmarkEnd w:id="17"/>
    </w:p>
    <w:p w14:paraId="79810D9F"/>
    <w:p w14:paraId="18DC6AF5">
      <w:pPr>
        <w:pStyle w:val="32"/>
        <w:spacing w:line="600" w:lineRule="exact"/>
        <w:ind w:firstLine="640"/>
        <w:outlineLvl w:val="1"/>
        <w:rPr>
          <w:rStyle w:val="21"/>
          <w:rFonts w:ascii="Times New Roman" w:hAnsi="Times New Roman" w:eastAsia="黑体"/>
          <w:b w:val="0"/>
        </w:rPr>
      </w:pPr>
      <w:bookmarkStart w:id="18" w:name="_Toc15377205"/>
      <w:bookmarkStart w:id="19" w:name="_Toc15396603"/>
      <w:r>
        <w:rPr>
          <w:rFonts w:hint="eastAsia" w:eastAsia="黑体"/>
          <w:sz w:val="32"/>
          <w:szCs w:val="32"/>
        </w:rPr>
        <w:t>一、收</w:t>
      </w:r>
      <w:r>
        <w:rPr>
          <w:rStyle w:val="21"/>
          <w:rFonts w:hint="eastAsia" w:ascii="Times New Roman" w:hAnsi="Times New Roman" w:eastAsia="黑体"/>
          <w:b w:val="0"/>
        </w:rPr>
        <w:t>入支出决算总体情况说明</w:t>
      </w:r>
      <w:bookmarkEnd w:id="18"/>
      <w:bookmarkEnd w:id="19"/>
    </w:p>
    <w:p w14:paraId="4E4587A8">
      <w:pPr>
        <w:pStyle w:val="32"/>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1432.09</w:t>
      </w:r>
      <w:r>
        <w:rPr>
          <w:rFonts w:hint="eastAsia" w:eastAsia="仿宋_GB2312" w:cs="仿宋_GB2312"/>
          <w:sz w:val="32"/>
          <w:szCs w:val="32"/>
        </w:rPr>
        <w:t>万元。与2023年度相比，收入、支出总计各增加170.51万元，增长13.52%。主要变动原因是本年度决算中将学生课后服务费、学生伙食费纳入决算中，导致收入、支出经费均有增加。</w:t>
      </w:r>
    </w:p>
    <w:p w14:paraId="777976ED">
      <w:pPr>
        <w:pStyle w:val="32"/>
        <w:outlineLvl w:val="1"/>
        <w:rPr>
          <w:rFonts w:eastAsia="仿宋_GB2312" w:cs="仿宋_GB2312"/>
          <w:sz w:val="32"/>
          <w:szCs w:val="32"/>
        </w:rPr>
      </w:pPr>
      <w:r>
        <w:drawing>
          <wp:inline distT="0" distB="0" distL="0" distR="0">
            <wp:extent cx="3857625" cy="2724150"/>
            <wp:effectExtent l="0" t="0" r="952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063E53">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14:paraId="2BF373FC">
      <w:pPr>
        <w:ind w:firstLine="640" w:firstLineChars="200"/>
        <w:rPr>
          <w:rFonts w:eastAsia="仿宋_GB2312" w:cs="仿宋_GB2312"/>
          <w:sz w:val="32"/>
          <w:szCs w:val="32"/>
        </w:rPr>
      </w:pPr>
    </w:p>
    <w:p w14:paraId="0A433258">
      <w:pPr>
        <w:pStyle w:val="32"/>
        <w:spacing w:line="600" w:lineRule="exact"/>
        <w:ind w:firstLine="640"/>
        <w:outlineLvl w:val="1"/>
        <w:rPr>
          <w:rFonts w:eastAsia="黑体"/>
          <w:sz w:val="32"/>
          <w:szCs w:val="32"/>
        </w:rPr>
      </w:pPr>
      <w:bookmarkStart w:id="20" w:name="_Toc15377206"/>
      <w:bookmarkStart w:id="21" w:name="_Toc15396604"/>
      <w:r>
        <w:rPr>
          <w:rFonts w:hint="eastAsia" w:eastAsia="黑体"/>
          <w:sz w:val="32"/>
          <w:szCs w:val="32"/>
        </w:rPr>
        <w:t>二、收入决算情况说明</w:t>
      </w:r>
      <w:bookmarkEnd w:id="20"/>
      <w:bookmarkEnd w:id="21"/>
    </w:p>
    <w:p w14:paraId="7036D318">
      <w:pPr>
        <w:pStyle w:val="32"/>
        <w:spacing w:line="600" w:lineRule="exact"/>
        <w:ind w:firstLine="640"/>
        <w:jc w:val="left"/>
        <w:outlineLvl w:val="1"/>
        <w:rPr>
          <w:rFonts w:hint="eastAsia" w:eastAsia="仿宋_GB2312" w:cs="仿宋_GB2312"/>
          <w:b/>
          <w:bCs/>
          <w:sz w:val="32"/>
          <w:szCs w:val="32"/>
        </w:rPr>
      </w:pPr>
      <w:r>
        <w:rPr>
          <w:rFonts w:hint="eastAsia" w:ascii="仿宋_GB2312" w:hAnsi="仿宋_GB2312" w:eastAsia="仿宋_GB2312" w:cs="仿宋_GB2312"/>
          <w:sz w:val="32"/>
          <w:szCs w:val="32"/>
        </w:rPr>
        <w:t>2024年度本年收入合计1432.09万元，其中：一般公共预算财政拨款收入1276.15万元，占89.11%；其他收入155.94万元，占10.89%。</w:t>
      </w:r>
    </w:p>
    <w:p w14:paraId="4F594F5A">
      <w:pPr>
        <w:pStyle w:val="32"/>
        <w:jc w:val="left"/>
        <w:outlineLvl w:val="1"/>
        <w:rPr>
          <w:rFonts w:hint="eastAsia" w:eastAsia="仿宋_GB2312" w:cs="仿宋_GB2312"/>
          <w:b/>
          <w:bCs/>
          <w:sz w:val="32"/>
          <w:szCs w:val="32"/>
        </w:rPr>
      </w:pPr>
      <w:r>
        <w:drawing>
          <wp:inline distT="0" distB="0" distL="0" distR="0">
            <wp:extent cx="4562475" cy="4048125"/>
            <wp:effectExtent l="0" t="0" r="952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995822">
      <w:pPr>
        <w:pStyle w:val="32"/>
        <w:spacing w:line="600" w:lineRule="exact"/>
        <w:ind w:firstLine="640"/>
        <w:jc w:val="left"/>
        <w:outlineLvl w:val="1"/>
        <w:rPr>
          <w:rFonts w:eastAsia="仿宋_GB2312" w:cs="仿宋_GB2312"/>
          <w:sz w:val="32"/>
          <w:szCs w:val="32"/>
        </w:rPr>
      </w:pPr>
      <w:r>
        <w:rPr>
          <w:rFonts w:hint="eastAsia" w:eastAsia="仿宋_GB2312" w:cs="仿宋_GB2312"/>
          <w:sz w:val="32"/>
          <w:szCs w:val="32"/>
        </w:rPr>
        <w:t>（图2：收入决算结构图）</w:t>
      </w:r>
    </w:p>
    <w:p w14:paraId="18CD3017">
      <w:pPr>
        <w:ind w:firstLine="800" w:firstLineChars="250"/>
        <w:rPr>
          <w:rFonts w:eastAsia="仿宋_GB2312" w:cs="仿宋_GB2312"/>
          <w:sz w:val="32"/>
          <w:szCs w:val="32"/>
        </w:rPr>
      </w:pPr>
    </w:p>
    <w:p w14:paraId="28B78C55">
      <w:pPr>
        <w:pStyle w:val="32"/>
        <w:spacing w:line="600" w:lineRule="exact"/>
        <w:ind w:firstLine="640"/>
        <w:outlineLvl w:val="1"/>
        <w:rPr>
          <w:rStyle w:val="21"/>
          <w:rFonts w:ascii="Times New Roman" w:hAnsi="Times New Roman" w:eastAsia="黑体"/>
          <w:b w:val="0"/>
        </w:rPr>
      </w:pPr>
      <w:bookmarkStart w:id="22" w:name="_Toc15396605"/>
      <w:bookmarkStart w:id="23" w:name="_Toc15377207"/>
      <w:r>
        <w:rPr>
          <w:rFonts w:hint="eastAsia" w:eastAsia="黑体"/>
          <w:sz w:val="32"/>
          <w:szCs w:val="32"/>
        </w:rPr>
        <w:t>三、支</w:t>
      </w:r>
      <w:r>
        <w:rPr>
          <w:rStyle w:val="21"/>
          <w:rFonts w:hint="eastAsia" w:ascii="Times New Roman" w:hAnsi="Times New Roman" w:eastAsia="黑体"/>
          <w:b w:val="0"/>
        </w:rPr>
        <w:t>出决算情况说明</w:t>
      </w:r>
      <w:bookmarkEnd w:id="22"/>
      <w:bookmarkEnd w:id="23"/>
    </w:p>
    <w:p w14:paraId="6F4A037E">
      <w:pPr>
        <w:pStyle w:val="32"/>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2024年度本年支出合计1430万元，其中：基本支出1125万元，占78.67%；项目支出305万元，占21.33%。</w:t>
      </w:r>
    </w:p>
    <w:p w14:paraId="447AF4C8">
      <w:pPr>
        <w:pStyle w:val="32"/>
        <w:jc w:val="left"/>
        <w:outlineLvl w:val="1"/>
        <w:rPr>
          <w:rFonts w:eastAsia="仿宋_GB2312" w:cs="仿宋_GB2312"/>
          <w:sz w:val="32"/>
          <w:szCs w:val="32"/>
        </w:rPr>
      </w:pPr>
      <w:r>
        <w:drawing>
          <wp:inline distT="0" distB="0" distL="0" distR="0">
            <wp:extent cx="3629025" cy="3905250"/>
            <wp:effectExtent l="0" t="0" r="952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08EFB0">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7C69D128">
      <w:pPr>
        <w:ind w:firstLine="800" w:firstLineChars="250"/>
        <w:rPr>
          <w:rFonts w:eastAsia="仿宋_GB2312" w:cs="仿宋_GB2312"/>
          <w:sz w:val="32"/>
          <w:szCs w:val="32"/>
        </w:rPr>
      </w:pPr>
    </w:p>
    <w:p w14:paraId="7C398E67">
      <w:pPr>
        <w:spacing w:line="600" w:lineRule="exact"/>
        <w:ind w:firstLine="640" w:firstLineChars="200"/>
        <w:outlineLvl w:val="1"/>
        <w:rPr>
          <w:rStyle w:val="21"/>
          <w:rFonts w:ascii="Times New Roman" w:hAnsi="Times New Roman" w:eastAsia="黑体"/>
          <w:b w:val="0"/>
        </w:rPr>
      </w:pPr>
      <w:bookmarkStart w:id="24" w:name="_Toc15377208"/>
      <w:bookmarkStart w:id="25" w:name="_Toc15396606"/>
      <w:r>
        <w:rPr>
          <w:rFonts w:hint="eastAsia" w:eastAsia="黑体"/>
          <w:sz w:val="32"/>
          <w:szCs w:val="32"/>
        </w:rPr>
        <w:t>四、财</w:t>
      </w:r>
      <w:r>
        <w:rPr>
          <w:rStyle w:val="21"/>
          <w:rFonts w:hint="eastAsia" w:ascii="Times New Roman" w:hAnsi="Times New Roman" w:eastAsia="黑体"/>
          <w:b w:val="0"/>
        </w:rPr>
        <w:t>政拨款收入支出决算总体情况说明</w:t>
      </w:r>
      <w:bookmarkEnd w:id="24"/>
      <w:bookmarkEnd w:id="25"/>
    </w:p>
    <w:p w14:paraId="0DEBD578">
      <w:pPr>
        <w:spacing w:line="600" w:lineRule="exact"/>
        <w:ind w:firstLine="640"/>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1276.15</w:t>
      </w:r>
      <w:r>
        <w:rPr>
          <w:rFonts w:hint="eastAsia" w:eastAsia="仿宋_GB2312" w:cs="仿宋_GB2312"/>
          <w:sz w:val="32"/>
          <w:szCs w:val="32"/>
        </w:rPr>
        <w:t>万元。与2023年度相比，财政拨款收入总计、支出总计各增加14.57万元，增长1.15%。主要变动原因是本年度单位教职工工资与五险两金等人员经费有所增加。</w:t>
      </w:r>
    </w:p>
    <w:p w14:paraId="3BA1D818">
      <w:pPr>
        <w:pStyle w:val="2"/>
      </w:pPr>
      <w:r>
        <w:drawing>
          <wp:inline distT="0" distB="0" distL="0" distR="0">
            <wp:extent cx="4364990" cy="2504440"/>
            <wp:effectExtent l="0" t="0" r="16510"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2E8F74">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14:paraId="158461A4">
      <w:pPr>
        <w:spacing w:line="600" w:lineRule="exact"/>
        <w:ind w:firstLine="640" w:firstLineChars="200"/>
        <w:outlineLvl w:val="1"/>
        <w:rPr>
          <w:rStyle w:val="21"/>
          <w:rFonts w:ascii="Times New Roman" w:hAnsi="Times New Roman" w:eastAsia="黑体"/>
          <w:b w:val="0"/>
        </w:rPr>
      </w:pPr>
      <w:bookmarkStart w:id="26" w:name="_Toc15377209"/>
      <w:bookmarkStart w:id="27" w:name="_Toc15396607"/>
      <w:r>
        <w:rPr>
          <w:rFonts w:hint="eastAsia" w:eastAsia="黑体"/>
          <w:sz w:val="32"/>
          <w:szCs w:val="32"/>
        </w:rPr>
        <w:t>五、</w:t>
      </w:r>
      <w:r>
        <w:rPr>
          <w:rFonts w:hint="eastAsia" w:eastAsia="黑体"/>
          <w:b/>
          <w:sz w:val="32"/>
          <w:szCs w:val="32"/>
        </w:rPr>
        <w:t>一</w:t>
      </w:r>
      <w:r>
        <w:rPr>
          <w:rStyle w:val="21"/>
          <w:rFonts w:hint="eastAsia" w:ascii="Times New Roman" w:hAnsi="Times New Roman" w:eastAsia="黑体"/>
          <w:b w:val="0"/>
        </w:rPr>
        <w:t>般公共预算财政拨款支出决算情况说明</w:t>
      </w:r>
      <w:bookmarkEnd w:id="26"/>
      <w:bookmarkEnd w:id="27"/>
    </w:p>
    <w:p w14:paraId="3437E6D5">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0D247987">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1276.15万元，占本年支出合计的89.24%。与2023年度相比，一般公共预算财政拨款支出增加14.57万元，增长1.15%。主要变动原因是本年度单位教职工工资与五险两金等人员经费有所增加。</w:t>
      </w:r>
    </w:p>
    <w:p w14:paraId="5242D82B">
      <w:pPr>
        <w:pStyle w:val="2"/>
      </w:pPr>
      <w:r>
        <w:drawing>
          <wp:inline distT="0" distB="0" distL="0" distR="0">
            <wp:extent cx="4572000" cy="27432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77D96B">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14:paraId="2D2B7F37">
      <w:pPr>
        <w:spacing w:line="600" w:lineRule="exact"/>
        <w:ind w:firstLine="640"/>
        <w:rPr>
          <w:rFonts w:eastAsia="仿宋_GB2312" w:cs="仿宋_GB2312"/>
          <w:sz w:val="32"/>
          <w:szCs w:val="32"/>
        </w:rPr>
      </w:pPr>
    </w:p>
    <w:p w14:paraId="3B251EA3">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6548E2C8">
      <w:pPr>
        <w:spacing w:line="600" w:lineRule="exact"/>
        <w:ind w:firstLine="640"/>
        <w:rPr>
          <w:rFonts w:hint="eastAsia"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1276.15万元</w:t>
      </w:r>
      <w:r>
        <w:rPr>
          <w:rFonts w:hint="eastAsia" w:eastAsia="仿宋_GB2312" w:cs="仿宋_GB2312"/>
          <w:sz w:val="32"/>
          <w:szCs w:val="32"/>
        </w:rPr>
        <w:t>，主要用于以下方面：一般公共服务支出0万元，占0%；教育支出995.39万元，占77.99%；科学技术支出0万元，占0%；文化旅游体育与传媒支出0万元，占0%；社会保障和就业支出141.74万元，占11.11%；卫生健康支出51.52万元，占4.04%；住房保障支出87.5万元，占6.86%。</w:t>
      </w:r>
    </w:p>
    <w:p w14:paraId="18600F0A">
      <w:pPr>
        <w:pStyle w:val="2"/>
      </w:pPr>
      <w:r>
        <w:drawing>
          <wp:inline distT="0" distB="0" distL="0" distR="0">
            <wp:extent cx="5114925" cy="3514725"/>
            <wp:effectExtent l="0" t="0" r="9525"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B11166">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14:paraId="730E0E57">
      <w:pPr>
        <w:spacing w:line="600" w:lineRule="exact"/>
        <w:ind w:firstLine="640"/>
        <w:rPr>
          <w:rFonts w:eastAsia="仿宋_GB2312" w:cs="仿宋_GB2312"/>
          <w:sz w:val="32"/>
          <w:szCs w:val="32"/>
        </w:rPr>
      </w:pPr>
    </w:p>
    <w:p w14:paraId="0FE30E47">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1C4C59C5">
      <w:pPr>
        <w:spacing w:line="600" w:lineRule="exact"/>
        <w:ind w:firstLine="640"/>
        <w:rPr>
          <w:rFonts w:eastAsia="仿宋_GB2312" w:cs="仿宋_GB2312"/>
          <w:sz w:val="32"/>
          <w:szCs w:val="32"/>
        </w:rPr>
      </w:pPr>
      <w:bookmarkStart w:id="31" w:name="_Toc15377213"/>
      <w:bookmarkStart w:id="32" w:name="_Toc15378460"/>
      <w:bookmarkStart w:id="33"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1276.15，</w:t>
      </w:r>
      <w:r>
        <w:rPr>
          <w:rFonts w:hint="eastAsia" w:eastAsia="仿宋_GB2312" w:cs="仿宋_GB2312"/>
          <w:sz w:val="32"/>
          <w:szCs w:val="32"/>
        </w:rPr>
        <w:t>完成预算100%。其中：</w:t>
      </w:r>
      <w:bookmarkEnd w:id="31"/>
      <w:bookmarkEnd w:id="32"/>
      <w:bookmarkEnd w:id="33"/>
    </w:p>
    <w:p w14:paraId="6FC73E17">
      <w:pPr>
        <w:spacing w:line="600" w:lineRule="exact"/>
        <w:ind w:firstLine="640"/>
        <w:rPr>
          <w:rFonts w:hint="eastAsia" w:eastAsia="仿宋_GB2312" w:cs="仿宋_GB2312"/>
          <w:sz w:val="32"/>
          <w:szCs w:val="32"/>
        </w:rPr>
      </w:pPr>
      <w:r>
        <w:rPr>
          <w:rFonts w:hint="eastAsia" w:eastAsia="仿宋_GB2312" w:cs="仿宋_GB2312"/>
          <w:sz w:val="32"/>
          <w:szCs w:val="32"/>
        </w:rPr>
        <w:t>1. 教育支出205(类)普通教育02(款)小学教育02(款)：支出决算为926.69万元，完成预算100%。</w:t>
      </w:r>
    </w:p>
    <w:p w14:paraId="5847CA45">
      <w:pPr>
        <w:spacing w:line="600" w:lineRule="exact"/>
        <w:ind w:firstLine="640"/>
        <w:rPr>
          <w:rFonts w:eastAsia="仿宋_GB2312" w:cs="仿宋_GB2312"/>
          <w:sz w:val="32"/>
          <w:szCs w:val="32"/>
        </w:rPr>
      </w:pPr>
      <w:r>
        <w:rPr>
          <w:rFonts w:hint="eastAsia" w:eastAsia="仿宋_GB2312" w:cs="仿宋_GB2312"/>
          <w:sz w:val="32"/>
          <w:szCs w:val="32"/>
        </w:rPr>
        <w:t>2. 教育支出205(类)普通教育02(款)其他普通教育支出99(款)：支出决算为17.95万元，完成预算100%。</w:t>
      </w:r>
    </w:p>
    <w:p w14:paraId="4A5562D0">
      <w:pPr>
        <w:spacing w:line="600" w:lineRule="exact"/>
        <w:ind w:firstLine="640"/>
        <w:rPr>
          <w:rFonts w:eastAsia="仿宋_GB2312" w:cs="仿宋_GB2312"/>
          <w:sz w:val="32"/>
          <w:szCs w:val="32"/>
        </w:rPr>
      </w:pPr>
      <w:r>
        <w:rPr>
          <w:rFonts w:hint="eastAsia" w:eastAsia="仿宋_GB2312" w:cs="仿宋_GB2312"/>
          <w:sz w:val="32"/>
          <w:szCs w:val="32"/>
        </w:rPr>
        <w:t>3. 教育支出205(类)教育费附加安排的支出09(款)其他教育费附加安排的支出99(款)：支出决算为49.9万元，完成预算100%。</w:t>
      </w:r>
    </w:p>
    <w:p w14:paraId="72D11FEB">
      <w:pPr>
        <w:spacing w:line="600" w:lineRule="exact"/>
        <w:ind w:firstLine="640"/>
        <w:rPr>
          <w:rFonts w:eastAsia="仿宋_GB2312" w:cs="仿宋_GB2312"/>
          <w:sz w:val="32"/>
          <w:szCs w:val="32"/>
        </w:rPr>
      </w:pPr>
      <w:r>
        <w:rPr>
          <w:rFonts w:hint="eastAsia" w:eastAsia="仿宋_GB2312" w:cs="仿宋_GB2312"/>
          <w:sz w:val="32"/>
          <w:szCs w:val="32"/>
        </w:rPr>
        <w:t>4. 教育支出205(类)其他教育支出99(款)其他教育支出99(款)：支出决算为0.84万元，完成预算100%。</w:t>
      </w:r>
    </w:p>
    <w:p w14:paraId="7F152654">
      <w:pPr>
        <w:spacing w:line="600" w:lineRule="exact"/>
        <w:ind w:firstLine="640"/>
        <w:rPr>
          <w:rFonts w:hint="eastAsia" w:eastAsia="仿宋_GB2312" w:cs="仿宋_GB2312"/>
          <w:sz w:val="32"/>
          <w:szCs w:val="32"/>
        </w:rPr>
      </w:pPr>
      <w:r>
        <w:rPr>
          <w:rFonts w:hint="eastAsia" w:eastAsia="仿宋_GB2312" w:cs="仿宋_GB2312"/>
          <w:sz w:val="32"/>
          <w:szCs w:val="32"/>
        </w:rPr>
        <w:t>5. 社会保障和就业支出208(类)行政事业单位养老支出05(款)事业单位离退休02(款)：支出决算为5.16万元，完成预算100%。</w:t>
      </w:r>
    </w:p>
    <w:p w14:paraId="7A574C8F">
      <w:pPr>
        <w:spacing w:line="600" w:lineRule="exact"/>
        <w:ind w:firstLine="640"/>
        <w:rPr>
          <w:rFonts w:hint="eastAsia" w:eastAsia="仿宋_GB2312" w:cs="仿宋_GB2312"/>
          <w:sz w:val="32"/>
          <w:szCs w:val="32"/>
        </w:rPr>
      </w:pPr>
      <w:r>
        <w:rPr>
          <w:rFonts w:hint="eastAsia" w:eastAsia="仿宋_GB2312" w:cs="仿宋_GB2312"/>
          <w:sz w:val="32"/>
          <w:szCs w:val="32"/>
        </w:rPr>
        <w:t>6. 社会保障和就业支出208(类)行政事业单位养老支出05(款)机关事业单位基本养老保险缴费支出05(款)：支出决算为113.98万元，完成预算100%。</w:t>
      </w:r>
    </w:p>
    <w:p w14:paraId="77F70D89">
      <w:pPr>
        <w:spacing w:line="600" w:lineRule="exact"/>
        <w:ind w:firstLine="640"/>
        <w:rPr>
          <w:rFonts w:eastAsia="仿宋_GB2312" w:cs="仿宋_GB2312"/>
          <w:sz w:val="32"/>
          <w:szCs w:val="32"/>
        </w:rPr>
      </w:pPr>
      <w:r>
        <w:rPr>
          <w:rFonts w:hint="eastAsia" w:eastAsia="仿宋_GB2312" w:cs="仿宋_GB2312"/>
          <w:sz w:val="32"/>
          <w:szCs w:val="32"/>
        </w:rPr>
        <w:t>7. 社会保障和就业支出208(类)行政事业单位养老支出05(款)其他行政事业单位养老支出99(款)：支出决算为12.09万元，完成预算100%。</w:t>
      </w:r>
    </w:p>
    <w:p w14:paraId="696969D2">
      <w:pPr>
        <w:spacing w:line="600" w:lineRule="exact"/>
        <w:ind w:firstLine="640"/>
        <w:rPr>
          <w:rFonts w:eastAsia="仿宋_GB2312" w:cs="仿宋_GB2312"/>
          <w:sz w:val="32"/>
          <w:szCs w:val="32"/>
        </w:rPr>
      </w:pPr>
      <w:r>
        <w:rPr>
          <w:rFonts w:hint="eastAsia" w:eastAsia="仿宋_GB2312" w:cs="仿宋_GB2312"/>
          <w:sz w:val="32"/>
          <w:szCs w:val="32"/>
        </w:rPr>
        <w:t>8. 社会保障和就业支出208(类)其他社会保障和就业支出99(款)其他社会保障和就业支出99(款)：支出决算为10.52万元，完成预算100%。</w:t>
      </w:r>
    </w:p>
    <w:p w14:paraId="1B020360">
      <w:pPr>
        <w:spacing w:line="600" w:lineRule="exact"/>
        <w:ind w:firstLine="640"/>
        <w:rPr>
          <w:rFonts w:eastAsia="仿宋_GB2312" w:cs="仿宋_GB2312"/>
          <w:sz w:val="32"/>
          <w:szCs w:val="32"/>
        </w:rPr>
      </w:pPr>
      <w:r>
        <w:rPr>
          <w:rFonts w:hint="eastAsia" w:eastAsia="仿宋_GB2312" w:cs="仿宋_GB2312"/>
          <w:sz w:val="32"/>
          <w:szCs w:val="32"/>
        </w:rPr>
        <w:t>9. 卫生健康支出210(类)行政事业单位医疗11(款)事业单位医疗02(款)：支出决算为51.52万元，完成预算100%。</w:t>
      </w:r>
    </w:p>
    <w:p w14:paraId="65015116">
      <w:pPr>
        <w:spacing w:line="600" w:lineRule="exact"/>
        <w:ind w:firstLine="640"/>
        <w:rPr>
          <w:rFonts w:hint="eastAsia" w:eastAsia="仿宋_GB2312" w:cs="仿宋_GB2312"/>
          <w:sz w:val="32"/>
          <w:szCs w:val="32"/>
        </w:rPr>
      </w:pPr>
      <w:r>
        <w:rPr>
          <w:rFonts w:hint="eastAsia" w:eastAsia="仿宋_GB2312" w:cs="仿宋_GB2312"/>
          <w:sz w:val="32"/>
          <w:szCs w:val="32"/>
        </w:rPr>
        <w:t>10. 住房保障支出221(类)住房改革支出02(款)住房公积金01(款)：支出决算为87.5万元，完成预算100%。</w:t>
      </w:r>
    </w:p>
    <w:p w14:paraId="216EA9C7">
      <w:pPr>
        <w:spacing w:line="600" w:lineRule="exact"/>
        <w:ind w:firstLine="640"/>
        <w:rPr>
          <w:rFonts w:eastAsia="仿宋_GB2312" w:cs="仿宋_GB2312"/>
          <w:sz w:val="32"/>
          <w:szCs w:val="32"/>
        </w:rPr>
      </w:pPr>
    </w:p>
    <w:p w14:paraId="61700389">
      <w:pPr>
        <w:tabs>
          <w:tab w:val="right" w:pos="8306"/>
        </w:tabs>
        <w:spacing w:line="600" w:lineRule="exact"/>
        <w:ind w:firstLine="640"/>
        <w:outlineLvl w:val="1"/>
        <w:rPr>
          <w:rStyle w:val="21"/>
          <w:rFonts w:ascii="Times New Roman" w:hAnsi="Times New Roman"/>
        </w:rPr>
      </w:pPr>
      <w:bookmarkStart w:id="34" w:name="_Toc15396608"/>
      <w:bookmarkStart w:id="35" w:name="_Toc15377214"/>
      <w:r>
        <w:rPr>
          <w:rFonts w:hint="eastAsia" w:eastAsia="黑体"/>
          <w:sz w:val="32"/>
          <w:szCs w:val="32"/>
        </w:rPr>
        <w:t>六</w:t>
      </w:r>
      <w:r>
        <w:rPr>
          <w:rFonts w:hint="eastAsia" w:eastAsia="黑体"/>
          <w:b/>
          <w:sz w:val="32"/>
          <w:szCs w:val="32"/>
        </w:rPr>
        <w:t>、一</w:t>
      </w:r>
      <w:r>
        <w:rPr>
          <w:rStyle w:val="21"/>
          <w:rFonts w:hint="eastAsia" w:ascii="Times New Roman" w:hAnsi="Times New Roman" w:eastAsia="黑体"/>
          <w:b w:val="0"/>
        </w:rPr>
        <w:t>般公共预算财政拨款基本支出决算情况说明</w:t>
      </w:r>
      <w:bookmarkEnd w:id="34"/>
      <w:bookmarkEnd w:id="35"/>
      <w:r>
        <w:rPr>
          <w:rStyle w:val="21"/>
          <w:rFonts w:ascii="Times New Roman" w:hAnsi="Times New Roman" w:eastAsia="黑体"/>
          <w:b w:val="0"/>
        </w:rPr>
        <w:tab/>
      </w:r>
    </w:p>
    <w:p w14:paraId="1E9A18B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1125万</w:t>
      </w:r>
      <w:r>
        <w:rPr>
          <w:rFonts w:hint="eastAsia" w:eastAsia="仿宋_GB2312" w:cs="仿宋_GB2312"/>
          <w:sz w:val="32"/>
          <w:szCs w:val="32"/>
        </w:rPr>
        <w:t>元，其中：</w:t>
      </w:r>
    </w:p>
    <w:p w14:paraId="73695429">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1092.82万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32.18万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13A8EF4">
      <w:pPr>
        <w:spacing w:line="600" w:lineRule="exact"/>
        <w:ind w:firstLine="640"/>
        <w:rPr>
          <w:rFonts w:eastAsia="仿宋_GB2312" w:cs="仿宋_GB2312"/>
          <w:b/>
          <w:bCs/>
          <w:sz w:val="32"/>
          <w:szCs w:val="32"/>
        </w:rPr>
      </w:pPr>
    </w:p>
    <w:p w14:paraId="7CC11AC8">
      <w:pPr>
        <w:spacing w:line="600" w:lineRule="exact"/>
        <w:ind w:firstLine="640"/>
        <w:rPr>
          <w:rFonts w:eastAsia="仿宋_GB2312" w:cs="仿宋_GB2312"/>
          <w:sz w:val="32"/>
          <w:szCs w:val="32"/>
        </w:rPr>
      </w:pPr>
    </w:p>
    <w:p w14:paraId="0B72ADA7">
      <w:pPr>
        <w:spacing w:line="600" w:lineRule="exact"/>
        <w:ind w:firstLine="640"/>
        <w:outlineLvl w:val="1"/>
        <w:rPr>
          <w:rStyle w:val="21"/>
          <w:rFonts w:ascii="Times New Roman" w:hAnsi="Times New Roman" w:eastAsia="黑体"/>
          <w:b w:val="0"/>
        </w:rPr>
      </w:pPr>
      <w:bookmarkStart w:id="36" w:name="_Toc15396609"/>
      <w:bookmarkStart w:id="37" w:name="_Toc15377215"/>
      <w:r>
        <w:rPr>
          <w:rFonts w:hint="eastAsia" w:eastAsia="黑体"/>
          <w:sz w:val="32"/>
          <w:szCs w:val="32"/>
        </w:rPr>
        <w:t>七、</w:t>
      </w:r>
      <w:r>
        <w:rPr>
          <w:rStyle w:val="21"/>
          <w:rFonts w:hint="eastAsia" w:ascii="Times New Roman" w:hAnsi="Times New Roman" w:eastAsia="黑体"/>
          <w:b w:val="0"/>
        </w:rPr>
        <w:t>财政拨款</w:t>
      </w:r>
      <w:r>
        <w:rPr>
          <w:rStyle w:val="21"/>
          <w:rFonts w:hint="eastAsia" w:ascii="Times New Roman" w:hAnsi="Times New Roman" w:eastAsia="黑体"/>
        </w:rPr>
        <w:t>“</w:t>
      </w:r>
      <w:r>
        <w:rPr>
          <w:rStyle w:val="21"/>
          <w:rFonts w:hint="eastAsia" w:ascii="Times New Roman" w:hAnsi="Times New Roman" w:eastAsia="黑体"/>
          <w:b w:val="0"/>
        </w:rPr>
        <w:t>三公”经费支出决算情况说明</w:t>
      </w:r>
      <w:bookmarkEnd w:id="36"/>
      <w:bookmarkEnd w:id="37"/>
    </w:p>
    <w:p w14:paraId="1A705E4E">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576DC72B">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0万元，完成预算100%，</w:t>
      </w:r>
      <w:r>
        <w:rPr>
          <w:rFonts w:hint="eastAsia" w:eastAsia="仿宋_GB2312" w:cs="仿宋_GB2312"/>
          <w:sz w:val="32"/>
          <w:szCs w:val="32"/>
        </w:rPr>
        <w:t>与预算数持平</w:t>
      </w:r>
    </w:p>
    <w:p w14:paraId="70CFF889">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7FB457F0">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w:t>
      </w:r>
    </w:p>
    <w:p w14:paraId="5B997C75">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1.因公出国（境）经费支出0万元，完成预算100%。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747E7B1E">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元，完成预算100%。</w:t>
      </w:r>
    </w:p>
    <w:p w14:paraId="632430D9">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019FC2ED">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0ACF8968">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元，完成预算100%。</w:t>
      </w:r>
    </w:p>
    <w:p w14:paraId="422DC5E2">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元。外事接待支</w:t>
      </w:r>
      <w:r>
        <w:rPr>
          <w:rFonts w:hint="eastAsia" w:ascii="仿宋_GB2312" w:hAnsi="仿宋_GB2312" w:eastAsia="仿宋_GB2312" w:cs="仿宋_GB2312"/>
          <w:sz w:val="32"/>
          <w:szCs w:val="32"/>
        </w:rPr>
        <w:t>出0万元。共计支出0万</w:t>
      </w:r>
      <w:r>
        <w:rPr>
          <w:rFonts w:hint="eastAsia" w:eastAsia="仿宋_GB2312" w:cs="仿宋_GB2312"/>
          <w:sz w:val="32"/>
          <w:szCs w:val="32"/>
        </w:rPr>
        <w:t>元。</w:t>
      </w:r>
    </w:p>
    <w:p w14:paraId="75F50DD8">
      <w:pPr>
        <w:spacing w:line="600" w:lineRule="exact"/>
        <w:ind w:firstLine="640"/>
        <w:outlineLvl w:val="1"/>
        <w:rPr>
          <w:rStyle w:val="21"/>
          <w:rFonts w:ascii="Times New Roman" w:hAnsi="Times New Roman" w:eastAsia="黑体"/>
        </w:rPr>
      </w:pPr>
      <w:bookmarkStart w:id="40" w:name="_Toc15377218"/>
      <w:bookmarkStart w:id="41" w:name="_Toc15396610"/>
      <w:r>
        <w:rPr>
          <w:rFonts w:hint="eastAsia" w:eastAsia="黑体"/>
          <w:sz w:val="32"/>
          <w:szCs w:val="32"/>
        </w:rPr>
        <w:t>八、</w:t>
      </w:r>
      <w:r>
        <w:rPr>
          <w:rStyle w:val="21"/>
          <w:rFonts w:hint="eastAsia" w:ascii="Times New Roman" w:hAnsi="Times New Roman" w:eastAsia="黑体"/>
          <w:b w:val="0"/>
        </w:rPr>
        <w:t>政府性基金预算支出决算情况说明</w:t>
      </w:r>
      <w:bookmarkEnd w:id="40"/>
      <w:bookmarkEnd w:id="41"/>
    </w:p>
    <w:p w14:paraId="4F8DB502">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w:t>
      </w:r>
    </w:p>
    <w:p w14:paraId="75FAA861">
      <w:pPr>
        <w:spacing w:line="600" w:lineRule="exact"/>
        <w:ind w:left="630"/>
        <w:outlineLvl w:val="1"/>
        <w:rPr>
          <w:rStyle w:val="21"/>
          <w:rFonts w:ascii="Times New Roman" w:hAnsi="Times New Roman" w:eastAsia="黑体"/>
          <w:b w:val="0"/>
        </w:rPr>
      </w:pPr>
      <w:bookmarkStart w:id="42" w:name="_Toc15396611"/>
      <w:bookmarkStart w:id="43" w:name="_Toc15377219"/>
      <w:r>
        <w:rPr>
          <w:rStyle w:val="21"/>
          <w:rFonts w:hint="eastAsia" w:ascii="Times New Roman" w:hAnsi="Times New Roman" w:eastAsia="黑体"/>
          <w:b w:val="0"/>
        </w:rPr>
        <w:t>九、国有资本经营预算支出决算情况说明</w:t>
      </w:r>
      <w:bookmarkEnd w:id="42"/>
      <w:bookmarkEnd w:id="43"/>
    </w:p>
    <w:p w14:paraId="2F5A6852">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w:t>
      </w:r>
    </w:p>
    <w:p w14:paraId="7173D33B">
      <w:pPr>
        <w:spacing w:line="600" w:lineRule="exact"/>
        <w:ind w:firstLine="640"/>
        <w:rPr>
          <w:rFonts w:eastAsia="仿宋_GB2312" w:cs="仿宋_GB2312"/>
          <w:sz w:val="32"/>
          <w:szCs w:val="32"/>
        </w:rPr>
      </w:pPr>
    </w:p>
    <w:p w14:paraId="7F5028EC">
      <w:pPr>
        <w:spacing w:line="600" w:lineRule="exact"/>
        <w:ind w:left="630"/>
        <w:outlineLvl w:val="1"/>
        <w:rPr>
          <w:rStyle w:val="21"/>
          <w:rFonts w:ascii="Times New Roman" w:hAnsi="Times New Roman" w:eastAsia="黑体"/>
          <w:b w:val="0"/>
        </w:rPr>
      </w:pPr>
      <w:bookmarkStart w:id="44" w:name="_Toc15377221"/>
      <w:bookmarkStart w:id="45" w:name="_Toc15396612"/>
      <w:r>
        <w:rPr>
          <w:rStyle w:val="21"/>
          <w:rFonts w:hint="eastAsia" w:ascii="Times New Roman" w:hAnsi="Times New Roman" w:eastAsia="黑体"/>
          <w:b w:val="0"/>
        </w:rPr>
        <w:t>十、其他重要事项的情况说明</w:t>
      </w:r>
      <w:bookmarkEnd w:id="44"/>
      <w:bookmarkEnd w:id="45"/>
    </w:p>
    <w:p w14:paraId="03FE48CC">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29496FA0">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，遂宁市安居区三家镇中心小学校机关运行经费支出0万</w:t>
      </w:r>
      <w:r>
        <w:rPr>
          <w:rFonts w:hint="eastAsia" w:eastAsia="仿宋_GB2312" w:cs="仿宋_GB2312"/>
          <w:sz w:val="32"/>
          <w:szCs w:val="32"/>
        </w:rPr>
        <w:t>元，与2023年度决算数持平。</w:t>
      </w:r>
    </w:p>
    <w:p w14:paraId="593C8806">
      <w:pPr>
        <w:spacing w:line="600" w:lineRule="exact"/>
        <w:ind w:firstLine="640"/>
        <w:rPr>
          <w:rFonts w:eastAsia="仿宋_GB2312" w:cs="仿宋_GB2312"/>
          <w:sz w:val="32"/>
          <w:szCs w:val="32"/>
        </w:rPr>
      </w:pPr>
    </w:p>
    <w:p w14:paraId="51A766CB">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5B2D001F">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遂宁市安居区三家镇中心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55A2396C">
      <w:pPr>
        <w:spacing w:line="600" w:lineRule="exact"/>
        <w:ind w:firstLine="640"/>
        <w:rPr>
          <w:rFonts w:eastAsia="仿宋_GB2312" w:cs="仿宋_GB2312"/>
          <w:sz w:val="32"/>
          <w:szCs w:val="32"/>
        </w:rPr>
      </w:pPr>
    </w:p>
    <w:p w14:paraId="3D2B2734">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2B233E1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截至2024年12月31日，遂宁市安居区三家镇中心小学校共有车辆0辆，其中：主要负责人用车0辆、机要通信用车0辆、应急保障用车0辆、其他用车0辆。单价100万元（含）以上设备（不含车辆）0台（套）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5E95BFC7">
      <w:pPr>
        <w:spacing w:line="600" w:lineRule="exact"/>
        <w:ind w:firstLine="640"/>
        <w:rPr>
          <w:rFonts w:eastAsia="仿宋_GB2312" w:cs="仿宋_GB2312"/>
          <w:sz w:val="32"/>
          <w:szCs w:val="32"/>
        </w:rPr>
      </w:pPr>
    </w:p>
    <w:p w14:paraId="24602C05">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38D29FBA">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根据预算绩效管理要求，本单位在2024年度预算编制阶段，</w:t>
      </w:r>
      <w:r>
        <w:rPr>
          <w:rFonts w:hint="eastAsia" w:ascii="Times New Roman" w:eastAsia="仿宋_GB2312" w:cs="仿宋_GB2312"/>
          <w:color w:val="auto"/>
          <w:kern w:val="2"/>
          <w:sz w:val="32"/>
          <w:szCs w:val="32"/>
          <w:highlight w:val="none"/>
          <w:lang w:val="en-US" w:eastAsia="zh-CN" w:bidi="ar-SA"/>
        </w:rPr>
        <w:t>组织对义务教贫困生</w:t>
      </w:r>
      <w:r>
        <w:rPr>
          <w:rFonts w:hint="eastAsia" w:ascii="Times New Roman" w:hAnsi="Times New Roman" w:eastAsia="仿宋_GB2312" w:cs="仿宋_GB2312"/>
          <w:color w:val="auto"/>
          <w:kern w:val="2"/>
          <w:sz w:val="32"/>
          <w:szCs w:val="32"/>
          <w:highlight w:val="none"/>
          <w:lang w:val="en-US" w:eastAsia="zh-CN" w:bidi="ar-SA"/>
        </w:rPr>
        <w:t>生活补助、校舍维修、校舍安全保障、义务教育免作业本费等5个项目开展了预算事前绩效评估，对5个项目编制了绩效目标，预算执行过程中，选取5个项目开展绩效监控。</w:t>
      </w:r>
    </w:p>
    <w:p w14:paraId="2315B795">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年三家小学部门整体（含部门预算项目）绩效自评报告、义教贫困生生活补助、校舍维修、校舍安全保障、义务教育免作业本费等专项预算项目绩效自评报告，其中，2024年三家小学部门整体（含部门预算项目）绩效自评得分为100分，绩效自评综述</w:t>
      </w:r>
      <w:r>
        <w:rPr>
          <w:rFonts w:hint="eastAsia" w:eastAsia="仿宋_GB2312" w:cs="Times New Roman"/>
          <w:sz w:val="32"/>
          <w:szCs w:val="32"/>
          <w:highlight w:val="none"/>
          <w:lang w:val="en-US" w:eastAsia="zh-CN"/>
        </w:rPr>
        <w:t>严格执行相关政策，保障工资及时发放、足额发放，预算编制科学合理，减少结余资金</w:t>
      </w:r>
      <w:r>
        <w:rPr>
          <w:rFonts w:hint="eastAsia" w:eastAsia="仿宋_GB2312"/>
          <w:sz w:val="32"/>
          <w:szCs w:val="32"/>
          <w:highlight w:val="none"/>
          <w:lang w:val="zh-CN"/>
        </w:rPr>
        <w:t>，</w:t>
      </w:r>
      <w:r>
        <w:rPr>
          <w:rFonts w:hint="eastAsia" w:ascii="仿宋_GB2312" w:hAnsi="仿宋_GB2312" w:eastAsia="仿宋_GB2312" w:cs="仿宋_GB2312"/>
          <w:sz w:val="32"/>
          <w:szCs w:val="32"/>
          <w:highlight w:val="none"/>
        </w:rPr>
        <w:t>广泛听取意见，认真总结分析,搜集完善各类资料。进</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步深化课程改革，提高教育质量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努力改善办学条件,促进教育均衡发展</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校舍安全保障项目绩效自评得分为100分，绩效自评综述加强民生资金专项管理，提高民生资金使用效益，确保专款专用。校舍维修专项预算项目绩效自评得分为100分，绩效自评综述加强民生资金专项管理，提高民生资金使用效益，确保专款专用。义务教育免作业本费专项预算项目绩效自评得分为100分，绩效自评综述加强民生资金专项管理，提高民生资金使用效益，确保专款专用，及时申报经费，保证学生作业本按时发放。义教贫困生生活补助专项预算项目绩效自评得分为100分，绩效自评综述加强民生资金专项管理，提高民生资金使用效益，确保专款专用，及时申报经费，保证学生作业本按时发放。</w:t>
      </w:r>
    </w:p>
    <w:p w14:paraId="0F1A4F08">
      <w:pPr>
        <w:spacing w:line="600" w:lineRule="exact"/>
        <w:ind w:firstLine="640"/>
        <w:rPr>
          <w:rFonts w:eastAsia="仿宋_GB2312" w:cs="仿宋_GB2312"/>
          <w:sz w:val="32"/>
          <w:szCs w:val="32"/>
        </w:rPr>
      </w:pPr>
      <w:r>
        <w:rPr>
          <w:rFonts w:hint="eastAsia" w:ascii="仿宋_GB2312" w:hAnsi="仿宋_GB2312" w:eastAsia="仿宋_GB2312" w:cs="仿宋_GB2312"/>
          <w:color w:val="auto"/>
          <w:sz w:val="32"/>
          <w:szCs w:val="32"/>
          <w:highlight w:val="none"/>
        </w:rPr>
        <w:t>绩效自评表详见</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75F2211A">
      <w:pPr>
        <w:spacing w:line="600" w:lineRule="exact"/>
        <w:ind w:firstLine="640"/>
        <w:rPr>
          <w:rFonts w:eastAsia="仿宋_GB2312" w:cs="仿宋_GB2312"/>
          <w:sz w:val="32"/>
          <w:szCs w:val="32"/>
        </w:rPr>
      </w:pPr>
    </w:p>
    <w:p w14:paraId="1380C478">
      <w:pPr>
        <w:widowControl/>
        <w:jc w:val="left"/>
        <w:rPr>
          <w:rFonts w:eastAsia="黑体"/>
          <w:sz w:val="44"/>
          <w:szCs w:val="44"/>
        </w:rPr>
      </w:pPr>
      <w:bookmarkStart w:id="49" w:name="_Toc15396613"/>
      <w:bookmarkStart w:id="50" w:name="_Toc15377225"/>
      <w:r>
        <w:rPr>
          <w:rFonts w:eastAsia="黑体"/>
          <w:sz w:val="44"/>
          <w:szCs w:val="44"/>
        </w:rPr>
        <w:br w:type="page"/>
      </w:r>
    </w:p>
    <w:p w14:paraId="79BE072E">
      <w:pPr>
        <w:spacing w:line="600" w:lineRule="exact"/>
        <w:jc w:val="center"/>
        <w:outlineLvl w:val="0"/>
        <w:rPr>
          <w:rFonts w:eastAsia="黑体"/>
          <w:sz w:val="44"/>
          <w:szCs w:val="44"/>
        </w:rPr>
      </w:pPr>
      <w:r>
        <w:rPr>
          <w:rFonts w:hint="eastAsia" w:eastAsia="黑体"/>
          <w:sz w:val="44"/>
          <w:szCs w:val="44"/>
        </w:rPr>
        <w:t>第三部分  名词解释</w:t>
      </w:r>
      <w:bookmarkEnd w:id="49"/>
      <w:bookmarkEnd w:id="50"/>
    </w:p>
    <w:p w14:paraId="411AA92B">
      <w:pPr>
        <w:spacing w:line="600" w:lineRule="exact"/>
        <w:jc w:val="left"/>
        <w:rPr>
          <w:b/>
          <w:sz w:val="44"/>
          <w:szCs w:val="44"/>
        </w:rPr>
      </w:pPr>
    </w:p>
    <w:p w14:paraId="08C8A04D">
      <w:pPr>
        <w:spacing w:line="600" w:lineRule="exact"/>
        <w:ind w:firstLine="640"/>
        <w:rPr>
          <w:rFonts w:hint="eastAsia" w:eastAsia="仿宋_GB2312" w:cs="仿宋_GB2312"/>
          <w:sz w:val="32"/>
          <w:szCs w:val="32"/>
        </w:rPr>
      </w:pPr>
      <w:r>
        <w:rPr>
          <w:rFonts w:hint="eastAsia" w:eastAsia="仿宋_GB2312" w:cs="仿宋_GB2312"/>
          <w:sz w:val="32"/>
          <w:szCs w:val="32"/>
        </w:rPr>
        <w:t>1.财政拨款收入：指单位从同级财政部门取得的财政预算资金。</w:t>
      </w:r>
    </w:p>
    <w:p w14:paraId="234D8220">
      <w:pPr>
        <w:spacing w:line="600" w:lineRule="exact"/>
        <w:ind w:firstLine="640"/>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2.事业收入：指事业单位开展专业业务活动及辅助活动取得的收入。如学前教育保教费收入等。</w:t>
      </w:r>
    </w:p>
    <w:p w14:paraId="4B2B4DD5">
      <w:pPr>
        <w:spacing w:line="600" w:lineRule="exact"/>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2C0AD59D">
      <w:pPr>
        <w:spacing w:line="600" w:lineRule="exact"/>
        <w:ind w:firstLine="640"/>
        <w:rPr>
          <w:rFonts w:hint="eastAsia" w:eastAsia="仿宋_GB2312" w:cs="仿宋_GB2312"/>
          <w:sz w:val="32"/>
          <w:szCs w:val="32"/>
        </w:rPr>
      </w:pPr>
      <w:r>
        <w:rPr>
          <w:rFonts w:hint="eastAsia" w:eastAsia="仿宋_GB2312" w:cs="仿宋_GB2312"/>
          <w:sz w:val="32"/>
          <w:szCs w:val="32"/>
        </w:rPr>
        <w:t xml:space="preserve">4.其他收入：指单位取得的除上述收入以外的各项收入。主要是利息收入、捐赠收入等。 </w:t>
      </w:r>
    </w:p>
    <w:p w14:paraId="284FC22B">
      <w:pPr>
        <w:spacing w:line="600" w:lineRule="exact"/>
        <w:ind w:firstLine="640"/>
        <w:rPr>
          <w:rFonts w:hint="eastAsia"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7BC58B36">
      <w:pPr>
        <w:spacing w:line="600" w:lineRule="exact"/>
        <w:ind w:firstLine="640"/>
        <w:rPr>
          <w:rFonts w:hint="eastAsia"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591F7E7B">
      <w:pPr>
        <w:spacing w:line="600" w:lineRule="exact"/>
        <w:ind w:firstLine="640"/>
        <w:rPr>
          <w:rFonts w:hint="eastAsia"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315F224A">
      <w:pPr>
        <w:spacing w:line="600" w:lineRule="exact"/>
        <w:ind w:firstLine="640"/>
        <w:rPr>
          <w:rFonts w:hint="eastAsia"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6988C6F2">
      <w:pPr>
        <w:spacing w:line="600" w:lineRule="exact"/>
        <w:ind w:firstLine="640"/>
        <w:rPr>
          <w:rFonts w:hint="eastAsia" w:eastAsia="仿宋_GB2312" w:cs="仿宋_GB2312"/>
          <w:sz w:val="32"/>
          <w:szCs w:val="32"/>
        </w:rPr>
      </w:pPr>
      <w:r>
        <w:rPr>
          <w:rFonts w:hint="eastAsia" w:eastAsia="仿宋_GB2312" w:cs="仿宋_GB2312"/>
          <w:sz w:val="32"/>
          <w:szCs w:val="32"/>
        </w:rPr>
        <w:t>9.教育（205类）教育管理事务（01款）行政运行（01项）: 反映行政单位（包括实行公务员管理的事业单位）的基本支出。</w:t>
      </w:r>
    </w:p>
    <w:p w14:paraId="14C28037">
      <w:pPr>
        <w:spacing w:line="600" w:lineRule="exact"/>
        <w:ind w:firstLine="640"/>
        <w:rPr>
          <w:rFonts w:hint="eastAsia" w:eastAsia="仿宋_GB2312" w:cs="仿宋_GB2312"/>
          <w:sz w:val="32"/>
          <w:szCs w:val="32"/>
        </w:rPr>
      </w:pPr>
      <w:r>
        <w:rPr>
          <w:rFonts w:hint="eastAsia" w:eastAsia="仿宋_GB2312" w:cs="仿宋_GB2312"/>
          <w:sz w:val="32"/>
          <w:szCs w:val="32"/>
        </w:rPr>
        <w:t>10.教育（205类）教育管理事务（01款）一般行政管理事务（02项）: 反映行政单位（包括实行公务员管理的事业单位）未单独设置项级科目的其他项目支出。</w:t>
      </w:r>
    </w:p>
    <w:p w14:paraId="09DC5A65">
      <w:pPr>
        <w:spacing w:line="600" w:lineRule="exact"/>
        <w:ind w:firstLine="640"/>
        <w:rPr>
          <w:rFonts w:hint="eastAsia" w:eastAsia="仿宋_GB2312" w:cs="仿宋_GB2312"/>
          <w:sz w:val="32"/>
          <w:szCs w:val="32"/>
        </w:rPr>
      </w:pPr>
      <w:r>
        <w:rPr>
          <w:rFonts w:hint="eastAsia" w:eastAsia="仿宋_GB2312" w:cs="仿宋_GB2312"/>
          <w:sz w:val="32"/>
          <w:szCs w:val="32"/>
        </w:rPr>
        <w:t>11.教育（205类）教育管理事务（01款）其他教育管理事务支出（99项）: 反映除上述项目</w:t>
      </w:r>
      <w:r>
        <w:rPr>
          <w:rFonts w:hint="eastAsia" w:eastAsia="仿宋_GB2312" w:cs="仿宋_GB2312"/>
          <w:sz w:val="32"/>
          <w:szCs w:val="32"/>
          <w:lang w:eastAsia="zh-CN"/>
        </w:rPr>
        <w:t>以外其它用于</w:t>
      </w:r>
      <w:r>
        <w:rPr>
          <w:rFonts w:hint="eastAsia" w:eastAsia="仿宋_GB2312" w:cs="仿宋_GB2312"/>
          <w:sz w:val="32"/>
          <w:szCs w:val="32"/>
        </w:rPr>
        <w:t>教育管理事务方面的支出。</w:t>
      </w:r>
    </w:p>
    <w:p w14:paraId="62C0C9A9">
      <w:pPr>
        <w:spacing w:line="600" w:lineRule="exact"/>
        <w:ind w:firstLine="640"/>
        <w:rPr>
          <w:rFonts w:hint="eastAsia" w:eastAsia="仿宋_GB2312" w:cs="仿宋_GB2312"/>
          <w:sz w:val="32"/>
          <w:szCs w:val="32"/>
        </w:rPr>
      </w:pPr>
      <w:r>
        <w:rPr>
          <w:rFonts w:hint="eastAsia" w:eastAsia="仿宋_GB2312" w:cs="仿宋_GB2312"/>
          <w:sz w:val="32"/>
          <w:szCs w:val="32"/>
        </w:rPr>
        <w:t>12.教育（205类）普通教育（02款）学前教育（01项）: 反映各部门举办的学前教育支出。</w:t>
      </w:r>
    </w:p>
    <w:p w14:paraId="47109A6B">
      <w:pPr>
        <w:spacing w:line="600" w:lineRule="exact"/>
        <w:ind w:firstLine="640"/>
        <w:rPr>
          <w:rFonts w:hint="eastAsia" w:eastAsia="仿宋_GB2312" w:cs="仿宋_GB2312"/>
          <w:sz w:val="32"/>
          <w:szCs w:val="32"/>
        </w:rPr>
      </w:pPr>
      <w:r>
        <w:rPr>
          <w:rFonts w:hint="eastAsia" w:eastAsia="仿宋_GB2312" w:cs="仿宋_GB2312"/>
          <w:sz w:val="32"/>
          <w:szCs w:val="32"/>
        </w:rPr>
        <w:t>13.教育（205类）普通教育（02款）小学教育（02项）: 反映各部门举办的小学教育支出。政府各部门对社会中介组织等举办的小学的资助，如各类捐赠、补贴等，也在本科目中反映。</w:t>
      </w:r>
    </w:p>
    <w:p w14:paraId="4B66A126">
      <w:pPr>
        <w:spacing w:line="600" w:lineRule="exact"/>
        <w:ind w:firstLine="640"/>
        <w:rPr>
          <w:rFonts w:hint="eastAsia" w:eastAsia="仿宋_GB2312" w:cs="仿宋_GB2312"/>
          <w:sz w:val="32"/>
          <w:szCs w:val="32"/>
        </w:rPr>
      </w:pPr>
      <w:r>
        <w:rPr>
          <w:rFonts w:hint="eastAsia" w:eastAsia="仿宋_GB2312" w:cs="仿宋_GB2312"/>
          <w:sz w:val="32"/>
          <w:szCs w:val="32"/>
        </w:rPr>
        <w:t>14.教育（205类）普通教育（02款）其他普通教育支出（99项）: 反映除上述项目</w:t>
      </w:r>
      <w:r>
        <w:rPr>
          <w:rFonts w:hint="eastAsia" w:eastAsia="仿宋_GB2312" w:cs="仿宋_GB2312"/>
          <w:sz w:val="32"/>
          <w:szCs w:val="32"/>
          <w:lang w:eastAsia="zh-CN"/>
        </w:rPr>
        <w:t>以外其它用于</w:t>
      </w:r>
      <w:r>
        <w:rPr>
          <w:rFonts w:hint="eastAsia" w:eastAsia="仿宋_GB2312" w:cs="仿宋_GB2312"/>
          <w:sz w:val="32"/>
          <w:szCs w:val="32"/>
        </w:rPr>
        <w:t>普通教育方面的支出。</w:t>
      </w:r>
    </w:p>
    <w:p w14:paraId="5FDBA678">
      <w:pPr>
        <w:spacing w:line="600" w:lineRule="exact"/>
        <w:ind w:firstLine="640"/>
        <w:rPr>
          <w:rFonts w:hint="eastAsia" w:eastAsia="仿宋_GB2312" w:cs="仿宋_GB2312"/>
          <w:sz w:val="32"/>
          <w:szCs w:val="32"/>
        </w:rPr>
      </w:pPr>
      <w:r>
        <w:rPr>
          <w:rFonts w:hint="eastAsia" w:eastAsia="仿宋_GB2312" w:cs="仿宋_GB2312"/>
          <w:sz w:val="32"/>
          <w:szCs w:val="32"/>
        </w:rPr>
        <w:t>15.教育（205类）其他教育支出（09款）其他教育支出（99项）: 反映除上述项目以外其他教育费附加安排的支出。</w:t>
      </w:r>
    </w:p>
    <w:p w14:paraId="002173C8">
      <w:pPr>
        <w:spacing w:line="600" w:lineRule="exact"/>
        <w:ind w:firstLine="640"/>
        <w:rPr>
          <w:rFonts w:hint="eastAsia" w:eastAsia="仿宋_GB2312" w:cs="仿宋_GB2312"/>
          <w:sz w:val="32"/>
          <w:szCs w:val="32"/>
        </w:rPr>
      </w:pPr>
      <w:r>
        <w:rPr>
          <w:rFonts w:hint="eastAsia" w:eastAsia="仿宋_GB2312" w:cs="仿宋_GB2312"/>
          <w:sz w:val="32"/>
          <w:szCs w:val="32"/>
        </w:rPr>
        <w:t>16.教育（205类）其他教育支出（99款）其他教育支出（99项）: 反映除上述项目以外其他教育方面的支出。</w:t>
      </w:r>
    </w:p>
    <w:p w14:paraId="411333AB">
      <w:pPr>
        <w:spacing w:line="600" w:lineRule="exact"/>
        <w:ind w:firstLine="640"/>
        <w:rPr>
          <w:rFonts w:hint="eastAsia" w:eastAsia="仿宋_GB2312" w:cs="仿宋_GB2312"/>
          <w:sz w:val="32"/>
          <w:szCs w:val="32"/>
        </w:rPr>
      </w:pPr>
      <w:r>
        <w:rPr>
          <w:rFonts w:hint="eastAsia" w:eastAsia="仿宋_GB2312" w:cs="仿宋_GB2312"/>
          <w:sz w:val="32"/>
          <w:szCs w:val="32"/>
        </w:rPr>
        <w:t>17.社会保障和就业（208类）行政事业单位养老支出（05款）事业单位离退休（02项）: 反映机关事业单位实施事业单位</w:t>
      </w:r>
      <w:r>
        <w:rPr>
          <w:rFonts w:hint="eastAsia" w:eastAsia="仿宋_GB2312" w:cs="仿宋_GB2312"/>
          <w:sz w:val="32"/>
          <w:szCs w:val="32"/>
          <w:lang w:eastAsia="zh-CN"/>
        </w:rPr>
        <w:t>离退休支出</w:t>
      </w:r>
      <w:r>
        <w:rPr>
          <w:rFonts w:hint="eastAsia" w:eastAsia="仿宋_GB2312" w:cs="仿宋_GB2312"/>
          <w:sz w:val="32"/>
          <w:szCs w:val="32"/>
        </w:rPr>
        <w:t>。</w:t>
      </w:r>
    </w:p>
    <w:p w14:paraId="1F710D87">
      <w:pPr>
        <w:spacing w:line="600" w:lineRule="exact"/>
        <w:ind w:firstLine="640"/>
        <w:rPr>
          <w:rFonts w:hint="eastAsia" w:eastAsia="仿宋_GB2312" w:cs="仿宋_GB2312"/>
          <w:sz w:val="32"/>
          <w:szCs w:val="32"/>
        </w:rPr>
      </w:pPr>
      <w:r>
        <w:rPr>
          <w:rFonts w:hint="eastAsia" w:eastAsia="仿宋_GB2312" w:cs="仿宋_GB2312"/>
          <w:sz w:val="32"/>
          <w:szCs w:val="32"/>
        </w:rPr>
        <w:t>18.社会保障和就业（208类）行政事业单位养老支出（05款）机关事业单位基本养老保险缴费支出（05项）: 反映机关事业单位实施养老保险制度由单位缴纳的基本养老保险费支出。</w:t>
      </w:r>
    </w:p>
    <w:p w14:paraId="0945B4B5">
      <w:pPr>
        <w:spacing w:line="600" w:lineRule="exact"/>
        <w:ind w:firstLine="640"/>
        <w:rPr>
          <w:rFonts w:hint="eastAsia" w:eastAsia="仿宋_GB2312" w:cs="仿宋_GB2312"/>
          <w:sz w:val="32"/>
          <w:szCs w:val="32"/>
        </w:rPr>
      </w:pPr>
      <w:r>
        <w:rPr>
          <w:rFonts w:hint="eastAsia" w:eastAsia="仿宋_GB2312" w:cs="仿宋_GB2312"/>
          <w:sz w:val="32"/>
          <w:szCs w:val="32"/>
        </w:rPr>
        <w:t>19.社会保障和就业（208类）行政事业单位养老支出（05款）其他行政事业单位养老支出（99项）: 反映机关事业单位实施养老保险制度其他行政事业单位养老支出支出。</w:t>
      </w:r>
    </w:p>
    <w:p w14:paraId="2A8464E8">
      <w:pPr>
        <w:spacing w:line="600" w:lineRule="exact"/>
        <w:ind w:firstLine="640"/>
        <w:rPr>
          <w:rFonts w:hint="eastAsia" w:eastAsia="仿宋_GB2312" w:cs="仿宋_GB2312"/>
          <w:sz w:val="32"/>
          <w:szCs w:val="32"/>
        </w:rPr>
      </w:pPr>
      <w:r>
        <w:rPr>
          <w:rFonts w:hint="eastAsia" w:eastAsia="仿宋_GB2312" w:cs="仿宋_GB2312"/>
          <w:sz w:val="32"/>
          <w:szCs w:val="32"/>
        </w:rPr>
        <w:t>20.社会保障和就业（208类）其他社会保障和就业支出（99款）其他社会保障和就业支出（99项）: 反映上述项目</w:t>
      </w:r>
      <w:r>
        <w:rPr>
          <w:rFonts w:hint="eastAsia" w:eastAsia="仿宋_GB2312" w:cs="仿宋_GB2312"/>
          <w:sz w:val="32"/>
          <w:szCs w:val="32"/>
          <w:lang w:eastAsia="zh-CN"/>
        </w:rPr>
        <w:t>以外其它用于</w:t>
      </w:r>
      <w:r>
        <w:rPr>
          <w:rFonts w:hint="eastAsia" w:eastAsia="仿宋_GB2312" w:cs="仿宋_GB2312"/>
          <w:sz w:val="32"/>
          <w:szCs w:val="32"/>
        </w:rPr>
        <w:t>社会保障和就业方面的支出。</w:t>
      </w:r>
    </w:p>
    <w:p w14:paraId="5302B8D6">
      <w:pPr>
        <w:spacing w:line="600" w:lineRule="exact"/>
        <w:ind w:firstLine="640"/>
        <w:rPr>
          <w:rFonts w:hint="eastAsia" w:eastAsia="仿宋_GB2312" w:cs="仿宋_GB2312"/>
          <w:sz w:val="32"/>
          <w:szCs w:val="32"/>
        </w:rPr>
      </w:pPr>
      <w:r>
        <w:rPr>
          <w:rFonts w:hint="eastAsia" w:eastAsia="仿宋_GB2312" w:cs="仿宋_GB2312"/>
          <w:sz w:val="32"/>
          <w:szCs w:val="32"/>
        </w:rPr>
        <w:t>21.卫生健康支出（210类）行政事业单位医疗（11款）事业单位医疗（02项）:反映财政部门集中安排的事业单位基本医疗保险缴费经费，未参加医疗保险的事业单位的公费医疗经费，按国家规定享受离休人员待遇的医疗经费。</w:t>
      </w:r>
    </w:p>
    <w:p w14:paraId="2A62DE67">
      <w:pPr>
        <w:spacing w:line="600" w:lineRule="exact"/>
        <w:ind w:firstLine="640"/>
        <w:rPr>
          <w:rFonts w:hint="eastAsia" w:eastAsia="仿宋_GB2312" w:cs="仿宋_GB2312"/>
          <w:sz w:val="32"/>
          <w:szCs w:val="32"/>
        </w:rPr>
      </w:pPr>
      <w:r>
        <w:rPr>
          <w:rFonts w:hint="eastAsia" w:eastAsia="仿宋_GB2312" w:cs="仿宋_GB2312"/>
          <w:sz w:val="32"/>
          <w:szCs w:val="32"/>
        </w:rPr>
        <w:t>22.住房保障支出（221类）住房改革支出（02款）住房公积金（01项）:反映行政事业单位按人力资源和社会保障部、财政部规定的基本工资和津贴补贴以及</w:t>
      </w:r>
      <w:r>
        <w:rPr>
          <w:rFonts w:hint="eastAsia" w:eastAsia="仿宋_GB2312" w:cs="仿宋_GB2312"/>
          <w:sz w:val="32"/>
          <w:szCs w:val="32"/>
          <w:lang w:val="en-US" w:eastAsia="zh-CN"/>
        </w:rPr>
        <w:t>按</w:t>
      </w:r>
      <w:r>
        <w:rPr>
          <w:rFonts w:hint="eastAsia" w:eastAsia="仿宋_GB2312" w:cs="仿宋_GB2312"/>
          <w:sz w:val="32"/>
          <w:szCs w:val="32"/>
        </w:rPr>
        <w:t>规定比例为职工缴纳的住房公积金。</w:t>
      </w:r>
    </w:p>
    <w:p w14:paraId="74B7435C">
      <w:pPr>
        <w:spacing w:line="600" w:lineRule="exact"/>
        <w:ind w:firstLine="640"/>
        <w:rPr>
          <w:rFonts w:hint="eastAsia" w:eastAsia="仿宋_GB2312" w:cs="仿宋_GB2312"/>
          <w:sz w:val="32"/>
          <w:szCs w:val="32"/>
        </w:rPr>
      </w:pPr>
      <w:r>
        <w:rPr>
          <w:rFonts w:hint="eastAsia" w:eastAsia="仿宋_GB2312" w:cs="仿宋_GB2312"/>
          <w:sz w:val="32"/>
          <w:szCs w:val="32"/>
        </w:rPr>
        <w:t>23.基本支出：指为保障机构正常运转、完成日常工作任务而发生的人员支出和公用支出。</w:t>
      </w:r>
    </w:p>
    <w:p w14:paraId="7280C336">
      <w:pPr>
        <w:spacing w:line="600" w:lineRule="exact"/>
        <w:ind w:firstLine="640"/>
        <w:rPr>
          <w:rFonts w:hint="eastAsia" w:eastAsia="仿宋_GB2312" w:cs="仿宋_GB2312"/>
          <w:sz w:val="32"/>
          <w:szCs w:val="32"/>
        </w:rPr>
      </w:pPr>
      <w:r>
        <w:rPr>
          <w:rFonts w:hint="eastAsia" w:eastAsia="仿宋_GB2312" w:cs="仿宋_GB2312"/>
          <w:sz w:val="32"/>
          <w:szCs w:val="32"/>
        </w:rPr>
        <w:t xml:space="preserve">24.项目支出：指在基本支出之外为完成特定行政任务和事业发展目标所发生的支出。  </w:t>
      </w:r>
    </w:p>
    <w:p w14:paraId="6BB63F4C">
      <w:pPr>
        <w:spacing w:line="600" w:lineRule="exact"/>
        <w:ind w:firstLine="640"/>
        <w:rPr>
          <w:rFonts w:hint="eastAsia" w:eastAsia="仿宋_GB2312" w:cs="仿宋_GB2312"/>
          <w:sz w:val="32"/>
          <w:szCs w:val="32"/>
        </w:rPr>
      </w:pPr>
      <w:r>
        <w:rPr>
          <w:rFonts w:hint="eastAsia" w:eastAsia="仿宋_GB2312" w:cs="仿宋_GB2312"/>
          <w:sz w:val="32"/>
          <w:szCs w:val="32"/>
        </w:rPr>
        <w:t>25.经营支出：指事业单位在专业业务活动及其辅助活动之外开展非独立核算经营活动发生的支出。</w:t>
      </w:r>
    </w:p>
    <w:p w14:paraId="3CB78AC6">
      <w:pPr>
        <w:spacing w:line="600" w:lineRule="exact"/>
        <w:ind w:firstLine="640"/>
        <w:rPr>
          <w:rFonts w:hint="eastAsia" w:eastAsia="仿宋_GB2312" w:cs="仿宋_GB2312"/>
          <w:sz w:val="32"/>
          <w:szCs w:val="32"/>
        </w:rPr>
      </w:pPr>
      <w:r>
        <w:rPr>
          <w:rFonts w:hint="eastAsia" w:eastAsia="仿宋_GB2312" w:cs="仿宋_GB2312"/>
          <w:sz w:val="32"/>
          <w:szCs w:val="32"/>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7954A2">
      <w:pPr>
        <w:spacing w:line="600" w:lineRule="exact"/>
        <w:ind w:firstLine="640"/>
        <w:rPr>
          <w:rFonts w:hint="eastAsia" w:eastAsia="仿宋_GB2312" w:cs="仿宋_GB2312"/>
          <w:sz w:val="32"/>
          <w:szCs w:val="32"/>
        </w:rPr>
      </w:pPr>
      <w:r>
        <w:rPr>
          <w:rFonts w:hint="eastAsia" w:eastAsia="仿宋_GB2312" w:cs="仿宋_GB2312"/>
          <w:sz w:val="32"/>
          <w:szCs w:val="32"/>
        </w:rPr>
        <w:t>27.工资福利：反映单位开支的在职职工和编制外长期聘用人员的各类劳动报酬，以及为上述人员缴纳的各项社会保险费等。</w:t>
      </w:r>
    </w:p>
    <w:p w14:paraId="772EFFA0">
      <w:pPr>
        <w:spacing w:line="600" w:lineRule="exact"/>
        <w:ind w:firstLine="640"/>
        <w:rPr>
          <w:rFonts w:hint="eastAsia" w:eastAsia="仿宋_GB2312" w:cs="仿宋_GB2312"/>
          <w:sz w:val="32"/>
          <w:szCs w:val="32"/>
        </w:rPr>
      </w:pPr>
      <w:r>
        <w:rPr>
          <w:rFonts w:hint="eastAsia" w:eastAsia="仿宋_GB2312" w:cs="仿宋_GB2312"/>
          <w:sz w:val="32"/>
          <w:szCs w:val="32"/>
        </w:rPr>
        <w:t>28.商品和服务：反映单位购买商品和服务的支出，不包括用于购置固定资产、战略性和应急性物资储备等资本支出。</w:t>
      </w:r>
    </w:p>
    <w:p w14:paraId="7A6BF4AD">
      <w:pPr>
        <w:spacing w:line="600" w:lineRule="exact"/>
        <w:ind w:firstLine="640"/>
        <w:rPr>
          <w:rFonts w:hint="eastAsia" w:eastAsia="仿宋_GB2312" w:cs="仿宋_GB2312"/>
          <w:sz w:val="32"/>
          <w:szCs w:val="32"/>
        </w:rPr>
      </w:pPr>
      <w:r>
        <w:rPr>
          <w:rFonts w:hint="eastAsia" w:eastAsia="仿宋_GB2312" w:cs="仿宋_GB2312"/>
          <w:sz w:val="32"/>
          <w:szCs w:val="32"/>
        </w:rPr>
        <w:t>29.对个人和家庭的补助：反映政府用于对个人和家庭的补助支出。</w:t>
      </w:r>
    </w:p>
    <w:p w14:paraId="4A15E856">
      <w:pPr>
        <w:spacing w:line="600" w:lineRule="exact"/>
        <w:ind w:firstLine="640"/>
        <w:rPr>
          <w:rFonts w:eastAsia="仿宋_GB2312" w:cs="仿宋_GB2312"/>
          <w:b/>
          <w:bCs/>
          <w:sz w:val="32"/>
          <w:szCs w:val="32"/>
        </w:rPr>
      </w:pPr>
      <w:r>
        <w:rPr>
          <w:rFonts w:hint="eastAsia" w:eastAsia="仿宋_GB2312" w:cs="仿宋_GB2312"/>
          <w:sz w:val="32"/>
          <w:szCs w:val="32"/>
        </w:rPr>
        <w:t>30.资本性支出：反映各单位安排的资本性支出。</w:t>
      </w:r>
      <w:r>
        <w:rPr>
          <w:rFonts w:hint="eastAsia" w:eastAsia="仿宋_GB2312" w:cs="仿宋_GB2312"/>
          <w:sz w:val="32"/>
          <w:szCs w:val="32"/>
          <w:lang w:val="en-US" w:eastAsia="zh-CN"/>
        </w:rPr>
        <w:t>且</w:t>
      </w:r>
      <w:r>
        <w:rPr>
          <w:rFonts w:hint="eastAsia" w:eastAsia="仿宋_GB2312" w:cs="仿宋_GB2312"/>
          <w:sz w:val="32"/>
          <w:szCs w:val="32"/>
        </w:rPr>
        <w:t>由发展改革部门安排的基本建设支出不在此科目反映。</w:t>
      </w:r>
    </w:p>
    <w:p w14:paraId="2801CD66">
      <w:pPr>
        <w:spacing w:line="600" w:lineRule="exact"/>
        <w:jc w:val="center"/>
        <w:rPr>
          <w:rFonts w:hint="eastAsia" w:eastAsia="黑体"/>
          <w:sz w:val="44"/>
          <w:szCs w:val="44"/>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14:paraId="7F306ADC">
      <w:pPr>
        <w:pStyle w:val="2"/>
        <w:rPr>
          <w:rFonts w:hint="eastAsia" w:eastAsia="黑体"/>
          <w:sz w:val="44"/>
          <w:szCs w:val="44"/>
        </w:rPr>
      </w:pPr>
    </w:p>
    <w:p w14:paraId="0645C00A">
      <w:pPr>
        <w:spacing w:line="360" w:lineRule="auto"/>
        <w:jc w:val="left"/>
        <w:outlineLvl w:val="0"/>
        <w:rPr>
          <w:rFonts w:hint="eastAsia" w:ascii="方正小标宋简体" w:hAnsi="方正小标宋简体" w:eastAsia="黑体" w:cs="方正小标宋简体"/>
          <w:sz w:val="44"/>
          <w:szCs w:val="44"/>
        </w:rPr>
      </w:pPr>
      <w:r>
        <w:rPr>
          <w:rFonts w:hint="eastAsia" w:ascii="黑体" w:hAnsi="黑体" w:eastAsia="黑体" w:cs="黑体"/>
          <w:sz w:val="32"/>
          <w:szCs w:val="32"/>
        </w:rPr>
        <w:t>附件1</w:t>
      </w:r>
    </w:p>
    <w:p w14:paraId="16B7C4F0">
      <w:pPr>
        <w:widowControl/>
        <w:spacing w:line="360" w:lineRule="auto"/>
        <w:contextualSpacing/>
        <w:jc w:val="center"/>
        <w:rPr>
          <w:rFonts w:eastAsia="黑体"/>
          <w:color w:val="000000"/>
          <w:kern w:val="0"/>
          <w:sz w:val="24"/>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020D833A">
      <w:pPr>
        <w:widowControl/>
        <w:adjustRightInd w:val="0"/>
        <w:snapToGrid w:val="0"/>
        <w:spacing w:line="560" w:lineRule="exact"/>
        <w:ind w:firstLine="643" w:firstLineChars="200"/>
        <w:contextualSpacing/>
        <w:jc w:val="left"/>
        <w:rPr>
          <w:rFonts w:ascii="仿宋_GB2312" w:hAnsi="仿宋" w:eastAsia="仿宋_GB2312"/>
          <w:sz w:val="32"/>
          <w:szCs w:val="32"/>
          <w:lang w:val="zh-CN"/>
        </w:rPr>
      </w:pPr>
      <w:r>
        <w:rPr>
          <w:rFonts w:hint="eastAsia" w:ascii="仿宋_GB2312" w:hAnsi="仿宋" w:eastAsia="仿宋_GB2312"/>
          <w:b/>
          <w:bCs/>
          <w:sz w:val="32"/>
          <w:szCs w:val="32"/>
          <w:lang w:val="zh-CN"/>
        </w:rPr>
        <w:t>一、</w:t>
      </w:r>
      <w:r>
        <w:rPr>
          <w:rFonts w:ascii="仿宋_GB2312" w:hAnsi="仿宋" w:eastAsia="仿宋_GB2312"/>
          <w:b/>
          <w:bCs/>
          <w:sz w:val="32"/>
          <w:szCs w:val="32"/>
          <w:lang w:val="zh-CN"/>
        </w:rPr>
        <w:t>基本情况</w:t>
      </w:r>
    </w:p>
    <w:p w14:paraId="0D32375F">
      <w:pPr>
        <w:widowControl/>
        <w:adjustRightInd w:val="0"/>
        <w:snapToGrid w:val="0"/>
        <w:spacing w:line="56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bCs/>
          <w:sz w:val="32"/>
          <w:szCs w:val="32"/>
          <w:lang w:val="zh-CN"/>
        </w:rPr>
        <w:t>（一）</w:t>
      </w:r>
      <w:r>
        <w:rPr>
          <w:rFonts w:ascii="仿宋_GB2312" w:hAnsi="仿宋" w:eastAsia="仿宋_GB2312"/>
          <w:b/>
          <w:bCs/>
          <w:sz w:val="32"/>
          <w:szCs w:val="32"/>
          <w:lang w:val="zh-CN"/>
        </w:rPr>
        <w:t>机构组成</w:t>
      </w:r>
      <w:r>
        <w:rPr>
          <w:rFonts w:hint="eastAsia" w:ascii="仿宋_GB2312" w:hAnsi="仿宋" w:eastAsia="仿宋_GB2312"/>
          <w:sz w:val="32"/>
          <w:szCs w:val="32"/>
          <w:lang w:val="zh-CN"/>
        </w:rPr>
        <w:t>：</w:t>
      </w:r>
      <w:r>
        <w:rPr>
          <w:rFonts w:hint="eastAsia" w:ascii="仿宋_GB2312" w:hAnsi="仿宋" w:eastAsia="仿宋_GB2312"/>
          <w:sz w:val="32"/>
          <w:szCs w:val="32"/>
        </w:rPr>
        <w:t>遂宁市安居区三家镇</w:t>
      </w:r>
      <w:r>
        <w:rPr>
          <w:rFonts w:hint="eastAsia" w:ascii="仿宋_GB2312" w:hAnsi="仿宋" w:eastAsia="仿宋_GB2312"/>
          <w:sz w:val="32"/>
          <w:szCs w:val="32"/>
          <w:lang w:val="en-US" w:eastAsia="zh-CN"/>
        </w:rPr>
        <w:t>中心</w:t>
      </w:r>
      <w:r>
        <w:rPr>
          <w:rFonts w:hint="eastAsia" w:ascii="仿宋_GB2312" w:hAnsi="仿宋" w:eastAsia="仿宋_GB2312"/>
          <w:sz w:val="32"/>
          <w:szCs w:val="32"/>
        </w:rPr>
        <w:t>小学校属于公益二类事业单位，学校的主管部门为四川省遂宁市安居区教育局。</w:t>
      </w:r>
    </w:p>
    <w:p w14:paraId="447DA7FE">
      <w:pPr>
        <w:widowControl/>
        <w:adjustRightInd w:val="0"/>
        <w:snapToGrid w:val="0"/>
        <w:spacing w:line="560" w:lineRule="exact"/>
        <w:ind w:firstLine="643" w:firstLineChars="200"/>
        <w:contextualSpacing/>
        <w:jc w:val="left"/>
        <w:rPr>
          <w:rFonts w:hint="eastAsia" w:ascii="仿宋_GB2312" w:hAnsi="仿宋" w:eastAsia="仿宋_GB2312"/>
          <w:sz w:val="32"/>
          <w:szCs w:val="32"/>
        </w:rPr>
      </w:pPr>
      <w:r>
        <w:rPr>
          <w:rFonts w:ascii="仿宋_GB2312" w:hAnsi="仿宋" w:eastAsia="仿宋_GB2312"/>
          <w:b/>
          <w:bCs/>
          <w:sz w:val="32"/>
          <w:szCs w:val="32"/>
          <w:lang w:val="zh-CN"/>
        </w:rPr>
        <w:t>（二）机构职能</w:t>
      </w:r>
      <w:r>
        <w:rPr>
          <w:rFonts w:hint="eastAsia" w:ascii="仿宋_GB2312" w:hAnsi="仿宋" w:eastAsia="仿宋_GB2312"/>
          <w:b/>
          <w:bCs/>
          <w:sz w:val="32"/>
          <w:szCs w:val="32"/>
          <w:lang w:val="zh-CN"/>
        </w:rPr>
        <w:t>：</w:t>
      </w:r>
    </w:p>
    <w:p w14:paraId="317F93D9">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1、正确贯彻执行党和国家的教育方针、政策、法规。</w:t>
      </w:r>
    </w:p>
    <w:p w14:paraId="553CCD1D">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2、维护学校的教学秩序，为学生创造良好的学习环境；</w:t>
      </w:r>
    </w:p>
    <w:p w14:paraId="47CB1016">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3、积极稳妥地推进教育改革，按教育规律办事，不断提高教育质量；</w:t>
      </w:r>
    </w:p>
    <w:p w14:paraId="4D24C162">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4、根据学校规模，设置学校管理机构，建立健全各项规章制度和岗位责任制。</w:t>
      </w:r>
    </w:p>
    <w:p w14:paraId="0A9E5E25">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5、坚持教书育人，服务育人，环境育人方针，加强对学生的思想品德教育，使学生的德智体全面发展。</w:t>
      </w:r>
    </w:p>
    <w:p w14:paraId="486059C2">
      <w:pPr>
        <w:widowControl/>
        <w:adjustRightInd w:val="0"/>
        <w:snapToGrid w:val="0"/>
        <w:spacing w:line="56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6、抓好教师队伍建设，使每个教师都热心于教育事业；</w:t>
      </w:r>
    </w:p>
    <w:p w14:paraId="60849EB5">
      <w:pPr>
        <w:widowControl/>
        <w:adjustRightInd w:val="0"/>
        <w:snapToGrid w:val="0"/>
        <w:spacing w:line="560" w:lineRule="exact"/>
        <w:ind w:firstLine="640" w:firstLineChars="200"/>
        <w:contextualSpacing/>
        <w:jc w:val="left"/>
        <w:rPr>
          <w:rFonts w:ascii="仿宋_GB2312" w:hAnsi="仿宋" w:eastAsia="仿宋_GB2312"/>
          <w:sz w:val="32"/>
          <w:szCs w:val="32"/>
          <w:lang w:val="zh-CN"/>
        </w:rPr>
      </w:pPr>
      <w:r>
        <w:rPr>
          <w:rFonts w:hint="eastAsia" w:ascii="仿宋_GB2312" w:hAnsi="仿宋" w:eastAsia="仿宋_GB2312"/>
          <w:sz w:val="32"/>
          <w:szCs w:val="32"/>
        </w:rPr>
        <w:t>7、做好安全防范，保证学生的人身安全。</w:t>
      </w:r>
    </w:p>
    <w:p w14:paraId="5A1C9B27">
      <w:pPr>
        <w:widowControl/>
        <w:adjustRightInd w:val="0"/>
        <w:snapToGrid w:val="0"/>
        <w:spacing w:line="560" w:lineRule="exact"/>
        <w:ind w:firstLine="643" w:firstLineChars="200"/>
        <w:contextualSpacing/>
        <w:jc w:val="left"/>
        <w:rPr>
          <w:rFonts w:hint="eastAsia" w:ascii="仿宋_GB2312" w:hAnsi="仿宋" w:eastAsia="仿宋_GB2312"/>
          <w:sz w:val="32"/>
          <w:szCs w:val="32"/>
        </w:rPr>
      </w:pPr>
      <w:r>
        <w:rPr>
          <w:rFonts w:ascii="仿宋_GB2312" w:hAnsi="仿宋" w:eastAsia="仿宋_GB2312"/>
          <w:b/>
          <w:bCs/>
          <w:sz w:val="32"/>
          <w:szCs w:val="32"/>
          <w:lang w:val="zh-CN"/>
        </w:rPr>
        <w:t>（</w:t>
      </w:r>
      <w:r>
        <w:rPr>
          <w:rFonts w:hint="eastAsia" w:ascii="仿宋_GB2312" w:hAnsi="仿宋" w:eastAsia="仿宋_GB2312"/>
          <w:b/>
          <w:bCs/>
          <w:sz w:val="32"/>
          <w:szCs w:val="32"/>
          <w:lang w:val="zh-CN"/>
        </w:rPr>
        <w:t>三</w:t>
      </w:r>
      <w:r>
        <w:rPr>
          <w:rFonts w:ascii="仿宋_GB2312" w:hAnsi="仿宋" w:eastAsia="仿宋_GB2312"/>
          <w:b/>
          <w:bCs/>
          <w:sz w:val="32"/>
          <w:szCs w:val="32"/>
          <w:lang w:val="zh-CN"/>
        </w:rPr>
        <w:t>）人员概况</w:t>
      </w:r>
      <w:r>
        <w:rPr>
          <w:rFonts w:hint="eastAsia" w:ascii="仿宋_GB2312" w:hAnsi="仿宋" w:eastAsia="仿宋_GB2312"/>
          <w:b/>
          <w:bCs/>
          <w:sz w:val="32"/>
          <w:szCs w:val="32"/>
          <w:lang w:val="zh-CN"/>
        </w:rPr>
        <w:t>：</w:t>
      </w:r>
      <w:r>
        <w:rPr>
          <w:rFonts w:ascii="仿宋_GB2312" w:hAnsi="仿宋" w:eastAsia="仿宋_GB2312"/>
          <w:sz w:val="32"/>
          <w:szCs w:val="32"/>
        </w:rPr>
        <w:t>截至202</w:t>
      </w:r>
      <w:r>
        <w:rPr>
          <w:rFonts w:hint="eastAsia" w:ascii="仿宋_GB2312" w:hAnsi="仿宋" w:eastAsia="仿宋_GB2312"/>
          <w:sz w:val="32"/>
          <w:szCs w:val="32"/>
        </w:rPr>
        <w:t>4</w:t>
      </w:r>
      <w:r>
        <w:rPr>
          <w:rFonts w:ascii="仿宋_GB2312" w:hAnsi="仿宋" w:eastAsia="仿宋_GB2312"/>
          <w:sz w:val="32"/>
          <w:szCs w:val="32"/>
        </w:rPr>
        <w:t>年末，</w:t>
      </w:r>
      <w:r>
        <w:rPr>
          <w:rFonts w:hint="eastAsia" w:ascii="仿宋_GB2312" w:hAnsi="仿宋" w:eastAsia="仿宋_GB2312"/>
          <w:sz w:val="32"/>
          <w:szCs w:val="32"/>
        </w:rPr>
        <w:t>我校现有在编教师60人,遗属4人，退休职工49人。</w:t>
      </w:r>
    </w:p>
    <w:p w14:paraId="7F5EDC8D">
      <w:pPr>
        <w:widowControl/>
        <w:adjustRightInd w:val="0"/>
        <w:snapToGrid w:val="0"/>
        <w:spacing w:line="560" w:lineRule="exact"/>
        <w:ind w:firstLine="643" w:firstLineChars="200"/>
        <w:contextualSpacing/>
        <w:jc w:val="left"/>
        <w:rPr>
          <w:rFonts w:ascii="仿宋_GB2312" w:hAnsi="仿宋" w:eastAsia="仿宋_GB2312"/>
          <w:b/>
          <w:bCs/>
          <w:sz w:val="32"/>
          <w:szCs w:val="32"/>
          <w:lang w:val="zh-CN"/>
        </w:rPr>
      </w:pPr>
      <w:r>
        <w:rPr>
          <w:rFonts w:ascii="仿宋_GB2312" w:hAnsi="仿宋" w:eastAsia="仿宋_GB2312"/>
          <w:b/>
          <w:bCs/>
          <w:sz w:val="32"/>
          <w:szCs w:val="32"/>
          <w:lang w:val="zh-CN"/>
        </w:rPr>
        <w:t>二、部门资金收支情况</w:t>
      </w:r>
    </w:p>
    <w:p w14:paraId="7AB4B2C5">
      <w:pPr>
        <w:widowControl/>
        <w:adjustRightInd w:val="0"/>
        <w:snapToGrid w:val="0"/>
        <w:spacing w:line="560" w:lineRule="exact"/>
        <w:ind w:firstLine="643" w:firstLineChars="200"/>
        <w:contextualSpacing/>
        <w:jc w:val="left"/>
        <w:rPr>
          <w:rFonts w:hint="eastAsia" w:eastAsia="仿宋_GB2312" w:cs="仿宋_GB2312"/>
          <w:sz w:val="32"/>
          <w:szCs w:val="32"/>
        </w:rPr>
      </w:pPr>
      <w:r>
        <w:rPr>
          <w:rFonts w:ascii="仿宋_GB2312" w:hAnsi="仿宋" w:eastAsia="仿宋_GB2312"/>
          <w:b/>
          <w:bCs/>
          <w:sz w:val="32"/>
          <w:szCs w:val="32"/>
          <w:lang w:val="zh-CN"/>
        </w:rPr>
        <w:t>（一）</w:t>
      </w:r>
      <w:r>
        <w:rPr>
          <w:rFonts w:hint="eastAsia" w:ascii="仿宋_GB2312" w:hAnsi="仿宋" w:eastAsia="仿宋_GB2312"/>
          <w:b/>
          <w:bCs/>
          <w:sz w:val="32"/>
          <w:szCs w:val="32"/>
          <w:lang w:val="zh-CN"/>
        </w:rPr>
        <w:t>收入情况</w:t>
      </w:r>
      <w:r>
        <w:rPr>
          <w:rFonts w:ascii="仿宋_GB2312" w:hAnsi="仿宋" w:eastAsia="仿宋_GB2312"/>
          <w:b/>
          <w:bCs/>
          <w:sz w:val="32"/>
          <w:szCs w:val="32"/>
          <w:lang w:val="zh-CN"/>
        </w:rPr>
        <w:t>。</w:t>
      </w:r>
      <w:r>
        <w:rPr>
          <w:rFonts w:hint="eastAsia" w:ascii="仿宋_GB2312" w:hAnsi="仿宋" w:eastAsia="仿宋_GB2312"/>
          <w:sz w:val="32"/>
          <w:szCs w:val="32"/>
        </w:rPr>
        <w:t>2024年度收入总计</w:t>
      </w:r>
      <w:r>
        <w:rPr>
          <w:rFonts w:hint="eastAsia" w:eastAsia="仿宋_GB2312" w:cs="仿宋_GB2312"/>
          <w:sz w:val="32"/>
          <w:szCs w:val="32"/>
        </w:rPr>
        <w:t>为</w:t>
      </w:r>
      <w:r>
        <w:rPr>
          <w:rFonts w:hint="eastAsia" w:ascii="仿宋_GB2312" w:hAnsi="仿宋_GB2312" w:eastAsia="仿宋_GB2312" w:cs="仿宋_GB2312"/>
          <w:sz w:val="32"/>
          <w:szCs w:val="32"/>
        </w:rPr>
        <w:t>1432.09</w:t>
      </w:r>
      <w:r>
        <w:rPr>
          <w:rFonts w:hint="eastAsia" w:eastAsia="仿宋_GB2312" w:cs="仿宋_GB2312"/>
          <w:sz w:val="32"/>
          <w:szCs w:val="32"/>
        </w:rPr>
        <w:t>万元。与2023年度相比，收入、支出总计各增加170.51万元，增长13.52%。主要变动原因是本年度决算中将学生课后服务费、学生伙食费纳入决算中，导致收入、支出经费均有增加。</w:t>
      </w:r>
    </w:p>
    <w:p w14:paraId="7F6747F5">
      <w:pPr>
        <w:widowControl/>
        <w:adjustRightInd w:val="0"/>
        <w:snapToGrid w:val="0"/>
        <w:spacing w:line="560" w:lineRule="exact"/>
        <w:ind w:firstLine="643" w:firstLineChars="200"/>
        <w:contextualSpacing/>
        <w:jc w:val="left"/>
        <w:rPr>
          <w:rFonts w:hint="eastAsia" w:ascii="仿宋_GB2312" w:hAnsi="仿宋" w:eastAsia="仿宋_GB2312"/>
          <w:sz w:val="32"/>
          <w:szCs w:val="32"/>
        </w:rPr>
      </w:pPr>
      <w:r>
        <w:rPr>
          <w:rFonts w:ascii="仿宋_GB2312" w:hAnsi="仿宋" w:eastAsia="仿宋_GB2312"/>
          <w:b/>
          <w:bCs/>
          <w:sz w:val="32"/>
          <w:szCs w:val="32"/>
          <w:lang w:val="zh-CN"/>
        </w:rPr>
        <w:t>（</w:t>
      </w:r>
      <w:r>
        <w:rPr>
          <w:rFonts w:hint="eastAsia" w:ascii="仿宋_GB2312" w:hAnsi="仿宋" w:eastAsia="仿宋_GB2312"/>
          <w:b/>
          <w:bCs/>
          <w:sz w:val="32"/>
          <w:szCs w:val="32"/>
          <w:lang w:val="zh-CN"/>
        </w:rPr>
        <w:t>二</w:t>
      </w:r>
      <w:r>
        <w:rPr>
          <w:rFonts w:ascii="仿宋_GB2312" w:hAnsi="仿宋" w:eastAsia="仿宋_GB2312"/>
          <w:b/>
          <w:bCs/>
          <w:sz w:val="32"/>
          <w:szCs w:val="32"/>
          <w:lang w:val="zh-CN"/>
        </w:rPr>
        <w:t>）</w:t>
      </w:r>
      <w:r>
        <w:rPr>
          <w:rFonts w:hint="eastAsia" w:ascii="仿宋_GB2312" w:hAnsi="仿宋" w:eastAsia="仿宋_GB2312"/>
          <w:b/>
          <w:bCs/>
          <w:sz w:val="32"/>
          <w:szCs w:val="32"/>
          <w:lang w:val="zh-CN"/>
        </w:rPr>
        <w:t>支出情况</w:t>
      </w:r>
      <w:r>
        <w:rPr>
          <w:rFonts w:ascii="仿宋_GB2312" w:hAnsi="仿宋" w:eastAsia="仿宋_GB2312"/>
          <w:b/>
          <w:bCs/>
          <w:sz w:val="32"/>
          <w:szCs w:val="32"/>
          <w:lang w:val="zh-CN"/>
        </w:rPr>
        <w:t>。</w:t>
      </w:r>
      <w:r>
        <w:rPr>
          <w:rFonts w:hint="eastAsia" w:ascii="仿宋_GB2312" w:hAnsi="仿宋" w:eastAsia="仿宋_GB2312"/>
          <w:sz w:val="32"/>
          <w:szCs w:val="32"/>
        </w:rPr>
        <w:t>2024年度支出总计</w:t>
      </w:r>
      <w:r>
        <w:rPr>
          <w:rFonts w:hint="eastAsia" w:eastAsia="仿宋_GB2312" w:cs="仿宋_GB2312"/>
          <w:sz w:val="32"/>
          <w:szCs w:val="32"/>
        </w:rPr>
        <w:t>为</w:t>
      </w:r>
      <w:r>
        <w:rPr>
          <w:rFonts w:hint="eastAsia" w:ascii="仿宋_GB2312" w:hAnsi="仿宋_GB2312" w:eastAsia="仿宋_GB2312" w:cs="仿宋_GB2312"/>
          <w:sz w:val="32"/>
          <w:szCs w:val="32"/>
        </w:rPr>
        <w:t>1432.09</w:t>
      </w:r>
      <w:r>
        <w:rPr>
          <w:rFonts w:hint="eastAsia" w:eastAsia="仿宋_GB2312" w:cs="仿宋_GB2312"/>
          <w:sz w:val="32"/>
          <w:szCs w:val="32"/>
        </w:rPr>
        <w:t>万元。与2023年度相比，收入、支出总计各增加170.51万元，增长13.52%。主要变动原因是本年度决算中将学生课后服务费、学生伙食费纳入决算中，导致收入、支出经费均有增加</w:t>
      </w:r>
      <w:r>
        <w:rPr>
          <w:rFonts w:hint="eastAsia" w:ascii="仿宋_GB2312" w:hAnsi="仿宋" w:eastAsia="仿宋_GB2312"/>
          <w:sz w:val="32"/>
          <w:szCs w:val="32"/>
        </w:rPr>
        <w:t>。</w:t>
      </w:r>
    </w:p>
    <w:p w14:paraId="015873F2">
      <w:pPr>
        <w:widowControl/>
        <w:adjustRightInd w:val="0"/>
        <w:snapToGrid w:val="0"/>
        <w:spacing w:line="560" w:lineRule="exact"/>
        <w:ind w:firstLine="643" w:firstLineChars="200"/>
        <w:contextualSpacing/>
        <w:jc w:val="left"/>
        <w:rPr>
          <w:rFonts w:ascii="仿宋_GB2312" w:hAnsi="仿宋" w:eastAsia="仿宋_GB2312"/>
          <w:sz w:val="32"/>
          <w:szCs w:val="32"/>
          <w:lang w:val="zh-CN"/>
        </w:rPr>
      </w:pPr>
      <w:r>
        <w:rPr>
          <w:rFonts w:ascii="仿宋_GB2312" w:hAnsi="仿宋" w:eastAsia="仿宋_GB2312"/>
          <w:b/>
          <w:bCs/>
          <w:sz w:val="32"/>
          <w:szCs w:val="32"/>
          <w:lang w:val="zh-CN"/>
        </w:rPr>
        <w:t>（</w:t>
      </w:r>
      <w:r>
        <w:rPr>
          <w:rFonts w:hint="eastAsia" w:ascii="仿宋_GB2312" w:hAnsi="仿宋" w:eastAsia="仿宋_GB2312"/>
          <w:b/>
          <w:bCs/>
          <w:sz w:val="32"/>
          <w:szCs w:val="32"/>
          <w:lang w:val="zh-CN"/>
        </w:rPr>
        <w:t>三</w:t>
      </w:r>
      <w:r>
        <w:rPr>
          <w:rFonts w:ascii="仿宋_GB2312" w:hAnsi="仿宋" w:eastAsia="仿宋_GB2312"/>
          <w:b/>
          <w:bCs/>
          <w:sz w:val="32"/>
          <w:szCs w:val="32"/>
          <w:lang w:val="zh-CN"/>
        </w:rPr>
        <w:t>）结余分配和结转结余情况</w:t>
      </w:r>
      <w:r>
        <w:rPr>
          <w:rFonts w:hint="eastAsia" w:ascii="仿宋_GB2312" w:hAnsi="仿宋" w:eastAsia="仿宋_GB2312"/>
          <w:b/>
          <w:bCs/>
          <w:sz w:val="32"/>
          <w:szCs w:val="32"/>
          <w:lang w:val="zh-CN"/>
        </w:rPr>
        <w:t>。</w:t>
      </w:r>
      <w:r>
        <w:rPr>
          <w:rFonts w:hint="eastAsia" w:ascii="仿宋_GB2312" w:hAnsi="仿宋" w:eastAsia="仿宋_GB2312"/>
          <w:sz w:val="32"/>
          <w:szCs w:val="32"/>
        </w:rPr>
        <w:t>我</w:t>
      </w:r>
      <w:r>
        <w:rPr>
          <w:rFonts w:hint="eastAsia" w:ascii="仿宋_GB2312" w:hAnsi="仿宋" w:eastAsia="仿宋_GB2312"/>
          <w:sz w:val="32"/>
          <w:szCs w:val="32"/>
          <w:lang w:val="en-US" w:eastAsia="zh-CN"/>
        </w:rPr>
        <w:t>校</w:t>
      </w:r>
      <w:r>
        <w:rPr>
          <w:rFonts w:hint="eastAsia" w:ascii="仿宋_GB2312" w:hAnsi="仿宋" w:eastAsia="仿宋_GB2312"/>
          <w:sz w:val="32"/>
          <w:szCs w:val="32"/>
        </w:rPr>
        <w:t>2024年决算报表</w:t>
      </w:r>
      <w:r>
        <w:rPr>
          <w:rFonts w:ascii="仿宋_GB2312" w:hAnsi="仿宋" w:eastAsia="仿宋_GB2312"/>
          <w:sz w:val="32"/>
          <w:szCs w:val="32"/>
        </w:rPr>
        <w:t>结转结余</w:t>
      </w:r>
      <w:r>
        <w:rPr>
          <w:rFonts w:hint="eastAsia" w:ascii="仿宋_GB2312" w:hAnsi="仿宋" w:eastAsia="仿宋_GB2312"/>
          <w:sz w:val="32"/>
          <w:szCs w:val="32"/>
        </w:rPr>
        <w:t>0万元</w:t>
      </w:r>
      <w:r>
        <w:rPr>
          <w:rFonts w:ascii="仿宋_GB2312" w:hAnsi="仿宋" w:eastAsia="仿宋_GB2312"/>
          <w:sz w:val="32"/>
          <w:szCs w:val="32"/>
        </w:rPr>
        <w:t>。</w:t>
      </w:r>
    </w:p>
    <w:p w14:paraId="36E0A2EB">
      <w:pPr>
        <w:widowControl/>
        <w:adjustRightInd w:val="0"/>
        <w:snapToGrid w:val="0"/>
        <w:spacing w:line="560" w:lineRule="exact"/>
        <w:ind w:firstLine="643" w:firstLineChars="200"/>
        <w:contextualSpacing/>
        <w:jc w:val="left"/>
        <w:rPr>
          <w:rFonts w:hint="eastAsia" w:ascii="仿宋_GB2312" w:hAnsi="仿宋" w:eastAsia="仿宋_GB2312"/>
          <w:b/>
          <w:bCs/>
          <w:sz w:val="32"/>
          <w:szCs w:val="32"/>
        </w:rPr>
      </w:pPr>
    </w:p>
    <w:p w14:paraId="21A27C67">
      <w:pPr>
        <w:widowControl/>
        <w:adjustRightInd w:val="0"/>
        <w:snapToGrid w:val="0"/>
        <w:spacing w:line="560" w:lineRule="exact"/>
        <w:ind w:firstLine="643" w:firstLineChars="200"/>
        <w:contextualSpacing/>
        <w:jc w:val="left"/>
        <w:rPr>
          <w:rFonts w:ascii="仿宋_GB2312" w:hAnsi="仿宋" w:eastAsia="仿宋_GB2312"/>
          <w:b/>
          <w:bCs/>
          <w:sz w:val="32"/>
          <w:szCs w:val="32"/>
          <w:lang w:val="zh-CN"/>
        </w:rPr>
      </w:pPr>
      <w:r>
        <w:rPr>
          <w:rFonts w:ascii="仿宋_GB2312" w:hAnsi="仿宋" w:eastAsia="仿宋_GB2312"/>
          <w:b/>
          <w:bCs/>
          <w:sz w:val="32"/>
          <w:szCs w:val="32"/>
          <w:lang w:val="zh-CN"/>
        </w:rPr>
        <w:t>三、部门预算绩效分析</w:t>
      </w:r>
    </w:p>
    <w:p w14:paraId="6E6D5E00">
      <w:pPr>
        <w:widowControl/>
        <w:adjustRightInd w:val="0"/>
        <w:snapToGrid w:val="0"/>
        <w:spacing w:line="560" w:lineRule="exact"/>
        <w:ind w:firstLine="482" w:firstLineChars="200"/>
        <w:contextualSpacing/>
        <w:jc w:val="left"/>
        <w:rPr>
          <w:rFonts w:ascii="仿宋_GB2312" w:hAnsi="仿宋" w:eastAsia="仿宋_GB2312"/>
          <w:sz w:val="32"/>
          <w:szCs w:val="32"/>
          <w:lang w:val="zh-CN"/>
        </w:rPr>
      </w:pPr>
      <w:r>
        <w:rPr>
          <w:rFonts w:eastAsia="楷体_GB2312"/>
          <w:b/>
          <w:bCs/>
          <w:color w:val="000000"/>
          <w:kern w:val="0"/>
          <w:sz w:val="24"/>
          <w:shd w:val="clear" w:color="auto" w:fill="FFFFFF"/>
          <w:lang w:val="zh-CN"/>
        </w:rPr>
        <w:t>（</w:t>
      </w:r>
      <w:r>
        <w:rPr>
          <w:rFonts w:ascii="仿宋_GB2312" w:hAnsi="仿宋" w:eastAsia="仿宋_GB2312"/>
          <w:sz w:val="32"/>
          <w:szCs w:val="32"/>
          <w:lang w:val="zh-CN"/>
        </w:rPr>
        <w:t>一）</w:t>
      </w:r>
      <w:r>
        <w:rPr>
          <w:rFonts w:hint="eastAsia" w:ascii="仿宋_GB2312" w:hAnsi="仿宋" w:eastAsia="仿宋_GB2312"/>
          <w:b/>
          <w:bCs/>
          <w:sz w:val="32"/>
          <w:szCs w:val="32"/>
          <w:lang w:val="zh-CN"/>
        </w:rPr>
        <w:t>部门预算</w:t>
      </w:r>
      <w:r>
        <w:rPr>
          <w:rFonts w:ascii="仿宋_GB2312" w:hAnsi="仿宋" w:eastAsia="仿宋_GB2312"/>
          <w:b/>
          <w:bCs/>
          <w:sz w:val="32"/>
          <w:szCs w:val="32"/>
          <w:lang w:val="zh-CN"/>
        </w:rPr>
        <w:t>总体绩效分析</w:t>
      </w:r>
      <w:r>
        <w:rPr>
          <w:rFonts w:ascii="仿宋_GB2312" w:hAnsi="仿宋" w:eastAsia="仿宋_GB2312"/>
          <w:sz w:val="32"/>
          <w:szCs w:val="32"/>
          <w:lang w:val="zh-CN"/>
        </w:rPr>
        <w:t>。根据部门预算绩效评价指标体系“总体绩效”涉及</w:t>
      </w:r>
      <w:r>
        <w:rPr>
          <w:rFonts w:hint="eastAsia" w:ascii="仿宋_GB2312" w:hAnsi="仿宋" w:eastAsia="仿宋_GB2312"/>
          <w:sz w:val="32"/>
          <w:szCs w:val="32"/>
          <w:lang w:val="zh-CN"/>
        </w:rPr>
        <w:t>二、三级</w:t>
      </w:r>
      <w:r>
        <w:rPr>
          <w:rFonts w:ascii="仿宋_GB2312" w:hAnsi="仿宋" w:eastAsia="仿宋_GB2312"/>
          <w:sz w:val="32"/>
          <w:szCs w:val="32"/>
          <w:lang w:val="zh-CN"/>
        </w:rPr>
        <w:t>指标进行</w:t>
      </w:r>
      <w:r>
        <w:rPr>
          <w:rFonts w:hint="eastAsia" w:ascii="仿宋_GB2312" w:hAnsi="仿宋" w:eastAsia="仿宋_GB2312"/>
          <w:sz w:val="32"/>
          <w:szCs w:val="32"/>
          <w:lang w:val="zh-CN"/>
        </w:rPr>
        <w:t>逐项</w:t>
      </w:r>
      <w:r>
        <w:rPr>
          <w:rFonts w:ascii="仿宋_GB2312" w:hAnsi="仿宋" w:eastAsia="仿宋_GB2312"/>
          <w:sz w:val="32"/>
          <w:szCs w:val="32"/>
          <w:lang w:val="zh-CN"/>
        </w:rPr>
        <w:t>绩效分析</w:t>
      </w:r>
      <w:r>
        <w:rPr>
          <w:rFonts w:hint="eastAsia" w:ascii="仿宋_GB2312" w:hAnsi="仿宋" w:eastAsia="仿宋_GB2312"/>
          <w:sz w:val="32"/>
          <w:szCs w:val="32"/>
          <w:lang w:val="zh-CN"/>
        </w:rPr>
        <w:t>并评分</w:t>
      </w:r>
      <w:r>
        <w:rPr>
          <w:rFonts w:ascii="仿宋_GB2312" w:hAnsi="仿宋" w:eastAsia="仿宋_GB2312"/>
          <w:sz w:val="32"/>
          <w:szCs w:val="32"/>
          <w:lang w:val="zh-CN"/>
        </w:rPr>
        <w:t>，依次包括履职效能、预算管理、财务管理、资产管理、采购管理等情况。</w:t>
      </w:r>
    </w:p>
    <w:p w14:paraId="49AE3778">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1.</w:t>
      </w:r>
      <w:r>
        <w:rPr>
          <w:rFonts w:hint="eastAsia" w:ascii="仿宋_GB2312" w:hAnsi="仿宋" w:eastAsia="仿宋_GB2312"/>
          <w:b/>
          <w:bCs/>
          <w:sz w:val="32"/>
          <w:szCs w:val="32"/>
          <w:lang w:val="zh-CN"/>
        </w:rPr>
        <w:t>履职效能。</w:t>
      </w:r>
      <w:r>
        <w:rPr>
          <w:rFonts w:hint="eastAsia" w:ascii="仿宋_GB2312" w:hAnsi="仿宋" w:eastAsia="仿宋_GB2312"/>
          <w:sz w:val="32"/>
          <w:szCs w:val="32"/>
          <w:lang w:val="zh-CN"/>
        </w:rPr>
        <w:t>根据相关规定，制定绩效目标管理，规范资金使用，提升资金使用效益。严格支出控制、预算及时动态调整。我单位资金主要是人员经费、公用经费支出，学校制定的相关规章制度，对资金进行严格收支管理。</w:t>
      </w:r>
    </w:p>
    <w:p w14:paraId="132E3B66">
      <w:pPr>
        <w:widowControl/>
        <w:adjustRightInd w:val="0"/>
        <w:snapToGrid w:val="0"/>
        <w:spacing w:line="56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bCs/>
          <w:sz w:val="32"/>
          <w:szCs w:val="32"/>
        </w:rPr>
        <w:t>2.</w:t>
      </w:r>
      <w:r>
        <w:rPr>
          <w:rFonts w:ascii="仿宋_GB2312" w:hAnsi="仿宋" w:eastAsia="仿宋_GB2312"/>
          <w:b/>
          <w:bCs/>
          <w:sz w:val="32"/>
          <w:szCs w:val="32"/>
          <w:lang w:val="zh-CN"/>
        </w:rPr>
        <w:t>预算管理</w:t>
      </w:r>
      <w:r>
        <w:rPr>
          <w:rFonts w:hint="eastAsia" w:ascii="仿宋_GB2312" w:hAnsi="仿宋" w:eastAsia="仿宋_GB2312"/>
          <w:b/>
          <w:bCs/>
          <w:sz w:val="32"/>
          <w:szCs w:val="32"/>
          <w:lang w:val="zh-CN"/>
        </w:rPr>
        <w:t>。</w:t>
      </w:r>
      <w:r>
        <w:rPr>
          <w:rFonts w:hint="eastAsia" w:ascii="仿宋_GB2312" w:hAnsi="仿宋" w:eastAsia="仿宋_GB2312"/>
          <w:sz w:val="32"/>
          <w:szCs w:val="32"/>
          <w:lang w:val="zh-CN"/>
        </w:rPr>
        <w:t>2024年度</w:t>
      </w:r>
      <w:r>
        <w:rPr>
          <w:rFonts w:hint="eastAsia" w:ascii="仿宋_GB2312" w:hAnsi="仿宋" w:eastAsia="仿宋_GB2312"/>
          <w:sz w:val="32"/>
          <w:szCs w:val="32"/>
        </w:rPr>
        <w:t>预算</w:t>
      </w:r>
      <w:r>
        <w:rPr>
          <w:rFonts w:hint="eastAsia" w:ascii="仿宋_GB2312" w:hAnsi="仿宋" w:eastAsia="仿宋_GB2312"/>
          <w:sz w:val="32"/>
          <w:szCs w:val="32"/>
          <w:lang w:val="zh-CN"/>
        </w:rPr>
        <w:t>收、支总计均</w:t>
      </w:r>
      <w:r>
        <w:rPr>
          <w:rFonts w:hint="eastAsia" w:eastAsia="仿宋_GB2312" w:cs="仿宋_GB2312"/>
          <w:sz w:val="32"/>
          <w:szCs w:val="32"/>
        </w:rPr>
        <w:t>为</w:t>
      </w:r>
      <w:r>
        <w:rPr>
          <w:rFonts w:hint="eastAsia" w:ascii="仿宋_GB2312" w:hAnsi="仿宋_GB2312" w:eastAsia="仿宋_GB2312" w:cs="仿宋_GB2312"/>
          <w:sz w:val="32"/>
          <w:szCs w:val="32"/>
        </w:rPr>
        <w:t>1432.09</w:t>
      </w:r>
      <w:r>
        <w:rPr>
          <w:rFonts w:hint="eastAsia" w:eastAsia="仿宋_GB2312" w:cs="仿宋_GB2312"/>
          <w:sz w:val="32"/>
          <w:szCs w:val="32"/>
        </w:rPr>
        <w:t>万元。与2023年度相比，收入、支出总计各增加170.51万元，增长13.52%。主要变动原因是本年度决算中将学生课后服务费、学生伙食费纳入决算中，导致收入、支出经费均有增加。</w:t>
      </w:r>
      <w:r>
        <w:rPr>
          <w:rFonts w:hint="eastAsia" w:ascii="仿宋_GB2312" w:hAnsi="仿宋" w:eastAsia="仿宋_GB2312"/>
          <w:sz w:val="32"/>
          <w:szCs w:val="32"/>
          <w:lang w:val="zh-CN"/>
        </w:rPr>
        <w:t>。</w:t>
      </w:r>
      <w:r>
        <w:rPr>
          <w:rFonts w:hint="eastAsia" w:ascii="仿宋_GB2312" w:hAnsi="仿宋" w:eastAsia="仿宋_GB2312"/>
          <w:sz w:val="32"/>
          <w:szCs w:val="32"/>
        </w:rPr>
        <w:t>各项管理制度执行总体较为有效，需进一步强化，资金的使用和管理应进一步加强。</w:t>
      </w:r>
    </w:p>
    <w:p w14:paraId="470770AB">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3.</w:t>
      </w:r>
      <w:r>
        <w:rPr>
          <w:rFonts w:ascii="仿宋_GB2312" w:hAnsi="仿宋" w:eastAsia="仿宋_GB2312"/>
          <w:b/>
          <w:bCs/>
          <w:sz w:val="32"/>
          <w:szCs w:val="32"/>
          <w:lang w:val="zh-CN"/>
        </w:rPr>
        <w:t>财务管理</w:t>
      </w:r>
      <w:r>
        <w:rPr>
          <w:rFonts w:hint="eastAsia" w:ascii="仿宋_GB2312" w:hAnsi="仿宋" w:eastAsia="仿宋_GB2312"/>
          <w:b/>
          <w:bCs/>
          <w:sz w:val="32"/>
          <w:szCs w:val="32"/>
          <w:lang w:val="zh-CN"/>
        </w:rPr>
        <w:t>。</w:t>
      </w:r>
      <w:r>
        <w:rPr>
          <w:rFonts w:hint="eastAsia" w:ascii="仿宋_GB2312" w:hAnsi="仿宋" w:eastAsia="仿宋_GB2312"/>
          <w:sz w:val="32"/>
          <w:szCs w:val="32"/>
        </w:rPr>
        <w:t>制度了完善的</w:t>
      </w:r>
      <w:r>
        <w:rPr>
          <w:rFonts w:hint="eastAsia" w:ascii="仿宋_GB2312" w:hAnsi="仿宋" w:eastAsia="仿宋_GB2312"/>
          <w:sz w:val="32"/>
          <w:szCs w:val="32"/>
          <w:lang w:val="zh-CN"/>
        </w:rPr>
        <w:t>财务管理制度、财务岗位设置、</w:t>
      </w:r>
      <w:r>
        <w:rPr>
          <w:rFonts w:hint="eastAsia" w:ascii="仿宋_GB2312" w:hAnsi="仿宋" w:eastAsia="仿宋_GB2312"/>
          <w:sz w:val="32"/>
          <w:szCs w:val="32"/>
        </w:rPr>
        <w:t>规范了</w:t>
      </w:r>
      <w:r>
        <w:rPr>
          <w:rFonts w:hint="eastAsia" w:ascii="仿宋_GB2312" w:hAnsi="仿宋" w:eastAsia="仿宋_GB2312"/>
          <w:sz w:val="32"/>
          <w:szCs w:val="32"/>
          <w:lang w:val="zh-CN"/>
        </w:rPr>
        <w:t>资金使用。</w:t>
      </w:r>
    </w:p>
    <w:p w14:paraId="3480DFBC">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4.</w:t>
      </w:r>
      <w:r>
        <w:rPr>
          <w:rFonts w:ascii="仿宋_GB2312" w:hAnsi="仿宋" w:eastAsia="仿宋_GB2312"/>
          <w:b/>
          <w:bCs/>
          <w:sz w:val="32"/>
          <w:szCs w:val="32"/>
          <w:lang w:val="zh-CN"/>
        </w:rPr>
        <w:t>资产管理</w:t>
      </w:r>
      <w:r>
        <w:rPr>
          <w:rFonts w:hint="eastAsia" w:ascii="仿宋_GB2312" w:hAnsi="仿宋" w:eastAsia="仿宋_GB2312"/>
          <w:b/>
          <w:bCs/>
          <w:sz w:val="32"/>
          <w:szCs w:val="32"/>
          <w:lang w:val="zh-CN"/>
        </w:rPr>
        <w:t>。</w:t>
      </w:r>
      <w:r>
        <w:rPr>
          <w:rFonts w:hint="eastAsia" w:ascii="仿宋_GB2312" w:hAnsi="仿宋" w:eastAsia="仿宋_GB2312"/>
          <w:sz w:val="32"/>
          <w:szCs w:val="32"/>
        </w:rPr>
        <w:t>建立资产管理制度，定期进行资产盘点和资产清理，总体执行较好。</w:t>
      </w:r>
    </w:p>
    <w:p w14:paraId="5ECF6F3E">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5.</w:t>
      </w:r>
      <w:r>
        <w:rPr>
          <w:rFonts w:ascii="仿宋_GB2312" w:hAnsi="仿宋" w:eastAsia="仿宋_GB2312"/>
          <w:b/>
          <w:bCs/>
          <w:sz w:val="32"/>
          <w:szCs w:val="32"/>
          <w:lang w:val="zh-CN"/>
        </w:rPr>
        <w:t>采购管理</w:t>
      </w:r>
      <w:r>
        <w:rPr>
          <w:rFonts w:hint="eastAsia" w:ascii="仿宋_GB2312" w:hAnsi="仿宋" w:eastAsia="仿宋_GB2312"/>
          <w:b/>
          <w:bCs/>
          <w:sz w:val="32"/>
          <w:szCs w:val="32"/>
          <w:lang w:val="zh-CN"/>
        </w:rPr>
        <w:t>。</w:t>
      </w:r>
      <w:r>
        <w:rPr>
          <w:rFonts w:hint="eastAsia" w:ascii="仿宋_GB2312" w:hAnsi="仿宋" w:eastAsia="仿宋_GB2312"/>
          <w:sz w:val="32"/>
          <w:szCs w:val="32"/>
        </w:rPr>
        <w:t>建立学校采购管理制度，做好物品入库、领取台账，总体执行较好。</w:t>
      </w:r>
    </w:p>
    <w:p w14:paraId="561ED924">
      <w:pPr>
        <w:widowControl/>
        <w:adjustRightInd w:val="0"/>
        <w:snapToGrid w:val="0"/>
        <w:spacing w:line="560" w:lineRule="exact"/>
        <w:ind w:firstLine="643" w:firstLineChars="200"/>
        <w:contextualSpacing/>
        <w:jc w:val="left"/>
        <w:rPr>
          <w:rFonts w:ascii="仿宋_GB2312" w:hAnsi="仿宋" w:eastAsia="仿宋_GB2312"/>
          <w:b/>
          <w:bCs/>
          <w:sz w:val="32"/>
          <w:szCs w:val="32"/>
        </w:rPr>
      </w:pPr>
      <w:r>
        <w:rPr>
          <w:rFonts w:ascii="仿宋_GB2312" w:hAnsi="仿宋" w:eastAsia="仿宋_GB2312"/>
          <w:b/>
          <w:bCs/>
          <w:sz w:val="32"/>
          <w:szCs w:val="32"/>
          <w:lang w:val="zh-CN"/>
        </w:rPr>
        <w:t>（二）部门预算项目绩效分析</w:t>
      </w:r>
      <w:r>
        <w:rPr>
          <w:rFonts w:hint="eastAsia" w:ascii="仿宋_GB2312" w:hAnsi="仿宋" w:eastAsia="仿宋_GB2312"/>
          <w:b/>
          <w:bCs/>
          <w:sz w:val="32"/>
          <w:szCs w:val="32"/>
          <w:lang w:val="zh-CN"/>
        </w:rPr>
        <w:t>：</w:t>
      </w:r>
    </w:p>
    <w:p w14:paraId="13D31741">
      <w:pPr>
        <w:widowControl/>
        <w:adjustRightInd w:val="0"/>
        <w:snapToGrid w:val="0"/>
        <w:spacing w:line="560" w:lineRule="exact"/>
        <w:ind w:firstLine="643" w:firstLineChars="200"/>
        <w:contextualSpacing/>
        <w:jc w:val="left"/>
        <w:rPr>
          <w:rFonts w:ascii="仿宋_GB2312" w:hAnsi="仿宋" w:eastAsia="仿宋_GB2312"/>
          <w:sz w:val="32"/>
          <w:szCs w:val="32"/>
          <w:lang w:val="zh-CN"/>
        </w:rPr>
      </w:pPr>
      <w:r>
        <w:rPr>
          <w:rFonts w:ascii="仿宋_GB2312" w:hAnsi="仿宋" w:eastAsia="仿宋_GB2312"/>
          <w:b/>
          <w:bCs/>
          <w:sz w:val="32"/>
          <w:szCs w:val="32"/>
        </w:rPr>
        <w:t>常年项目绩效分析</w:t>
      </w:r>
      <w:r>
        <w:rPr>
          <w:rFonts w:hint="eastAsia" w:ascii="仿宋_GB2312" w:hAnsi="仿宋" w:eastAsia="仿宋_GB2312"/>
          <w:b/>
          <w:bCs/>
          <w:sz w:val="32"/>
          <w:szCs w:val="32"/>
        </w:rPr>
        <w:t>：</w:t>
      </w:r>
      <w:r>
        <w:rPr>
          <w:rFonts w:ascii="仿宋_GB2312" w:hAnsi="仿宋" w:eastAsia="仿宋_GB2312"/>
          <w:sz w:val="32"/>
          <w:szCs w:val="32"/>
          <w:lang w:val="zh-CN"/>
        </w:rPr>
        <w:t>该类项目总数</w:t>
      </w:r>
      <w:r>
        <w:rPr>
          <w:rFonts w:ascii="仿宋_GB2312" w:hAnsi="仿宋" w:eastAsia="仿宋_GB2312"/>
          <w:sz w:val="32"/>
          <w:szCs w:val="32"/>
        </w:rPr>
        <w:t xml:space="preserve"> </w:t>
      </w:r>
      <w:r>
        <w:rPr>
          <w:rFonts w:hint="eastAsia" w:ascii="仿宋_GB2312" w:hAnsi="仿宋" w:eastAsia="仿宋_GB2312"/>
          <w:sz w:val="32"/>
          <w:szCs w:val="32"/>
          <w:lang w:val="en-US" w:eastAsia="zh-CN"/>
        </w:rPr>
        <w:t>4</w:t>
      </w:r>
      <w:r>
        <w:rPr>
          <w:rFonts w:ascii="仿宋_GB2312" w:hAnsi="仿宋" w:eastAsia="仿宋_GB2312"/>
          <w:sz w:val="32"/>
          <w:szCs w:val="32"/>
          <w:lang w:val="zh-CN"/>
        </w:rPr>
        <w:t>个，涉及预算总金额</w:t>
      </w:r>
      <w:r>
        <w:rPr>
          <w:rFonts w:hint="eastAsia" w:ascii="仿宋_GB2312" w:hAnsi="仿宋" w:eastAsia="仿宋_GB2312"/>
          <w:sz w:val="32"/>
          <w:szCs w:val="32"/>
          <w:lang w:val="en-US" w:eastAsia="zh-CN"/>
        </w:rPr>
        <w:t>305</w:t>
      </w:r>
      <w:r>
        <w:rPr>
          <w:rFonts w:ascii="仿宋_GB2312" w:hAnsi="仿宋" w:eastAsia="仿宋_GB2312"/>
          <w:sz w:val="32"/>
          <w:szCs w:val="32"/>
          <w:lang w:val="zh-CN"/>
        </w:rPr>
        <w:t>万元，1</w:t>
      </w:r>
      <w:r>
        <w:rPr>
          <w:rFonts w:hint="eastAsia" w:ascii="仿宋_GB2312" w:hAnsi="仿宋" w:eastAsia="仿宋_GB2312"/>
          <w:sz w:val="32"/>
          <w:szCs w:val="32"/>
          <w:lang w:val="zh-CN"/>
        </w:rPr>
        <w:t>—</w:t>
      </w:r>
      <w:r>
        <w:rPr>
          <w:rFonts w:ascii="仿宋_GB2312" w:hAnsi="仿宋" w:eastAsia="仿宋_GB2312"/>
          <w:sz w:val="32"/>
          <w:szCs w:val="32"/>
          <w:lang w:val="zh-CN"/>
        </w:rPr>
        <w:t>1</w:t>
      </w:r>
      <w:r>
        <w:rPr>
          <w:rFonts w:ascii="仿宋_GB2312" w:hAnsi="仿宋" w:eastAsia="仿宋_GB2312"/>
          <w:sz w:val="32"/>
          <w:szCs w:val="32"/>
        </w:rPr>
        <w:t>2</w:t>
      </w:r>
      <w:r>
        <w:rPr>
          <w:rFonts w:ascii="仿宋_GB2312" w:hAnsi="仿宋" w:eastAsia="仿宋_GB2312"/>
          <w:sz w:val="32"/>
          <w:szCs w:val="32"/>
          <w:lang w:val="zh-CN"/>
        </w:rPr>
        <w:t>月预算执行总体进度为</w:t>
      </w:r>
      <w:r>
        <w:rPr>
          <w:rFonts w:hint="eastAsia" w:ascii="仿宋_GB2312" w:hAnsi="仿宋" w:eastAsia="仿宋_GB2312"/>
          <w:sz w:val="32"/>
          <w:szCs w:val="32"/>
        </w:rPr>
        <w:t>100</w:t>
      </w:r>
      <w:r>
        <w:rPr>
          <w:rFonts w:ascii="仿宋_GB2312" w:hAnsi="仿宋" w:eastAsia="仿宋_GB2312"/>
          <w:sz w:val="32"/>
          <w:szCs w:val="32"/>
          <w:lang w:val="zh-CN"/>
        </w:rPr>
        <w:t>%。</w:t>
      </w:r>
    </w:p>
    <w:p w14:paraId="75530301">
      <w:pPr>
        <w:widowControl/>
        <w:adjustRightInd w:val="0"/>
        <w:snapToGrid w:val="0"/>
        <w:spacing w:line="560" w:lineRule="exact"/>
        <w:ind w:firstLine="640" w:firstLineChars="200"/>
        <w:contextualSpacing/>
        <w:jc w:val="left"/>
        <w:rPr>
          <w:rFonts w:ascii="仿宋_GB2312" w:hAnsi="仿宋" w:eastAsia="仿宋_GB2312"/>
          <w:sz w:val="32"/>
          <w:szCs w:val="32"/>
          <w:lang w:val="zh-CN"/>
        </w:rPr>
      </w:pPr>
      <w:r>
        <w:rPr>
          <w:rFonts w:ascii="仿宋_GB2312" w:hAnsi="仿宋" w:eastAsia="仿宋_GB2312"/>
          <w:sz w:val="32"/>
          <w:szCs w:val="32"/>
        </w:rPr>
        <w:t>阶段</w:t>
      </w:r>
      <w:r>
        <w:rPr>
          <w:rFonts w:hint="eastAsia" w:ascii="仿宋_GB2312" w:hAnsi="仿宋" w:eastAsia="仿宋_GB2312"/>
          <w:sz w:val="32"/>
          <w:szCs w:val="32"/>
        </w:rPr>
        <w:t>（</w:t>
      </w:r>
      <w:r>
        <w:rPr>
          <w:rFonts w:ascii="仿宋_GB2312" w:hAnsi="仿宋" w:eastAsia="仿宋_GB2312"/>
          <w:sz w:val="32"/>
          <w:szCs w:val="32"/>
        </w:rPr>
        <w:t>一次性</w:t>
      </w:r>
      <w:r>
        <w:rPr>
          <w:rFonts w:hint="eastAsia" w:ascii="仿宋_GB2312" w:hAnsi="仿宋" w:eastAsia="仿宋_GB2312"/>
          <w:sz w:val="32"/>
          <w:szCs w:val="32"/>
        </w:rPr>
        <w:t>）</w:t>
      </w:r>
      <w:r>
        <w:rPr>
          <w:rFonts w:ascii="仿宋_GB2312" w:hAnsi="仿宋" w:eastAsia="仿宋_GB2312"/>
          <w:sz w:val="32"/>
          <w:szCs w:val="32"/>
        </w:rPr>
        <w:t>项目绩效分析。</w:t>
      </w:r>
      <w:r>
        <w:rPr>
          <w:rFonts w:ascii="仿宋_GB2312" w:hAnsi="仿宋" w:eastAsia="仿宋_GB2312"/>
          <w:sz w:val="32"/>
          <w:szCs w:val="32"/>
          <w:lang w:val="zh-CN"/>
        </w:rPr>
        <w:t>该类项目总数</w:t>
      </w:r>
      <w:r>
        <w:rPr>
          <w:rFonts w:ascii="仿宋_GB2312" w:hAnsi="仿宋" w:eastAsia="仿宋_GB2312"/>
          <w:sz w:val="32"/>
          <w:szCs w:val="32"/>
        </w:rPr>
        <w:t xml:space="preserve"> </w:t>
      </w:r>
      <w:r>
        <w:rPr>
          <w:rFonts w:hint="eastAsia" w:ascii="仿宋_GB2312" w:hAnsi="仿宋" w:eastAsia="仿宋_GB2312"/>
          <w:sz w:val="32"/>
          <w:szCs w:val="32"/>
        </w:rPr>
        <w:t>0</w:t>
      </w:r>
      <w:r>
        <w:rPr>
          <w:rFonts w:ascii="仿宋_GB2312" w:hAnsi="仿宋" w:eastAsia="仿宋_GB2312"/>
          <w:sz w:val="32"/>
          <w:szCs w:val="32"/>
        </w:rPr>
        <w:t xml:space="preserve"> </w:t>
      </w:r>
      <w:r>
        <w:rPr>
          <w:rFonts w:ascii="仿宋_GB2312" w:hAnsi="仿宋" w:eastAsia="仿宋_GB2312"/>
          <w:sz w:val="32"/>
          <w:szCs w:val="32"/>
          <w:lang w:val="zh-CN"/>
        </w:rPr>
        <w:t>个，涉及预算总金额</w:t>
      </w:r>
      <w:r>
        <w:rPr>
          <w:rFonts w:ascii="仿宋_GB2312" w:hAnsi="仿宋" w:eastAsia="仿宋_GB2312"/>
          <w:sz w:val="32"/>
          <w:szCs w:val="32"/>
        </w:rPr>
        <w:t xml:space="preserve"> </w:t>
      </w:r>
      <w:r>
        <w:rPr>
          <w:rFonts w:hint="eastAsia" w:ascii="仿宋_GB2312" w:hAnsi="仿宋" w:eastAsia="仿宋_GB2312"/>
          <w:sz w:val="32"/>
          <w:szCs w:val="32"/>
        </w:rPr>
        <w:t>0</w:t>
      </w:r>
      <w:r>
        <w:rPr>
          <w:rFonts w:ascii="仿宋_GB2312" w:hAnsi="仿宋" w:eastAsia="仿宋_GB2312"/>
          <w:sz w:val="32"/>
          <w:szCs w:val="32"/>
        </w:rPr>
        <w:t xml:space="preserve"> </w:t>
      </w:r>
      <w:r>
        <w:rPr>
          <w:rFonts w:ascii="仿宋_GB2312" w:hAnsi="仿宋" w:eastAsia="仿宋_GB2312"/>
          <w:sz w:val="32"/>
          <w:szCs w:val="32"/>
          <w:lang w:val="zh-CN"/>
        </w:rPr>
        <w:t>万元，1</w:t>
      </w:r>
      <w:r>
        <w:rPr>
          <w:rFonts w:hint="eastAsia" w:ascii="仿宋_GB2312" w:hAnsi="仿宋" w:eastAsia="仿宋_GB2312"/>
          <w:sz w:val="32"/>
          <w:szCs w:val="32"/>
          <w:lang w:val="zh-CN"/>
        </w:rPr>
        <w:t>—</w:t>
      </w:r>
      <w:r>
        <w:rPr>
          <w:rFonts w:ascii="仿宋_GB2312" w:hAnsi="仿宋" w:eastAsia="仿宋_GB2312"/>
          <w:sz w:val="32"/>
          <w:szCs w:val="32"/>
          <w:lang w:val="zh-CN"/>
        </w:rPr>
        <w:t>1</w:t>
      </w:r>
      <w:r>
        <w:rPr>
          <w:rFonts w:ascii="仿宋_GB2312" w:hAnsi="仿宋" w:eastAsia="仿宋_GB2312"/>
          <w:sz w:val="32"/>
          <w:szCs w:val="32"/>
        </w:rPr>
        <w:t>2</w:t>
      </w:r>
      <w:r>
        <w:rPr>
          <w:rFonts w:ascii="仿宋_GB2312" w:hAnsi="仿宋" w:eastAsia="仿宋_GB2312"/>
          <w:sz w:val="32"/>
          <w:szCs w:val="32"/>
          <w:lang w:val="zh-CN"/>
        </w:rPr>
        <w:t>月预算执行总体进度为</w:t>
      </w:r>
      <w:r>
        <w:rPr>
          <w:rFonts w:ascii="仿宋_GB2312" w:hAnsi="仿宋" w:eastAsia="仿宋_GB2312"/>
          <w:sz w:val="32"/>
          <w:szCs w:val="32"/>
        </w:rPr>
        <w:t xml:space="preserve"> </w:t>
      </w:r>
      <w:r>
        <w:rPr>
          <w:rFonts w:hint="eastAsia" w:ascii="仿宋_GB2312" w:hAnsi="仿宋" w:eastAsia="仿宋_GB2312"/>
          <w:sz w:val="32"/>
          <w:szCs w:val="32"/>
        </w:rPr>
        <w:t>0</w:t>
      </w:r>
      <w:r>
        <w:rPr>
          <w:rFonts w:ascii="仿宋_GB2312" w:hAnsi="仿宋" w:eastAsia="仿宋_GB2312"/>
          <w:sz w:val="32"/>
          <w:szCs w:val="32"/>
          <w:lang w:val="zh-CN"/>
        </w:rPr>
        <w:t>%，其中：预算结余率大于</w:t>
      </w:r>
      <w:r>
        <w:rPr>
          <w:rFonts w:ascii="仿宋_GB2312" w:hAnsi="仿宋" w:eastAsia="仿宋_GB2312"/>
          <w:sz w:val="32"/>
          <w:szCs w:val="32"/>
        </w:rPr>
        <w:t>10%</w:t>
      </w:r>
      <w:r>
        <w:rPr>
          <w:rFonts w:ascii="仿宋_GB2312" w:hAnsi="仿宋" w:eastAsia="仿宋_GB2312"/>
          <w:sz w:val="32"/>
          <w:szCs w:val="32"/>
          <w:lang w:val="zh-CN"/>
        </w:rPr>
        <w:t>的项目共计</w:t>
      </w:r>
      <w:r>
        <w:rPr>
          <w:rFonts w:ascii="仿宋_GB2312" w:hAnsi="仿宋" w:eastAsia="仿宋_GB2312"/>
          <w:sz w:val="32"/>
          <w:szCs w:val="32"/>
        </w:rPr>
        <w:t xml:space="preserve"> </w:t>
      </w:r>
      <w:r>
        <w:rPr>
          <w:rFonts w:hint="eastAsia" w:ascii="仿宋_GB2312" w:hAnsi="仿宋" w:eastAsia="仿宋_GB2312"/>
          <w:sz w:val="32"/>
          <w:szCs w:val="32"/>
        </w:rPr>
        <w:t>0</w:t>
      </w:r>
      <w:r>
        <w:rPr>
          <w:rFonts w:ascii="仿宋_GB2312" w:hAnsi="仿宋" w:eastAsia="仿宋_GB2312"/>
          <w:sz w:val="32"/>
          <w:szCs w:val="32"/>
          <w:lang w:val="zh-CN"/>
        </w:rPr>
        <w:t>个。</w:t>
      </w:r>
    </w:p>
    <w:p w14:paraId="3EB9DE12">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1.</w:t>
      </w:r>
      <w:r>
        <w:rPr>
          <w:rFonts w:hint="eastAsia" w:ascii="仿宋_GB2312" w:hAnsi="仿宋" w:eastAsia="仿宋_GB2312"/>
          <w:b/>
          <w:bCs/>
          <w:sz w:val="32"/>
          <w:szCs w:val="32"/>
          <w:lang w:val="zh-CN"/>
        </w:rPr>
        <w:t>项目决策。</w:t>
      </w:r>
      <w:r>
        <w:rPr>
          <w:rFonts w:hint="eastAsia" w:ascii="仿宋_GB2312" w:hAnsi="仿宋" w:eastAsia="仿宋_GB2312"/>
          <w:sz w:val="32"/>
          <w:szCs w:val="32"/>
          <w:lang w:val="zh-CN"/>
        </w:rPr>
        <w:t>围绕决策程序、目标设置、项目入库</w:t>
      </w:r>
      <w:r>
        <w:rPr>
          <w:rFonts w:ascii="仿宋_GB2312" w:hAnsi="仿宋" w:eastAsia="仿宋_GB2312"/>
          <w:sz w:val="32"/>
          <w:szCs w:val="32"/>
          <w:lang w:val="zh-CN"/>
        </w:rPr>
        <w:t>进行绩效分析</w:t>
      </w:r>
      <w:r>
        <w:rPr>
          <w:rFonts w:hint="eastAsia" w:ascii="仿宋_GB2312" w:hAnsi="仿宋" w:eastAsia="仿宋_GB2312"/>
          <w:sz w:val="32"/>
          <w:szCs w:val="32"/>
          <w:lang w:val="zh-CN"/>
        </w:rPr>
        <w:t>。</w:t>
      </w:r>
    </w:p>
    <w:p w14:paraId="57A86B8F">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2.项目执行</w:t>
      </w:r>
      <w:r>
        <w:rPr>
          <w:rFonts w:hint="eastAsia" w:ascii="仿宋_GB2312" w:hAnsi="仿宋" w:eastAsia="仿宋_GB2312"/>
          <w:b/>
          <w:bCs/>
          <w:sz w:val="32"/>
          <w:szCs w:val="32"/>
          <w:lang w:val="zh-CN"/>
        </w:rPr>
        <w:t>。</w:t>
      </w:r>
      <w:r>
        <w:rPr>
          <w:rFonts w:hint="eastAsia" w:ascii="仿宋_GB2312" w:hAnsi="仿宋" w:eastAsia="仿宋_GB2312"/>
          <w:sz w:val="32"/>
          <w:szCs w:val="32"/>
          <w:lang w:val="zh-CN"/>
        </w:rPr>
        <w:t>围绕资金执行同向、项目调整、执行结果</w:t>
      </w:r>
      <w:r>
        <w:rPr>
          <w:rFonts w:ascii="仿宋_GB2312" w:hAnsi="仿宋" w:eastAsia="仿宋_GB2312"/>
          <w:sz w:val="32"/>
          <w:szCs w:val="32"/>
          <w:lang w:val="zh-CN"/>
        </w:rPr>
        <w:t>进行绩效分析</w:t>
      </w:r>
      <w:r>
        <w:rPr>
          <w:rFonts w:hint="eastAsia" w:ascii="仿宋_GB2312" w:hAnsi="仿宋" w:eastAsia="仿宋_GB2312"/>
          <w:sz w:val="32"/>
          <w:szCs w:val="32"/>
          <w:lang w:val="zh-CN"/>
        </w:rPr>
        <w:t>。</w:t>
      </w:r>
    </w:p>
    <w:p w14:paraId="247B05E9">
      <w:pPr>
        <w:widowControl/>
        <w:adjustRightInd w:val="0"/>
        <w:snapToGrid w:val="0"/>
        <w:spacing w:line="560" w:lineRule="exact"/>
        <w:ind w:firstLine="643" w:firstLineChars="200"/>
        <w:contextualSpacing/>
        <w:jc w:val="left"/>
        <w:rPr>
          <w:rFonts w:hint="eastAsia" w:ascii="仿宋_GB2312" w:hAnsi="仿宋" w:eastAsia="仿宋_GB2312"/>
          <w:sz w:val="32"/>
          <w:szCs w:val="32"/>
          <w:lang w:val="zh-CN"/>
        </w:rPr>
      </w:pPr>
      <w:r>
        <w:rPr>
          <w:rFonts w:hint="eastAsia" w:ascii="仿宋_GB2312" w:hAnsi="仿宋" w:eastAsia="仿宋_GB2312"/>
          <w:b/>
          <w:bCs/>
          <w:sz w:val="32"/>
          <w:szCs w:val="32"/>
        </w:rPr>
        <w:t>3.</w:t>
      </w:r>
      <w:r>
        <w:rPr>
          <w:rFonts w:hint="eastAsia" w:ascii="仿宋_GB2312" w:hAnsi="仿宋" w:eastAsia="仿宋_GB2312"/>
          <w:b/>
          <w:bCs/>
          <w:sz w:val="32"/>
          <w:szCs w:val="32"/>
          <w:lang w:val="zh-CN"/>
        </w:rPr>
        <w:t>目标实现。</w:t>
      </w:r>
      <w:r>
        <w:rPr>
          <w:rFonts w:hint="eastAsia" w:ascii="仿宋_GB2312" w:hAnsi="仿宋" w:eastAsia="仿宋_GB2312"/>
          <w:sz w:val="32"/>
          <w:szCs w:val="32"/>
          <w:lang w:val="zh-CN"/>
        </w:rPr>
        <w:t>围绕目标完成、目标偏离、实现效果</w:t>
      </w:r>
      <w:r>
        <w:rPr>
          <w:rFonts w:ascii="仿宋_GB2312" w:hAnsi="仿宋" w:eastAsia="仿宋_GB2312"/>
          <w:sz w:val="32"/>
          <w:szCs w:val="32"/>
          <w:lang w:val="zh-CN"/>
        </w:rPr>
        <w:t>进行绩效分析</w:t>
      </w:r>
      <w:r>
        <w:rPr>
          <w:rFonts w:hint="eastAsia" w:ascii="仿宋_GB2312" w:hAnsi="仿宋" w:eastAsia="仿宋_GB2312"/>
          <w:sz w:val="32"/>
          <w:szCs w:val="32"/>
          <w:lang w:val="zh-CN"/>
        </w:rPr>
        <w:t>。</w:t>
      </w:r>
    </w:p>
    <w:p w14:paraId="4D170921">
      <w:pPr>
        <w:widowControl/>
        <w:adjustRightInd w:val="0"/>
        <w:snapToGrid w:val="0"/>
        <w:spacing w:line="560" w:lineRule="exact"/>
        <w:ind w:firstLine="640" w:firstLineChars="200"/>
        <w:contextualSpacing/>
        <w:jc w:val="left"/>
        <w:rPr>
          <w:rFonts w:ascii="仿宋_GB2312" w:hAnsi="仿宋" w:eastAsia="仿宋_GB2312"/>
          <w:sz w:val="32"/>
          <w:szCs w:val="32"/>
        </w:rPr>
      </w:pPr>
      <w:r>
        <w:rPr>
          <w:rFonts w:ascii="仿宋_GB2312" w:hAnsi="仿宋" w:eastAsia="仿宋_GB2312"/>
          <w:sz w:val="32"/>
          <w:szCs w:val="32"/>
          <w:lang w:val="zh-CN"/>
        </w:rPr>
        <w:t>（</w:t>
      </w:r>
      <w:r>
        <w:rPr>
          <w:rFonts w:hint="eastAsia" w:ascii="仿宋_GB2312" w:hAnsi="仿宋" w:eastAsia="仿宋_GB2312"/>
          <w:b/>
          <w:bCs/>
          <w:sz w:val="32"/>
          <w:szCs w:val="32"/>
          <w:lang w:val="zh-CN"/>
        </w:rPr>
        <w:t>三</w:t>
      </w:r>
      <w:r>
        <w:rPr>
          <w:rFonts w:ascii="仿宋_GB2312" w:hAnsi="仿宋" w:eastAsia="仿宋_GB2312"/>
          <w:b/>
          <w:bCs/>
          <w:sz w:val="32"/>
          <w:szCs w:val="32"/>
          <w:lang w:val="zh-CN"/>
        </w:rPr>
        <w:t>）重点领域绩效分析</w:t>
      </w:r>
      <w:r>
        <w:rPr>
          <w:rFonts w:ascii="仿宋_GB2312" w:hAnsi="仿宋" w:eastAsia="仿宋_GB2312"/>
          <w:sz w:val="32"/>
          <w:szCs w:val="32"/>
          <w:lang w:val="zh-CN"/>
        </w:rPr>
        <w:t>。</w:t>
      </w:r>
      <w:r>
        <w:rPr>
          <w:rFonts w:hint="eastAsia" w:ascii="仿宋_GB2312" w:hAnsi="仿宋" w:eastAsia="仿宋_GB2312"/>
          <w:sz w:val="32"/>
          <w:szCs w:val="32"/>
        </w:rPr>
        <w:t>无</w:t>
      </w:r>
    </w:p>
    <w:p w14:paraId="79D23E91">
      <w:pPr>
        <w:widowControl/>
        <w:adjustRightInd w:val="0"/>
        <w:snapToGrid w:val="0"/>
        <w:spacing w:line="560" w:lineRule="exact"/>
        <w:ind w:firstLine="643" w:firstLineChars="200"/>
        <w:contextualSpacing/>
        <w:jc w:val="left"/>
        <w:rPr>
          <w:rFonts w:hint="eastAsia" w:ascii="仿宋_GB2312" w:hAnsi="仿宋" w:eastAsia="仿宋_GB2312" w:cs="Times New Roman"/>
          <w:sz w:val="32"/>
          <w:szCs w:val="32"/>
        </w:rPr>
      </w:pPr>
      <w:r>
        <w:rPr>
          <w:rFonts w:ascii="仿宋_GB2312" w:hAnsi="仿宋" w:eastAsia="仿宋_GB2312"/>
          <w:b/>
          <w:bCs/>
          <w:sz w:val="32"/>
          <w:szCs w:val="32"/>
          <w:lang w:val="zh-CN"/>
        </w:rPr>
        <w:t>（四）绩效结果应用情况</w:t>
      </w:r>
      <w:r>
        <w:rPr>
          <w:rFonts w:hint="eastAsia" w:ascii="仿宋_GB2312" w:hAnsi="仿宋" w:eastAsia="仿宋_GB2312"/>
          <w:sz w:val="32"/>
          <w:szCs w:val="32"/>
          <w:lang w:val="zh-CN"/>
        </w:rPr>
        <w:t>。</w:t>
      </w: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14:paraId="7FC21894">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遂宁市安居区三家镇</w:t>
      </w:r>
      <w:r>
        <w:rPr>
          <w:rFonts w:hint="eastAsia" w:ascii="仿宋_GB2312" w:hAnsi="仿宋" w:eastAsia="仿宋_GB2312" w:cs="Times New Roman"/>
          <w:sz w:val="32"/>
          <w:szCs w:val="32"/>
          <w:lang w:val="en-US" w:eastAsia="zh-CN"/>
        </w:rPr>
        <w:t>中心</w:t>
      </w:r>
      <w:r>
        <w:rPr>
          <w:rFonts w:hint="eastAsia" w:ascii="仿宋_GB2312" w:hAnsi="仿宋" w:eastAsia="仿宋_GB2312" w:cs="Times New Roman"/>
          <w:sz w:val="32"/>
          <w:szCs w:val="32"/>
        </w:rPr>
        <w:t>小学校认真履职尽责，认真完成项目任务，所有项目均开展绩效评价，评价效果良好，对于财政预算资金多次接受省、市、区的检查，所有资金的支出，接受财政部门的监督管理，圆满完成2024年的目标任务。</w:t>
      </w:r>
    </w:p>
    <w:p w14:paraId="0BDA06BB">
      <w:pPr>
        <w:widowControl/>
        <w:adjustRightInd w:val="0"/>
        <w:snapToGrid w:val="0"/>
        <w:spacing w:line="560" w:lineRule="exact"/>
        <w:contextualSpacing/>
        <w:jc w:val="left"/>
        <w:outlineLvl w:val="0"/>
        <w:rPr>
          <w:rFonts w:ascii="仿宋" w:hAnsi="仿宋" w:eastAsia="仿宋"/>
          <w:b/>
          <w:bCs/>
          <w:sz w:val="32"/>
          <w:szCs w:val="32"/>
        </w:rPr>
      </w:pPr>
      <w:r>
        <w:rPr>
          <w:rFonts w:hint="eastAsia" w:ascii="仿宋" w:hAnsi="仿宋" w:eastAsia="仿宋"/>
          <w:b/>
          <w:bCs/>
          <w:sz w:val="32"/>
          <w:szCs w:val="32"/>
        </w:rPr>
        <w:t>四、评价结论及建议</w:t>
      </w:r>
    </w:p>
    <w:p w14:paraId="372B9ADF">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（一）评价结论。</w:t>
      </w:r>
    </w:p>
    <w:p w14:paraId="38C0A4D3">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14:paraId="03E2A0EF">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二）</w:t>
      </w:r>
      <w:r>
        <w:rPr>
          <w:rFonts w:hint="eastAsia" w:ascii="仿宋_GB2312" w:hAnsi="仿宋" w:eastAsia="仿宋_GB2312" w:cs="Times New Roman"/>
          <w:sz w:val="32"/>
          <w:szCs w:val="32"/>
        </w:rPr>
        <w:t>存在问题。</w:t>
      </w:r>
    </w:p>
    <w:p w14:paraId="06E8D1B6">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人口下降，出生率降低，同时学校收入在减少。</w:t>
      </w:r>
    </w:p>
    <w:p w14:paraId="1392CD70">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三</w:t>
      </w:r>
      <w:r>
        <w:rPr>
          <w:rFonts w:hint="eastAsia" w:ascii="仿宋_GB2312" w:hAnsi="仿宋" w:eastAsia="仿宋_GB2312" w:cs="Times New Roman"/>
          <w:sz w:val="32"/>
          <w:szCs w:val="32"/>
        </w:rPr>
        <w:t>）改进建议。</w:t>
      </w:r>
    </w:p>
    <w:p w14:paraId="1D2AD1A0">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14:paraId="221FCED0">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w:t>
      </w:r>
      <w:r>
        <w:rPr>
          <w:rFonts w:hint="eastAsia" w:ascii="Times New Roman" w:hAnsi="Times New Roman" w:eastAsia="仿宋_GB2312" w:cs="Times New Roman"/>
          <w:kern w:val="2"/>
          <w:sz w:val="32"/>
          <w:szCs w:val="32"/>
          <w:u w:val="none"/>
          <w:lang w:val="en-US" w:eastAsia="zh-CN" w:bidi="ar"/>
        </w:rPr>
        <w:t>件</w:t>
      </w:r>
      <w:r>
        <w:rPr>
          <w:rFonts w:hint="eastAsia" w:ascii="Times New Roman" w:hAnsi="Times New Roman" w:eastAsia="仿宋_GB2312" w:cs="Times New Roman"/>
          <w:kern w:val="2"/>
          <w:sz w:val="32"/>
          <w:szCs w:val="32"/>
          <w:u w:val="none"/>
          <w:lang w:val="zh-CN" w:eastAsia="zh-CN" w:bidi="ar"/>
        </w:rPr>
        <w:t>：</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14:paraId="63D8D24C">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14:paraId="67454C83">
      <w:pPr>
        <w:pStyle w:val="3"/>
      </w:pPr>
    </w:p>
    <w:p w14:paraId="64F03AF4">
      <w:pPr>
        <w:spacing w:line="572" w:lineRule="exact"/>
        <w:jc w:val="left"/>
        <w:outlineLvl w:val="0"/>
        <w:rPr>
          <w:rFonts w:eastAsia="黑体" w:cs="黑体"/>
          <w:color w:val="FF0000"/>
          <w:sz w:val="32"/>
          <w:szCs w:val="32"/>
        </w:rPr>
      </w:pPr>
    </w:p>
    <w:p w14:paraId="3FE5C0F4">
      <w:pPr>
        <w:pStyle w:val="2"/>
        <w:rPr>
          <w:rFonts w:eastAsia="黑体" w:cs="黑体"/>
          <w:color w:val="FF0000"/>
          <w:sz w:val="32"/>
          <w:szCs w:val="32"/>
        </w:rPr>
      </w:pPr>
    </w:p>
    <w:p w14:paraId="45E3A7C4">
      <w:pPr>
        <w:pStyle w:val="3"/>
        <w:rPr>
          <w:rFonts w:eastAsia="黑体" w:cs="黑体"/>
          <w:color w:val="FF0000"/>
          <w:sz w:val="32"/>
          <w:szCs w:val="32"/>
        </w:rPr>
      </w:pPr>
    </w:p>
    <w:tbl>
      <w:tblPr>
        <w:tblStyle w:val="15"/>
        <w:tblW w:w="5000" w:type="pct"/>
        <w:jc w:val="center"/>
        <w:tblLayout w:type="autofit"/>
        <w:tblCellMar>
          <w:top w:w="0" w:type="dxa"/>
          <w:left w:w="108" w:type="dxa"/>
          <w:bottom w:w="0" w:type="dxa"/>
          <w:right w:w="108" w:type="dxa"/>
        </w:tblCellMar>
      </w:tblPr>
      <w:tblGrid>
        <w:gridCol w:w="699"/>
        <w:gridCol w:w="711"/>
        <w:gridCol w:w="1125"/>
        <w:gridCol w:w="456"/>
        <w:gridCol w:w="1346"/>
        <w:gridCol w:w="3061"/>
        <w:gridCol w:w="586"/>
        <w:gridCol w:w="538"/>
      </w:tblGrid>
      <w:tr w14:paraId="70B0F8C4">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noWrap w:val="0"/>
            <w:vAlign w:val="center"/>
          </w:tcPr>
          <w:p w14:paraId="00573204">
            <w:pPr>
              <w:ind w:firstLine="1280" w:firstLineChars="400"/>
              <w:rPr>
                <w:rFonts w:hint="eastAsia" w:eastAsia="黑体" w:cs="黑体"/>
                <w:kern w:val="0"/>
                <w:sz w:val="32"/>
                <w:szCs w:val="32"/>
                <w:shd w:val="clear" w:color="auto" w:fill="FFFFFF"/>
                <w:lang w:val="zh-CN"/>
              </w:rPr>
            </w:pPr>
          </w:p>
          <w:p w14:paraId="71C2A290">
            <w:pPr>
              <w:ind w:firstLine="1280" w:firstLineChars="400"/>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042B51A8">
        <w:tblPrEx>
          <w:tblCellMar>
            <w:top w:w="0" w:type="dxa"/>
            <w:left w:w="108" w:type="dxa"/>
            <w:bottom w:w="0" w:type="dxa"/>
            <w:right w:w="108" w:type="dxa"/>
          </w:tblCellMar>
        </w:tblPrEx>
        <w:trPr>
          <w:trHeight w:val="519" w:hRule="atLeast"/>
          <w:jc w:val="center"/>
        </w:trPr>
        <w:tc>
          <w:tcPr>
            <w:tcW w:w="1671" w:type="pct"/>
            <w:gridSpan w:val="4"/>
            <w:tcBorders>
              <w:top w:val="single" w:color="auto" w:sz="4" w:space="0"/>
              <w:left w:val="single" w:color="auto" w:sz="4" w:space="0"/>
              <w:bottom w:val="single" w:color="auto" w:sz="4" w:space="0"/>
              <w:right w:val="single" w:color="auto" w:sz="4" w:space="0"/>
            </w:tcBorders>
            <w:noWrap w:val="0"/>
            <w:vAlign w:val="center"/>
          </w:tcPr>
          <w:p w14:paraId="7CF846BF">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811" w:type="pct"/>
            <w:vMerge w:val="restart"/>
            <w:tcBorders>
              <w:top w:val="single" w:color="auto" w:sz="4" w:space="0"/>
              <w:left w:val="single" w:color="auto" w:sz="4" w:space="0"/>
              <w:bottom w:val="single" w:color="auto" w:sz="4" w:space="0"/>
              <w:right w:val="single" w:color="auto" w:sz="4" w:space="0"/>
            </w:tcBorders>
            <w:noWrap w:val="0"/>
            <w:vAlign w:val="center"/>
          </w:tcPr>
          <w:p w14:paraId="350650AC">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817" w:type="pct"/>
            <w:vMerge w:val="restart"/>
            <w:tcBorders>
              <w:top w:val="single" w:color="auto" w:sz="4" w:space="0"/>
              <w:left w:val="single" w:color="auto" w:sz="4" w:space="0"/>
              <w:bottom w:val="single" w:color="auto" w:sz="4" w:space="0"/>
              <w:right w:val="single" w:color="auto" w:sz="4" w:space="0"/>
            </w:tcBorders>
            <w:noWrap w:val="0"/>
            <w:vAlign w:val="center"/>
          </w:tcPr>
          <w:p w14:paraId="44BD2FAB">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65" w:type="pct"/>
            <w:vMerge w:val="restart"/>
            <w:tcBorders>
              <w:top w:val="single" w:color="auto" w:sz="4" w:space="0"/>
              <w:left w:val="single" w:color="auto" w:sz="4" w:space="0"/>
              <w:bottom w:val="single" w:color="000000" w:sz="4" w:space="0"/>
              <w:right w:val="single" w:color="auto" w:sz="4" w:space="0"/>
            </w:tcBorders>
            <w:noWrap w:val="0"/>
            <w:vAlign w:val="center"/>
          </w:tcPr>
          <w:p w14:paraId="51EEDE87">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35" w:type="pct"/>
            <w:vMerge w:val="restart"/>
            <w:tcBorders>
              <w:top w:val="single" w:color="auto" w:sz="4" w:space="0"/>
              <w:left w:val="single" w:color="auto" w:sz="4" w:space="0"/>
              <w:bottom w:val="single" w:color="000000" w:sz="4" w:space="0"/>
              <w:right w:val="single" w:color="auto" w:sz="4" w:space="0"/>
            </w:tcBorders>
            <w:noWrap w:val="0"/>
            <w:vAlign w:val="center"/>
          </w:tcPr>
          <w:p w14:paraId="3837E7D6">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5BF57676">
        <w:tblPrEx>
          <w:tblCellMar>
            <w:top w:w="0" w:type="dxa"/>
            <w:left w:w="108" w:type="dxa"/>
            <w:bottom w:w="0" w:type="dxa"/>
            <w:right w:w="108" w:type="dxa"/>
          </w:tblCellMar>
        </w:tblPrEx>
        <w:trPr>
          <w:trHeight w:val="1248" w:hRule="atLeast"/>
          <w:jc w:val="center"/>
        </w:trPr>
        <w:tc>
          <w:tcPr>
            <w:tcW w:w="333" w:type="pct"/>
            <w:tcBorders>
              <w:top w:val="nil"/>
              <w:left w:val="single" w:color="auto" w:sz="4" w:space="0"/>
              <w:bottom w:val="single" w:color="auto" w:sz="4" w:space="0"/>
              <w:right w:val="nil"/>
            </w:tcBorders>
            <w:noWrap w:val="0"/>
            <w:vAlign w:val="center"/>
          </w:tcPr>
          <w:p w14:paraId="08968676">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38" w:type="pct"/>
            <w:tcBorders>
              <w:top w:val="nil"/>
              <w:left w:val="single" w:color="auto" w:sz="4" w:space="0"/>
              <w:bottom w:val="single" w:color="auto" w:sz="4" w:space="0"/>
              <w:right w:val="single" w:color="auto" w:sz="4" w:space="0"/>
            </w:tcBorders>
            <w:noWrap w:val="0"/>
            <w:vAlign w:val="center"/>
          </w:tcPr>
          <w:p w14:paraId="7EE46716">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81" w:type="pct"/>
            <w:tcBorders>
              <w:top w:val="nil"/>
              <w:left w:val="nil"/>
              <w:bottom w:val="single" w:color="auto" w:sz="4" w:space="0"/>
              <w:right w:val="single" w:color="auto" w:sz="4" w:space="0"/>
            </w:tcBorders>
            <w:noWrap w:val="0"/>
            <w:vAlign w:val="center"/>
          </w:tcPr>
          <w:p w14:paraId="7BD89EB3">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18" w:type="pct"/>
            <w:tcBorders>
              <w:top w:val="nil"/>
              <w:left w:val="nil"/>
              <w:bottom w:val="single" w:color="auto" w:sz="4" w:space="0"/>
              <w:right w:val="single" w:color="auto" w:sz="4" w:space="0"/>
            </w:tcBorders>
            <w:noWrap w:val="0"/>
            <w:vAlign w:val="center"/>
          </w:tcPr>
          <w:p w14:paraId="44B82A01">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811" w:type="pct"/>
            <w:vMerge w:val="continue"/>
            <w:tcBorders>
              <w:top w:val="single" w:color="auto" w:sz="4" w:space="0"/>
              <w:left w:val="single" w:color="auto" w:sz="4" w:space="0"/>
              <w:bottom w:val="single" w:color="auto" w:sz="4" w:space="0"/>
              <w:right w:val="single" w:color="auto" w:sz="4" w:space="0"/>
            </w:tcBorders>
            <w:noWrap w:val="0"/>
            <w:vAlign w:val="center"/>
          </w:tcPr>
          <w:p w14:paraId="2A431EF8">
            <w:pPr>
              <w:widowControl/>
              <w:jc w:val="left"/>
              <w:rPr>
                <w:rFonts w:ascii="黑体" w:hAnsi="黑体" w:eastAsia="黑体" w:cs="宋体"/>
                <w:kern w:val="0"/>
                <w:sz w:val="24"/>
              </w:rPr>
            </w:pPr>
          </w:p>
        </w:tc>
        <w:tc>
          <w:tcPr>
            <w:tcW w:w="1817" w:type="pct"/>
            <w:vMerge w:val="continue"/>
            <w:tcBorders>
              <w:top w:val="single" w:color="auto" w:sz="4" w:space="0"/>
              <w:left w:val="single" w:color="auto" w:sz="4" w:space="0"/>
              <w:bottom w:val="single" w:color="auto" w:sz="4" w:space="0"/>
              <w:right w:val="single" w:color="auto" w:sz="4" w:space="0"/>
            </w:tcBorders>
            <w:noWrap w:val="0"/>
            <w:vAlign w:val="center"/>
          </w:tcPr>
          <w:p w14:paraId="3E45D81A">
            <w:pPr>
              <w:widowControl/>
              <w:jc w:val="left"/>
              <w:rPr>
                <w:rFonts w:ascii="黑体" w:hAnsi="黑体" w:eastAsia="黑体" w:cs="宋体"/>
                <w:kern w:val="0"/>
                <w:sz w:val="24"/>
              </w:rPr>
            </w:pPr>
          </w:p>
        </w:tc>
        <w:tc>
          <w:tcPr>
            <w:tcW w:w="365" w:type="pct"/>
            <w:vMerge w:val="continue"/>
            <w:tcBorders>
              <w:top w:val="single" w:color="auto" w:sz="4" w:space="0"/>
              <w:left w:val="single" w:color="auto" w:sz="4" w:space="0"/>
              <w:bottom w:val="single" w:color="000000" w:sz="4" w:space="0"/>
              <w:right w:val="single" w:color="auto" w:sz="4" w:space="0"/>
            </w:tcBorders>
            <w:noWrap w:val="0"/>
            <w:vAlign w:val="center"/>
          </w:tcPr>
          <w:p w14:paraId="649F7893">
            <w:pPr>
              <w:widowControl/>
              <w:jc w:val="left"/>
              <w:rPr>
                <w:rFonts w:ascii="黑体" w:hAnsi="黑体" w:eastAsia="黑体" w:cs="宋体"/>
                <w:kern w:val="0"/>
                <w:sz w:val="24"/>
              </w:rPr>
            </w:pPr>
          </w:p>
        </w:tc>
        <w:tc>
          <w:tcPr>
            <w:tcW w:w="335" w:type="pct"/>
            <w:vMerge w:val="continue"/>
            <w:tcBorders>
              <w:top w:val="single" w:color="auto" w:sz="4" w:space="0"/>
              <w:left w:val="single" w:color="auto" w:sz="4" w:space="0"/>
              <w:bottom w:val="single" w:color="000000" w:sz="4" w:space="0"/>
              <w:right w:val="single" w:color="auto" w:sz="4" w:space="0"/>
            </w:tcBorders>
            <w:noWrap w:val="0"/>
            <w:vAlign w:val="center"/>
          </w:tcPr>
          <w:p w14:paraId="16E0F4C8">
            <w:pPr>
              <w:widowControl/>
              <w:jc w:val="left"/>
              <w:rPr>
                <w:rFonts w:ascii="黑体" w:hAnsi="黑体" w:eastAsia="黑体" w:cs="宋体"/>
                <w:kern w:val="0"/>
                <w:sz w:val="24"/>
              </w:rPr>
            </w:pPr>
          </w:p>
        </w:tc>
      </w:tr>
      <w:tr w14:paraId="7DAA9AA0">
        <w:tblPrEx>
          <w:tblCellMar>
            <w:top w:w="0" w:type="dxa"/>
            <w:left w:w="108" w:type="dxa"/>
            <w:bottom w:w="0" w:type="dxa"/>
            <w:right w:w="108" w:type="dxa"/>
          </w:tblCellMar>
        </w:tblPrEx>
        <w:trPr>
          <w:trHeight w:val="468" w:hRule="atLeast"/>
          <w:jc w:val="center"/>
        </w:trPr>
        <w:tc>
          <w:tcPr>
            <w:tcW w:w="333" w:type="pct"/>
            <w:vMerge w:val="restart"/>
            <w:tcBorders>
              <w:top w:val="nil"/>
              <w:left w:val="single" w:color="auto" w:sz="4" w:space="0"/>
              <w:bottom w:val="single" w:color="000000" w:sz="4" w:space="0"/>
              <w:right w:val="single" w:color="auto" w:sz="4" w:space="0"/>
            </w:tcBorders>
            <w:noWrap w:val="0"/>
            <w:vAlign w:val="center"/>
          </w:tcPr>
          <w:p w14:paraId="6F716C0E">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vMerge w:val="restart"/>
            <w:tcBorders>
              <w:top w:val="nil"/>
              <w:left w:val="single" w:color="auto" w:sz="4" w:space="0"/>
              <w:bottom w:val="nil"/>
              <w:right w:val="single" w:color="auto" w:sz="4" w:space="0"/>
            </w:tcBorders>
            <w:noWrap w:val="0"/>
            <w:vAlign w:val="center"/>
          </w:tcPr>
          <w:p w14:paraId="58600028">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81" w:type="pct"/>
            <w:tcBorders>
              <w:top w:val="nil"/>
              <w:left w:val="nil"/>
              <w:bottom w:val="single" w:color="auto" w:sz="4" w:space="0"/>
              <w:right w:val="single" w:color="auto" w:sz="4" w:space="0"/>
            </w:tcBorders>
            <w:noWrap w:val="0"/>
            <w:vAlign w:val="center"/>
          </w:tcPr>
          <w:p w14:paraId="01CAD4AD">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18" w:type="pct"/>
            <w:vMerge w:val="restart"/>
            <w:tcBorders>
              <w:top w:val="nil"/>
              <w:left w:val="single" w:color="auto" w:sz="4" w:space="0"/>
              <w:bottom w:val="nil"/>
              <w:right w:val="single" w:color="auto" w:sz="4" w:space="0"/>
            </w:tcBorders>
            <w:noWrap w:val="0"/>
            <w:vAlign w:val="center"/>
          </w:tcPr>
          <w:p w14:paraId="5587CE2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11" w:type="pct"/>
            <w:vMerge w:val="restart"/>
            <w:tcBorders>
              <w:top w:val="nil"/>
              <w:left w:val="single" w:color="auto" w:sz="4" w:space="0"/>
              <w:bottom w:val="nil"/>
              <w:right w:val="single" w:color="auto" w:sz="4" w:space="0"/>
            </w:tcBorders>
            <w:noWrap w:val="0"/>
            <w:vAlign w:val="center"/>
          </w:tcPr>
          <w:p w14:paraId="1B3497F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817" w:type="pct"/>
            <w:vMerge w:val="restart"/>
            <w:tcBorders>
              <w:top w:val="nil"/>
              <w:left w:val="single" w:color="auto" w:sz="4" w:space="0"/>
              <w:bottom w:val="nil"/>
              <w:right w:val="single" w:color="auto" w:sz="4" w:space="0"/>
            </w:tcBorders>
            <w:noWrap w:val="0"/>
            <w:vAlign w:val="center"/>
          </w:tcPr>
          <w:p w14:paraId="673D2C1F">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65" w:type="pct"/>
            <w:vMerge w:val="restart"/>
            <w:tcBorders>
              <w:top w:val="nil"/>
              <w:left w:val="single" w:color="auto" w:sz="4" w:space="0"/>
              <w:bottom w:val="nil"/>
              <w:right w:val="single" w:color="auto" w:sz="4" w:space="0"/>
            </w:tcBorders>
            <w:noWrap w:val="0"/>
            <w:vAlign w:val="center"/>
          </w:tcPr>
          <w:p w14:paraId="63F481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35" w:type="pct"/>
            <w:vMerge w:val="restart"/>
            <w:tcBorders>
              <w:top w:val="nil"/>
              <w:left w:val="single" w:color="auto" w:sz="4" w:space="0"/>
              <w:bottom w:val="nil"/>
              <w:right w:val="single" w:color="auto" w:sz="4" w:space="0"/>
            </w:tcBorders>
            <w:noWrap w:val="0"/>
            <w:vAlign w:val="center"/>
          </w:tcPr>
          <w:p w14:paraId="4B557601">
            <w:pPr>
              <w:widowControl/>
              <w:jc w:val="center"/>
              <w:rPr>
                <w:rFonts w:hint="eastAsia" w:ascii="宋体" w:hAnsi="宋体" w:cs="宋体"/>
                <w:kern w:val="0"/>
                <w:sz w:val="24"/>
              </w:rPr>
            </w:pPr>
            <w:r>
              <w:rPr>
                <w:rFonts w:hint="eastAsia" w:ascii="宋体" w:hAnsi="宋体" w:cs="宋体"/>
                <w:kern w:val="0"/>
                <w:sz w:val="24"/>
              </w:rPr>
              <w:t>　</w:t>
            </w:r>
          </w:p>
        </w:tc>
      </w:tr>
      <w:tr w14:paraId="40AE8E21">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0D54E4CB">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612583F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22414A43">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18" w:type="pct"/>
            <w:vMerge w:val="continue"/>
            <w:tcBorders>
              <w:top w:val="nil"/>
              <w:left w:val="single" w:color="auto" w:sz="4" w:space="0"/>
              <w:bottom w:val="nil"/>
              <w:right w:val="single" w:color="auto" w:sz="4" w:space="0"/>
            </w:tcBorders>
            <w:noWrap w:val="0"/>
            <w:vAlign w:val="center"/>
          </w:tcPr>
          <w:p w14:paraId="6D2AF07F">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noWrap w:val="0"/>
            <w:vAlign w:val="center"/>
          </w:tcPr>
          <w:p w14:paraId="4D3B57CE">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noWrap w:val="0"/>
            <w:vAlign w:val="center"/>
          </w:tcPr>
          <w:p w14:paraId="20AC1960">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noWrap w:val="0"/>
            <w:vAlign w:val="center"/>
          </w:tcPr>
          <w:p w14:paraId="310DDD51">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noWrap w:val="0"/>
            <w:vAlign w:val="center"/>
          </w:tcPr>
          <w:p w14:paraId="3EA86D5C">
            <w:pPr>
              <w:widowControl/>
              <w:jc w:val="left"/>
              <w:rPr>
                <w:rFonts w:ascii="宋体" w:hAnsi="宋体" w:cs="宋体"/>
                <w:kern w:val="0"/>
                <w:sz w:val="24"/>
              </w:rPr>
            </w:pPr>
          </w:p>
        </w:tc>
      </w:tr>
      <w:tr w14:paraId="346FD2C6">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54CF2847">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21CB0880">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17C5C3B9">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18" w:type="pct"/>
            <w:vMerge w:val="continue"/>
            <w:tcBorders>
              <w:top w:val="nil"/>
              <w:left w:val="single" w:color="auto" w:sz="4" w:space="0"/>
              <w:bottom w:val="nil"/>
              <w:right w:val="single" w:color="auto" w:sz="4" w:space="0"/>
            </w:tcBorders>
            <w:noWrap w:val="0"/>
            <w:vAlign w:val="center"/>
          </w:tcPr>
          <w:p w14:paraId="05483949">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noWrap w:val="0"/>
            <w:vAlign w:val="center"/>
          </w:tcPr>
          <w:p w14:paraId="0DEB86E9">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noWrap w:val="0"/>
            <w:vAlign w:val="center"/>
          </w:tcPr>
          <w:p w14:paraId="48B01B12">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noWrap w:val="0"/>
            <w:vAlign w:val="center"/>
          </w:tcPr>
          <w:p w14:paraId="719FC8FA">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noWrap w:val="0"/>
            <w:vAlign w:val="center"/>
          </w:tcPr>
          <w:p w14:paraId="153439A7">
            <w:pPr>
              <w:widowControl/>
              <w:jc w:val="left"/>
              <w:rPr>
                <w:rFonts w:ascii="宋体" w:hAnsi="宋体" w:cs="宋体"/>
                <w:kern w:val="0"/>
                <w:sz w:val="24"/>
              </w:rPr>
            </w:pPr>
          </w:p>
        </w:tc>
      </w:tr>
      <w:tr w14:paraId="0D7F7289">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080D73BE">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1E4089E4">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46AD158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18" w:type="pct"/>
            <w:vMerge w:val="continue"/>
            <w:tcBorders>
              <w:top w:val="nil"/>
              <w:left w:val="single" w:color="auto" w:sz="4" w:space="0"/>
              <w:bottom w:val="nil"/>
              <w:right w:val="single" w:color="auto" w:sz="4" w:space="0"/>
            </w:tcBorders>
            <w:noWrap w:val="0"/>
            <w:vAlign w:val="center"/>
          </w:tcPr>
          <w:p w14:paraId="37BB8ECE">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noWrap w:val="0"/>
            <w:vAlign w:val="center"/>
          </w:tcPr>
          <w:p w14:paraId="41DC958E">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noWrap w:val="0"/>
            <w:vAlign w:val="center"/>
          </w:tcPr>
          <w:p w14:paraId="1E35EBD7">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noWrap w:val="0"/>
            <w:vAlign w:val="center"/>
          </w:tcPr>
          <w:p w14:paraId="0ECC6541">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noWrap w:val="0"/>
            <w:vAlign w:val="center"/>
          </w:tcPr>
          <w:p w14:paraId="653EDD5F">
            <w:pPr>
              <w:widowControl/>
              <w:jc w:val="left"/>
              <w:rPr>
                <w:rFonts w:ascii="宋体" w:hAnsi="宋体" w:cs="宋体"/>
                <w:kern w:val="0"/>
                <w:sz w:val="24"/>
              </w:rPr>
            </w:pPr>
          </w:p>
        </w:tc>
      </w:tr>
      <w:tr w14:paraId="15BB9514">
        <w:tblPrEx>
          <w:tblCellMar>
            <w:top w:w="0" w:type="dxa"/>
            <w:left w:w="108" w:type="dxa"/>
            <w:bottom w:w="0" w:type="dxa"/>
            <w:right w:w="108" w:type="dxa"/>
          </w:tblCellMar>
        </w:tblPrEx>
        <w:trPr>
          <w:trHeight w:val="468"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408D434D">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5F584246">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0D3E72E8">
            <w:pPr>
              <w:widowControl/>
              <w:jc w:val="left"/>
              <w:rPr>
                <w:rFonts w:hint="eastAsia" w:ascii="宋体" w:hAnsi="宋体" w:cs="宋体"/>
                <w:color w:val="000000"/>
                <w:kern w:val="0"/>
                <w:sz w:val="18"/>
                <w:szCs w:val="18"/>
              </w:rPr>
            </w:pPr>
          </w:p>
        </w:tc>
        <w:tc>
          <w:tcPr>
            <w:tcW w:w="218" w:type="pct"/>
            <w:vMerge w:val="continue"/>
            <w:tcBorders>
              <w:top w:val="nil"/>
              <w:left w:val="single" w:color="auto" w:sz="4" w:space="0"/>
              <w:bottom w:val="nil"/>
              <w:right w:val="single" w:color="auto" w:sz="4" w:space="0"/>
            </w:tcBorders>
            <w:noWrap w:val="0"/>
            <w:vAlign w:val="center"/>
          </w:tcPr>
          <w:p w14:paraId="1C9F256A">
            <w:pPr>
              <w:widowControl/>
              <w:jc w:val="left"/>
              <w:rPr>
                <w:rFonts w:ascii="宋体" w:hAnsi="宋体" w:cs="宋体"/>
                <w:kern w:val="0"/>
                <w:sz w:val="24"/>
              </w:rPr>
            </w:pPr>
          </w:p>
        </w:tc>
        <w:tc>
          <w:tcPr>
            <w:tcW w:w="811" w:type="pct"/>
            <w:vMerge w:val="continue"/>
            <w:tcBorders>
              <w:top w:val="nil"/>
              <w:left w:val="single" w:color="auto" w:sz="4" w:space="0"/>
              <w:bottom w:val="nil"/>
              <w:right w:val="single" w:color="auto" w:sz="4" w:space="0"/>
            </w:tcBorders>
            <w:noWrap w:val="0"/>
            <w:vAlign w:val="center"/>
          </w:tcPr>
          <w:p w14:paraId="3ACAE9F8">
            <w:pPr>
              <w:widowControl/>
              <w:jc w:val="left"/>
              <w:rPr>
                <w:rFonts w:ascii="宋体" w:hAnsi="宋体" w:cs="宋体"/>
                <w:kern w:val="0"/>
                <w:sz w:val="24"/>
              </w:rPr>
            </w:pPr>
          </w:p>
        </w:tc>
        <w:tc>
          <w:tcPr>
            <w:tcW w:w="1817" w:type="pct"/>
            <w:vMerge w:val="continue"/>
            <w:tcBorders>
              <w:top w:val="nil"/>
              <w:left w:val="single" w:color="auto" w:sz="4" w:space="0"/>
              <w:bottom w:val="nil"/>
              <w:right w:val="single" w:color="auto" w:sz="4" w:space="0"/>
            </w:tcBorders>
            <w:noWrap w:val="0"/>
            <w:vAlign w:val="center"/>
          </w:tcPr>
          <w:p w14:paraId="6FE94CC3">
            <w:pPr>
              <w:widowControl/>
              <w:jc w:val="left"/>
              <w:rPr>
                <w:rFonts w:ascii="宋体" w:hAnsi="宋体" w:cs="宋体"/>
                <w:kern w:val="0"/>
                <w:sz w:val="24"/>
              </w:rPr>
            </w:pPr>
          </w:p>
        </w:tc>
        <w:tc>
          <w:tcPr>
            <w:tcW w:w="365" w:type="pct"/>
            <w:vMerge w:val="continue"/>
            <w:tcBorders>
              <w:top w:val="nil"/>
              <w:left w:val="single" w:color="auto" w:sz="4" w:space="0"/>
              <w:bottom w:val="nil"/>
              <w:right w:val="single" w:color="auto" w:sz="4" w:space="0"/>
            </w:tcBorders>
            <w:noWrap w:val="0"/>
            <w:vAlign w:val="center"/>
          </w:tcPr>
          <w:p w14:paraId="4AF01BC2">
            <w:pPr>
              <w:widowControl/>
              <w:jc w:val="left"/>
              <w:rPr>
                <w:rFonts w:hint="eastAsia" w:ascii="宋体" w:hAnsi="宋体" w:cs="宋体"/>
                <w:color w:val="000000"/>
                <w:kern w:val="0"/>
                <w:sz w:val="18"/>
                <w:szCs w:val="18"/>
              </w:rPr>
            </w:pPr>
          </w:p>
        </w:tc>
        <w:tc>
          <w:tcPr>
            <w:tcW w:w="335" w:type="pct"/>
            <w:vMerge w:val="continue"/>
            <w:tcBorders>
              <w:top w:val="nil"/>
              <w:left w:val="single" w:color="auto" w:sz="4" w:space="0"/>
              <w:bottom w:val="nil"/>
              <w:right w:val="single" w:color="auto" w:sz="4" w:space="0"/>
            </w:tcBorders>
            <w:noWrap w:val="0"/>
            <w:vAlign w:val="center"/>
          </w:tcPr>
          <w:p w14:paraId="33A75853">
            <w:pPr>
              <w:widowControl/>
              <w:jc w:val="left"/>
              <w:rPr>
                <w:rFonts w:ascii="宋体" w:hAnsi="宋体" w:cs="宋体"/>
                <w:kern w:val="0"/>
                <w:sz w:val="24"/>
              </w:rPr>
            </w:pPr>
          </w:p>
        </w:tc>
      </w:tr>
      <w:tr w14:paraId="10C99EA1">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60B4D087">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auto" w:sz="4" w:space="0"/>
              <w:right w:val="single" w:color="auto" w:sz="4" w:space="0"/>
            </w:tcBorders>
            <w:noWrap w:val="0"/>
            <w:vAlign w:val="center"/>
          </w:tcPr>
          <w:p w14:paraId="5C76823F">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81" w:type="pct"/>
            <w:tcBorders>
              <w:top w:val="nil"/>
              <w:left w:val="nil"/>
              <w:bottom w:val="single" w:color="auto" w:sz="4" w:space="0"/>
              <w:right w:val="single" w:color="auto" w:sz="4" w:space="0"/>
            </w:tcBorders>
            <w:noWrap w:val="0"/>
            <w:vAlign w:val="center"/>
          </w:tcPr>
          <w:p w14:paraId="284BE4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18" w:type="pct"/>
            <w:tcBorders>
              <w:top w:val="single" w:color="auto" w:sz="4" w:space="0"/>
              <w:left w:val="nil"/>
              <w:bottom w:val="single" w:color="auto" w:sz="4" w:space="0"/>
              <w:right w:val="single" w:color="auto" w:sz="4" w:space="0"/>
            </w:tcBorders>
            <w:noWrap w:val="0"/>
            <w:vAlign w:val="center"/>
          </w:tcPr>
          <w:p w14:paraId="2E7F87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single" w:color="auto" w:sz="4" w:space="0"/>
              <w:left w:val="nil"/>
              <w:bottom w:val="single" w:color="auto" w:sz="4" w:space="0"/>
              <w:right w:val="single" w:color="auto" w:sz="4" w:space="0"/>
            </w:tcBorders>
            <w:noWrap w:val="0"/>
            <w:vAlign w:val="center"/>
          </w:tcPr>
          <w:p w14:paraId="0202EC8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817" w:type="pct"/>
            <w:tcBorders>
              <w:top w:val="single" w:color="auto" w:sz="4" w:space="0"/>
              <w:left w:val="nil"/>
              <w:bottom w:val="single" w:color="auto" w:sz="4" w:space="0"/>
              <w:right w:val="single" w:color="auto" w:sz="4" w:space="0"/>
            </w:tcBorders>
            <w:noWrap w:val="0"/>
            <w:vAlign w:val="center"/>
          </w:tcPr>
          <w:p w14:paraId="10B128FA">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65" w:type="pct"/>
            <w:tcBorders>
              <w:top w:val="single" w:color="auto" w:sz="4" w:space="0"/>
              <w:left w:val="nil"/>
              <w:bottom w:val="single" w:color="auto" w:sz="4" w:space="0"/>
              <w:right w:val="single" w:color="auto" w:sz="4" w:space="0"/>
            </w:tcBorders>
            <w:noWrap w:val="0"/>
            <w:vAlign w:val="center"/>
          </w:tcPr>
          <w:p w14:paraId="5F0E6F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35" w:type="pct"/>
            <w:vMerge w:val="restart"/>
            <w:tcBorders>
              <w:top w:val="single" w:color="auto" w:sz="4" w:space="0"/>
              <w:left w:val="single" w:color="auto" w:sz="4" w:space="0"/>
              <w:bottom w:val="single" w:color="auto" w:sz="4" w:space="0"/>
              <w:right w:val="single" w:color="auto" w:sz="4" w:space="0"/>
            </w:tcBorders>
            <w:noWrap w:val="0"/>
            <w:vAlign w:val="center"/>
          </w:tcPr>
          <w:p w14:paraId="26A4C91A">
            <w:pPr>
              <w:widowControl/>
              <w:jc w:val="center"/>
              <w:rPr>
                <w:rFonts w:hint="eastAsia" w:ascii="宋体" w:hAnsi="宋体" w:cs="宋体"/>
                <w:kern w:val="0"/>
                <w:sz w:val="24"/>
              </w:rPr>
            </w:pPr>
            <w:r>
              <w:rPr>
                <w:rFonts w:hint="eastAsia" w:ascii="宋体" w:hAnsi="宋体" w:cs="宋体"/>
                <w:kern w:val="0"/>
                <w:sz w:val="24"/>
              </w:rPr>
              <w:t>　</w:t>
            </w:r>
          </w:p>
        </w:tc>
      </w:tr>
      <w:tr w14:paraId="5F867C2F">
        <w:tblPrEx>
          <w:tblCellMar>
            <w:top w:w="0" w:type="dxa"/>
            <w:left w:w="108" w:type="dxa"/>
            <w:bottom w:w="0" w:type="dxa"/>
            <w:right w:w="108" w:type="dxa"/>
          </w:tblCellMar>
        </w:tblPrEx>
        <w:trPr>
          <w:trHeight w:val="1680"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75DB5685">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6209A932">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5333B84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18" w:type="pct"/>
            <w:tcBorders>
              <w:top w:val="nil"/>
              <w:left w:val="nil"/>
              <w:bottom w:val="single" w:color="auto" w:sz="4" w:space="0"/>
              <w:right w:val="single" w:color="auto" w:sz="4" w:space="0"/>
            </w:tcBorders>
            <w:noWrap w:val="0"/>
            <w:vAlign w:val="center"/>
          </w:tcPr>
          <w:p w14:paraId="0A39201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811" w:type="pct"/>
            <w:tcBorders>
              <w:top w:val="nil"/>
              <w:left w:val="nil"/>
              <w:bottom w:val="single" w:color="auto" w:sz="4" w:space="0"/>
              <w:right w:val="single" w:color="auto" w:sz="4" w:space="0"/>
            </w:tcBorders>
            <w:noWrap w:val="0"/>
            <w:vAlign w:val="center"/>
          </w:tcPr>
          <w:p w14:paraId="3607AB69">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817" w:type="pct"/>
            <w:tcBorders>
              <w:top w:val="nil"/>
              <w:left w:val="nil"/>
              <w:bottom w:val="single" w:color="auto" w:sz="4" w:space="0"/>
              <w:right w:val="single" w:color="auto" w:sz="4" w:space="0"/>
            </w:tcBorders>
            <w:noWrap w:val="0"/>
            <w:vAlign w:val="center"/>
          </w:tcPr>
          <w:p w14:paraId="36D23E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noWrap w:val="0"/>
            <w:vAlign w:val="center"/>
          </w:tcPr>
          <w:p w14:paraId="31E9B7A8">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8.85</w:t>
            </w:r>
          </w:p>
        </w:tc>
        <w:tc>
          <w:tcPr>
            <w:tcW w:w="335" w:type="pct"/>
            <w:vMerge w:val="continue"/>
            <w:tcBorders>
              <w:top w:val="single" w:color="auto" w:sz="4" w:space="0"/>
              <w:left w:val="single" w:color="auto" w:sz="4" w:space="0"/>
              <w:bottom w:val="single" w:color="auto" w:sz="4" w:space="0"/>
              <w:right w:val="single" w:color="auto" w:sz="4" w:space="0"/>
            </w:tcBorders>
            <w:noWrap w:val="0"/>
            <w:vAlign w:val="center"/>
          </w:tcPr>
          <w:p w14:paraId="1888E8D9">
            <w:pPr>
              <w:widowControl/>
              <w:jc w:val="left"/>
              <w:rPr>
                <w:rFonts w:ascii="宋体" w:hAnsi="宋体" w:cs="宋体"/>
                <w:kern w:val="0"/>
                <w:sz w:val="24"/>
              </w:rPr>
            </w:pPr>
          </w:p>
        </w:tc>
      </w:tr>
      <w:tr w14:paraId="6E4F2939">
        <w:tblPrEx>
          <w:tblCellMar>
            <w:top w:w="0" w:type="dxa"/>
            <w:left w:w="108" w:type="dxa"/>
            <w:bottom w:w="0" w:type="dxa"/>
            <w:right w:w="108" w:type="dxa"/>
          </w:tblCellMar>
        </w:tblPrEx>
        <w:trPr>
          <w:trHeight w:val="1119"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7F774F7E">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1BEF78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2E74AF6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18" w:type="pct"/>
            <w:tcBorders>
              <w:top w:val="nil"/>
              <w:left w:val="nil"/>
              <w:bottom w:val="single" w:color="auto" w:sz="4" w:space="0"/>
              <w:right w:val="single" w:color="auto" w:sz="4" w:space="0"/>
            </w:tcBorders>
            <w:noWrap w:val="0"/>
            <w:vAlign w:val="center"/>
          </w:tcPr>
          <w:p w14:paraId="50D8C6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811" w:type="pct"/>
            <w:tcBorders>
              <w:top w:val="nil"/>
              <w:left w:val="nil"/>
              <w:bottom w:val="single" w:color="auto" w:sz="4" w:space="0"/>
              <w:right w:val="single" w:color="auto" w:sz="4" w:space="0"/>
            </w:tcBorders>
            <w:noWrap w:val="0"/>
            <w:vAlign w:val="center"/>
          </w:tcPr>
          <w:p w14:paraId="4583610F">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817" w:type="pct"/>
            <w:tcBorders>
              <w:top w:val="nil"/>
              <w:left w:val="nil"/>
              <w:bottom w:val="single" w:color="auto" w:sz="4" w:space="0"/>
              <w:right w:val="single" w:color="auto" w:sz="4" w:space="0"/>
            </w:tcBorders>
            <w:noWrap w:val="0"/>
            <w:vAlign w:val="center"/>
          </w:tcPr>
          <w:p w14:paraId="07901536">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65" w:type="pct"/>
            <w:tcBorders>
              <w:top w:val="nil"/>
              <w:left w:val="nil"/>
              <w:bottom w:val="single" w:color="auto" w:sz="4" w:space="0"/>
              <w:right w:val="single" w:color="auto" w:sz="4" w:space="0"/>
            </w:tcBorders>
            <w:noWrap w:val="0"/>
            <w:vAlign w:val="center"/>
          </w:tcPr>
          <w:p w14:paraId="65D052B4">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35" w:type="pct"/>
            <w:vMerge w:val="continue"/>
            <w:tcBorders>
              <w:top w:val="single" w:color="auto" w:sz="4" w:space="0"/>
              <w:left w:val="single" w:color="auto" w:sz="4" w:space="0"/>
              <w:bottom w:val="single" w:color="auto" w:sz="4" w:space="0"/>
              <w:right w:val="single" w:color="auto" w:sz="4" w:space="0"/>
            </w:tcBorders>
            <w:noWrap w:val="0"/>
            <w:vAlign w:val="center"/>
          </w:tcPr>
          <w:p w14:paraId="4EFA1A36">
            <w:pPr>
              <w:widowControl/>
              <w:jc w:val="left"/>
              <w:rPr>
                <w:rFonts w:ascii="宋体" w:hAnsi="宋体" w:cs="宋体"/>
                <w:kern w:val="0"/>
                <w:sz w:val="24"/>
              </w:rPr>
            </w:pPr>
          </w:p>
        </w:tc>
      </w:tr>
      <w:tr w14:paraId="4A8AEA0C">
        <w:tblPrEx>
          <w:tblCellMar>
            <w:top w:w="0" w:type="dxa"/>
            <w:left w:w="108" w:type="dxa"/>
            <w:bottom w:w="0" w:type="dxa"/>
            <w:right w:w="108" w:type="dxa"/>
          </w:tblCellMar>
        </w:tblPrEx>
        <w:trPr>
          <w:trHeight w:val="1266"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1BA46239">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23C056F4">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632D4A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18" w:type="pct"/>
            <w:tcBorders>
              <w:top w:val="nil"/>
              <w:left w:val="nil"/>
              <w:bottom w:val="single" w:color="auto" w:sz="4" w:space="0"/>
              <w:right w:val="single" w:color="auto" w:sz="4" w:space="0"/>
            </w:tcBorders>
            <w:noWrap w:val="0"/>
            <w:vAlign w:val="center"/>
          </w:tcPr>
          <w:p w14:paraId="57C409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noWrap w:val="0"/>
            <w:vAlign w:val="center"/>
          </w:tcPr>
          <w:p w14:paraId="215147BC">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817" w:type="pct"/>
            <w:tcBorders>
              <w:top w:val="nil"/>
              <w:left w:val="nil"/>
              <w:bottom w:val="single" w:color="auto" w:sz="4" w:space="0"/>
              <w:right w:val="single" w:color="auto" w:sz="4" w:space="0"/>
            </w:tcBorders>
            <w:noWrap w:val="0"/>
            <w:vAlign w:val="center"/>
          </w:tcPr>
          <w:p w14:paraId="15C0E9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noWrap w:val="0"/>
            <w:vAlign w:val="center"/>
          </w:tcPr>
          <w:p w14:paraId="18EEDE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vMerge w:val="continue"/>
            <w:tcBorders>
              <w:top w:val="single" w:color="auto" w:sz="4" w:space="0"/>
              <w:left w:val="single" w:color="auto" w:sz="4" w:space="0"/>
              <w:bottom w:val="single" w:color="auto" w:sz="4" w:space="0"/>
              <w:right w:val="single" w:color="auto" w:sz="4" w:space="0"/>
            </w:tcBorders>
            <w:noWrap w:val="0"/>
            <w:vAlign w:val="center"/>
          </w:tcPr>
          <w:p w14:paraId="18FB7092">
            <w:pPr>
              <w:widowControl/>
              <w:jc w:val="left"/>
              <w:rPr>
                <w:rFonts w:ascii="宋体" w:hAnsi="宋体" w:cs="宋体"/>
                <w:kern w:val="0"/>
                <w:sz w:val="24"/>
              </w:rPr>
            </w:pPr>
          </w:p>
        </w:tc>
      </w:tr>
      <w:tr w14:paraId="4D8139BD">
        <w:tblPrEx>
          <w:tblCellMar>
            <w:top w:w="0" w:type="dxa"/>
            <w:left w:w="108" w:type="dxa"/>
            <w:bottom w:w="0" w:type="dxa"/>
            <w:right w:w="108" w:type="dxa"/>
          </w:tblCellMar>
        </w:tblPrEx>
        <w:trPr>
          <w:trHeight w:val="2304"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36C5007D">
            <w:pPr>
              <w:widowControl/>
              <w:jc w:val="left"/>
              <w:rPr>
                <w:rFonts w:ascii="宋体" w:hAnsi="宋体" w:cs="宋体"/>
                <w:b/>
                <w:bCs/>
                <w:kern w:val="0"/>
                <w:sz w:val="24"/>
              </w:rPr>
            </w:pPr>
          </w:p>
        </w:tc>
        <w:tc>
          <w:tcPr>
            <w:tcW w:w="438" w:type="pct"/>
            <w:vMerge w:val="restart"/>
            <w:tcBorders>
              <w:top w:val="nil"/>
              <w:left w:val="single" w:color="auto" w:sz="4" w:space="0"/>
              <w:bottom w:val="single" w:color="000000" w:sz="4" w:space="0"/>
              <w:right w:val="single" w:color="auto" w:sz="4" w:space="0"/>
            </w:tcBorders>
            <w:noWrap w:val="0"/>
            <w:vAlign w:val="center"/>
          </w:tcPr>
          <w:p w14:paraId="1FDD4A2B">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14:paraId="417F34F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18" w:type="pct"/>
            <w:tcBorders>
              <w:top w:val="single" w:color="000000" w:sz="4" w:space="0"/>
              <w:left w:val="nil"/>
              <w:bottom w:val="single" w:color="000000" w:sz="4" w:space="0"/>
              <w:right w:val="single" w:color="000000" w:sz="4" w:space="0"/>
            </w:tcBorders>
            <w:noWrap w:val="0"/>
            <w:vAlign w:val="center"/>
          </w:tcPr>
          <w:p w14:paraId="0B1C04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000000" w:sz="4" w:space="0"/>
              <w:left w:val="nil"/>
              <w:bottom w:val="single" w:color="000000" w:sz="4" w:space="0"/>
              <w:right w:val="single" w:color="000000" w:sz="4" w:space="0"/>
            </w:tcBorders>
            <w:noWrap w:val="0"/>
            <w:vAlign w:val="center"/>
          </w:tcPr>
          <w:p w14:paraId="0116DA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817" w:type="pct"/>
            <w:tcBorders>
              <w:top w:val="single" w:color="000000" w:sz="4" w:space="0"/>
              <w:left w:val="nil"/>
              <w:bottom w:val="single" w:color="000000" w:sz="4" w:space="0"/>
              <w:right w:val="single" w:color="000000" w:sz="4" w:space="0"/>
            </w:tcBorders>
            <w:noWrap w:val="0"/>
            <w:vAlign w:val="center"/>
          </w:tcPr>
          <w:p w14:paraId="151DD6FD">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65" w:type="pct"/>
            <w:tcBorders>
              <w:top w:val="nil"/>
              <w:left w:val="single" w:color="auto" w:sz="4" w:space="0"/>
              <w:bottom w:val="single" w:color="auto" w:sz="4" w:space="0"/>
              <w:right w:val="single" w:color="auto" w:sz="4" w:space="0"/>
            </w:tcBorders>
            <w:noWrap w:val="0"/>
            <w:vAlign w:val="center"/>
          </w:tcPr>
          <w:p w14:paraId="7E5590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noWrap w:val="0"/>
            <w:vAlign w:val="center"/>
          </w:tcPr>
          <w:p w14:paraId="19820783">
            <w:pPr>
              <w:widowControl/>
              <w:jc w:val="center"/>
              <w:rPr>
                <w:rFonts w:hint="eastAsia" w:ascii="宋体" w:hAnsi="宋体" w:cs="宋体"/>
                <w:kern w:val="0"/>
                <w:sz w:val="24"/>
              </w:rPr>
            </w:pPr>
            <w:r>
              <w:rPr>
                <w:rFonts w:hint="eastAsia" w:ascii="宋体" w:hAnsi="宋体" w:cs="宋体"/>
                <w:kern w:val="0"/>
                <w:sz w:val="24"/>
              </w:rPr>
              <w:t>　</w:t>
            </w:r>
          </w:p>
        </w:tc>
      </w:tr>
      <w:tr w14:paraId="178A5DCF">
        <w:tblPrEx>
          <w:tblCellMar>
            <w:top w:w="0" w:type="dxa"/>
            <w:left w:w="108" w:type="dxa"/>
            <w:bottom w:w="0" w:type="dxa"/>
            <w:right w:w="108" w:type="dxa"/>
          </w:tblCellMar>
        </w:tblPrEx>
        <w:trPr>
          <w:trHeight w:val="936"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225B43ED">
            <w:pPr>
              <w:widowControl/>
              <w:jc w:val="left"/>
              <w:rPr>
                <w:rFonts w:ascii="宋体" w:hAnsi="宋体" w:cs="宋体"/>
                <w:b/>
                <w:bCs/>
                <w:kern w:val="0"/>
                <w:sz w:val="24"/>
              </w:rPr>
            </w:pPr>
          </w:p>
        </w:tc>
        <w:tc>
          <w:tcPr>
            <w:tcW w:w="438" w:type="pct"/>
            <w:vMerge w:val="continue"/>
            <w:tcBorders>
              <w:top w:val="nil"/>
              <w:left w:val="single" w:color="auto" w:sz="4" w:space="0"/>
              <w:bottom w:val="single" w:color="000000" w:sz="4" w:space="0"/>
              <w:right w:val="single" w:color="auto" w:sz="4" w:space="0"/>
            </w:tcBorders>
            <w:noWrap w:val="0"/>
            <w:vAlign w:val="center"/>
          </w:tcPr>
          <w:p w14:paraId="55EF559B">
            <w:pPr>
              <w:widowControl/>
              <w:jc w:val="left"/>
              <w:rPr>
                <w:rFonts w:ascii="宋体" w:hAnsi="宋体" w:cs="宋体"/>
                <w:b/>
                <w:bCs/>
                <w:kern w:val="0"/>
                <w:sz w:val="24"/>
              </w:rPr>
            </w:pPr>
          </w:p>
        </w:tc>
        <w:tc>
          <w:tcPr>
            <w:tcW w:w="681" w:type="pct"/>
            <w:tcBorders>
              <w:top w:val="nil"/>
              <w:left w:val="single" w:color="000000" w:sz="4" w:space="0"/>
              <w:bottom w:val="single" w:color="000000" w:sz="4" w:space="0"/>
              <w:right w:val="single" w:color="000000" w:sz="4" w:space="0"/>
            </w:tcBorders>
            <w:noWrap w:val="0"/>
            <w:vAlign w:val="center"/>
          </w:tcPr>
          <w:p w14:paraId="6120F9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18" w:type="pct"/>
            <w:tcBorders>
              <w:top w:val="nil"/>
              <w:left w:val="nil"/>
              <w:bottom w:val="single" w:color="000000" w:sz="4" w:space="0"/>
              <w:right w:val="single" w:color="000000" w:sz="4" w:space="0"/>
            </w:tcBorders>
            <w:noWrap w:val="0"/>
            <w:vAlign w:val="center"/>
          </w:tcPr>
          <w:p w14:paraId="116ADD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000000" w:sz="4" w:space="0"/>
              <w:right w:val="single" w:color="000000" w:sz="4" w:space="0"/>
            </w:tcBorders>
            <w:noWrap w:val="0"/>
            <w:vAlign w:val="center"/>
          </w:tcPr>
          <w:p w14:paraId="56A428B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817" w:type="pct"/>
            <w:tcBorders>
              <w:top w:val="nil"/>
              <w:left w:val="nil"/>
              <w:bottom w:val="single" w:color="000000" w:sz="4" w:space="0"/>
              <w:right w:val="single" w:color="000000" w:sz="4" w:space="0"/>
            </w:tcBorders>
            <w:noWrap w:val="0"/>
            <w:vAlign w:val="center"/>
          </w:tcPr>
          <w:p w14:paraId="14BFE1B9">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65" w:type="pct"/>
            <w:tcBorders>
              <w:top w:val="nil"/>
              <w:left w:val="single" w:color="auto" w:sz="4" w:space="0"/>
              <w:bottom w:val="single" w:color="auto" w:sz="4" w:space="0"/>
              <w:right w:val="single" w:color="auto" w:sz="4" w:space="0"/>
            </w:tcBorders>
            <w:noWrap w:val="0"/>
            <w:vAlign w:val="center"/>
          </w:tcPr>
          <w:p w14:paraId="4D422C1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noWrap w:val="0"/>
            <w:vAlign w:val="center"/>
          </w:tcPr>
          <w:p w14:paraId="2EE7D99F">
            <w:pPr>
              <w:widowControl/>
              <w:jc w:val="left"/>
              <w:rPr>
                <w:rFonts w:ascii="宋体" w:hAnsi="宋体" w:cs="宋体"/>
                <w:kern w:val="0"/>
                <w:sz w:val="24"/>
              </w:rPr>
            </w:pPr>
          </w:p>
        </w:tc>
      </w:tr>
      <w:tr w14:paraId="0C6839FF">
        <w:tblPrEx>
          <w:tblCellMar>
            <w:top w:w="0" w:type="dxa"/>
            <w:left w:w="108" w:type="dxa"/>
            <w:bottom w:w="0" w:type="dxa"/>
            <w:right w:w="108" w:type="dxa"/>
          </w:tblCellMar>
        </w:tblPrEx>
        <w:trPr>
          <w:trHeight w:val="1281" w:hRule="atLeast"/>
          <w:jc w:val="center"/>
        </w:trPr>
        <w:tc>
          <w:tcPr>
            <w:tcW w:w="333" w:type="pct"/>
            <w:vMerge w:val="restart"/>
            <w:tcBorders>
              <w:top w:val="nil"/>
              <w:left w:val="single" w:color="auto" w:sz="4" w:space="0"/>
              <w:bottom w:val="single" w:color="000000" w:sz="4" w:space="0"/>
              <w:right w:val="single" w:color="auto" w:sz="4" w:space="0"/>
            </w:tcBorders>
            <w:noWrap w:val="0"/>
            <w:vAlign w:val="center"/>
          </w:tcPr>
          <w:p w14:paraId="5CC1ED63">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38" w:type="pct"/>
            <w:tcBorders>
              <w:top w:val="nil"/>
              <w:left w:val="nil"/>
              <w:bottom w:val="single" w:color="auto" w:sz="4" w:space="0"/>
              <w:right w:val="single" w:color="auto" w:sz="4" w:space="0"/>
            </w:tcBorders>
            <w:noWrap w:val="0"/>
            <w:vAlign w:val="center"/>
          </w:tcPr>
          <w:p w14:paraId="557A5045">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81" w:type="pct"/>
            <w:tcBorders>
              <w:top w:val="single" w:color="auto" w:sz="4" w:space="0"/>
              <w:left w:val="nil"/>
              <w:bottom w:val="single" w:color="auto" w:sz="4" w:space="0"/>
              <w:right w:val="single" w:color="auto" w:sz="4" w:space="0"/>
            </w:tcBorders>
            <w:noWrap w:val="0"/>
            <w:vAlign w:val="center"/>
          </w:tcPr>
          <w:p w14:paraId="4AA64E2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18" w:type="pct"/>
            <w:tcBorders>
              <w:top w:val="single" w:color="auto" w:sz="4" w:space="0"/>
              <w:left w:val="nil"/>
              <w:bottom w:val="single" w:color="auto" w:sz="4" w:space="0"/>
              <w:right w:val="single" w:color="auto" w:sz="4" w:space="0"/>
            </w:tcBorders>
            <w:noWrap w:val="0"/>
            <w:vAlign w:val="center"/>
          </w:tcPr>
          <w:p w14:paraId="78EEE57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single" w:color="auto" w:sz="4" w:space="0"/>
              <w:left w:val="nil"/>
              <w:bottom w:val="single" w:color="auto" w:sz="4" w:space="0"/>
              <w:right w:val="single" w:color="auto" w:sz="4" w:space="0"/>
            </w:tcBorders>
            <w:noWrap w:val="0"/>
            <w:vAlign w:val="center"/>
          </w:tcPr>
          <w:p w14:paraId="622E0A93">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817" w:type="pct"/>
            <w:tcBorders>
              <w:top w:val="single" w:color="auto" w:sz="4" w:space="0"/>
              <w:left w:val="nil"/>
              <w:bottom w:val="single" w:color="auto" w:sz="4" w:space="0"/>
              <w:right w:val="single" w:color="auto" w:sz="4" w:space="0"/>
            </w:tcBorders>
            <w:noWrap w:val="0"/>
            <w:vAlign w:val="center"/>
          </w:tcPr>
          <w:p w14:paraId="794B350D">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65" w:type="pct"/>
            <w:tcBorders>
              <w:top w:val="nil"/>
              <w:left w:val="nil"/>
              <w:bottom w:val="single" w:color="auto" w:sz="4" w:space="0"/>
              <w:right w:val="single" w:color="auto" w:sz="4" w:space="0"/>
            </w:tcBorders>
            <w:noWrap w:val="0"/>
            <w:vAlign w:val="center"/>
          </w:tcPr>
          <w:p w14:paraId="57E3894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tcBorders>
              <w:top w:val="nil"/>
              <w:left w:val="nil"/>
              <w:bottom w:val="single" w:color="auto" w:sz="4" w:space="0"/>
              <w:right w:val="single" w:color="auto" w:sz="4" w:space="0"/>
            </w:tcBorders>
            <w:noWrap w:val="0"/>
            <w:vAlign w:val="center"/>
          </w:tcPr>
          <w:p w14:paraId="6559BC53">
            <w:pPr>
              <w:widowControl/>
              <w:jc w:val="center"/>
              <w:rPr>
                <w:rFonts w:hint="eastAsia" w:ascii="宋体" w:hAnsi="宋体" w:cs="宋体"/>
                <w:kern w:val="0"/>
                <w:sz w:val="24"/>
              </w:rPr>
            </w:pPr>
            <w:r>
              <w:rPr>
                <w:rFonts w:hint="eastAsia" w:ascii="宋体" w:hAnsi="宋体" w:cs="宋体"/>
                <w:kern w:val="0"/>
                <w:sz w:val="24"/>
              </w:rPr>
              <w:t>　</w:t>
            </w:r>
          </w:p>
        </w:tc>
      </w:tr>
      <w:tr w14:paraId="7BB2B7BD">
        <w:tblPrEx>
          <w:tblCellMar>
            <w:top w:w="0" w:type="dxa"/>
            <w:left w:w="108" w:type="dxa"/>
            <w:bottom w:w="0" w:type="dxa"/>
            <w:right w:w="108" w:type="dxa"/>
          </w:tblCellMar>
        </w:tblPrEx>
        <w:trPr>
          <w:trHeight w:val="801"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7FA8737E">
            <w:pPr>
              <w:widowControl/>
              <w:jc w:val="left"/>
              <w:rPr>
                <w:rFonts w:ascii="宋体" w:hAnsi="宋体" w:cs="宋体"/>
                <w:b/>
                <w:bCs/>
                <w:kern w:val="0"/>
                <w:sz w:val="24"/>
              </w:rPr>
            </w:pPr>
          </w:p>
        </w:tc>
        <w:tc>
          <w:tcPr>
            <w:tcW w:w="438" w:type="pct"/>
            <w:vMerge w:val="restart"/>
            <w:tcBorders>
              <w:top w:val="nil"/>
              <w:left w:val="single" w:color="auto" w:sz="4" w:space="0"/>
              <w:bottom w:val="single" w:color="auto" w:sz="4" w:space="0"/>
              <w:right w:val="single" w:color="auto" w:sz="4" w:space="0"/>
            </w:tcBorders>
            <w:noWrap w:val="0"/>
            <w:vAlign w:val="center"/>
          </w:tcPr>
          <w:p w14:paraId="571F0D5F">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81" w:type="pct"/>
            <w:tcBorders>
              <w:top w:val="nil"/>
              <w:left w:val="nil"/>
              <w:bottom w:val="single" w:color="auto" w:sz="4" w:space="0"/>
              <w:right w:val="single" w:color="auto" w:sz="4" w:space="0"/>
            </w:tcBorders>
            <w:noWrap w:val="0"/>
            <w:vAlign w:val="center"/>
          </w:tcPr>
          <w:p w14:paraId="740F3B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18" w:type="pct"/>
            <w:tcBorders>
              <w:top w:val="nil"/>
              <w:left w:val="nil"/>
              <w:bottom w:val="single" w:color="auto" w:sz="4" w:space="0"/>
              <w:right w:val="single" w:color="auto" w:sz="4" w:space="0"/>
            </w:tcBorders>
            <w:noWrap w:val="0"/>
            <w:vAlign w:val="center"/>
          </w:tcPr>
          <w:p w14:paraId="0362E3A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noWrap w:val="0"/>
            <w:vAlign w:val="center"/>
          </w:tcPr>
          <w:p w14:paraId="074B0E39">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817" w:type="pct"/>
            <w:tcBorders>
              <w:top w:val="nil"/>
              <w:left w:val="nil"/>
              <w:bottom w:val="single" w:color="auto" w:sz="4" w:space="0"/>
              <w:right w:val="single" w:color="auto" w:sz="4" w:space="0"/>
            </w:tcBorders>
            <w:noWrap w:val="0"/>
            <w:vAlign w:val="center"/>
          </w:tcPr>
          <w:p w14:paraId="0CA6596B">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65" w:type="pct"/>
            <w:tcBorders>
              <w:top w:val="nil"/>
              <w:left w:val="nil"/>
              <w:bottom w:val="single" w:color="auto" w:sz="4" w:space="0"/>
              <w:right w:val="single" w:color="auto" w:sz="4" w:space="0"/>
            </w:tcBorders>
            <w:noWrap w:val="0"/>
            <w:vAlign w:val="center"/>
          </w:tcPr>
          <w:p w14:paraId="454970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restart"/>
            <w:tcBorders>
              <w:top w:val="nil"/>
              <w:left w:val="single" w:color="auto" w:sz="4" w:space="0"/>
              <w:bottom w:val="single" w:color="auto" w:sz="4" w:space="0"/>
              <w:right w:val="single" w:color="auto" w:sz="4" w:space="0"/>
            </w:tcBorders>
            <w:noWrap w:val="0"/>
            <w:vAlign w:val="center"/>
          </w:tcPr>
          <w:p w14:paraId="4BC2005C">
            <w:pPr>
              <w:widowControl/>
              <w:jc w:val="center"/>
              <w:rPr>
                <w:rFonts w:hint="eastAsia" w:ascii="宋体" w:hAnsi="宋体" w:cs="宋体"/>
                <w:kern w:val="0"/>
                <w:sz w:val="24"/>
              </w:rPr>
            </w:pPr>
            <w:r>
              <w:rPr>
                <w:rFonts w:hint="eastAsia" w:ascii="宋体" w:hAnsi="宋体" w:cs="宋体"/>
                <w:kern w:val="0"/>
                <w:sz w:val="24"/>
              </w:rPr>
              <w:t>　</w:t>
            </w:r>
          </w:p>
        </w:tc>
      </w:tr>
      <w:tr w14:paraId="5DC68103">
        <w:tblPrEx>
          <w:tblCellMar>
            <w:top w:w="0" w:type="dxa"/>
            <w:left w:w="108" w:type="dxa"/>
            <w:bottom w:w="0" w:type="dxa"/>
            <w:right w:w="108" w:type="dxa"/>
          </w:tblCellMar>
        </w:tblPrEx>
        <w:trPr>
          <w:trHeight w:val="720"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17207120">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noWrap w:val="0"/>
            <w:vAlign w:val="center"/>
          </w:tcPr>
          <w:p w14:paraId="1520C6B9">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68BC97D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18" w:type="pct"/>
            <w:tcBorders>
              <w:top w:val="nil"/>
              <w:left w:val="nil"/>
              <w:bottom w:val="single" w:color="auto" w:sz="4" w:space="0"/>
              <w:right w:val="single" w:color="auto" w:sz="4" w:space="0"/>
            </w:tcBorders>
            <w:noWrap w:val="0"/>
            <w:vAlign w:val="center"/>
          </w:tcPr>
          <w:p w14:paraId="7182CD9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11" w:type="pct"/>
            <w:tcBorders>
              <w:top w:val="nil"/>
              <w:left w:val="nil"/>
              <w:bottom w:val="single" w:color="auto" w:sz="4" w:space="0"/>
              <w:right w:val="single" w:color="auto" w:sz="4" w:space="0"/>
            </w:tcBorders>
            <w:noWrap w:val="0"/>
            <w:vAlign w:val="center"/>
          </w:tcPr>
          <w:p w14:paraId="541D6F0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817" w:type="pct"/>
            <w:tcBorders>
              <w:top w:val="nil"/>
              <w:left w:val="nil"/>
              <w:bottom w:val="single" w:color="auto" w:sz="4" w:space="0"/>
              <w:right w:val="single" w:color="auto" w:sz="4" w:space="0"/>
            </w:tcBorders>
            <w:noWrap w:val="0"/>
            <w:vAlign w:val="center"/>
          </w:tcPr>
          <w:p w14:paraId="277388B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65" w:type="pct"/>
            <w:tcBorders>
              <w:top w:val="nil"/>
              <w:left w:val="nil"/>
              <w:bottom w:val="single" w:color="auto" w:sz="4" w:space="0"/>
              <w:right w:val="single" w:color="auto" w:sz="4" w:space="0"/>
            </w:tcBorders>
            <w:noWrap w:val="0"/>
            <w:vAlign w:val="center"/>
          </w:tcPr>
          <w:p w14:paraId="5FB3A9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35" w:type="pct"/>
            <w:vMerge w:val="continue"/>
            <w:tcBorders>
              <w:top w:val="nil"/>
              <w:left w:val="single" w:color="auto" w:sz="4" w:space="0"/>
              <w:bottom w:val="single" w:color="auto" w:sz="4" w:space="0"/>
              <w:right w:val="single" w:color="auto" w:sz="4" w:space="0"/>
            </w:tcBorders>
            <w:noWrap w:val="0"/>
            <w:vAlign w:val="center"/>
          </w:tcPr>
          <w:p w14:paraId="36783885">
            <w:pPr>
              <w:widowControl/>
              <w:jc w:val="left"/>
              <w:rPr>
                <w:rFonts w:ascii="宋体" w:hAnsi="宋体" w:cs="宋体"/>
                <w:kern w:val="0"/>
                <w:sz w:val="24"/>
              </w:rPr>
            </w:pPr>
          </w:p>
        </w:tc>
      </w:tr>
      <w:tr w14:paraId="2200EC21">
        <w:tblPrEx>
          <w:tblCellMar>
            <w:top w:w="0" w:type="dxa"/>
            <w:left w:w="108" w:type="dxa"/>
            <w:bottom w:w="0" w:type="dxa"/>
            <w:right w:w="108" w:type="dxa"/>
          </w:tblCellMar>
        </w:tblPrEx>
        <w:trPr>
          <w:trHeight w:val="1320" w:hRule="atLeast"/>
          <w:jc w:val="center"/>
        </w:trPr>
        <w:tc>
          <w:tcPr>
            <w:tcW w:w="333" w:type="pct"/>
            <w:vMerge w:val="restart"/>
            <w:tcBorders>
              <w:top w:val="nil"/>
              <w:left w:val="single" w:color="auto" w:sz="4" w:space="0"/>
              <w:bottom w:val="single" w:color="auto" w:sz="4" w:space="0"/>
              <w:right w:val="single" w:color="auto" w:sz="4" w:space="0"/>
            </w:tcBorders>
            <w:noWrap w:val="0"/>
            <w:vAlign w:val="center"/>
          </w:tcPr>
          <w:p w14:paraId="5B01B955">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38" w:type="pct"/>
            <w:vMerge w:val="restart"/>
            <w:tcBorders>
              <w:top w:val="nil"/>
              <w:left w:val="single" w:color="auto" w:sz="4" w:space="0"/>
              <w:bottom w:val="nil"/>
              <w:right w:val="single" w:color="auto" w:sz="4" w:space="0"/>
            </w:tcBorders>
            <w:noWrap w:val="0"/>
            <w:vAlign w:val="center"/>
          </w:tcPr>
          <w:p w14:paraId="6070B113">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noWrap w:val="0"/>
            <w:vAlign w:val="center"/>
          </w:tcPr>
          <w:p w14:paraId="24895AB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18" w:type="pct"/>
            <w:tcBorders>
              <w:top w:val="nil"/>
              <w:left w:val="nil"/>
              <w:bottom w:val="single" w:color="auto" w:sz="4" w:space="0"/>
              <w:right w:val="single" w:color="auto" w:sz="4" w:space="0"/>
            </w:tcBorders>
            <w:noWrap w:val="0"/>
            <w:vAlign w:val="center"/>
          </w:tcPr>
          <w:p w14:paraId="2CE41E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noWrap w:val="0"/>
            <w:vAlign w:val="center"/>
          </w:tcPr>
          <w:p w14:paraId="77DFE89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noWrap w:val="0"/>
            <w:vAlign w:val="center"/>
          </w:tcPr>
          <w:p w14:paraId="239DDF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65" w:type="pct"/>
            <w:tcBorders>
              <w:top w:val="nil"/>
              <w:left w:val="nil"/>
              <w:bottom w:val="single" w:color="auto" w:sz="4" w:space="0"/>
              <w:right w:val="single" w:color="auto" w:sz="4" w:space="0"/>
            </w:tcBorders>
            <w:noWrap w:val="0"/>
            <w:vAlign w:val="center"/>
          </w:tcPr>
          <w:p w14:paraId="54AE1E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noWrap w:val="0"/>
            <w:vAlign w:val="center"/>
          </w:tcPr>
          <w:p w14:paraId="10B10129">
            <w:pPr>
              <w:widowControl/>
              <w:jc w:val="center"/>
              <w:rPr>
                <w:rFonts w:hint="eastAsia" w:ascii="宋体" w:hAnsi="宋体" w:cs="宋体"/>
                <w:kern w:val="0"/>
                <w:sz w:val="24"/>
              </w:rPr>
            </w:pPr>
            <w:r>
              <w:rPr>
                <w:rFonts w:hint="eastAsia" w:ascii="宋体" w:hAnsi="宋体" w:cs="宋体"/>
                <w:kern w:val="0"/>
                <w:sz w:val="24"/>
              </w:rPr>
              <w:t>　</w:t>
            </w:r>
          </w:p>
        </w:tc>
      </w:tr>
      <w:tr w14:paraId="0E565E4C">
        <w:tblPrEx>
          <w:tblCellMar>
            <w:top w:w="0" w:type="dxa"/>
            <w:left w:w="108" w:type="dxa"/>
            <w:bottom w:w="0" w:type="dxa"/>
            <w:right w:w="108" w:type="dxa"/>
          </w:tblCellMar>
        </w:tblPrEx>
        <w:trPr>
          <w:trHeight w:val="1200"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212744CF">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5939FD09">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5CB1A3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18" w:type="pct"/>
            <w:tcBorders>
              <w:top w:val="nil"/>
              <w:left w:val="nil"/>
              <w:bottom w:val="single" w:color="auto" w:sz="4" w:space="0"/>
              <w:right w:val="single" w:color="auto" w:sz="4" w:space="0"/>
            </w:tcBorders>
            <w:noWrap w:val="0"/>
            <w:vAlign w:val="center"/>
          </w:tcPr>
          <w:p w14:paraId="02394F7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noWrap w:val="0"/>
            <w:vAlign w:val="center"/>
          </w:tcPr>
          <w:p w14:paraId="6666BB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noWrap w:val="0"/>
            <w:vAlign w:val="center"/>
          </w:tcPr>
          <w:p w14:paraId="1141081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65" w:type="pct"/>
            <w:tcBorders>
              <w:top w:val="nil"/>
              <w:left w:val="nil"/>
              <w:bottom w:val="single" w:color="auto" w:sz="4" w:space="0"/>
              <w:right w:val="single" w:color="auto" w:sz="4" w:space="0"/>
            </w:tcBorders>
            <w:noWrap w:val="0"/>
            <w:vAlign w:val="center"/>
          </w:tcPr>
          <w:p w14:paraId="68BD7F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noWrap w:val="0"/>
            <w:vAlign w:val="center"/>
          </w:tcPr>
          <w:p w14:paraId="53894CDF">
            <w:pPr>
              <w:widowControl/>
              <w:jc w:val="center"/>
              <w:rPr>
                <w:rFonts w:hint="eastAsia" w:ascii="宋体" w:hAnsi="宋体" w:cs="宋体"/>
                <w:kern w:val="0"/>
                <w:sz w:val="24"/>
              </w:rPr>
            </w:pPr>
            <w:r>
              <w:rPr>
                <w:rFonts w:hint="eastAsia" w:ascii="宋体" w:hAnsi="宋体" w:cs="宋体"/>
                <w:kern w:val="0"/>
                <w:sz w:val="24"/>
              </w:rPr>
              <w:t>　</w:t>
            </w:r>
          </w:p>
        </w:tc>
      </w:tr>
      <w:tr w14:paraId="482513DC">
        <w:tblPrEx>
          <w:tblCellMar>
            <w:top w:w="0" w:type="dxa"/>
            <w:left w:w="108" w:type="dxa"/>
            <w:bottom w:w="0" w:type="dxa"/>
            <w:right w:w="108" w:type="dxa"/>
          </w:tblCellMar>
        </w:tblPrEx>
        <w:trPr>
          <w:trHeight w:val="1041"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4CC67A60">
            <w:pPr>
              <w:widowControl/>
              <w:jc w:val="left"/>
              <w:rPr>
                <w:rFonts w:ascii="宋体" w:hAnsi="宋体" w:cs="宋体"/>
                <w:b/>
                <w:bCs/>
                <w:kern w:val="0"/>
                <w:sz w:val="24"/>
              </w:rPr>
            </w:pPr>
          </w:p>
        </w:tc>
        <w:tc>
          <w:tcPr>
            <w:tcW w:w="438" w:type="pct"/>
            <w:vMerge w:val="continue"/>
            <w:tcBorders>
              <w:top w:val="nil"/>
              <w:left w:val="single" w:color="auto" w:sz="4" w:space="0"/>
              <w:bottom w:val="nil"/>
              <w:right w:val="single" w:color="auto" w:sz="4" w:space="0"/>
            </w:tcBorders>
            <w:noWrap w:val="0"/>
            <w:vAlign w:val="center"/>
          </w:tcPr>
          <w:p w14:paraId="420AAFF5">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207F8DB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18" w:type="pct"/>
            <w:tcBorders>
              <w:top w:val="nil"/>
              <w:left w:val="nil"/>
              <w:bottom w:val="single" w:color="auto" w:sz="4" w:space="0"/>
              <w:right w:val="single" w:color="auto" w:sz="4" w:space="0"/>
            </w:tcBorders>
            <w:noWrap w:val="0"/>
            <w:vAlign w:val="center"/>
          </w:tcPr>
          <w:p w14:paraId="43642D8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noWrap w:val="0"/>
            <w:vAlign w:val="center"/>
          </w:tcPr>
          <w:p w14:paraId="74125E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817" w:type="pct"/>
            <w:tcBorders>
              <w:top w:val="nil"/>
              <w:left w:val="nil"/>
              <w:bottom w:val="single" w:color="auto" w:sz="4" w:space="0"/>
              <w:right w:val="single" w:color="auto" w:sz="4" w:space="0"/>
            </w:tcBorders>
            <w:noWrap w:val="0"/>
            <w:vAlign w:val="center"/>
          </w:tcPr>
          <w:p w14:paraId="3014E9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65" w:type="pct"/>
            <w:tcBorders>
              <w:top w:val="nil"/>
              <w:left w:val="nil"/>
              <w:bottom w:val="single" w:color="auto" w:sz="4" w:space="0"/>
              <w:right w:val="single" w:color="auto" w:sz="4" w:space="0"/>
            </w:tcBorders>
            <w:noWrap w:val="0"/>
            <w:vAlign w:val="center"/>
          </w:tcPr>
          <w:p w14:paraId="5CB41B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35" w:type="pct"/>
            <w:tcBorders>
              <w:top w:val="nil"/>
              <w:left w:val="nil"/>
              <w:bottom w:val="single" w:color="auto" w:sz="4" w:space="0"/>
              <w:right w:val="single" w:color="auto" w:sz="4" w:space="0"/>
            </w:tcBorders>
            <w:noWrap w:val="0"/>
            <w:vAlign w:val="center"/>
          </w:tcPr>
          <w:p w14:paraId="0DF90329">
            <w:pPr>
              <w:widowControl/>
              <w:jc w:val="center"/>
              <w:rPr>
                <w:rFonts w:hint="eastAsia" w:ascii="宋体" w:hAnsi="宋体" w:cs="宋体"/>
                <w:kern w:val="0"/>
                <w:sz w:val="24"/>
              </w:rPr>
            </w:pPr>
            <w:r>
              <w:rPr>
                <w:rFonts w:hint="eastAsia" w:ascii="宋体" w:hAnsi="宋体" w:cs="宋体"/>
                <w:kern w:val="0"/>
                <w:sz w:val="24"/>
              </w:rPr>
              <w:t>　</w:t>
            </w:r>
          </w:p>
        </w:tc>
      </w:tr>
      <w:tr w14:paraId="23060AC7">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5C525686">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nil"/>
              <w:right w:val="single" w:color="auto" w:sz="4" w:space="0"/>
            </w:tcBorders>
            <w:noWrap w:val="0"/>
            <w:vAlign w:val="center"/>
          </w:tcPr>
          <w:p w14:paraId="4237763F">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81" w:type="pct"/>
            <w:tcBorders>
              <w:top w:val="nil"/>
              <w:left w:val="nil"/>
              <w:bottom w:val="single" w:color="auto" w:sz="4" w:space="0"/>
              <w:right w:val="single" w:color="auto" w:sz="4" w:space="0"/>
            </w:tcBorders>
            <w:noWrap w:val="0"/>
            <w:vAlign w:val="center"/>
          </w:tcPr>
          <w:p w14:paraId="79578C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18" w:type="pct"/>
            <w:tcBorders>
              <w:top w:val="nil"/>
              <w:left w:val="nil"/>
              <w:bottom w:val="single" w:color="auto" w:sz="4" w:space="0"/>
              <w:right w:val="single" w:color="auto" w:sz="4" w:space="0"/>
            </w:tcBorders>
            <w:noWrap w:val="0"/>
            <w:vAlign w:val="center"/>
          </w:tcPr>
          <w:p w14:paraId="447D4ED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noWrap w:val="0"/>
            <w:vAlign w:val="center"/>
          </w:tcPr>
          <w:p w14:paraId="2DBB684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817" w:type="pct"/>
            <w:tcBorders>
              <w:top w:val="nil"/>
              <w:left w:val="nil"/>
              <w:bottom w:val="single" w:color="auto" w:sz="4" w:space="0"/>
              <w:right w:val="single" w:color="auto" w:sz="4" w:space="0"/>
            </w:tcBorders>
            <w:noWrap w:val="0"/>
            <w:vAlign w:val="center"/>
          </w:tcPr>
          <w:p w14:paraId="3EE250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65" w:type="pct"/>
            <w:tcBorders>
              <w:top w:val="nil"/>
              <w:left w:val="nil"/>
              <w:bottom w:val="single" w:color="auto" w:sz="4" w:space="0"/>
              <w:right w:val="single" w:color="auto" w:sz="4" w:space="0"/>
            </w:tcBorders>
            <w:noWrap w:val="0"/>
            <w:vAlign w:val="center"/>
          </w:tcPr>
          <w:p w14:paraId="237FED8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noWrap w:val="0"/>
            <w:vAlign w:val="center"/>
          </w:tcPr>
          <w:p w14:paraId="3C893F24">
            <w:pPr>
              <w:widowControl/>
              <w:jc w:val="center"/>
              <w:rPr>
                <w:rFonts w:hint="eastAsia" w:ascii="宋体" w:hAnsi="宋体" w:cs="宋体"/>
                <w:kern w:val="0"/>
                <w:sz w:val="24"/>
              </w:rPr>
            </w:pPr>
            <w:r>
              <w:rPr>
                <w:rFonts w:hint="eastAsia" w:ascii="宋体" w:hAnsi="宋体" w:cs="宋体"/>
                <w:kern w:val="0"/>
                <w:sz w:val="24"/>
              </w:rPr>
              <w:t>　</w:t>
            </w:r>
          </w:p>
        </w:tc>
      </w:tr>
      <w:tr w14:paraId="5E422A77">
        <w:tblPrEx>
          <w:tblCellMar>
            <w:top w:w="0" w:type="dxa"/>
            <w:left w:w="108" w:type="dxa"/>
            <w:bottom w:w="0" w:type="dxa"/>
            <w:right w:w="108" w:type="dxa"/>
          </w:tblCellMar>
        </w:tblPrEx>
        <w:trPr>
          <w:trHeight w:val="1020"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27562215">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noWrap w:val="0"/>
            <w:vAlign w:val="center"/>
          </w:tcPr>
          <w:p w14:paraId="32F6DF20">
            <w:pPr>
              <w:widowControl/>
              <w:jc w:val="left"/>
              <w:rPr>
                <w:rFonts w:ascii="宋体" w:hAnsi="宋体" w:cs="宋体"/>
                <w:b/>
                <w:bCs/>
                <w:kern w:val="0"/>
                <w:sz w:val="24"/>
              </w:rPr>
            </w:pPr>
          </w:p>
        </w:tc>
        <w:tc>
          <w:tcPr>
            <w:tcW w:w="681" w:type="pct"/>
            <w:tcBorders>
              <w:top w:val="nil"/>
              <w:left w:val="nil"/>
              <w:bottom w:val="nil"/>
              <w:right w:val="single" w:color="auto" w:sz="4" w:space="0"/>
            </w:tcBorders>
            <w:noWrap w:val="0"/>
            <w:vAlign w:val="center"/>
          </w:tcPr>
          <w:p w14:paraId="5BFF99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18" w:type="pct"/>
            <w:tcBorders>
              <w:top w:val="nil"/>
              <w:left w:val="nil"/>
              <w:bottom w:val="single" w:color="auto" w:sz="4" w:space="0"/>
              <w:right w:val="single" w:color="auto" w:sz="4" w:space="0"/>
            </w:tcBorders>
            <w:noWrap w:val="0"/>
            <w:vAlign w:val="center"/>
          </w:tcPr>
          <w:p w14:paraId="281A202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noWrap w:val="0"/>
            <w:vAlign w:val="center"/>
          </w:tcPr>
          <w:p w14:paraId="695B31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817" w:type="pct"/>
            <w:tcBorders>
              <w:top w:val="nil"/>
              <w:left w:val="nil"/>
              <w:bottom w:val="single" w:color="auto" w:sz="4" w:space="0"/>
              <w:right w:val="single" w:color="auto" w:sz="4" w:space="0"/>
            </w:tcBorders>
            <w:noWrap w:val="0"/>
            <w:vAlign w:val="center"/>
          </w:tcPr>
          <w:p w14:paraId="7051C1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65" w:type="pct"/>
            <w:tcBorders>
              <w:top w:val="nil"/>
              <w:left w:val="nil"/>
              <w:bottom w:val="single" w:color="auto" w:sz="4" w:space="0"/>
              <w:right w:val="single" w:color="auto" w:sz="4" w:space="0"/>
            </w:tcBorders>
            <w:noWrap w:val="0"/>
            <w:vAlign w:val="center"/>
          </w:tcPr>
          <w:p w14:paraId="16A79CD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noWrap w:val="0"/>
            <w:vAlign w:val="center"/>
          </w:tcPr>
          <w:p w14:paraId="2897DB79">
            <w:pPr>
              <w:widowControl/>
              <w:jc w:val="center"/>
              <w:rPr>
                <w:rFonts w:hint="eastAsia" w:ascii="宋体" w:hAnsi="宋体" w:cs="宋体"/>
                <w:kern w:val="0"/>
                <w:sz w:val="24"/>
              </w:rPr>
            </w:pPr>
            <w:r>
              <w:rPr>
                <w:rFonts w:hint="eastAsia" w:ascii="宋体" w:hAnsi="宋体" w:cs="宋体"/>
                <w:kern w:val="0"/>
                <w:sz w:val="24"/>
              </w:rPr>
              <w:t>　</w:t>
            </w:r>
          </w:p>
        </w:tc>
      </w:tr>
      <w:tr w14:paraId="73E565D8">
        <w:tblPrEx>
          <w:tblCellMar>
            <w:top w:w="0" w:type="dxa"/>
            <w:left w:w="108" w:type="dxa"/>
            <w:bottom w:w="0" w:type="dxa"/>
            <w:right w:w="108" w:type="dxa"/>
          </w:tblCellMar>
        </w:tblPrEx>
        <w:trPr>
          <w:trHeight w:val="879"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30EAF303">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nil"/>
              <w:right w:val="single" w:color="auto" w:sz="4" w:space="0"/>
            </w:tcBorders>
            <w:noWrap w:val="0"/>
            <w:vAlign w:val="center"/>
          </w:tcPr>
          <w:p w14:paraId="2AA256D3">
            <w:pPr>
              <w:widowControl/>
              <w:jc w:val="left"/>
              <w:rPr>
                <w:rFonts w:ascii="宋体" w:hAnsi="宋体" w:cs="宋体"/>
                <w:b/>
                <w:bCs/>
                <w:kern w:val="0"/>
                <w:sz w:val="24"/>
              </w:rPr>
            </w:pPr>
          </w:p>
        </w:tc>
        <w:tc>
          <w:tcPr>
            <w:tcW w:w="681" w:type="pct"/>
            <w:tcBorders>
              <w:top w:val="single" w:color="auto" w:sz="4" w:space="0"/>
              <w:left w:val="nil"/>
              <w:bottom w:val="single" w:color="auto" w:sz="4" w:space="0"/>
              <w:right w:val="single" w:color="auto" w:sz="4" w:space="0"/>
            </w:tcBorders>
            <w:noWrap w:val="0"/>
            <w:vAlign w:val="center"/>
          </w:tcPr>
          <w:p w14:paraId="73002F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18" w:type="pct"/>
            <w:tcBorders>
              <w:top w:val="nil"/>
              <w:left w:val="nil"/>
              <w:bottom w:val="single" w:color="auto" w:sz="4" w:space="0"/>
              <w:right w:val="single" w:color="auto" w:sz="4" w:space="0"/>
            </w:tcBorders>
            <w:noWrap w:val="0"/>
            <w:vAlign w:val="center"/>
          </w:tcPr>
          <w:p w14:paraId="41B7E46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811" w:type="pct"/>
            <w:tcBorders>
              <w:top w:val="nil"/>
              <w:left w:val="nil"/>
              <w:bottom w:val="single" w:color="auto" w:sz="4" w:space="0"/>
              <w:right w:val="single" w:color="auto" w:sz="4" w:space="0"/>
            </w:tcBorders>
            <w:noWrap w:val="0"/>
            <w:vAlign w:val="center"/>
          </w:tcPr>
          <w:p w14:paraId="7779AFC1">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817" w:type="pct"/>
            <w:tcBorders>
              <w:top w:val="nil"/>
              <w:left w:val="nil"/>
              <w:bottom w:val="single" w:color="auto" w:sz="4" w:space="0"/>
              <w:right w:val="single" w:color="auto" w:sz="4" w:space="0"/>
            </w:tcBorders>
            <w:noWrap w:val="0"/>
            <w:vAlign w:val="center"/>
          </w:tcPr>
          <w:p w14:paraId="3B2E5C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65" w:type="pct"/>
            <w:tcBorders>
              <w:top w:val="nil"/>
              <w:left w:val="nil"/>
              <w:bottom w:val="single" w:color="auto" w:sz="4" w:space="0"/>
              <w:right w:val="single" w:color="auto" w:sz="4" w:space="0"/>
            </w:tcBorders>
            <w:noWrap w:val="0"/>
            <w:vAlign w:val="center"/>
          </w:tcPr>
          <w:p w14:paraId="5FDAB44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3.58</w:t>
            </w:r>
          </w:p>
        </w:tc>
        <w:tc>
          <w:tcPr>
            <w:tcW w:w="335" w:type="pct"/>
            <w:tcBorders>
              <w:top w:val="nil"/>
              <w:left w:val="nil"/>
              <w:bottom w:val="single" w:color="auto" w:sz="4" w:space="0"/>
              <w:right w:val="single" w:color="auto" w:sz="4" w:space="0"/>
            </w:tcBorders>
            <w:noWrap w:val="0"/>
            <w:vAlign w:val="center"/>
          </w:tcPr>
          <w:p w14:paraId="03F35FB9">
            <w:pPr>
              <w:widowControl/>
              <w:jc w:val="center"/>
              <w:rPr>
                <w:rFonts w:hint="eastAsia" w:ascii="宋体" w:hAnsi="宋体" w:cs="宋体"/>
                <w:kern w:val="0"/>
                <w:sz w:val="24"/>
              </w:rPr>
            </w:pPr>
            <w:r>
              <w:rPr>
                <w:rFonts w:hint="eastAsia" w:ascii="宋体" w:hAnsi="宋体" w:cs="宋体"/>
                <w:kern w:val="0"/>
                <w:sz w:val="24"/>
              </w:rPr>
              <w:t>　</w:t>
            </w:r>
          </w:p>
        </w:tc>
      </w:tr>
      <w:tr w14:paraId="0E129448">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4C48AAE3">
            <w:pPr>
              <w:widowControl/>
              <w:jc w:val="left"/>
              <w:rPr>
                <w:rFonts w:ascii="宋体" w:hAnsi="宋体" w:cs="宋体"/>
                <w:b/>
                <w:bCs/>
                <w:kern w:val="0"/>
                <w:sz w:val="24"/>
              </w:rPr>
            </w:pPr>
          </w:p>
        </w:tc>
        <w:tc>
          <w:tcPr>
            <w:tcW w:w="438" w:type="pct"/>
            <w:vMerge w:val="restart"/>
            <w:tcBorders>
              <w:top w:val="single" w:color="auto" w:sz="4" w:space="0"/>
              <w:left w:val="single" w:color="auto" w:sz="4" w:space="0"/>
              <w:bottom w:val="single" w:color="000000" w:sz="4" w:space="0"/>
              <w:right w:val="single" w:color="auto" w:sz="4" w:space="0"/>
            </w:tcBorders>
            <w:noWrap w:val="0"/>
            <w:vAlign w:val="center"/>
          </w:tcPr>
          <w:p w14:paraId="600ED38F">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81" w:type="pct"/>
            <w:tcBorders>
              <w:top w:val="nil"/>
              <w:left w:val="nil"/>
              <w:bottom w:val="single" w:color="auto" w:sz="4" w:space="0"/>
              <w:right w:val="single" w:color="auto" w:sz="4" w:space="0"/>
            </w:tcBorders>
            <w:noWrap w:val="0"/>
            <w:vAlign w:val="center"/>
          </w:tcPr>
          <w:p w14:paraId="61F490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18" w:type="pct"/>
            <w:tcBorders>
              <w:top w:val="nil"/>
              <w:left w:val="nil"/>
              <w:bottom w:val="single" w:color="auto" w:sz="4" w:space="0"/>
              <w:right w:val="single" w:color="auto" w:sz="4" w:space="0"/>
            </w:tcBorders>
            <w:noWrap w:val="0"/>
            <w:vAlign w:val="center"/>
          </w:tcPr>
          <w:p w14:paraId="31D4531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noWrap w:val="0"/>
            <w:vAlign w:val="center"/>
          </w:tcPr>
          <w:p w14:paraId="4AA1BBE0">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817" w:type="pct"/>
            <w:tcBorders>
              <w:top w:val="nil"/>
              <w:left w:val="nil"/>
              <w:bottom w:val="single" w:color="auto" w:sz="4" w:space="0"/>
              <w:right w:val="single" w:color="auto" w:sz="4" w:space="0"/>
            </w:tcBorders>
            <w:noWrap w:val="0"/>
            <w:vAlign w:val="center"/>
          </w:tcPr>
          <w:p w14:paraId="3FD9C26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65" w:type="pct"/>
            <w:tcBorders>
              <w:top w:val="nil"/>
              <w:left w:val="nil"/>
              <w:bottom w:val="single" w:color="auto" w:sz="4" w:space="0"/>
              <w:right w:val="single" w:color="auto" w:sz="4" w:space="0"/>
            </w:tcBorders>
            <w:noWrap w:val="0"/>
            <w:vAlign w:val="center"/>
          </w:tcPr>
          <w:p w14:paraId="43AA7A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5.56</w:t>
            </w:r>
          </w:p>
        </w:tc>
        <w:tc>
          <w:tcPr>
            <w:tcW w:w="335" w:type="pct"/>
            <w:tcBorders>
              <w:top w:val="nil"/>
              <w:left w:val="nil"/>
              <w:bottom w:val="single" w:color="auto" w:sz="4" w:space="0"/>
              <w:right w:val="single" w:color="auto" w:sz="4" w:space="0"/>
            </w:tcBorders>
            <w:noWrap w:val="0"/>
            <w:vAlign w:val="center"/>
          </w:tcPr>
          <w:p w14:paraId="69658E8C">
            <w:pPr>
              <w:widowControl/>
              <w:jc w:val="center"/>
              <w:rPr>
                <w:rFonts w:hint="eastAsia" w:ascii="宋体" w:hAnsi="宋体" w:cs="宋体"/>
                <w:kern w:val="0"/>
                <w:sz w:val="24"/>
              </w:rPr>
            </w:pPr>
            <w:r>
              <w:rPr>
                <w:rFonts w:hint="eastAsia" w:ascii="宋体" w:hAnsi="宋体" w:cs="宋体"/>
                <w:kern w:val="0"/>
                <w:sz w:val="24"/>
              </w:rPr>
              <w:t>　</w:t>
            </w:r>
          </w:p>
        </w:tc>
      </w:tr>
      <w:tr w14:paraId="4C351404">
        <w:tblPrEx>
          <w:tblCellMar>
            <w:top w:w="0" w:type="dxa"/>
            <w:left w:w="108" w:type="dxa"/>
            <w:bottom w:w="0" w:type="dxa"/>
            <w:right w:w="108" w:type="dxa"/>
          </w:tblCellMar>
        </w:tblPrEx>
        <w:trPr>
          <w:trHeight w:val="1179"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00EB56C2">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noWrap w:val="0"/>
            <w:vAlign w:val="center"/>
          </w:tcPr>
          <w:p w14:paraId="0426B42A">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0F4620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18" w:type="pct"/>
            <w:tcBorders>
              <w:top w:val="nil"/>
              <w:left w:val="nil"/>
              <w:bottom w:val="single" w:color="auto" w:sz="4" w:space="0"/>
              <w:right w:val="single" w:color="auto" w:sz="4" w:space="0"/>
            </w:tcBorders>
            <w:noWrap w:val="0"/>
            <w:vAlign w:val="center"/>
          </w:tcPr>
          <w:p w14:paraId="3004B8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811" w:type="pct"/>
            <w:tcBorders>
              <w:top w:val="nil"/>
              <w:left w:val="nil"/>
              <w:bottom w:val="single" w:color="auto" w:sz="4" w:space="0"/>
              <w:right w:val="single" w:color="auto" w:sz="4" w:space="0"/>
            </w:tcBorders>
            <w:noWrap w:val="0"/>
            <w:vAlign w:val="center"/>
          </w:tcPr>
          <w:p w14:paraId="132510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817" w:type="pct"/>
            <w:tcBorders>
              <w:top w:val="nil"/>
              <w:left w:val="nil"/>
              <w:bottom w:val="single" w:color="auto" w:sz="4" w:space="0"/>
              <w:right w:val="single" w:color="auto" w:sz="4" w:space="0"/>
            </w:tcBorders>
            <w:noWrap w:val="0"/>
            <w:vAlign w:val="center"/>
          </w:tcPr>
          <w:p w14:paraId="526D3629">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65" w:type="pct"/>
            <w:tcBorders>
              <w:top w:val="nil"/>
              <w:left w:val="nil"/>
              <w:bottom w:val="single" w:color="auto" w:sz="4" w:space="0"/>
              <w:right w:val="single" w:color="auto" w:sz="4" w:space="0"/>
            </w:tcBorders>
            <w:noWrap w:val="0"/>
            <w:vAlign w:val="center"/>
          </w:tcPr>
          <w:p w14:paraId="0E4ED9E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35" w:type="pct"/>
            <w:tcBorders>
              <w:top w:val="nil"/>
              <w:left w:val="nil"/>
              <w:bottom w:val="single" w:color="auto" w:sz="4" w:space="0"/>
              <w:right w:val="single" w:color="auto" w:sz="4" w:space="0"/>
            </w:tcBorders>
            <w:noWrap w:val="0"/>
            <w:vAlign w:val="center"/>
          </w:tcPr>
          <w:p w14:paraId="168A92C2">
            <w:pPr>
              <w:widowControl/>
              <w:jc w:val="center"/>
              <w:rPr>
                <w:rFonts w:hint="eastAsia" w:ascii="宋体" w:hAnsi="宋体" w:cs="宋体"/>
                <w:kern w:val="0"/>
                <w:sz w:val="24"/>
              </w:rPr>
            </w:pPr>
            <w:r>
              <w:rPr>
                <w:rFonts w:hint="eastAsia" w:ascii="宋体" w:hAnsi="宋体" w:cs="宋体"/>
                <w:kern w:val="0"/>
                <w:sz w:val="24"/>
              </w:rPr>
              <w:t>　</w:t>
            </w:r>
          </w:p>
        </w:tc>
      </w:tr>
      <w:tr w14:paraId="01F81FE0">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auto" w:sz="4" w:space="0"/>
              <w:right w:val="single" w:color="auto" w:sz="4" w:space="0"/>
            </w:tcBorders>
            <w:noWrap w:val="0"/>
            <w:vAlign w:val="center"/>
          </w:tcPr>
          <w:p w14:paraId="25D78411">
            <w:pPr>
              <w:widowControl/>
              <w:jc w:val="left"/>
              <w:rPr>
                <w:rFonts w:ascii="宋体" w:hAnsi="宋体" w:cs="宋体"/>
                <w:b/>
                <w:bCs/>
                <w:kern w:val="0"/>
                <w:sz w:val="24"/>
              </w:rPr>
            </w:pPr>
          </w:p>
        </w:tc>
        <w:tc>
          <w:tcPr>
            <w:tcW w:w="438" w:type="pct"/>
            <w:vMerge w:val="continue"/>
            <w:tcBorders>
              <w:top w:val="single" w:color="auto" w:sz="4" w:space="0"/>
              <w:left w:val="single" w:color="auto" w:sz="4" w:space="0"/>
              <w:bottom w:val="single" w:color="000000" w:sz="4" w:space="0"/>
              <w:right w:val="single" w:color="auto" w:sz="4" w:space="0"/>
            </w:tcBorders>
            <w:noWrap w:val="0"/>
            <w:vAlign w:val="center"/>
          </w:tcPr>
          <w:p w14:paraId="1C975857">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179051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18" w:type="pct"/>
            <w:tcBorders>
              <w:top w:val="nil"/>
              <w:left w:val="nil"/>
              <w:bottom w:val="single" w:color="auto" w:sz="4" w:space="0"/>
              <w:right w:val="single" w:color="auto" w:sz="4" w:space="0"/>
            </w:tcBorders>
            <w:noWrap w:val="0"/>
            <w:vAlign w:val="center"/>
          </w:tcPr>
          <w:p w14:paraId="55FD19F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11" w:type="pct"/>
            <w:tcBorders>
              <w:top w:val="nil"/>
              <w:left w:val="nil"/>
              <w:bottom w:val="single" w:color="auto" w:sz="4" w:space="0"/>
              <w:right w:val="single" w:color="auto" w:sz="4" w:space="0"/>
            </w:tcBorders>
            <w:noWrap w:val="0"/>
            <w:vAlign w:val="center"/>
          </w:tcPr>
          <w:p w14:paraId="57A87A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817" w:type="pct"/>
            <w:tcBorders>
              <w:top w:val="nil"/>
              <w:left w:val="nil"/>
              <w:bottom w:val="single" w:color="auto" w:sz="4" w:space="0"/>
              <w:right w:val="single" w:color="auto" w:sz="4" w:space="0"/>
            </w:tcBorders>
            <w:noWrap w:val="0"/>
            <w:vAlign w:val="center"/>
          </w:tcPr>
          <w:p w14:paraId="3EA1DB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65" w:type="pct"/>
            <w:tcBorders>
              <w:top w:val="nil"/>
              <w:left w:val="nil"/>
              <w:bottom w:val="single" w:color="auto" w:sz="4" w:space="0"/>
              <w:right w:val="single" w:color="auto" w:sz="4" w:space="0"/>
            </w:tcBorders>
            <w:noWrap w:val="0"/>
            <w:vAlign w:val="center"/>
          </w:tcPr>
          <w:p w14:paraId="5A093D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35" w:type="pct"/>
            <w:tcBorders>
              <w:top w:val="nil"/>
              <w:left w:val="nil"/>
              <w:bottom w:val="single" w:color="auto" w:sz="4" w:space="0"/>
              <w:right w:val="single" w:color="auto" w:sz="4" w:space="0"/>
            </w:tcBorders>
            <w:noWrap w:val="0"/>
            <w:vAlign w:val="center"/>
          </w:tcPr>
          <w:p w14:paraId="5DD7A0B3">
            <w:pPr>
              <w:widowControl/>
              <w:jc w:val="center"/>
              <w:rPr>
                <w:rFonts w:hint="eastAsia" w:ascii="宋体" w:hAnsi="宋体" w:cs="宋体"/>
                <w:kern w:val="0"/>
                <w:sz w:val="24"/>
              </w:rPr>
            </w:pPr>
            <w:r>
              <w:rPr>
                <w:rFonts w:hint="eastAsia" w:ascii="宋体" w:hAnsi="宋体" w:cs="宋体"/>
                <w:kern w:val="0"/>
                <w:sz w:val="24"/>
              </w:rPr>
              <w:t>　</w:t>
            </w:r>
          </w:p>
        </w:tc>
      </w:tr>
      <w:tr w14:paraId="7CE6EE40">
        <w:tblPrEx>
          <w:tblCellMar>
            <w:top w:w="0" w:type="dxa"/>
            <w:left w:w="108" w:type="dxa"/>
            <w:bottom w:w="0" w:type="dxa"/>
            <w:right w:w="108" w:type="dxa"/>
          </w:tblCellMar>
        </w:tblPrEx>
        <w:trPr>
          <w:trHeight w:val="780" w:hRule="atLeast"/>
          <w:jc w:val="center"/>
        </w:trPr>
        <w:tc>
          <w:tcPr>
            <w:tcW w:w="333" w:type="pct"/>
            <w:vMerge w:val="restart"/>
            <w:tcBorders>
              <w:top w:val="nil"/>
              <w:left w:val="single" w:color="auto" w:sz="4" w:space="0"/>
              <w:bottom w:val="single" w:color="000000" w:sz="4" w:space="0"/>
              <w:right w:val="single" w:color="auto" w:sz="4" w:space="0"/>
            </w:tcBorders>
            <w:noWrap w:val="0"/>
            <w:vAlign w:val="center"/>
          </w:tcPr>
          <w:p w14:paraId="4FCDBA33">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38" w:type="pct"/>
            <w:vMerge w:val="restart"/>
            <w:tcBorders>
              <w:top w:val="nil"/>
              <w:left w:val="single" w:color="auto" w:sz="4" w:space="0"/>
              <w:bottom w:val="single" w:color="auto" w:sz="4" w:space="0"/>
              <w:right w:val="single" w:color="auto" w:sz="4" w:space="0"/>
            </w:tcBorders>
            <w:noWrap w:val="0"/>
            <w:vAlign w:val="center"/>
          </w:tcPr>
          <w:p w14:paraId="2D05C9A1">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81" w:type="pct"/>
            <w:tcBorders>
              <w:top w:val="nil"/>
              <w:left w:val="nil"/>
              <w:bottom w:val="single" w:color="auto" w:sz="4" w:space="0"/>
              <w:right w:val="single" w:color="auto" w:sz="4" w:space="0"/>
            </w:tcBorders>
            <w:noWrap w:val="0"/>
            <w:vAlign w:val="center"/>
          </w:tcPr>
          <w:p w14:paraId="78AD467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18" w:type="pct"/>
            <w:tcBorders>
              <w:top w:val="nil"/>
              <w:left w:val="nil"/>
              <w:bottom w:val="single" w:color="auto" w:sz="4" w:space="0"/>
              <w:right w:val="single" w:color="auto" w:sz="4" w:space="0"/>
            </w:tcBorders>
            <w:noWrap w:val="0"/>
            <w:vAlign w:val="center"/>
          </w:tcPr>
          <w:p w14:paraId="22A68CC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noWrap w:val="0"/>
            <w:vAlign w:val="center"/>
          </w:tcPr>
          <w:p w14:paraId="46AAED4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817" w:type="pct"/>
            <w:tcBorders>
              <w:top w:val="nil"/>
              <w:left w:val="nil"/>
              <w:bottom w:val="single" w:color="auto" w:sz="4" w:space="0"/>
              <w:right w:val="single" w:color="auto" w:sz="4" w:space="0"/>
            </w:tcBorders>
            <w:noWrap w:val="0"/>
            <w:vAlign w:val="center"/>
          </w:tcPr>
          <w:p w14:paraId="4DA63EC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65" w:type="pct"/>
            <w:tcBorders>
              <w:top w:val="nil"/>
              <w:left w:val="nil"/>
              <w:bottom w:val="single" w:color="auto" w:sz="4" w:space="0"/>
              <w:right w:val="single" w:color="auto" w:sz="4" w:space="0"/>
            </w:tcBorders>
            <w:noWrap w:val="0"/>
            <w:vAlign w:val="center"/>
          </w:tcPr>
          <w:p w14:paraId="68230B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noWrap w:val="0"/>
            <w:vAlign w:val="center"/>
          </w:tcPr>
          <w:p w14:paraId="4A688BA3">
            <w:pPr>
              <w:widowControl/>
              <w:jc w:val="center"/>
              <w:rPr>
                <w:rFonts w:hint="eastAsia" w:ascii="宋体" w:hAnsi="宋体" w:cs="宋体"/>
                <w:kern w:val="0"/>
                <w:sz w:val="24"/>
              </w:rPr>
            </w:pPr>
            <w:r>
              <w:rPr>
                <w:rFonts w:hint="eastAsia" w:ascii="宋体" w:hAnsi="宋体" w:cs="宋体"/>
                <w:kern w:val="0"/>
                <w:sz w:val="24"/>
              </w:rPr>
              <w:t>　</w:t>
            </w:r>
          </w:p>
        </w:tc>
      </w:tr>
      <w:tr w14:paraId="13B06AFA">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6A81A5D9">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noWrap w:val="0"/>
            <w:vAlign w:val="center"/>
          </w:tcPr>
          <w:p w14:paraId="0F55659E">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6C40B4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18" w:type="pct"/>
            <w:tcBorders>
              <w:top w:val="nil"/>
              <w:left w:val="nil"/>
              <w:bottom w:val="single" w:color="auto" w:sz="4" w:space="0"/>
              <w:right w:val="single" w:color="auto" w:sz="4" w:space="0"/>
            </w:tcBorders>
            <w:noWrap w:val="0"/>
            <w:vAlign w:val="center"/>
          </w:tcPr>
          <w:p w14:paraId="0BF4DB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noWrap w:val="0"/>
            <w:vAlign w:val="center"/>
          </w:tcPr>
          <w:p w14:paraId="47B230A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817" w:type="pct"/>
            <w:tcBorders>
              <w:top w:val="nil"/>
              <w:left w:val="nil"/>
              <w:bottom w:val="single" w:color="auto" w:sz="4" w:space="0"/>
              <w:right w:val="single" w:color="auto" w:sz="4" w:space="0"/>
            </w:tcBorders>
            <w:noWrap w:val="0"/>
            <w:vAlign w:val="center"/>
          </w:tcPr>
          <w:p w14:paraId="7C39C70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65" w:type="pct"/>
            <w:tcBorders>
              <w:top w:val="nil"/>
              <w:left w:val="nil"/>
              <w:bottom w:val="single" w:color="auto" w:sz="4" w:space="0"/>
              <w:right w:val="single" w:color="auto" w:sz="4" w:space="0"/>
            </w:tcBorders>
            <w:noWrap w:val="0"/>
            <w:vAlign w:val="center"/>
          </w:tcPr>
          <w:p w14:paraId="4759CD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noWrap w:val="0"/>
            <w:vAlign w:val="center"/>
          </w:tcPr>
          <w:p w14:paraId="1712CD5F">
            <w:pPr>
              <w:widowControl/>
              <w:jc w:val="center"/>
              <w:rPr>
                <w:rFonts w:hint="eastAsia" w:ascii="宋体" w:hAnsi="宋体" w:cs="宋体"/>
                <w:kern w:val="0"/>
                <w:sz w:val="24"/>
              </w:rPr>
            </w:pPr>
            <w:r>
              <w:rPr>
                <w:rFonts w:hint="eastAsia" w:ascii="宋体" w:hAnsi="宋体" w:cs="宋体"/>
                <w:kern w:val="0"/>
                <w:sz w:val="24"/>
              </w:rPr>
              <w:t>　</w:t>
            </w:r>
          </w:p>
        </w:tc>
      </w:tr>
      <w:tr w14:paraId="640022CA">
        <w:tblPrEx>
          <w:tblCellMar>
            <w:top w:w="0" w:type="dxa"/>
            <w:left w:w="108" w:type="dxa"/>
            <w:bottom w:w="0" w:type="dxa"/>
            <w:right w:w="108" w:type="dxa"/>
          </w:tblCellMar>
        </w:tblPrEx>
        <w:trPr>
          <w:trHeight w:val="780"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73CB6DFD">
            <w:pPr>
              <w:widowControl/>
              <w:jc w:val="left"/>
              <w:rPr>
                <w:rFonts w:ascii="宋体" w:hAnsi="宋体" w:cs="宋体"/>
                <w:b/>
                <w:bCs/>
                <w:kern w:val="0"/>
                <w:sz w:val="24"/>
              </w:rPr>
            </w:pPr>
          </w:p>
        </w:tc>
        <w:tc>
          <w:tcPr>
            <w:tcW w:w="438" w:type="pct"/>
            <w:vMerge w:val="continue"/>
            <w:tcBorders>
              <w:top w:val="nil"/>
              <w:left w:val="single" w:color="auto" w:sz="4" w:space="0"/>
              <w:bottom w:val="single" w:color="auto" w:sz="4" w:space="0"/>
              <w:right w:val="single" w:color="auto" w:sz="4" w:space="0"/>
            </w:tcBorders>
            <w:noWrap w:val="0"/>
            <w:vAlign w:val="center"/>
          </w:tcPr>
          <w:p w14:paraId="2AA72351">
            <w:pPr>
              <w:widowControl/>
              <w:jc w:val="left"/>
              <w:rPr>
                <w:rFonts w:ascii="宋体" w:hAnsi="宋体" w:cs="宋体"/>
                <w:b/>
                <w:bCs/>
                <w:kern w:val="0"/>
                <w:sz w:val="24"/>
              </w:rPr>
            </w:pPr>
          </w:p>
        </w:tc>
        <w:tc>
          <w:tcPr>
            <w:tcW w:w="681" w:type="pct"/>
            <w:tcBorders>
              <w:top w:val="nil"/>
              <w:left w:val="nil"/>
              <w:bottom w:val="single" w:color="auto" w:sz="4" w:space="0"/>
              <w:right w:val="single" w:color="auto" w:sz="4" w:space="0"/>
            </w:tcBorders>
            <w:noWrap w:val="0"/>
            <w:vAlign w:val="center"/>
          </w:tcPr>
          <w:p w14:paraId="716F94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18" w:type="pct"/>
            <w:tcBorders>
              <w:top w:val="nil"/>
              <w:left w:val="nil"/>
              <w:bottom w:val="single" w:color="auto" w:sz="4" w:space="0"/>
              <w:right w:val="single" w:color="auto" w:sz="4" w:space="0"/>
            </w:tcBorders>
            <w:noWrap w:val="0"/>
            <w:vAlign w:val="center"/>
          </w:tcPr>
          <w:p w14:paraId="445479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noWrap w:val="0"/>
            <w:vAlign w:val="center"/>
          </w:tcPr>
          <w:p w14:paraId="489780C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817" w:type="pct"/>
            <w:tcBorders>
              <w:top w:val="nil"/>
              <w:left w:val="nil"/>
              <w:bottom w:val="single" w:color="auto" w:sz="4" w:space="0"/>
              <w:right w:val="single" w:color="auto" w:sz="4" w:space="0"/>
            </w:tcBorders>
            <w:noWrap w:val="0"/>
            <w:vAlign w:val="center"/>
          </w:tcPr>
          <w:p w14:paraId="2A80FA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65" w:type="pct"/>
            <w:tcBorders>
              <w:top w:val="nil"/>
              <w:left w:val="nil"/>
              <w:bottom w:val="single" w:color="auto" w:sz="4" w:space="0"/>
              <w:right w:val="single" w:color="auto" w:sz="4" w:space="0"/>
            </w:tcBorders>
            <w:noWrap w:val="0"/>
            <w:vAlign w:val="center"/>
          </w:tcPr>
          <w:p w14:paraId="3EDE0665">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noWrap w:val="0"/>
            <w:vAlign w:val="center"/>
          </w:tcPr>
          <w:p w14:paraId="6CD522E3">
            <w:pPr>
              <w:widowControl/>
              <w:jc w:val="center"/>
              <w:rPr>
                <w:rFonts w:hint="eastAsia" w:ascii="宋体" w:hAnsi="宋体" w:cs="宋体"/>
                <w:kern w:val="0"/>
                <w:sz w:val="24"/>
              </w:rPr>
            </w:pPr>
            <w:r>
              <w:rPr>
                <w:rFonts w:hint="eastAsia" w:ascii="宋体" w:hAnsi="宋体" w:cs="宋体"/>
                <w:kern w:val="0"/>
                <w:sz w:val="24"/>
              </w:rPr>
              <w:t>　</w:t>
            </w:r>
          </w:p>
        </w:tc>
      </w:tr>
      <w:tr w14:paraId="6157DA10">
        <w:tblPrEx>
          <w:tblCellMar>
            <w:top w:w="0" w:type="dxa"/>
            <w:left w:w="108" w:type="dxa"/>
            <w:bottom w:w="0" w:type="dxa"/>
            <w:right w:w="108" w:type="dxa"/>
          </w:tblCellMar>
        </w:tblPrEx>
        <w:trPr>
          <w:trHeight w:val="1161"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7435A152">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noWrap w:val="0"/>
            <w:vAlign w:val="center"/>
          </w:tcPr>
          <w:p w14:paraId="499932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18" w:type="pct"/>
            <w:tcBorders>
              <w:top w:val="nil"/>
              <w:left w:val="nil"/>
              <w:bottom w:val="single" w:color="auto" w:sz="4" w:space="0"/>
              <w:right w:val="single" w:color="auto" w:sz="4" w:space="0"/>
            </w:tcBorders>
            <w:noWrap w:val="0"/>
            <w:vAlign w:val="center"/>
          </w:tcPr>
          <w:p w14:paraId="311CF5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noWrap w:val="0"/>
            <w:vAlign w:val="center"/>
          </w:tcPr>
          <w:p w14:paraId="5051B5D5">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817" w:type="pct"/>
            <w:tcBorders>
              <w:top w:val="nil"/>
              <w:left w:val="nil"/>
              <w:bottom w:val="single" w:color="auto" w:sz="4" w:space="0"/>
              <w:right w:val="single" w:color="auto" w:sz="4" w:space="0"/>
            </w:tcBorders>
            <w:noWrap w:val="0"/>
            <w:vAlign w:val="center"/>
          </w:tcPr>
          <w:p w14:paraId="7E6CE92A">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65" w:type="pct"/>
            <w:tcBorders>
              <w:top w:val="nil"/>
              <w:left w:val="nil"/>
              <w:bottom w:val="single" w:color="auto" w:sz="4" w:space="0"/>
              <w:right w:val="single" w:color="auto" w:sz="4" w:space="0"/>
            </w:tcBorders>
            <w:noWrap w:val="0"/>
            <w:vAlign w:val="center"/>
          </w:tcPr>
          <w:p w14:paraId="0A7D5858">
            <w:pPr>
              <w:widowControl/>
              <w:jc w:val="center"/>
              <w:rPr>
                <w:rFonts w:hint="eastAsia" w:ascii="宋体" w:hAnsi="宋体" w:cs="宋体"/>
                <w:kern w:val="0"/>
                <w:sz w:val="24"/>
              </w:rPr>
            </w:pPr>
            <w:r>
              <w:rPr>
                <w:rFonts w:hint="eastAsia" w:ascii="宋体" w:hAnsi="宋体" w:cs="宋体"/>
                <w:kern w:val="0"/>
                <w:sz w:val="24"/>
              </w:rPr>
              <w:t>　</w:t>
            </w:r>
          </w:p>
        </w:tc>
        <w:tc>
          <w:tcPr>
            <w:tcW w:w="335" w:type="pct"/>
            <w:tcBorders>
              <w:top w:val="nil"/>
              <w:left w:val="nil"/>
              <w:bottom w:val="single" w:color="auto" w:sz="4" w:space="0"/>
              <w:right w:val="single" w:color="auto" w:sz="4" w:space="0"/>
            </w:tcBorders>
            <w:noWrap w:val="0"/>
            <w:vAlign w:val="center"/>
          </w:tcPr>
          <w:p w14:paraId="3122CDF4">
            <w:pPr>
              <w:widowControl/>
              <w:jc w:val="center"/>
              <w:rPr>
                <w:rFonts w:hint="eastAsia" w:ascii="宋体" w:hAnsi="宋体" w:cs="宋体"/>
                <w:kern w:val="0"/>
                <w:sz w:val="24"/>
              </w:rPr>
            </w:pPr>
            <w:r>
              <w:rPr>
                <w:rFonts w:hint="eastAsia" w:ascii="宋体" w:hAnsi="宋体" w:cs="宋体"/>
                <w:kern w:val="0"/>
                <w:sz w:val="24"/>
              </w:rPr>
              <w:t>　</w:t>
            </w:r>
          </w:p>
        </w:tc>
      </w:tr>
      <w:tr w14:paraId="6B6F2C17">
        <w:tblPrEx>
          <w:tblCellMar>
            <w:top w:w="0" w:type="dxa"/>
            <w:left w:w="108" w:type="dxa"/>
            <w:bottom w:w="0" w:type="dxa"/>
            <w:right w:w="108" w:type="dxa"/>
          </w:tblCellMar>
        </w:tblPrEx>
        <w:trPr>
          <w:trHeight w:val="840" w:hRule="atLeast"/>
          <w:jc w:val="center"/>
        </w:trPr>
        <w:tc>
          <w:tcPr>
            <w:tcW w:w="333" w:type="pct"/>
            <w:vMerge w:val="continue"/>
            <w:tcBorders>
              <w:top w:val="nil"/>
              <w:left w:val="single" w:color="auto" w:sz="4" w:space="0"/>
              <w:bottom w:val="single" w:color="000000" w:sz="4" w:space="0"/>
              <w:right w:val="single" w:color="auto" w:sz="4" w:space="0"/>
            </w:tcBorders>
            <w:noWrap w:val="0"/>
            <w:vAlign w:val="center"/>
          </w:tcPr>
          <w:p w14:paraId="531CA69E">
            <w:pPr>
              <w:widowControl/>
              <w:jc w:val="left"/>
              <w:rPr>
                <w:rFonts w:ascii="宋体" w:hAnsi="宋体" w:cs="宋体"/>
                <w:b/>
                <w:bCs/>
                <w:kern w:val="0"/>
                <w:sz w:val="24"/>
              </w:rPr>
            </w:pPr>
          </w:p>
        </w:tc>
        <w:tc>
          <w:tcPr>
            <w:tcW w:w="1119" w:type="pct"/>
            <w:gridSpan w:val="2"/>
            <w:tcBorders>
              <w:top w:val="single" w:color="auto" w:sz="4" w:space="0"/>
              <w:left w:val="nil"/>
              <w:bottom w:val="single" w:color="auto" w:sz="4" w:space="0"/>
              <w:right w:val="single" w:color="auto" w:sz="4" w:space="0"/>
            </w:tcBorders>
            <w:noWrap w:val="0"/>
            <w:vAlign w:val="center"/>
          </w:tcPr>
          <w:p w14:paraId="3FF9FB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18" w:type="pct"/>
            <w:tcBorders>
              <w:top w:val="nil"/>
              <w:left w:val="nil"/>
              <w:bottom w:val="single" w:color="auto" w:sz="4" w:space="0"/>
              <w:right w:val="single" w:color="auto" w:sz="4" w:space="0"/>
            </w:tcBorders>
            <w:noWrap w:val="0"/>
            <w:vAlign w:val="center"/>
          </w:tcPr>
          <w:p w14:paraId="0546F11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11" w:type="pct"/>
            <w:tcBorders>
              <w:top w:val="nil"/>
              <w:left w:val="nil"/>
              <w:bottom w:val="single" w:color="auto" w:sz="4" w:space="0"/>
              <w:right w:val="single" w:color="auto" w:sz="4" w:space="0"/>
            </w:tcBorders>
            <w:noWrap w:val="0"/>
            <w:vAlign w:val="center"/>
          </w:tcPr>
          <w:p w14:paraId="65C50E7D">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817" w:type="pct"/>
            <w:tcBorders>
              <w:top w:val="nil"/>
              <w:left w:val="nil"/>
              <w:bottom w:val="single" w:color="auto" w:sz="4" w:space="0"/>
              <w:right w:val="single" w:color="auto" w:sz="4" w:space="0"/>
            </w:tcBorders>
            <w:noWrap w:val="0"/>
            <w:vAlign w:val="center"/>
          </w:tcPr>
          <w:p w14:paraId="37B1C2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65" w:type="pct"/>
            <w:tcBorders>
              <w:top w:val="nil"/>
              <w:left w:val="nil"/>
              <w:bottom w:val="single" w:color="auto" w:sz="4" w:space="0"/>
              <w:right w:val="single" w:color="auto" w:sz="4" w:space="0"/>
            </w:tcBorders>
            <w:noWrap w:val="0"/>
            <w:vAlign w:val="center"/>
          </w:tcPr>
          <w:p w14:paraId="3C90D1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35" w:type="pct"/>
            <w:tcBorders>
              <w:top w:val="nil"/>
              <w:left w:val="nil"/>
              <w:bottom w:val="single" w:color="auto" w:sz="4" w:space="0"/>
              <w:right w:val="single" w:color="auto" w:sz="4" w:space="0"/>
            </w:tcBorders>
            <w:noWrap w:val="0"/>
            <w:vAlign w:val="center"/>
          </w:tcPr>
          <w:p w14:paraId="3263CE0D">
            <w:pPr>
              <w:widowControl/>
              <w:jc w:val="center"/>
              <w:rPr>
                <w:rFonts w:hint="eastAsia" w:ascii="宋体" w:hAnsi="宋体" w:cs="宋体"/>
                <w:kern w:val="0"/>
                <w:sz w:val="24"/>
              </w:rPr>
            </w:pPr>
            <w:r>
              <w:rPr>
                <w:rFonts w:hint="eastAsia" w:ascii="宋体" w:hAnsi="宋体" w:cs="宋体"/>
                <w:kern w:val="0"/>
                <w:sz w:val="24"/>
              </w:rPr>
              <w:t>　</w:t>
            </w:r>
          </w:p>
        </w:tc>
      </w:tr>
      <w:tr w14:paraId="125788B1">
        <w:tblPrEx>
          <w:tblCellMar>
            <w:top w:w="0" w:type="dxa"/>
            <w:left w:w="108" w:type="dxa"/>
            <w:bottom w:w="0" w:type="dxa"/>
            <w:right w:w="108" w:type="dxa"/>
          </w:tblCellMar>
        </w:tblPrEx>
        <w:trPr>
          <w:trHeight w:val="639" w:hRule="atLeast"/>
          <w:jc w:val="center"/>
        </w:trPr>
        <w:tc>
          <w:tcPr>
            <w:tcW w:w="1452" w:type="pct"/>
            <w:gridSpan w:val="3"/>
            <w:tcBorders>
              <w:top w:val="single" w:color="auto" w:sz="4" w:space="0"/>
              <w:left w:val="single" w:color="auto" w:sz="4" w:space="0"/>
              <w:bottom w:val="single" w:color="auto" w:sz="4" w:space="0"/>
              <w:right w:val="single" w:color="auto" w:sz="4" w:space="0"/>
            </w:tcBorders>
            <w:noWrap/>
            <w:vAlign w:val="center"/>
          </w:tcPr>
          <w:p w14:paraId="3E99C42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18" w:type="pct"/>
            <w:tcBorders>
              <w:top w:val="nil"/>
              <w:left w:val="nil"/>
              <w:bottom w:val="single" w:color="auto" w:sz="4" w:space="0"/>
              <w:right w:val="single" w:color="auto" w:sz="4" w:space="0"/>
            </w:tcBorders>
            <w:noWrap/>
            <w:vAlign w:val="center"/>
          </w:tcPr>
          <w:p w14:paraId="7968E72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11" w:type="pct"/>
            <w:tcBorders>
              <w:top w:val="nil"/>
              <w:left w:val="nil"/>
              <w:bottom w:val="single" w:color="auto" w:sz="4" w:space="0"/>
              <w:right w:val="single" w:color="auto" w:sz="4" w:space="0"/>
            </w:tcBorders>
            <w:noWrap/>
            <w:vAlign w:val="center"/>
          </w:tcPr>
          <w:p w14:paraId="3BDA63F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817" w:type="pct"/>
            <w:tcBorders>
              <w:top w:val="nil"/>
              <w:left w:val="nil"/>
              <w:bottom w:val="single" w:color="auto" w:sz="4" w:space="0"/>
              <w:right w:val="single" w:color="auto" w:sz="4" w:space="0"/>
            </w:tcBorders>
            <w:noWrap/>
            <w:vAlign w:val="center"/>
          </w:tcPr>
          <w:p w14:paraId="2C0FA6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65" w:type="pct"/>
            <w:tcBorders>
              <w:top w:val="nil"/>
              <w:left w:val="nil"/>
              <w:bottom w:val="single" w:color="auto" w:sz="4" w:space="0"/>
              <w:right w:val="single" w:color="auto" w:sz="4" w:space="0"/>
            </w:tcBorders>
            <w:noWrap/>
            <w:vAlign w:val="center"/>
          </w:tcPr>
          <w:p w14:paraId="66E35D6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98.9</w:t>
            </w:r>
          </w:p>
        </w:tc>
        <w:tc>
          <w:tcPr>
            <w:tcW w:w="335" w:type="pct"/>
            <w:tcBorders>
              <w:top w:val="nil"/>
              <w:left w:val="nil"/>
              <w:bottom w:val="single" w:color="auto" w:sz="4" w:space="0"/>
              <w:right w:val="single" w:color="auto" w:sz="4" w:space="0"/>
            </w:tcBorders>
            <w:noWrap/>
            <w:vAlign w:val="center"/>
          </w:tcPr>
          <w:p w14:paraId="073D2E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459061D5">
      <w:pPr>
        <w:pStyle w:val="3"/>
        <w:rPr>
          <w:rFonts w:eastAsia="黑体" w:cs="黑体"/>
          <w:color w:val="FF0000"/>
          <w:sz w:val="32"/>
          <w:szCs w:val="32"/>
        </w:rPr>
      </w:pPr>
    </w:p>
    <w:p w14:paraId="77A025F2">
      <w:pPr>
        <w:pStyle w:val="3"/>
        <w:rPr>
          <w:rFonts w:eastAsia="黑体" w:cs="黑体"/>
          <w:color w:val="FF0000"/>
          <w:sz w:val="32"/>
          <w:szCs w:val="32"/>
        </w:rPr>
      </w:pPr>
    </w:p>
    <w:tbl>
      <w:tblPr>
        <w:tblStyle w:val="15"/>
        <w:tblW w:w="10940" w:type="dxa"/>
        <w:jc w:val="center"/>
        <w:tblLayout w:type="autofit"/>
        <w:tblCellMar>
          <w:top w:w="0" w:type="dxa"/>
          <w:left w:w="108" w:type="dxa"/>
          <w:bottom w:w="0" w:type="dxa"/>
          <w:right w:w="108" w:type="dxa"/>
        </w:tblCellMar>
      </w:tblPr>
      <w:tblGrid>
        <w:gridCol w:w="880"/>
        <w:gridCol w:w="1180"/>
        <w:gridCol w:w="1140"/>
        <w:gridCol w:w="1140"/>
        <w:gridCol w:w="780"/>
        <w:gridCol w:w="780"/>
        <w:gridCol w:w="720"/>
        <w:gridCol w:w="1080"/>
        <w:gridCol w:w="1080"/>
        <w:gridCol w:w="1080"/>
        <w:gridCol w:w="1080"/>
      </w:tblGrid>
      <w:tr w14:paraId="6ED62682">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182BD7F7">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2BAA55BD">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A226AA">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208F9B27">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51090422T000006751003-录播教室</w:t>
            </w:r>
          </w:p>
        </w:tc>
      </w:tr>
      <w:tr w14:paraId="1D63CAF4">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3F768A">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03096880">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遂宁市安居区三家镇中心小学校部门</w:t>
            </w:r>
          </w:p>
        </w:tc>
        <w:tc>
          <w:tcPr>
            <w:tcW w:w="1080" w:type="dxa"/>
            <w:tcBorders>
              <w:top w:val="nil"/>
              <w:left w:val="nil"/>
              <w:bottom w:val="single" w:color="auto" w:sz="4" w:space="0"/>
              <w:right w:val="single" w:color="auto" w:sz="4" w:space="0"/>
            </w:tcBorders>
            <w:shd w:val="clear" w:color="auto" w:fill="auto"/>
            <w:vAlign w:val="center"/>
          </w:tcPr>
          <w:p w14:paraId="085DABDC">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7902FF3F">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w:t>
            </w:r>
          </w:p>
        </w:tc>
      </w:tr>
      <w:tr w14:paraId="47E87BAA">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4DA5998F">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13C9E083">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0D26F1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0D93AF3A">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530ABAD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630030A2">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1F2FD0B5">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7D0A31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6288E88F">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严格执行预算，及时申请支付资金，促进学校健康发展。</w:t>
            </w:r>
          </w:p>
        </w:tc>
      </w:tr>
      <w:tr w14:paraId="52568F6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44D4AAB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3A301FE">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30C9A58B">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及时申报经费，预算编制科学合理，减少结余资金,促进学校健康发展。</w:t>
            </w:r>
          </w:p>
        </w:tc>
      </w:tr>
      <w:tr w14:paraId="55D030C6">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2D66A5AF">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684839EE">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3B1AE75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28A3BAE7">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4112FC5">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6A6CB833">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51A50BB1">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30D0E09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74D30F3D">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2D10B12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08703C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BB1DA6B">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72F25F2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DAE8F10">
            <w:pPr>
              <w:widowControl/>
              <w:jc w:val="center"/>
              <w:rPr>
                <w:rFonts w:ascii="宋体" w:hAnsi="宋体" w:cs="宋体"/>
                <w:color w:val="000000"/>
                <w:kern w:val="0"/>
                <w:sz w:val="20"/>
                <w:szCs w:val="20"/>
              </w:rPr>
            </w:pPr>
            <w:r>
              <w:rPr>
                <w:rFonts w:hint="eastAsia" w:ascii="宋体" w:hAnsi="宋体" w:cs="宋体"/>
                <w:color w:val="000000"/>
                <w:kern w:val="0"/>
                <w:sz w:val="20"/>
                <w:szCs w:val="20"/>
              </w:rPr>
              <w:t>49.90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0794459">
            <w:pPr>
              <w:widowControl/>
              <w:jc w:val="center"/>
              <w:rPr>
                <w:rFonts w:ascii="宋体" w:hAnsi="宋体" w:cs="宋体"/>
                <w:color w:val="000000"/>
                <w:kern w:val="0"/>
                <w:sz w:val="20"/>
                <w:szCs w:val="20"/>
              </w:rPr>
            </w:pPr>
            <w:r>
              <w:rPr>
                <w:rFonts w:hint="eastAsia" w:ascii="宋体" w:hAnsi="宋体" w:cs="宋体"/>
                <w:color w:val="000000"/>
                <w:kern w:val="0"/>
                <w:sz w:val="20"/>
                <w:szCs w:val="20"/>
              </w:rPr>
              <w:t>49.90</w:t>
            </w:r>
          </w:p>
        </w:tc>
        <w:tc>
          <w:tcPr>
            <w:tcW w:w="1080" w:type="dxa"/>
            <w:tcBorders>
              <w:top w:val="nil"/>
              <w:left w:val="nil"/>
              <w:bottom w:val="single" w:color="auto" w:sz="4" w:space="0"/>
              <w:right w:val="single" w:color="auto" w:sz="4" w:space="0"/>
            </w:tcBorders>
            <w:shd w:val="clear" w:color="auto" w:fill="auto"/>
            <w:vAlign w:val="center"/>
          </w:tcPr>
          <w:p w14:paraId="5FB38DE1">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5BF7F45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0994E27C">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495C55B">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8C8B79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D60D63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37DB08D">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5E2B7CB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37BCD17">
            <w:pPr>
              <w:widowControl/>
              <w:jc w:val="center"/>
              <w:rPr>
                <w:rFonts w:ascii="宋体" w:hAnsi="宋体" w:cs="宋体"/>
                <w:color w:val="000000"/>
                <w:kern w:val="0"/>
                <w:sz w:val="20"/>
                <w:szCs w:val="20"/>
              </w:rPr>
            </w:pPr>
            <w:r>
              <w:rPr>
                <w:rFonts w:hint="eastAsia" w:ascii="宋体" w:hAnsi="宋体" w:cs="宋体"/>
                <w:color w:val="000000"/>
                <w:kern w:val="0"/>
                <w:sz w:val="20"/>
                <w:szCs w:val="20"/>
              </w:rPr>
              <w:t>49.90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C579D85">
            <w:pPr>
              <w:widowControl/>
              <w:jc w:val="center"/>
              <w:rPr>
                <w:rFonts w:ascii="宋体" w:hAnsi="宋体" w:cs="宋体"/>
                <w:color w:val="000000"/>
                <w:kern w:val="0"/>
                <w:sz w:val="20"/>
                <w:szCs w:val="20"/>
              </w:rPr>
            </w:pPr>
            <w:r>
              <w:rPr>
                <w:rFonts w:hint="eastAsia" w:ascii="宋体" w:hAnsi="宋体" w:cs="宋体"/>
                <w:color w:val="000000"/>
                <w:kern w:val="0"/>
                <w:sz w:val="20"/>
                <w:szCs w:val="20"/>
              </w:rPr>
              <w:t>49.90</w:t>
            </w:r>
          </w:p>
        </w:tc>
        <w:tc>
          <w:tcPr>
            <w:tcW w:w="1080" w:type="dxa"/>
            <w:tcBorders>
              <w:top w:val="nil"/>
              <w:left w:val="nil"/>
              <w:bottom w:val="single" w:color="auto" w:sz="4" w:space="0"/>
              <w:right w:val="single" w:color="auto" w:sz="4" w:space="0"/>
            </w:tcBorders>
            <w:shd w:val="clear" w:color="auto" w:fill="auto"/>
            <w:vAlign w:val="center"/>
          </w:tcPr>
          <w:p w14:paraId="18F8FE91">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1C39686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2CEB5D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49ED075">
            <w:pPr>
              <w:widowControl/>
              <w:jc w:val="left"/>
              <w:rPr>
                <w:rFonts w:ascii="宋体" w:hAnsi="宋体" w:cs="宋体"/>
                <w:i/>
                <w:iCs/>
                <w:color w:val="000000"/>
                <w:kern w:val="0"/>
                <w:sz w:val="20"/>
                <w:szCs w:val="20"/>
              </w:rPr>
            </w:pPr>
          </w:p>
        </w:tc>
      </w:tr>
      <w:tr w14:paraId="1295414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7A02C8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7C52809">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0ECCD85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95E52F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FDB2CA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BDBFA3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D908C6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7EBDD55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7FE6E7E">
            <w:pPr>
              <w:widowControl/>
              <w:jc w:val="left"/>
              <w:rPr>
                <w:rFonts w:ascii="宋体" w:hAnsi="宋体" w:cs="宋体"/>
                <w:i/>
                <w:iCs/>
                <w:color w:val="000000"/>
                <w:kern w:val="0"/>
                <w:sz w:val="20"/>
                <w:szCs w:val="20"/>
              </w:rPr>
            </w:pPr>
          </w:p>
        </w:tc>
      </w:tr>
      <w:tr w14:paraId="1CA5F40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E1F1C8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315195A">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55C5496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E7EF4A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FC5D42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A3FE52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4FC8F1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C71998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47F20CE">
            <w:pPr>
              <w:widowControl/>
              <w:jc w:val="left"/>
              <w:rPr>
                <w:rFonts w:ascii="宋体" w:hAnsi="宋体" w:cs="宋体"/>
                <w:i/>
                <w:iCs/>
                <w:color w:val="000000"/>
                <w:kern w:val="0"/>
                <w:sz w:val="20"/>
                <w:szCs w:val="20"/>
              </w:rPr>
            </w:pPr>
          </w:p>
        </w:tc>
      </w:tr>
      <w:tr w14:paraId="1D151BA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880F4D7">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D946ED9">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412C182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373C144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8FD005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F5AB0B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26E201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4ED7D66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E9519E9">
            <w:pPr>
              <w:widowControl/>
              <w:jc w:val="left"/>
              <w:rPr>
                <w:rFonts w:ascii="宋体" w:hAnsi="宋体" w:cs="宋体"/>
                <w:i/>
                <w:iCs/>
                <w:color w:val="000000"/>
                <w:kern w:val="0"/>
                <w:sz w:val="20"/>
                <w:szCs w:val="20"/>
              </w:rPr>
            </w:pPr>
          </w:p>
        </w:tc>
      </w:tr>
      <w:tr w14:paraId="01723F84">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636BDCD6">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7D8543E2">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16D471D6">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5A2056BB">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65FECC89">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285B30FB">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66416C2E">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2234F789">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49107B00">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4C0C067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72C93679">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28729BD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35E86FF5">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184ABD09">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2415F1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14:paraId="0A32C7A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18D9AB9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02FBD32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60B2978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554F36A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6CA2F78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9BBD43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24FC1060">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01A0548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245786A6">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1813D1ED">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1D55862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353FF13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23C19E6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69CD2A6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6AB7ED0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6E38CC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6E4DBD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414D6F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0C603D7C">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04CAF35E">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78F6E0">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748C0815">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867F351">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5C2E52F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B120F07">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08BCDC4">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3F3DEDC4">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70556EDA">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60B015C">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2042659">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12C1FDAA">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524B45A">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4E5F218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57D8E22B">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FFA94">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项目负责人：杜君</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1A65850B">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财务负责人：熊虎</w:t>
            </w:r>
          </w:p>
        </w:tc>
      </w:tr>
      <w:tr w14:paraId="630B3344">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509DF158">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04CE108A">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35D3E9F5">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04839A22">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69F77ACD">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29C8391">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761BF050">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D0ACB75">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F086E73">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4933C6EF">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42918B0">
            <w:pPr>
              <w:widowControl/>
              <w:jc w:val="left"/>
              <w:rPr>
                <w:rFonts w:ascii="宋体" w:hAnsi="宋体" w:cs="宋体"/>
                <w:color w:val="000000"/>
                <w:kern w:val="0"/>
                <w:sz w:val="20"/>
                <w:szCs w:val="20"/>
              </w:rPr>
            </w:pPr>
          </w:p>
        </w:tc>
      </w:tr>
      <w:tr w14:paraId="6E06E9D6">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2A13D9B8">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3006446B">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6B5B55">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F1F9E8A">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51090422T000006815845-义务教育家庭经济困难学生生活补助</w:t>
            </w:r>
          </w:p>
        </w:tc>
      </w:tr>
      <w:tr w14:paraId="430EC320">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F15D42">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1C066C0">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遂宁市安居区三家镇中心小学校部门</w:t>
            </w:r>
          </w:p>
        </w:tc>
        <w:tc>
          <w:tcPr>
            <w:tcW w:w="1080" w:type="dxa"/>
            <w:tcBorders>
              <w:top w:val="nil"/>
              <w:left w:val="nil"/>
              <w:bottom w:val="single" w:color="auto" w:sz="4" w:space="0"/>
              <w:right w:val="single" w:color="auto" w:sz="4" w:space="0"/>
            </w:tcBorders>
            <w:shd w:val="clear" w:color="auto" w:fill="auto"/>
            <w:vAlign w:val="center"/>
          </w:tcPr>
          <w:p w14:paraId="721219BE">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73F9D5CD">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w:t>
            </w:r>
          </w:p>
        </w:tc>
      </w:tr>
      <w:tr w14:paraId="406B0C2C">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209C660B">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21451876">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4B638D8">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46A56DA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2DDE7C9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646EBA81">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464D0CAB">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A37344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44739FE0">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w:t>
            </w:r>
          </w:p>
        </w:tc>
      </w:tr>
      <w:tr w14:paraId="38732E5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6914FB8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54528ED">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4D2E9E84">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14:paraId="3E12DFDF">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6061E612">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28B0C7A1">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7BC2DFC3">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56583C80">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661ED0F">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7ED53E17">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48F6DE1A">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2CF49091">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215DA251">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3215EDC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9B34F7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2321B44">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4BFFE07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BE3E591">
            <w:pPr>
              <w:widowControl/>
              <w:jc w:val="center"/>
              <w:rPr>
                <w:rFonts w:ascii="宋体" w:hAnsi="宋体" w:cs="宋体"/>
                <w:color w:val="000000"/>
                <w:kern w:val="0"/>
                <w:sz w:val="20"/>
                <w:szCs w:val="20"/>
              </w:rPr>
            </w:pPr>
            <w:r>
              <w:rPr>
                <w:rFonts w:hint="eastAsia" w:ascii="宋体" w:hAnsi="宋体" w:cs="宋体"/>
                <w:color w:val="000000"/>
                <w:kern w:val="0"/>
                <w:sz w:val="20"/>
                <w:szCs w:val="20"/>
              </w:rPr>
              <w:t>4.50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DCDDCAD">
            <w:pPr>
              <w:widowControl/>
              <w:jc w:val="center"/>
              <w:rPr>
                <w:rFonts w:ascii="宋体" w:hAnsi="宋体" w:cs="宋体"/>
                <w:color w:val="000000"/>
                <w:kern w:val="0"/>
                <w:sz w:val="20"/>
                <w:szCs w:val="20"/>
              </w:rPr>
            </w:pPr>
            <w:r>
              <w:rPr>
                <w:rFonts w:hint="eastAsia" w:ascii="宋体" w:hAnsi="宋体" w:cs="宋体"/>
                <w:color w:val="000000"/>
                <w:kern w:val="0"/>
                <w:sz w:val="20"/>
                <w:szCs w:val="20"/>
              </w:rPr>
              <w:t>4.50</w:t>
            </w:r>
          </w:p>
        </w:tc>
        <w:tc>
          <w:tcPr>
            <w:tcW w:w="1080" w:type="dxa"/>
            <w:tcBorders>
              <w:top w:val="nil"/>
              <w:left w:val="nil"/>
              <w:bottom w:val="single" w:color="auto" w:sz="4" w:space="0"/>
              <w:right w:val="single" w:color="auto" w:sz="4" w:space="0"/>
            </w:tcBorders>
            <w:shd w:val="clear" w:color="auto" w:fill="auto"/>
            <w:vAlign w:val="center"/>
          </w:tcPr>
          <w:p w14:paraId="72F3B687">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8DF323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49D4FA3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3BB1437">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06B1201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0FA8447">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AAFEF67">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10DA9B8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1E7195C">
            <w:pPr>
              <w:widowControl/>
              <w:jc w:val="center"/>
              <w:rPr>
                <w:rFonts w:ascii="宋体" w:hAnsi="宋体" w:cs="宋体"/>
                <w:color w:val="000000"/>
                <w:kern w:val="0"/>
                <w:sz w:val="20"/>
                <w:szCs w:val="20"/>
              </w:rPr>
            </w:pPr>
            <w:r>
              <w:rPr>
                <w:rFonts w:hint="eastAsia" w:ascii="宋体" w:hAnsi="宋体" w:cs="宋体"/>
                <w:color w:val="000000"/>
                <w:kern w:val="0"/>
                <w:sz w:val="20"/>
                <w:szCs w:val="20"/>
              </w:rPr>
              <w:t>4.50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5973964">
            <w:pPr>
              <w:widowControl/>
              <w:jc w:val="center"/>
              <w:rPr>
                <w:rFonts w:ascii="宋体" w:hAnsi="宋体" w:cs="宋体"/>
                <w:color w:val="000000"/>
                <w:kern w:val="0"/>
                <w:sz w:val="20"/>
                <w:szCs w:val="20"/>
              </w:rPr>
            </w:pPr>
            <w:r>
              <w:rPr>
                <w:rFonts w:hint="eastAsia" w:ascii="宋体" w:hAnsi="宋体" w:cs="宋体"/>
                <w:color w:val="000000"/>
                <w:kern w:val="0"/>
                <w:sz w:val="20"/>
                <w:szCs w:val="20"/>
              </w:rPr>
              <w:t>4.50</w:t>
            </w:r>
          </w:p>
        </w:tc>
        <w:tc>
          <w:tcPr>
            <w:tcW w:w="1080" w:type="dxa"/>
            <w:tcBorders>
              <w:top w:val="nil"/>
              <w:left w:val="nil"/>
              <w:bottom w:val="single" w:color="auto" w:sz="4" w:space="0"/>
              <w:right w:val="single" w:color="auto" w:sz="4" w:space="0"/>
            </w:tcBorders>
            <w:shd w:val="clear" w:color="auto" w:fill="auto"/>
            <w:vAlign w:val="center"/>
          </w:tcPr>
          <w:p w14:paraId="4A03D6A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777CB4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1012581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75ECB55">
            <w:pPr>
              <w:widowControl/>
              <w:jc w:val="left"/>
              <w:rPr>
                <w:rFonts w:ascii="宋体" w:hAnsi="宋体" w:cs="宋体"/>
                <w:i/>
                <w:iCs/>
                <w:color w:val="000000"/>
                <w:kern w:val="0"/>
                <w:sz w:val="20"/>
                <w:szCs w:val="20"/>
              </w:rPr>
            </w:pPr>
          </w:p>
        </w:tc>
      </w:tr>
      <w:tr w14:paraId="4381E8E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913E62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AFBF0EE">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56FDC9F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7324F2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5B4CA3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4C0842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9AB3B1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1886631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A41AA58">
            <w:pPr>
              <w:widowControl/>
              <w:jc w:val="left"/>
              <w:rPr>
                <w:rFonts w:ascii="宋体" w:hAnsi="宋体" w:cs="宋体"/>
                <w:i/>
                <w:iCs/>
                <w:color w:val="000000"/>
                <w:kern w:val="0"/>
                <w:sz w:val="20"/>
                <w:szCs w:val="20"/>
              </w:rPr>
            </w:pPr>
          </w:p>
        </w:tc>
      </w:tr>
      <w:tr w14:paraId="53E3C14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1AAA5DE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1B6D651">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5891ECE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A4A9C5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B0AEA0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2788504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5F2735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455B8F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D8639CA">
            <w:pPr>
              <w:widowControl/>
              <w:jc w:val="left"/>
              <w:rPr>
                <w:rFonts w:ascii="宋体" w:hAnsi="宋体" w:cs="宋体"/>
                <w:i/>
                <w:iCs/>
                <w:color w:val="000000"/>
                <w:kern w:val="0"/>
                <w:sz w:val="20"/>
                <w:szCs w:val="20"/>
              </w:rPr>
            </w:pPr>
          </w:p>
        </w:tc>
      </w:tr>
      <w:tr w14:paraId="7411B69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E0D66B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6142198">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3CE8232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5FA598A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615481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619F04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EE45AC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8EC99A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25B27B2">
            <w:pPr>
              <w:widowControl/>
              <w:jc w:val="left"/>
              <w:rPr>
                <w:rFonts w:ascii="宋体" w:hAnsi="宋体" w:cs="宋体"/>
                <w:i/>
                <w:iCs/>
                <w:color w:val="000000"/>
                <w:kern w:val="0"/>
                <w:sz w:val="20"/>
                <w:szCs w:val="20"/>
              </w:rPr>
            </w:pPr>
          </w:p>
        </w:tc>
      </w:tr>
      <w:tr w14:paraId="18F894A7">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31A0A259">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022593B2">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12C271E7">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5BBE165C">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12C2AE21">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7C4877E6">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643E6AF3">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29EC36C0">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02B0ED16">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128AAEA9">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3A4AD77D">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2487CDE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791BD544">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53FEFBE2">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F900DA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14:paraId="1133AC9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02490C9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481E3A4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4652703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6BEF7B7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6CE4120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EA1714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1C342197">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FCAAA7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057EB0DA">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3E7DB71B">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1E5F9CD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043903F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79CF0F5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1FC1561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55EFB55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375780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0A814D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3A14F6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055EEE52">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3C3BB3DC">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F05E72">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20FB006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9657610">
            <w:pPr>
              <w:widowControl/>
              <w:jc w:val="right"/>
              <w:rPr>
                <w:rFonts w:ascii="宋体" w:hAnsi="宋体" w:cs="宋体"/>
                <w:color w:val="000000"/>
                <w:kern w:val="0"/>
                <w:sz w:val="20"/>
                <w:szCs w:val="20"/>
              </w:rPr>
            </w:pPr>
            <w:r>
              <w:rPr>
                <w:rFonts w:hint="eastAsia" w:ascii="宋体" w:hAnsi="宋体" w:cs="宋体"/>
                <w:color w:val="000000"/>
                <w:kern w:val="0"/>
                <w:sz w:val="20"/>
                <w:szCs w:val="20"/>
              </w:rPr>
              <w:t>0</w:t>
            </w:r>
          </w:p>
        </w:tc>
        <w:tc>
          <w:tcPr>
            <w:tcW w:w="1080" w:type="dxa"/>
            <w:tcBorders>
              <w:top w:val="nil"/>
              <w:left w:val="nil"/>
              <w:bottom w:val="single" w:color="000000" w:sz="4" w:space="0"/>
              <w:right w:val="single" w:color="000000" w:sz="4" w:space="0"/>
            </w:tcBorders>
            <w:shd w:val="clear" w:color="auto" w:fill="auto"/>
            <w:vAlign w:val="center"/>
          </w:tcPr>
          <w:p w14:paraId="1A78EE8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774CA6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588302E7">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9D0DAC9">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14:paraId="0C38EAE7">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5192C5C4">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72936BAB">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3950C383">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D1F7A39">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35B4EFF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4B9506EE">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73428">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项目负责人：杜君</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42496B7B">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财务负责人：熊虎</w:t>
            </w:r>
          </w:p>
        </w:tc>
      </w:tr>
      <w:tr w14:paraId="7338159C">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7AB3081F">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101CA6AC">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35C31292">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113307CF">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7D14F3E">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5A98453E">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53987074">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37A7DB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A78EEEE">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F56AFCB">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1CE3F4E">
            <w:pPr>
              <w:widowControl/>
              <w:jc w:val="left"/>
              <w:rPr>
                <w:rFonts w:ascii="宋体" w:hAnsi="宋体" w:cs="宋体"/>
                <w:color w:val="000000"/>
                <w:kern w:val="0"/>
                <w:sz w:val="20"/>
                <w:szCs w:val="20"/>
              </w:rPr>
            </w:pPr>
          </w:p>
        </w:tc>
      </w:tr>
      <w:tr w14:paraId="397A2F15">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43ED1547">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7B4027B0">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ED6634">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4CB4BB26">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51090422T000007203223-校舍维修</w:t>
            </w:r>
          </w:p>
        </w:tc>
      </w:tr>
      <w:tr w14:paraId="70657B28">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AF00E">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21DFEB2">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遂宁市安居区三家镇中心小学校部门</w:t>
            </w:r>
          </w:p>
        </w:tc>
        <w:tc>
          <w:tcPr>
            <w:tcW w:w="1080" w:type="dxa"/>
            <w:tcBorders>
              <w:top w:val="nil"/>
              <w:left w:val="nil"/>
              <w:bottom w:val="single" w:color="auto" w:sz="4" w:space="0"/>
              <w:right w:val="single" w:color="auto" w:sz="4" w:space="0"/>
            </w:tcBorders>
            <w:shd w:val="clear" w:color="auto" w:fill="auto"/>
            <w:vAlign w:val="center"/>
          </w:tcPr>
          <w:p w14:paraId="01EA61A8">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65F4A072">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w:t>
            </w:r>
          </w:p>
        </w:tc>
      </w:tr>
      <w:tr w14:paraId="48781BF4">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57B67E9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07705FD3">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751231B6">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778FF8EE">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7DB0A5D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080964CC">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0EE5E449">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BE412E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0EE92745">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严格执行预算，及时申请支付资金，促进学校健康发展。</w:t>
            </w:r>
          </w:p>
        </w:tc>
      </w:tr>
      <w:tr w14:paraId="613631A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06D8FF2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22C30DE">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506974B">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及时申报经费，促进学校健康发展。</w:t>
            </w:r>
          </w:p>
        </w:tc>
      </w:tr>
      <w:tr w14:paraId="102208D5">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639AE0C3">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50F8027C">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471C1574">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3B2A5E4A">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29C0C74">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6AC0E6DD">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6EAA927C">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0CB71CE9">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781FBD76">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74C7DD5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32A75DD">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8BA858C">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158FA04E">
            <w:pPr>
              <w:widowControl/>
              <w:jc w:val="center"/>
              <w:rPr>
                <w:rFonts w:ascii="宋体" w:hAnsi="宋体" w:cs="宋体"/>
                <w:color w:val="000000"/>
                <w:kern w:val="0"/>
                <w:sz w:val="20"/>
                <w:szCs w:val="20"/>
              </w:rPr>
            </w:pPr>
            <w:r>
              <w:rPr>
                <w:rFonts w:hint="eastAsia" w:ascii="宋体" w:hAnsi="宋体" w:cs="宋体"/>
                <w:color w:val="000000"/>
                <w:kern w:val="0"/>
                <w:sz w:val="20"/>
                <w:szCs w:val="20"/>
              </w:rPr>
              <w:t>16.00</w:t>
            </w:r>
          </w:p>
        </w:tc>
        <w:tc>
          <w:tcPr>
            <w:tcW w:w="1140" w:type="dxa"/>
            <w:tcBorders>
              <w:top w:val="nil"/>
              <w:left w:val="nil"/>
              <w:bottom w:val="single" w:color="auto" w:sz="4" w:space="0"/>
              <w:right w:val="single" w:color="auto" w:sz="4" w:space="0"/>
            </w:tcBorders>
            <w:shd w:val="clear" w:color="auto" w:fill="auto"/>
            <w:vAlign w:val="center"/>
          </w:tcPr>
          <w:p w14:paraId="1BECF037">
            <w:pPr>
              <w:widowControl/>
              <w:jc w:val="center"/>
              <w:rPr>
                <w:rFonts w:ascii="宋体" w:hAnsi="宋体" w:cs="宋体"/>
                <w:color w:val="000000"/>
                <w:kern w:val="0"/>
                <w:sz w:val="20"/>
                <w:szCs w:val="20"/>
              </w:rPr>
            </w:pPr>
            <w:r>
              <w:rPr>
                <w:rFonts w:hint="eastAsia" w:ascii="宋体" w:hAnsi="宋体" w:cs="宋体"/>
                <w:color w:val="000000"/>
                <w:kern w:val="0"/>
                <w:sz w:val="20"/>
                <w:szCs w:val="20"/>
              </w:rPr>
              <w:t>63.00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F0B631F">
            <w:pPr>
              <w:widowControl/>
              <w:jc w:val="center"/>
              <w:rPr>
                <w:rFonts w:ascii="宋体" w:hAnsi="宋体" w:cs="宋体"/>
                <w:color w:val="000000"/>
                <w:kern w:val="0"/>
                <w:sz w:val="20"/>
                <w:szCs w:val="20"/>
              </w:rPr>
            </w:pPr>
            <w:r>
              <w:rPr>
                <w:rFonts w:hint="eastAsia" w:ascii="宋体" w:hAnsi="宋体" w:cs="宋体"/>
                <w:color w:val="000000"/>
                <w:kern w:val="0"/>
                <w:sz w:val="20"/>
                <w:szCs w:val="20"/>
              </w:rPr>
              <w:t>31.84</w:t>
            </w:r>
          </w:p>
        </w:tc>
        <w:tc>
          <w:tcPr>
            <w:tcW w:w="1080" w:type="dxa"/>
            <w:tcBorders>
              <w:top w:val="nil"/>
              <w:left w:val="nil"/>
              <w:bottom w:val="single" w:color="auto" w:sz="4" w:space="0"/>
              <w:right w:val="single" w:color="auto" w:sz="4" w:space="0"/>
            </w:tcBorders>
            <w:shd w:val="clear" w:color="auto" w:fill="auto"/>
            <w:vAlign w:val="center"/>
          </w:tcPr>
          <w:p w14:paraId="4F292252">
            <w:pPr>
              <w:widowControl/>
              <w:jc w:val="center"/>
              <w:rPr>
                <w:rFonts w:ascii="宋体" w:hAnsi="宋体" w:cs="宋体"/>
                <w:color w:val="000000"/>
                <w:kern w:val="0"/>
                <w:sz w:val="20"/>
                <w:szCs w:val="20"/>
              </w:rPr>
            </w:pPr>
            <w:r>
              <w:rPr>
                <w:rFonts w:hint="eastAsia" w:ascii="宋体" w:hAnsi="宋体" w:cs="宋体"/>
                <w:color w:val="000000"/>
                <w:kern w:val="0"/>
                <w:sz w:val="20"/>
                <w:szCs w:val="20"/>
              </w:rPr>
              <w:t>50.54%</w:t>
            </w:r>
          </w:p>
        </w:tc>
        <w:tc>
          <w:tcPr>
            <w:tcW w:w="1080" w:type="dxa"/>
            <w:tcBorders>
              <w:top w:val="nil"/>
              <w:left w:val="nil"/>
              <w:bottom w:val="single" w:color="auto" w:sz="4" w:space="0"/>
              <w:right w:val="single" w:color="auto" w:sz="4" w:space="0"/>
            </w:tcBorders>
            <w:shd w:val="clear" w:color="auto" w:fill="auto"/>
            <w:vAlign w:val="center"/>
          </w:tcPr>
          <w:p w14:paraId="25CB665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1ADC2240">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2257E65">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061B5F4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23AB78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41D4972">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414618DE">
            <w:pPr>
              <w:widowControl/>
              <w:jc w:val="center"/>
              <w:rPr>
                <w:rFonts w:ascii="宋体" w:hAnsi="宋体" w:cs="宋体"/>
                <w:color w:val="000000"/>
                <w:kern w:val="0"/>
                <w:sz w:val="20"/>
                <w:szCs w:val="20"/>
              </w:rPr>
            </w:pPr>
            <w:r>
              <w:rPr>
                <w:rFonts w:hint="eastAsia" w:ascii="宋体" w:hAnsi="宋体" w:cs="宋体"/>
                <w:color w:val="000000"/>
                <w:kern w:val="0"/>
                <w:sz w:val="20"/>
                <w:szCs w:val="20"/>
              </w:rPr>
              <w:t>16.00</w:t>
            </w:r>
          </w:p>
        </w:tc>
        <w:tc>
          <w:tcPr>
            <w:tcW w:w="1140" w:type="dxa"/>
            <w:tcBorders>
              <w:top w:val="nil"/>
              <w:left w:val="nil"/>
              <w:bottom w:val="single" w:color="auto" w:sz="4" w:space="0"/>
              <w:right w:val="single" w:color="auto" w:sz="4" w:space="0"/>
            </w:tcBorders>
            <w:shd w:val="clear" w:color="auto" w:fill="auto"/>
            <w:vAlign w:val="center"/>
          </w:tcPr>
          <w:p w14:paraId="7B249FD1">
            <w:pPr>
              <w:widowControl/>
              <w:jc w:val="center"/>
              <w:rPr>
                <w:rFonts w:ascii="宋体" w:hAnsi="宋体" w:cs="宋体"/>
                <w:color w:val="000000"/>
                <w:kern w:val="0"/>
                <w:sz w:val="20"/>
                <w:szCs w:val="20"/>
              </w:rPr>
            </w:pPr>
            <w:r>
              <w:rPr>
                <w:rFonts w:hint="eastAsia" w:ascii="宋体" w:hAnsi="宋体" w:cs="宋体"/>
                <w:color w:val="000000"/>
                <w:kern w:val="0"/>
                <w:sz w:val="20"/>
                <w:szCs w:val="20"/>
              </w:rPr>
              <w:t>63.00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7337955">
            <w:pPr>
              <w:widowControl/>
              <w:jc w:val="center"/>
              <w:rPr>
                <w:rFonts w:ascii="宋体" w:hAnsi="宋体" w:cs="宋体"/>
                <w:color w:val="000000"/>
                <w:kern w:val="0"/>
                <w:sz w:val="20"/>
                <w:szCs w:val="20"/>
              </w:rPr>
            </w:pPr>
            <w:r>
              <w:rPr>
                <w:rFonts w:hint="eastAsia" w:ascii="宋体" w:hAnsi="宋体" w:cs="宋体"/>
                <w:color w:val="000000"/>
                <w:kern w:val="0"/>
                <w:sz w:val="20"/>
                <w:szCs w:val="20"/>
              </w:rPr>
              <w:t>31.84</w:t>
            </w:r>
          </w:p>
        </w:tc>
        <w:tc>
          <w:tcPr>
            <w:tcW w:w="1080" w:type="dxa"/>
            <w:tcBorders>
              <w:top w:val="nil"/>
              <w:left w:val="nil"/>
              <w:bottom w:val="single" w:color="auto" w:sz="4" w:space="0"/>
              <w:right w:val="single" w:color="auto" w:sz="4" w:space="0"/>
            </w:tcBorders>
            <w:shd w:val="clear" w:color="auto" w:fill="auto"/>
            <w:vAlign w:val="center"/>
          </w:tcPr>
          <w:p w14:paraId="042B1B11">
            <w:pPr>
              <w:widowControl/>
              <w:jc w:val="center"/>
              <w:rPr>
                <w:rFonts w:ascii="宋体" w:hAnsi="宋体" w:cs="宋体"/>
                <w:color w:val="000000"/>
                <w:kern w:val="0"/>
                <w:sz w:val="20"/>
                <w:szCs w:val="20"/>
              </w:rPr>
            </w:pPr>
            <w:r>
              <w:rPr>
                <w:rFonts w:hint="eastAsia" w:ascii="宋体" w:hAnsi="宋体" w:cs="宋体"/>
                <w:color w:val="000000"/>
                <w:kern w:val="0"/>
                <w:sz w:val="20"/>
                <w:szCs w:val="20"/>
              </w:rPr>
              <w:t>50.54%</w:t>
            </w:r>
          </w:p>
        </w:tc>
        <w:tc>
          <w:tcPr>
            <w:tcW w:w="1080" w:type="dxa"/>
            <w:tcBorders>
              <w:top w:val="nil"/>
              <w:left w:val="nil"/>
              <w:bottom w:val="single" w:color="auto" w:sz="4" w:space="0"/>
              <w:right w:val="single" w:color="auto" w:sz="4" w:space="0"/>
            </w:tcBorders>
            <w:shd w:val="clear" w:color="auto" w:fill="auto"/>
            <w:vAlign w:val="center"/>
          </w:tcPr>
          <w:p w14:paraId="72C811C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34A0BE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581436E">
            <w:pPr>
              <w:widowControl/>
              <w:jc w:val="left"/>
              <w:rPr>
                <w:rFonts w:ascii="宋体" w:hAnsi="宋体" w:cs="宋体"/>
                <w:i/>
                <w:iCs/>
                <w:color w:val="000000"/>
                <w:kern w:val="0"/>
                <w:sz w:val="20"/>
                <w:szCs w:val="20"/>
              </w:rPr>
            </w:pPr>
          </w:p>
        </w:tc>
      </w:tr>
      <w:tr w14:paraId="3B53B25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E33F1A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84625D4">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6BB8F11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139167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E93674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D17EAB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247CC18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CCF60E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4A575E4">
            <w:pPr>
              <w:widowControl/>
              <w:jc w:val="left"/>
              <w:rPr>
                <w:rFonts w:ascii="宋体" w:hAnsi="宋体" w:cs="宋体"/>
                <w:i/>
                <w:iCs/>
                <w:color w:val="000000"/>
                <w:kern w:val="0"/>
                <w:sz w:val="20"/>
                <w:szCs w:val="20"/>
              </w:rPr>
            </w:pPr>
          </w:p>
        </w:tc>
      </w:tr>
      <w:tr w14:paraId="73D2062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D08E32D">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69EC714">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1FA94EB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37AD32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53152A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847F84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69B498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E93B65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F4C5D33">
            <w:pPr>
              <w:widowControl/>
              <w:jc w:val="left"/>
              <w:rPr>
                <w:rFonts w:ascii="宋体" w:hAnsi="宋体" w:cs="宋体"/>
                <w:i/>
                <w:iCs/>
                <w:color w:val="000000"/>
                <w:kern w:val="0"/>
                <w:sz w:val="20"/>
                <w:szCs w:val="20"/>
              </w:rPr>
            </w:pPr>
          </w:p>
        </w:tc>
      </w:tr>
      <w:tr w14:paraId="6FEF85E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FAABC1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C7AED64">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19C5085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7ED2E81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81D974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D7B4B6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A48131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7F6A3A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69B832A">
            <w:pPr>
              <w:widowControl/>
              <w:jc w:val="left"/>
              <w:rPr>
                <w:rFonts w:ascii="宋体" w:hAnsi="宋体" w:cs="宋体"/>
                <w:i/>
                <w:iCs/>
                <w:color w:val="000000"/>
                <w:kern w:val="0"/>
                <w:sz w:val="20"/>
                <w:szCs w:val="20"/>
              </w:rPr>
            </w:pPr>
          </w:p>
        </w:tc>
      </w:tr>
      <w:tr w14:paraId="25064062">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4087EF82">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5306C8BF">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746823E8">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464B86D6">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2B3EB4CC">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1AC1465A">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3E37F3F0">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0D00B983">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10C18CB7">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0427C278">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0F2FFF0F">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5CF6233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4A86AE83">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053A9069">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CF112A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14:paraId="1A73CE8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57CCE3B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5DB4B66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4AD2E60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4887178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14EC379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9E7FEC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5BAEB83F">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290DE6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2F3F42E5">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758E233B">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654D4F7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46ADBBA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55D146B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7C658FC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22F6217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528BAC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788FB7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FD0A74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212BE6E4">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318F5EC1">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6028AF">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3525F6B6">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A1790C0">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0F6616B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3498AA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024E56C">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E39108B">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635D1DE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1C650CF">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7143C9A3">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37E58218">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7D33C928">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39E3D90">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225FF51B">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73F53">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项目负责人：杜君</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309363B9">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财务负责人：熊虎</w:t>
            </w:r>
          </w:p>
        </w:tc>
      </w:tr>
      <w:tr w14:paraId="3DCBAEB0">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53EA20BE">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365DA5EE">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5C541D62">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5E366F9F">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66D0DC51">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16DC7C5A">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2EAB3326">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4E05F76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802DC8C">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08ED2A9B">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4EBB37C">
            <w:pPr>
              <w:widowControl/>
              <w:jc w:val="left"/>
              <w:rPr>
                <w:rFonts w:ascii="宋体" w:hAnsi="宋体" w:cs="宋体"/>
                <w:color w:val="000000"/>
                <w:kern w:val="0"/>
                <w:sz w:val="20"/>
                <w:szCs w:val="20"/>
              </w:rPr>
            </w:pPr>
          </w:p>
        </w:tc>
      </w:tr>
      <w:tr w14:paraId="74836FFD">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5154BB31">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52D832F8">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69254">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032C51F7">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51090423T000009404312-城乡义务教育-免作业本费</w:t>
            </w:r>
          </w:p>
        </w:tc>
      </w:tr>
      <w:tr w14:paraId="5291A788">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EA4A93">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DF6E82D">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遂宁市安居区三家镇中心小学校部门</w:t>
            </w:r>
          </w:p>
        </w:tc>
        <w:tc>
          <w:tcPr>
            <w:tcW w:w="1080" w:type="dxa"/>
            <w:tcBorders>
              <w:top w:val="nil"/>
              <w:left w:val="nil"/>
              <w:bottom w:val="single" w:color="auto" w:sz="4" w:space="0"/>
              <w:right w:val="single" w:color="auto" w:sz="4" w:space="0"/>
            </w:tcBorders>
            <w:shd w:val="clear" w:color="auto" w:fill="auto"/>
            <w:vAlign w:val="center"/>
          </w:tcPr>
          <w:p w14:paraId="6BBF39EE">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45329459">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w:t>
            </w:r>
          </w:p>
        </w:tc>
      </w:tr>
      <w:tr w14:paraId="708F6A46">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137527D1">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189D724E">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900C093">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1ED734E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66CC747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3D12A92E">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12B4AAE5">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C519DA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5D91891A">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严格执行预算，及时申请支付资金，保证学生作业本按时发放。</w:t>
            </w:r>
          </w:p>
        </w:tc>
      </w:tr>
      <w:tr w14:paraId="431C20C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1310490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C4F2525">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3C2CED81">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及时申报经费，保证学生作业本按时发放。</w:t>
            </w:r>
          </w:p>
        </w:tc>
      </w:tr>
      <w:tr w14:paraId="261CD951">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7BF77297">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6A275CFA">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395C2753">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4C256263">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90F515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771CD1A5">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62566251">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14073D92">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2B735784">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5AC0BFD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F3DDB9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1B2FFA9">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6D81F01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4CD8F47">
            <w:pPr>
              <w:widowControl/>
              <w:jc w:val="center"/>
              <w:rPr>
                <w:rFonts w:ascii="宋体" w:hAnsi="宋体" w:cs="宋体"/>
                <w:color w:val="000000"/>
                <w:kern w:val="0"/>
                <w:sz w:val="20"/>
                <w:szCs w:val="20"/>
              </w:rPr>
            </w:pPr>
            <w:r>
              <w:rPr>
                <w:rFonts w:hint="eastAsia" w:ascii="宋体" w:hAnsi="宋体" w:cs="宋体"/>
                <w:color w:val="000000"/>
                <w:kern w:val="0"/>
                <w:sz w:val="20"/>
                <w:szCs w:val="20"/>
              </w:rPr>
              <w:t>0.86</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389BFB4">
            <w:pPr>
              <w:widowControl/>
              <w:jc w:val="center"/>
              <w:rPr>
                <w:rFonts w:ascii="宋体" w:hAnsi="宋体" w:cs="宋体"/>
                <w:color w:val="000000"/>
                <w:kern w:val="0"/>
                <w:sz w:val="20"/>
                <w:szCs w:val="20"/>
              </w:rPr>
            </w:pPr>
            <w:r>
              <w:rPr>
                <w:rFonts w:hint="eastAsia" w:ascii="宋体" w:hAnsi="宋体" w:cs="宋体"/>
                <w:color w:val="000000"/>
                <w:kern w:val="0"/>
                <w:sz w:val="20"/>
                <w:szCs w:val="20"/>
              </w:rPr>
              <w:t>0.86</w:t>
            </w:r>
          </w:p>
        </w:tc>
        <w:tc>
          <w:tcPr>
            <w:tcW w:w="1080" w:type="dxa"/>
            <w:tcBorders>
              <w:top w:val="nil"/>
              <w:left w:val="nil"/>
              <w:bottom w:val="single" w:color="auto" w:sz="4" w:space="0"/>
              <w:right w:val="single" w:color="auto" w:sz="4" w:space="0"/>
            </w:tcBorders>
            <w:shd w:val="clear" w:color="auto" w:fill="auto"/>
            <w:vAlign w:val="center"/>
          </w:tcPr>
          <w:p w14:paraId="44E81748">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519C96CE">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47A6E2E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894776E">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290F52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8CCFE87">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C7AC2DA">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7F56288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078813D">
            <w:pPr>
              <w:widowControl/>
              <w:jc w:val="center"/>
              <w:rPr>
                <w:rFonts w:ascii="宋体" w:hAnsi="宋体" w:cs="宋体"/>
                <w:color w:val="000000"/>
                <w:kern w:val="0"/>
                <w:sz w:val="20"/>
                <w:szCs w:val="20"/>
              </w:rPr>
            </w:pPr>
            <w:r>
              <w:rPr>
                <w:rFonts w:hint="eastAsia" w:ascii="宋体" w:hAnsi="宋体" w:cs="宋体"/>
                <w:color w:val="000000"/>
                <w:kern w:val="0"/>
                <w:sz w:val="20"/>
                <w:szCs w:val="20"/>
              </w:rPr>
              <w:t>0.86</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401221C">
            <w:pPr>
              <w:widowControl/>
              <w:jc w:val="center"/>
              <w:rPr>
                <w:rFonts w:ascii="宋体" w:hAnsi="宋体" w:cs="宋体"/>
                <w:color w:val="000000"/>
                <w:kern w:val="0"/>
                <w:sz w:val="20"/>
                <w:szCs w:val="20"/>
              </w:rPr>
            </w:pPr>
            <w:r>
              <w:rPr>
                <w:rFonts w:hint="eastAsia" w:ascii="宋体" w:hAnsi="宋体" w:cs="宋体"/>
                <w:color w:val="000000"/>
                <w:kern w:val="0"/>
                <w:sz w:val="20"/>
                <w:szCs w:val="20"/>
              </w:rPr>
              <w:t>0.86</w:t>
            </w:r>
          </w:p>
        </w:tc>
        <w:tc>
          <w:tcPr>
            <w:tcW w:w="1080" w:type="dxa"/>
            <w:tcBorders>
              <w:top w:val="nil"/>
              <w:left w:val="nil"/>
              <w:bottom w:val="single" w:color="auto" w:sz="4" w:space="0"/>
              <w:right w:val="single" w:color="auto" w:sz="4" w:space="0"/>
            </w:tcBorders>
            <w:shd w:val="clear" w:color="auto" w:fill="auto"/>
            <w:vAlign w:val="center"/>
          </w:tcPr>
          <w:p w14:paraId="370F9ACC">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530EE6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3A9477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4A8355C">
            <w:pPr>
              <w:widowControl/>
              <w:jc w:val="left"/>
              <w:rPr>
                <w:rFonts w:ascii="宋体" w:hAnsi="宋体" w:cs="宋体"/>
                <w:i/>
                <w:iCs/>
                <w:color w:val="000000"/>
                <w:kern w:val="0"/>
                <w:sz w:val="20"/>
                <w:szCs w:val="20"/>
              </w:rPr>
            </w:pPr>
          </w:p>
        </w:tc>
      </w:tr>
      <w:tr w14:paraId="62878B5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E04357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FC396A3">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7D202B9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A4097F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7CC305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2F7F6A8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FFCF54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3A1830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44E74F08">
            <w:pPr>
              <w:widowControl/>
              <w:jc w:val="left"/>
              <w:rPr>
                <w:rFonts w:ascii="宋体" w:hAnsi="宋体" w:cs="宋体"/>
                <w:i/>
                <w:iCs/>
                <w:color w:val="000000"/>
                <w:kern w:val="0"/>
                <w:sz w:val="20"/>
                <w:szCs w:val="20"/>
              </w:rPr>
            </w:pPr>
          </w:p>
        </w:tc>
      </w:tr>
      <w:tr w14:paraId="411FC16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31914C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6B11F3D">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0882F7B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DE4D9C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E93C06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B573ED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6D5297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78F390E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540D233">
            <w:pPr>
              <w:widowControl/>
              <w:jc w:val="left"/>
              <w:rPr>
                <w:rFonts w:ascii="宋体" w:hAnsi="宋体" w:cs="宋体"/>
                <w:i/>
                <w:iCs/>
                <w:color w:val="000000"/>
                <w:kern w:val="0"/>
                <w:sz w:val="20"/>
                <w:szCs w:val="20"/>
              </w:rPr>
            </w:pPr>
          </w:p>
        </w:tc>
      </w:tr>
      <w:tr w14:paraId="16425D1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30B6672">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30EBBFF">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78475F9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7D8457A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38234F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E126C2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670D58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B3434A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F6E649D">
            <w:pPr>
              <w:widowControl/>
              <w:jc w:val="left"/>
              <w:rPr>
                <w:rFonts w:ascii="宋体" w:hAnsi="宋体" w:cs="宋体"/>
                <w:i/>
                <w:iCs/>
                <w:color w:val="000000"/>
                <w:kern w:val="0"/>
                <w:sz w:val="20"/>
                <w:szCs w:val="20"/>
              </w:rPr>
            </w:pPr>
          </w:p>
        </w:tc>
      </w:tr>
      <w:tr w14:paraId="4B27046C">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628983D3">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3906740D">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75538035">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4CE2F1B2">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4F2FE8C9">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7BB6C41D">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5B356B38">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1456F060">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7C6140FC">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427A442A">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69FD93BC">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7C71E5F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7474D6EE">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6B733CBF">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58F313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14:paraId="7F9F5B0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3FF84C6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48EA976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69CACF3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4C5A9BD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409FDA8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DB97C5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09BF8DBA">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4148EDD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5221A6A4">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6A7F1BD5">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5C556A8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6D0E3B2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6594D25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74B4FB6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3C546D1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9F521F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541967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B34E5B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18C1589B">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747E061">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E3C2B8">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0E78DB54">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6A35558">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3C74ABD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96EAD7D">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5459541D">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405DD8FD">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绩效目标实现指标自评得分100.00分，自评等次为：优，严格执行相关政策，按要求支付，保障资金及时、足额支付到位。保障学校正常运行。</w:t>
            </w:r>
          </w:p>
        </w:tc>
      </w:tr>
      <w:tr w14:paraId="2DAECDDA">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85F9AED">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1B3CCD35">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2BC8F654">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0AA1093">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5E23DC5">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3DFB003C">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AA9BC">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项目负责人：杜君</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7990522F">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财务负责人：熊虎</w:t>
            </w:r>
          </w:p>
        </w:tc>
      </w:tr>
      <w:tr w14:paraId="77CF08C0">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32B09792">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4D93E76D">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3DA6B2D8">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1CB360B1">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5ECB536">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73668137">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718C0305">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C3435AC">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D7F8678">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04AE700">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83F9DED">
            <w:pPr>
              <w:widowControl/>
              <w:jc w:val="left"/>
              <w:rPr>
                <w:rFonts w:ascii="宋体" w:hAnsi="宋体" w:cs="宋体"/>
                <w:color w:val="000000"/>
                <w:kern w:val="0"/>
                <w:sz w:val="20"/>
                <w:szCs w:val="20"/>
              </w:rPr>
            </w:pPr>
          </w:p>
        </w:tc>
      </w:tr>
      <w:tr w14:paraId="5C64B033">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5DCDD07E">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22C3689D">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811174">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4CF4F2D">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51090423T000009655849-区级名师工程建设</w:t>
            </w:r>
          </w:p>
        </w:tc>
      </w:tr>
      <w:tr w14:paraId="21420F77">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F1C46F">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72D47A3D">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遂宁市安居区三家镇中心小学校部门</w:t>
            </w:r>
          </w:p>
        </w:tc>
        <w:tc>
          <w:tcPr>
            <w:tcW w:w="1080" w:type="dxa"/>
            <w:tcBorders>
              <w:top w:val="nil"/>
              <w:left w:val="nil"/>
              <w:bottom w:val="single" w:color="auto" w:sz="4" w:space="0"/>
              <w:right w:val="single" w:color="auto" w:sz="4" w:space="0"/>
            </w:tcBorders>
            <w:shd w:val="clear" w:color="auto" w:fill="auto"/>
            <w:vAlign w:val="center"/>
          </w:tcPr>
          <w:p w14:paraId="66813F27">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2B5CCB6C">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w:t>
            </w:r>
          </w:p>
        </w:tc>
      </w:tr>
      <w:tr w14:paraId="04089DA1">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2EAD6F92">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7EF8B32F">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29DB500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066A7BA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4D5B18C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7F93E54A">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0716E33F">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0FD137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2B36CEE5">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严格执行相关政策，保障资金及时、合规、足额支付到位，减少结余资金。</w:t>
            </w:r>
          </w:p>
        </w:tc>
      </w:tr>
      <w:tr w14:paraId="2C49698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6323BCAD">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3F99FE8">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152A9AE2">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及时申报，保障补助及时、足额发放，预算编制科学合理，减少结余资金</w:t>
            </w:r>
          </w:p>
        </w:tc>
      </w:tr>
      <w:tr w14:paraId="38BD42BF">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719F7434">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52F78533">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17A60CE6">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5B6826FD">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CAFB23D">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6AFC83AA">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23CEDAB9">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19B14FE7">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48EF937E">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113F82D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152F0CE9">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B3D5869">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0E5CFD3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DCAB29A">
            <w:pPr>
              <w:widowControl/>
              <w:jc w:val="center"/>
              <w:rPr>
                <w:rFonts w:ascii="宋体" w:hAnsi="宋体" w:cs="宋体"/>
                <w:color w:val="000000"/>
                <w:kern w:val="0"/>
                <w:sz w:val="20"/>
                <w:szCs w:val="20"/>
              </w:rPr>
            </w:pPr>
            <w:r>
              <w:rPr>
                <w:rFonts w:hint="eastAsia" w:ascii="宋体" w:hAnsi="宋体" w:cs="宋体"/>
                <w:color w:val="000000"/>
                <w:kern w:val="0"/>
                <w:sz w:val="20"/>
                <w:szCs w:val="20"/>
              </w:rPr>
              <w:t>1.23</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5BDF4E4">
            <w:pPr>
              <w:widowControl/>
              <w:jc w:val="center"/>
              <w:rPr>
                <w:rFonts w:ascii="宋体" w:hAnsi="宋体" w:cs="宋体"/>
                <w:color w:val="000000"/>
                <w:kern w:val="0"/>
                <w:sz w:val="20"/>
                <w:szCs w:val="20"/>
              </w:rPr>
            </w:pPr>
            <w:r>
              <w:rPr>
                <w:rFonts w:hint="eastAsia" w:ascii="宋体" w:hAnsi="宋体" w:cs="宋体"/>
                <w:color w:val="000000"/>
                <w:kern w:val="0"/>
                <w:sz w:val="20"/>
                <w:szCs w:val="20"/>
              </w:rPr>
              <w:t>1.23</w:t>
            </w:r>
          </w:p>
        </w:tc>
        <w:tc>
          <w:tcPr>
            <w:tcW w:w="1080" w:type="dxa"/>
            <w:tcBorders>
              <w:top w:val="nil"/>
              <w:left w:val="nil"/>
              <w:bottom w:val="single" w:color="auto" w:sz="4" w:space="0"/>
              <w:right w:val="single" w:color="auto" w:sz="4" w:space="0"/>
            </w:tcBorders>
            <w:shd w:val="clear" w:color="auto" w:fill="auto"/>
            <w:vAlign w:val="center"/>
          </w:tcPr>
          <w:p w14:paraId="63577D19">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15839606">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1C3319F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A13D71A">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E75BA1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1988DB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30D6685">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55C1308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A647B72">
            <w:pPr>
              <w:widowControl/>
              <w:jc w:val="center"/>
              <w:rPr>
                <w:rFonts w:ascii="宋体" w:hAnsi="宋体" w:cs="宋体"/>
                <w:color w:val="000000"/>
                <w:kern w:val="0"/>
                <w:sz w:val="20"/>
                <w:szCs w:val="20"/>
              </w:rPr>
            </w:pPr>
            <w:r>
              <w:rPr>
                <w:rFonts w:hint="eastAsia" w:ascii="宋体" w:hAnsi="宋体" w:cs="宋体"/>
                <w:color w:val="000000"/>
                <w:kern w:val="0"/>
                <w:sz w:val="20"/>
                <w:szCs w:val="20"/>
              </w:rPr>
              <w:t>1.23</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909F894">
            <w:pPr>
              <w:widowControl/>
              <w:jc w:val="center"/>
              <w:rPr>
                <w:rFonts w:ascii="宋体" w:hAnsi="宋体" w:cs="宋体"/>
                <w:color w:val="000000"/>
                <w:kern w:val="0"/>
                <w:sz w:val="20"/>
                <w:szCs w:val="20"/>
              </w:rPr>
            </w:pPr>
            <w:r>
              <w:rPr>
                <w:rFonts w:hint="eastAsia" w:ascii="宋体" w:hAnsi="宋体" w:cs="宋体"/>
                <w:color w:val="000000"/>
                <w:kern w:val="0"/>
                <w:sz w:val="20"/>
                <w:szCs w:val="20"/>
              </w:rPr>
              <w:t>1.23</w:t>
            </w:r>
          </w:p>
        </w:tc>
        <w:tc>
          <w:tcPr>
            <w:tcW w:w="1080" w:type="dxa"/>
            <w:tcBorders>
              <w:top w:val="nil"/>
              <w:left w:val="nil"/>
              <w:bottom w:val="single" w:color="auto" w:sz="4" w:space="0"/>
              <w:right w:val="single" w:color="auto" w:sz="4" w:space="0"/>
            </w:tcBorders>
            <w:shd w:val="clear" w:color="auto" w:fill="auto"/>
            <w:vAlign w:val="center"/>
          </w:tcPr>
          <w:p w14:paraId="58897979">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6F2FCA5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19E54D4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C19DC7B">
            <w:pPr>
              <w:widowControl/>
              <w:jc w:val="left"/>
              <w:rPr>
                <w:rFonts w:ascii="宋体" w:hAnsi="宋体" w:cs="宋体"/>
                <w:i/>
                <w:iCs/>
                <w:color w:val="000000"/>
                <w:kern w:val="0"/>
                <w:sz w:val="20"/>
                <w:szCs w:val="20"/>
              </w:rPr>
            </w:pPr>
          </w:p>
        </w:tc>
      </w:tr>
      <w:tr w14:paraId="5CEA21E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28F6A9D">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2901BB2">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0E8B441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A3170E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1DFD2A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77AC4B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309781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D10FDA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6C0422A">
            <w:pPr>
              <w:widowControl/>
              <w:jc w:val="left"/>
              <w:rPr>
                <w:rFonts w:ascii="宋体" w:hAnsi="宋体" w:cs="宋体"/>
                <w:i/>
                <w:iCs/>
                <w:color w:val="000000"/>
                <w:kern w:val="0"/>
                <w:sz w:val="20"/>
                <w:szCs w:val="20"/>
              </w:rPr>
            </w:pPr>
          </w:p>
        </w:tc>
      </w:tr>
      <w:tr w14:paraId="2090091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0004C7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7846110">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381A27C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87013D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4F0C2C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AE2D1D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A93ABB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6DEB02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FCB1BB9">
            <w:pPr>
              <w:widowControl/>
              <w:jc w:val="left"/>
              <w:rPr>
                <w:rFonts w:ascii="宋体" w:hAnsi="宋体" w:cs="宋体"/>
                <w:i/>
                <w:iCs/>
                <w:color w:val="000000"/>
                <w:kern w:val="0"/>
                <w:sz w:val="20"/>
                <w:szCs w:val="20"/>
              </w:rPr>
            </w:pPr>
          </w:p>
        </w:tc>
      </w:tr>
      <w:tr w14:paraId="42381F5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FFD4A47">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90046C1">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39CFDAC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08C17B0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D0E8B9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819DD9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E10BEA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2A0AF0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8A3D01D">
            <w:pPr>
              <w:widowControl/>
              <w:jc w:val="left"/>
              <w:rPr>
                <w:rFonts w:ascii="宋体" w:hAnsi="宋体" w:cs="宋体"/>
                <w:i/>
                <w:iCs/>
                <w:color w:val="000000"/>
                <w:kern w:val="0"/>
                <w:sz w:val="20"/>
                <w:szCs w:val="20"/>
              </w:rPr>
            </w:pPr>
          </w:p>
        </w:tc>
      </w:tr>
      <w:tr w14:paraId="128DB8CD">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3C036C40">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1F6E051D">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40C2ECC5">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00D56B32">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4A495BF6">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582EF29F">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38248581">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38A4BC2E">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47661277">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6700C561">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2E36F94E">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08F7A4D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5721AE7B">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1DA6F39B">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2DA1FC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14:paraId="67EE83F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0677A4D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3354DDA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326323B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6BB48CF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74C44EB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C6068B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018E5C51">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195AD5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1DE693ED">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7E8CCEA8">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75BE93B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3DAE405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6F325AB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5693923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05692F1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290C93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4DE1D2C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8211FD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53B43601">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4CE5E859">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182056">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33322915">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8DD1AF9">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350F3E7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1AD0924">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8B91484">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337557B9">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w:t>
            </w:r>
          </w:p>
        </w:tc>
      </w:tr>
      <w:tr w14:paraId="7BA681D0">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70F4AE93">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0EB576A">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1FD68AE9">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031FB2F">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9913E8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2ABC922D">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2E1A3">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项目负责人：杜君</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3C0458BC">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财务负责人：熊虎</w:t>
            </w:r>
          </w:p>
        </w:tc>
      </w:tr>
      <w:tr w14:paraId="0702CD12">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28F59044">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27920128">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18A73BF0">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574A4F04">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6D6C973D">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B8349C8">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6C4BE0A9">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9D15A6D">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8DE76B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23C0B3F">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93BFC6D">
            <w:pPr>
              <w:widowControl/>
              <w:jc w:val="left"/>
              <w:rPr>
                <w:rFonts w:ascii="宋体" w:hAnsi="宋体" w:cs="宋体"/>
                <w:color w:val="000000"/>
                <w:kern w:val="0"/>
                <w:sz w:val="20"/>
                <w:szCs w:val="20"/>
              </w:rPr>
            </w:pPr>
          </w:p>
        </w:tc>
      </w:tr>
      <w:tr w14:paraId="4CA863E3">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0CD77934">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285D74C9">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B3859F">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6F44665A">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51090424T000010666685-城乡义务教育-综合奖补资金</w:t>
            </w:r>
          </w:p>
        </w:tc>
      </w:tr>
      <w:tr w14:paraId="6DEA3447">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FCFD27">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0B7E375F">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遂宁市安居区三家镇中心小学校部门</w:t>
            </w:r>
          </w:p>
        </w:tc>
        <w:tc>
          <w:tcPr>
            <w:tcW w:w="1080" w:type="dxa"/>
            <w:tcBorders>
              <w:top w:val="nil"/>
              <w:left w:val="nil"/>
              <w:bottom w:val="single" w:color="auto" w:sz="4" w:space="0"/>
              <w:right w:val="single" w:color="auto" w:sz="4" w:space="0"/>
            </w:tcBorders>
            <w:shd w:val="clear" w:color="auto" w:fill="auto"/>
            <w:vAlign w:val="center"/>
          </w:tcPr>
          <w:p w14:paraId="18EBB6A5">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0F8F1105">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w:t>
            </w:r>
          </w:p>
        </w:tc>
      </w:tr>
      <w:tr w14:paraId="79644B9C">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2D2E9270">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756E3D7D">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BF7AE05">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676EE2AA">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61C1ACB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77743160">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4887545B">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FF44B3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2A956A97">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严格执行预算，及时申请支付资金，促进学校健康发展。</w:t>
            </w:r>
          </w:p>
        </w:tc>
      </w:tr>
      <w:tr w14:paraId="00461B32">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1CE42C02">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F04F964">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09975730">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及时申报经费，预算编制科学合理，减少结余资金,促进学校健康发展。</w:t>
            </w:r>
          </w:p>
        </w:tc>
      </w:tr>
      <w:tr w14:paraId="023AD26A">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4A6FED38">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463CA08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1F0E9B25">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35285767">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5243E6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21EBDD55">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3C12F272">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0C2A2C78">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309A3B67">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076CB6D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C94FB4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A654C75">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53AAB23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09773E9">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56D1AC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27BF6D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4E5B03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04051FF9">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4877E2E">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E4BE53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A98451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16FE703">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4820E68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22800A6">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5F2E03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63109C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5CFFE0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885E5F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3A96B71">
            <w:pPr>
              <w:widowControl/>
              <w:jc w:val="left"/>
              <w:rPr>
                <w:rFonts w:ascii="宋体" w:hAnsi="宋体" w:cs="宋体"/>
                <w:i/>
                <w:iCs/>
                <w:color w:val="000000"/>
                <w:kern w:val="0"/>
                <w:sz w:val="20"/>
                <w:szCs w:val="20"/>
              </w:rPr>
            </w:pPr>
          </w:p>
        </w:tc>
      </w:tr>
      <w:tr w14:paraId="5312122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B6925C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CA0FA15">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7A8E784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20B97C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66E73D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13B0C1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9834EF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7B43ACB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D2BC0A7">
            <w:pPr>
              <w:widowControl/>
              <w:jc w:val="left"/>
              <w:rPr>
                <w:rFonts w:ascii="宋体" w:hAnsi="宋体" w:cs="宋体"/>
                <w:i/>
                <w:iCs/>
                <w:color w:val="000000"/>
                <w:kern w:val="0"/>
                <w:sz w:val="20"/>
                <w:szCs w:val="20"/>
              </w:rPr>
            </w:pPr>
          </w:p>
        </w:tc>
      </w:tr>
      <w:tr w14:paraId="1D91673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635AEF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4C81A07">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16DD013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6C29AD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7BEB92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F0401E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BC5828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01440F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4B6E1A4">
            <w:pPr>
              <w:widowControl/>
              <w:jc w:val="left"/>
              <w:rPr>
                <w:rFonts w:ascii="宋体" w:hAnsi="宋体" w:cs="宋体"/>
                <w:i/>
                <w:iCs/>
                <w:color w:val="000000"/>
                <w:kern w:val="0"/>
                <w:sz w:val="20"/>
                <w:szCs w:val="20"/>
              </w:rPr>
            </w:pPr>
          </w:p>
        </w:tc>
      </w:tr>
      <w:tr w14:paraId="105F36B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AE802D9">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6DFD15B">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6D0BFC8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2A9EAF6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1859E7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180EE1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42FB9D4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8D1F59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147FF62">
            <w:pPr>
              <w:widowControl/>
              <w:jc w:val="left"/>
              <w:rPr>
                <w:rFonts w:ascii="宋体" w:hAnsi="宋体" w:cs="宋体"/>
                <w:i/>
                <w:iCs/>
                <w:color w:val="000000"/>
                <w:kern w:val="0"/>
                <w:sz w:val="20"/>
                <w:szCs w:val="20"/>
              </w:rPr>
            </w:pPr>
          </w:p>
        </w:tc>
      </w:tr>
      <w:tr w14:paraId="509A659F">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46F87A68">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3AE05A8C">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5A313093">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25AE5B4C">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01FE1B82">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1E15984E">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6C68F1CA">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7814EB2D">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6E7D2EDB">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6E13CD23">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321D2933">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2843B7D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5018E4DB">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0C29E01F">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D149BF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14:paraId="4ED339E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469A558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398F8D5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16C7EE7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286CBE0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403943A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DA0006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34528A6C">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8816E3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76B47639">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374BFA93">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254AA8A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314052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15CC000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6709EF3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52BE611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DF92D6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FC1F81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ED669A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4574E696">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B18C361">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2B6946">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2925285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FB02F0E">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0FAB001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C4D6BF4">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CBB2C97">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10D4BA5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402466EE">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726DF979">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73187246">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155CC98F">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771BC5FF">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2481273F">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439F4D66">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93D02">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项目负责人：杜君</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6D9A123C">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财务负责人：熊虎</w:t>
            </w:r>
          </w:p>
        </w:tc>
      </w:tr>
      <w:tr w14:paraId="05149BB0">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01CC4A80">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19B19C6C">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6258A2F5">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66F4F1DD">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0941659">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16725C1A">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6BECF25A">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B1E4851">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06857DD6">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066F5F9A">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2DCC4EE">
            <w:pPr>
              <w:widowControl/>
              <w:jc w:val="left"/>
              <w:rPr>
                <w:rFonts w:ascii="宋体" w:hAnsi="宋体" w:cs="宋体"/>
                <w:color w:val="000000"/>
                <w:kern w:val="0"/>
                <w:sz w:val="20"/>
                <w:szCs w:val="20"/>
              </w:rPr>
            </w:pPr>
          </w:p>
        </w:tc>
      </w:tr>
      <w:tr w14:paraId="65463CB7">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2CC3635E">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6713513D">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64605E1A">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775C4F22">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0252157D">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001ED496">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7B5D4FF0">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5C91081">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FD76C22">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3675A40">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13EE2BC">
            <w:pPr>
              <w:widowControl/>
              <w:jc w:val="left"/>
              <w:rPr>
                <w:rFonts w:ascii="宋体" w:hAnsi="宋体" w:cs="宋体"/>
                <w:color w:val="000000"/>
                <w:kern w:val="0"/>
                <w:sz w:val="20"/>
                <w:szCs w:val="20"/>
              </w:rPr>
            </w:pPr>
          </w:p>
        </w:tc>
      </w:tr>
      <w:tr w14:paraId="1313CBB1">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10819F3A">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621EED42">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E81602">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44BBB604">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51090425T000013013564-义教免作业本费（省市区级）</w:t>
            </w:r>
          </w:p>
        </w:tc>
      </w:tr>
      <w:tr w14:paraId="26482582">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2057DF">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FD1FEF2">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遂宁市安居区三家镇中心小学校部门</w:t>
            </w:r>
          </w:p>
        </w:tc>
        <w:tc>
          <w:tcPr>
            <w:tcW w:w="1080" w:type="dxa"/>
            <w:tcBorders>
              <w:top w:val="nil"/>
              <w:left w:val="nil"/>
              <w:bottom w:val="single" w:color="auto" w:sz="4" w:space="0"/>
              <w:right w:val="single" w:color="auto" w:sz="4" w:space="0"/>
            </w:tcBorders>
            <w:shd w:val="clear" w:color="auto" w:fill="auto"/>
            <w:vAlign w:val="center"/>
          </w:tcPr>
          <w:p w14:paraId="32E502FC">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6284AFDE">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w:t>
            </w:r>
          </w:p>
        </w:tc>
      </w:tr>
      <w:tr w14:paraId="0D5CE11F">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7E751F97">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354660A4">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6E2F13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63F4F3BA">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5816127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46E5ED55">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553E8212">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38429A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4982FBD0">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严格执行预算，及时申请支付资金，保证学生作业本按时发放。</w:t>
            </w:r>
          </w:p>
        </w:tc>
      </w:tr>
      <w:tr w14:paraId="4E34A85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71FAF457">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27DECD8">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6E2BBBE">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及时申报经费，保证学生作业本按时发放。</w:t>
            </w:r>
          </w:p>
        </w:tc>
      </w:tr>
      <w:tr w14:paraId="7F097319">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734EE60B">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3A94EF38">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3E496FBE">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51A7CB6D">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1BDE316">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29FE6145">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06236C78">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2654A415">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0E5E9F6D">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52AEA92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DF4B15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D0C8E7B">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01C1D95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4241574">
            <w:pPr>
              <w:widowControl/>
              <w:jc w:val="center"/>
              <w:rPr>
                <w:rFonts w:ascii="宋体" w:hAnsi="宋体" w:cs="宋体"/>
                <w:color w:val="000000"/>
                <w:kern w:val="0"/>
                <w:sz w:val="20"/>
                <w:szCs w:val="20"/>
              </w:rPr>
            </w:pPr>
            <w:r>
              <w:rPr>
                <w:rFonts w:hint="eastAsia" w:ascii="宋体" w:hAnsi="宋体" w:cs="宋体"/>
                <w:color w:val="000000"/>
                <w:kern w:val="0"/>
                <w:sz w:val="20"/>
                <w:szCs w:val="20"/>
              </w:rPr>
              <w:t>0.72</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72170C8">
            <w:pPr>
              <w:widowControl/>
              <w:jc w:val="center"/>
              <w:rPr>
                <w:rFonts w:ascii="宋体" w:hAnsi="宋体" w:cs="宋体"/>
                <w:color w:val="000000"/>
                <w:kern w:val="0"/>
                <w:sz w:val="20"/>
                <w:szCs w:val="20"/>
              </w:rPr>
            </w:pPr>
            <w:r>
              <w:rPr>
                <w:rFonts w:hint="eastAsia" w:ascii="宋体" w:hAnsi="宋体" w:cs="宋体"/>
                <w:color w:val="000000"/>
                <w:kern w:val="0"/>
                <w:sz w:val="20"/>
                <w:szCs w:val="20"/>
              </w:rPr>
              <w:t>0.72</w:t>
            </w:r>
          </w:p>
        </w:tc>
        <w:tc>
          <w:tcPr>
            <w:tcW w:w="1080" w:type="dxa"/>
            <w:tcBorders>
              <w:top w:val="nil"/>
              <w:left w:val="nil"/>
              <w:bottom w:val="single" w:color="auto" w:sz="4" w:space="0"/>
              <w:right w:val="single" w:color="auto" w:sz="4" w:space="0"/>
            </w:tcBorders>
            <w:shd w:val="clear" w:color="auto" w:fill="auto"/>
            <w:vAlign w:val="center"/>
          </w:tcPr>
          <w:p w14:paraId="2E1753B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4E0AA84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1A99941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7BFD60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00BA98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949B99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A1C9A7C">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0D653D1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8662580">
            <w:pPr>
              <w:widowControl/>
              <w:jc w:val="center"/>
              <w:rPr>
                <w:rFonts w:ascii="宋体" w:hAnsi="宋体" w:cs="宋体"/>
                <w:color w:val="000000"/>
                <w:kern w:val="0"/>
                <w:sz w:val="20"/>
                <w:szCs w:val="20"/>
              </w:rPr>
            </w:pPr>
            <w:r>
              <w:rPr>
                <w:rFonts w:hint="eastAsia" w:ascii="宋体" w:hAnsi="宋体" w:cs="宋体"/>
                <w:color w:val="000000"/>
                <w:kern w:val="0"/>
                <w:sz w:val="20"/>
                <w:szCs w:val="20"/>
              </w:rPr>
              <w:t>0.72</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33AE7C8">
            <w:pPr>
              <w:widowControl/>
              <w:jc w:val="center"/>
              <w:rPr>
                <w:rFonts w:ascii="宋体" w:hAnsi="宋体" w:cs="宋体"/>
                <w:color w:val="000000"/>
                <w:kern w:val="0"/>
                <w:sz w:val="20"/>
                <w:szCs w:val="20"/>
              </w:rPr>
            </w:pPr>
            <w:r>
              <w:rPr>
                <w:rFonts w:hint="eastAsia" w:ascii="宋体" w:hAnsi="宋体" w:cs="宋体"/>
                <w:color w:val="000000"/>
                <w:kern w:val="0"/>
                <w:sz w:val="20"/>
                <w:szCs w:val="20"/>
              </w:rPr>
              <w:t>0.72</w:t>
            </w:r>
          </w:p>
        </w:tc>
        <w:tc>
          <w:tcPr>
            <w:tcW w:w="1080" w:type="dxa"/>
            <w:tcBorders>
              <w:top w:val="nil"/>
              <w:left w:val="nil"/>
              <w:bottom w:val="single" w:color="auto" w:sz="4" w:space="0"/>
              <w:right w:val="single" w:color="auto" w:sz="4" w:space="0"/>
            </w:tcBorders>
            <w:shd w:val="clear" w:color="auto" w:fill="auto"/>
            <w:vAlign w:val="center"/>
          </w:tcPr>
          <w:p w14:paraId="1EFB7759">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40AB364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6C9E1C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55EE6EA">
            <w:pPr>
              <w:widowControl/>
              <w:jc w:val="left"/>
              <w:rPr>
                <w:rFonts w:ascii="宋体" w:hAnsi="宋体" w:cs="宋体"/>
                <w:i/>
                <w:iCs/>
                <w:color w:val="000000"/>
                <w:kern w:val="0"/>
                <w:sz w:val="20"/>
                <w:szCs w:val="20"/>
              </w:rPr>
            </w:pPr>
          </w:p>
        </w:tc>
      </w:tr>
      <w:tr w14:paraId="5251C1D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4E3212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84FADC5">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5325D86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7D76169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ECE3A3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3BDDE9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6A2FC9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33862B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88F66DA">
            <w:pPr>
              <w:widowControl/>
              <w:jc w:val="left"/>
              <w:rPr>
                <w:rFonts w:ascii="宋体" w:hAnsi="宋体" w:cs="宋体"/>
                <w:i/>
                <w:iCs/>
                <w:color w:val="000000"/>
                <w:kern w:val="0"/>
                <w:sz w:val="20"/>
                <w:szCs w:val="20"/>
              </w:rPr>
            </w:pPr>
          </w:p>
        </w:tc>
      </w:tr>
      <w:tr w14:paraId="30AEE31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666215A">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D749853">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2D6BBE2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D2F847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17CE8E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DD8C31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B05577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22FB0F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90C33B8">
            <w:pPr>
              <w:widowControl/>
              <w:jc w:val="left"/>
              <w:rPr>
                <w:rFonts w:ascii="宋体" w:hAnsi="宋体" w:cs="宋体"/>
                <w:i/>
                <w:iCs/>
                <w:color w:val="000000"/>
                <w:kern w:val="0"/>
                <w:sz w:val="20"/>
                <w:szCs w:val="20"/>
              </w:rPr>
            </w:pPr>
          </w:p>
        </w:tc>
      </w:tr>
      <w:tr w14:paraId="13E4D65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BB9D86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52B5CD7">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7CFEDA0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7C7BC66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6E806F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D6AFDC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913BEF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CB62CA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F660735">
            <w:pPr>
              <w:widowControl/>
              <w:jc w:val="left"/>
              <w:rPr>
                <w:rFonts w:ascii="宋体" w:hAnsi="宋体" w:cs="宋体"/>
                <w:i/>
                <w:iCs/>
                <w:color w:val="000000"/>
                <w:kern w:val="0"/>
                <w:sz w:val="20"/>
                <w:szCs w:val="20"/>
              </w:rPr>
            </w:pPr>
          </w:p>
        </w:tc>
      </w:tr>
      <w:tr w14:paraId="05197635">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0C1C810E">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6DE604B1">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35B25561">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59D65737">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3F1651DA">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7A7B1091">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03265E0E">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65FA7699">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1A694A68">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600A807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6D9D1905">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3973E6B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4DFBFF17">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4D4C08DB">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3BB9AA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14:paraId="43E5B5B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02A7074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7F5B972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64600F5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726E7AA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7434713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37B297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0CCBA5DD">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60C624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731FDE7D">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57C5B5E3">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0578458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25163A6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3189040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026F97E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5553D9D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3B3916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F26914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2C9185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39E398AB">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A1D20E1">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B66AFC">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3EC0B12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B528B31">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0510074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7E2F3D5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64D7776">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27EB9EE8">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w:t>
            </w:r>
          </w:p>
        </w:tc>
      </w:tr>
      <w:tr w14:paraId="04116AC5">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46A2DC62">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C20A741">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25A13F27">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50403850">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4E6613E">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12F3DBE4">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B7232">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项目负责人：杜君</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1664B4A5">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财务负责人：熊虎</w:t>
            </w:r>
          </w:p>
        </w:tc>
      </w:tr>
      <w:tr w14:paraId="1AD9C703">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59451D4C">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741EF607">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74BFB4B4">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2D172B49">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08CF75C0">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6211D1EF">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272C9231">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0543EF1">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A53154A">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A976240">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C187846">
            <w:pPr>
              <w:widowControl/>
              <w:jc w:val="left"/>
              <w:rPr>
                <w:rFonts w:ascii="宋体" w:hAnsi="宋体" w:cs="宋体"/>
                <w:color w:val="000000"/>
                <w:kern w:val="0"/>
                <w:sz w:val="20"/>
                <w:szCs w:val="20"/>
              </w:rPr>
            </w:pPr>
          </w:p>
        </w:tc>
      </w:tr>
      <w:tr w14:paraId="26986841">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0B6BA475">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37E248CA">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46AABF">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33DBF270">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51090425T000013020556-秋季省级义务教育家庭经济困难学生生活补助</w:t>
            </w:r>
          </w:p>
        </w:tc>
      </w:tr>
      <w:tr w14:paraId="0C312599">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F6BAE7">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86064E3">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遂宁市安居区三家镇中心小学校部门</w:t>
            </w:r>
          </w:p>
        </w:tc>
        <w:tc>
          <w:tcPr>
            <w:tcW w:w="1080" w:type="dxa"/>
            <w:tcBorders>
              <w:top w:val="nil"/>
              <w:left w:val="nil"/>
              <w:bottom w:val="single" w:color="auto" w:sz="4" w:space="0"/>
              <w:right w:val="single" w:color="auto" w:sz="4" w:space="0"/>
            </w:tcBorders>
            <w:shd w:val="clear" w:color="auto" w:fill="auto"/>
            <w:vAlign w:val="center"/>
          </w:tcPr>
          <w:p w14:paraId="56FEC662">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33719806">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w:t>
            </w:r>
          </w:p>
        </w:tc>
      </w:tr>
      <w:tr w14:paraId="29021B9A">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278B32F7">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77E0DD87">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E5C1C4F">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1ECC253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4ED906A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00B1BF41">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2FF846A5">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01D99D9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1B1EAB4E">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w:t>
            </w:r>
          </w:p>
        </w:tc>
      </w:tr>
      <w:tr w14:paraId="3766D79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26B69AE7">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F2DA95C">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014208CC">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14:paraId="3C3689AD">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6DAB936E">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76C4D07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4B6D1A21">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19DA40EF">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2FB79ED">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2C18DB87">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429A82D0">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0933C137">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590170F0">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33C416C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9DAD1E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021FC6B">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763DA69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067EA3F">
            <w:pPr>
              <w:widowControl/>
              <w:jc w:val="center"/>
              <w:rPr>
                <w:rFonts w:ascii="宋体" w:hAnsi="宋体" w:cs="宋体"/>
                <w:color w:val="000000"/>
                <w:kern w:val="0"/>
                <w:sz w:val="20"/>
                <w:szCs w:val="20"/>
              </w:rPr>
            </w:pPr>
            <w:r>
              <w:rPr>
                <w:rFonts w:hint="eastAsia" w:ascii="宋体" w:hAnsi="宋体" w:cs="宋体"/>
                <w:color w:val="000000"/>
                <w:kern w:val="0"/>
                <w:sz w:val="20"/>
                <w:szCs w:val="20"/>
              </w:rPr>
              <w:t>4.22</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3256AEF">
            <w:pPr>
              <w:widowControl/>
              <w:jc w:val="center"/>
              <w:rPr>
                <w:rFonts w:ascii="宋体" w:hAnsi="宋体" w:cs="宋体"/>
                <w:color w:val="000000"/>
                <w:kern w:val="0"/>
                <w:sz w:val="20"/>
                <w:szCs w:val="20"/>
              </w:rPr>
            </w:pPr>
            <w:r>
              <w:rPr>
                <w:rFonts w:hint="eastAsia" w:ascii="宋体" w:hAnsi="宋体" w:cs="宋体"/>
                <w:color w:val="000000"/>
                <w:kern w:val="0"/>
                <w:sz w:val="20"/>
                <w:szCs w:val="20"/>
              </w:rPr>
              <w:t>4.22</w:t>
            </w:r>
          </w:p>
        </w:tc>
        <w:tc>
          <w:tcPr>
            <w:tcW w:w="1080" w:type="dxa"/>
            <w:tcBorders>
              <w:top w:val="nil"/>
              <w:left w:val="nil"/>
              <w:bottom w:val="single" w:color="auto" w:sz="4" w:space="0"/>
              <w:right w:val="single" w:color="auto" w:sz="4" w:space="0"/>
            </w:tcBorders>
            <w:shd w:val="clear" w:color="auto" w:fill="auto"/>
            <w:vAlign w:val="center"/>
          </w:tcPr>
          <w:p w14:paraId="5CE00B43">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40E6B60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61346699">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20EEFEA">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E8568E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F4D749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08A2099">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7119E9E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5EBDC9D">
            <w:pPr>
              <w:widowControl/>
              <w:jc w:val="center"/>
              <w:rPr>
                <w:rFonts w:ascii="宋体" w:hAnsi="宋体" w:cs="宋体"/>
                <w:color w:val="000000"/>
                <w:kern w:val="0"/>
                <w:sz w:val="20"/>
                <w:szCs w:val="20"/>
              </w:rPr>
            </w:pPr>
            <w:r>
              <w:rPr>
                <w:rFonts w:hint="eastAsia" w:ascii="宋体" w:hAnsi="宋体" w:cs="宋体"/>
                <w:color w:val="000000"/>
                <w:kern w:val="0"/>
                <w:sz w:val="20"/>
                <w:szCs w:val="20"/>
              </w:rPr>
              <w:t>4.22</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7198552">
            <w:pPr>
              <w:widowControl/>
              <w:jc w:val="center"/>
              <w:rPr>
                <w:rFonts w:ascii="宋体" w:hAnsi="宋体" w:cs="宋体"/>
                <w:color w:val="000000"/>
                <w:kern w:val="0"/>
                <w:sz w:val="20"/>
                <w:szCs w:val="20"/>
              </w:rPr>
            </w:pPr>
            <w:r>
              <w:rPr>
                <w:rFonts w:hint="eastAsia" w:ascii="宋体" w:hAnsi="宋体" w:cs="宋体"/>
                <w:color w:val="000000"/>
                <w:kern w:val="0"/>
                <w:sz w:val="20"/>
                <w:szCs w:val="20"/>
              </w:rPr>
              <w:t>4.22</w:t>
            </w:r>
          </w:p>
        </w:tc>
        <w:tc>
          <w:tcPr>
            <w:tcW w:w="1080" w:type="dxa"/>
            <w:tcBorders>
              <w:top w:val="nil"/>
              <w:left w:val="nil"/>
              <w:bottom w:val="single" w:color="auto" w:sz="4" w:space="0"/>
              <w:right w:val="single" w:color="auto" w:sz="4" w:space="0"/>
            </w:tcBorders>
            <w:shd w:val="clear" w:color="auto" w:fill="auto"/>
            <w:vAlign w:val="center"/>
          </w:tcPr>
          <w:p w14:paraId="09A1538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29DE643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70FFB36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41CCD8D5">
            <w:pPr>
              <w:widowControl/>
              <w:jc w:val="left"/>
              <w:rPr>
                <w:rFonts w:ascii="宋体" w:hAnsi="宋体" w:cs="宋体"/>
                <w:i/>
                <w:iCs/>
                <w:color w:val="000000"/>
                <w:kern w:val="0"/>
                <w:sz w:val="20"/>
                <w:szCs w:val="20"/>
              </w:rPr>
            </w:pPr>
          </w:p>
        </w:tc>
      </w:tr>
      <w:tr w14:paraId="2AC0BCB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1698F48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78F1886">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1670A0D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1706F0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281295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4DD4ED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1EA5D7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7B007D5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DCB7E69">
            <w:pPr>
              <w:widowControl/>
              <w:jc w:val="left"/>
              <w:rPr>
                <w:rFonts w:ascii="宋体" w:hAnsi="宋体" w:cs="宋体"/>
                <w:i/>
                <w:iCs/>
                <w:color w:val="000000"/>
                <w:kern w:val="0"/>
                <w:sz w:val="20"/>
                <w:szCs w:val="20"/>
              </w:rPr>
            </w:pPr>
          </w:p>
        </w:tc>
      </w:tr>
      <w:tr w14:paraId="400182E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0F11C2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58B520F">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0501672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35E0C8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79F634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CCFFA4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8C9527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194CFA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299FD14">
            <w:pPr>
              <w:widowControl/>
              <w:jc w:val="left"/>
              <w:rPr>
                <w:rFonts w:ascii="宋体" w:hAnsi="宋体" w:cs="宋体"/>
                <w:i/>
                <w:iCs/>
                <w:color w:val="000000"/>
                <w:kern w:val="0"/>
                <w:sz w:val="20"/>
                <w:szCs w:val="20"/>
              </w:rPr>
            </w:pPr>
          </w:p>
        </w:tc>
      </w:tr>
      <w:tr w14:paraId="24CD6A6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9543EBF">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C199750">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04F3470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3BAB94D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B19F45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447BBE7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2CDF61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689022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5C6D3BC">
            <w:pPr>
              <w:widowControl/>
              <w:jc w:val="left"/>
              <w:rPr>
                <w:rFonts w:ascii="宋体" w:hAnsi="宋体" w:cs="宋体"/>
                <w:i/>
                <w:iCs/>
                <w:color w:val="000000"/>
                <w:kern w:val="0"/>
                <w:sz w:val="20"/>
                <w:szCs w:val="20"/>
              </w:rPr>
            </w:pPr>
          </w:p>
        </w:tc>
      </w:tr>
      <w:tr w14:paraId="617F8873">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3302A124">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7842C6B5">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62EE7392">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4BDA220B">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0DC97DC4">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0E5677F2">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68BADEC0">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0CFC7965">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44F76A53">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55666D57">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53FD1DE5">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4705CDC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7ED1E88A">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78EBA68E">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5D49F7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14:paraId="70E914E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2A593A8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7282E89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03DE3CA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7B42B3F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3E4C82D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4B0BDB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6CB543C1">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29B221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5E5CE334">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49A284D7">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716FD89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5B99CF9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2F8148E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5F3CDA9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40C3F74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9C2F13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B66F96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54CF5F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59B12B8E">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853457E">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20AD27">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32E62AE1">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B590590">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053E8F6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07D67C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6DC40874">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7EB2FA51">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14:paraId="743FAEAD">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788F7EE3">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214BF099">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0DC52F6A">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1B9626A">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39FACF50">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118DEA09">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5F8BB">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项目负责人：杜君</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3D2807FA">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财务负责人：熊虎</w:t>
            </w:r>
          </w:p>
        </w:tc>
      </w:tr>
      <w:tr w14:paraId="583F1083">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67AB3B51">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379B81BD">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4ECE343F">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077F70AB">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606EA0E4">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902374B">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2D840E88">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DBC3AB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3D4B025">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DDEF11A">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445FC1D">
            <w:pPr>
              <w:widowControl/>
              <w:jc w:val="left"/>
              <w:rPr>
                <w:rFonts w:ascii="宋体" w:hAnsi="宋体" w:cs="宋体"/>
                <w:color w:val="000000"/>
                <w:kern w:val="0"/>
                <w:sz w:val="20"/>
                <w:szCs w:val="20"/>
              </w:rPr>
            </w:pPr>
          </w:p>
        </w:tc>
      </w:tr>
      <w:tr w14:paraId="008AF6C7">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056F13E9">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1091DF92">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1ABFB4">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116896C">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51090425T000013211505-省级城乡义教补助经费（校舍安全保障）</w:t>
            </w:r>
          </w:p>
        </w:tc>
      </w:tr>
      <w:tr w14:paraId="26CFF10B">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59E6DB">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5646742">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遂宁市安居区三家镇中心小学校部门</w:t>
            </w:r>
          </w:p>
        </w:tc>
        <w:tc>
          <w:tcPr>
            <w:tcW w:w="1080" w:type="dxa"/>
            <w:tcBorders>
              <w:top w:val="nil"/>
              <w:left w:val="nil"/>
              <w:bottom w:val="single" w:color="auto" w:sz="4" w:space="0"/>
              <w:right w:val="single" w:color="auto" w:sz="4" w:space="0"/>
            </w:tcBorders>
            <w:shd w:val="clear" w:color="auto" w:fill="auto"/>
            <w:vAlign w:val="center"/>
          </w:tcPr>
          <w:p w14:paraId="0CFAC567">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13D636E9">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遂宁市安居区三家镇中心小学校</w:t>
            </w:r>
          </w:p>
        </w:tc>
      </w:tr>
      <w:tr w14:paraId="2987ABF2">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0FF80786">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5BD5EFB7">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F8CC3F0">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1E2DCCE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79A2A26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21C53561">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1F3B947B">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C4A54D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0A8565B9">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严格执行预算，及时申请支付资金，促进学校健康发展。</w:t>
            </w:r>
          </w:p>
        </w:tc>
      </w:tr>
      <w:tr w14:paraId="410ABA2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0DF2ADBA">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0BE0564">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36118F22">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及时申报经费，预算编制科学合理，减少结余资金,促进学校健康发展。</w:t>
            </w:r>
          </w:p>
        </w:tc>
      </w:tr>
      <w:tr w14:paraId="010CC34B">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09B80A7C">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1E4CDFA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78519FB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680DD324">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CA352E2">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7245602F">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64B44BFC">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1F80005B">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5CF29A51">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57F693A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906B0C3">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1EA3D69">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3BCE8CB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9B170F4">
            <w:pPr>
              <w:widowControl/>
              <w:jc w:val="center"/>
              <w:rPr>
                <w:rFonts w:ascii="宋体" w:hAnsi="宋体" w:cs="宋体"/>
                <w:color w:val="000000"/>
                <w:kern w:val="0"/>
                <w:sz w:val="20"/>
                <w:szCs w:val="20"/>
              </w:rPr>
            </w:pPr>
            <w:r>
              <w:rPr>
                <w:rFonts w:hint="eastAsia" w:ascii="宋体" w:hAnsi="宋体" w:cs="宋体"/>
                <w:color w:val="000000"/>
                <w:kern w:val="0"/>
                <w:sz w:val="20"/>
                <w:szCs w:val="20"/>
              </w:rPr>
              <w:t>15.00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073F9B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178D1B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9D7B0D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14570A4F">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628EF9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A6A761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1ED797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0B06064">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10B1D69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E86E241">
            <w:pPr>
              <w:widowControl/>
              <w:jc w:val="center"/>
              <w:rPr>
                <w:rFonts w:ascii="宋体" w:hAnsi="宋体" w:cs="宋体"/>
                <w:color w:val="000000"/>
                <w:kern w:val="0"/>
                <w:sz w:val="20"/>
                <w:szCs w:val="20"/>
              </w:rPr>
            </w:pPr>
            <w:r>
              <w:rPr>
                <w:rFonts w:hint="eastAsia" w:ascii="宋体" w:hAnsi="宋体" w:cs="宋体"/>
                <w:color w:val="000000"/>
                <w:kern w:val="0"/>
                <w:sz w:val="20"/>
                <w:szCs w:val="20"/>
              </w:rPr>
              <w:t>15.00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F0B38E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CEEFC6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4F2E49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461E0D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6596ECE">
            <w:pPr>
              <w:widowControl/>
              <w:jc w:val="left"/>
              <w:rPr>
                <w:rFonts w:ascii="宋体" w:hAnsi="宋体" w:cs="宋体"/>
                <w:i/>
                <w:iCs/>
                <w:color w:val="000000"/>
                <w:kern w:val="0"/>
                <w:sz w:val="20"/>
                <w:szCs w:val="20"/>
              </w:rPr>
            </w:pPr>
          </w:p>
        </w:tc>
      </w:tr>
      <w:tr w14:paraId="32ADD32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89ACC3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22863E2">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62E9D24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7E5F32C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8C12C1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681FFF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36109E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1F8B80C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A2CBCBE">
            <w:pPr>
              <w:widowControl/>
              <w:jc w:val="left"/>
              <w:rPr>
                <w:rFonts w:ascii="宋体" w:hAnsi="宋体" w:cs="宋体"/>
                <w:i/>
                <w:iCs/>
                <w:color w:val="000000"/>
                <w:kern w:val="0"/>
                <w:sz w:val="20"/>
                <w:szCs w:val="20"/>
              </w:rPr>
            </w:pPr>
          </w:p>
        </w:tc>
      </w:tr>
      <w:tr w14:paraId="7A8CC3F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DF12BB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685D44A">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4694BAD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1B6D11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F86DF1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19607A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2F0DF49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ECBD66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C6CE0D3">
            <w:pPr>
              <w:widowControl/>
              <w:jc w:val="left"/>
              <w:rPr>
                <w:rFonts w:ascii="宋体" w:hAnsi="宋体" w:cs="宋体"/>
                <w:i/>
                <w:iCs/>
                <w:color w:val="000000"/>
                <w:kern w:val="0"/>
                <w:sz w:val="20"/>
                <w:szCs w:val="20"/>
              </w:rPr>
            </w:pPr>
          </w:p>
        </w:tc>
      </w:tr>
      <w:tr w14:paraId="49F7807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E6355C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06F171E">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012FCC6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23E5536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1B53BB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23D224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589EC2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160AFF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CA9F7A7">
            <w:pPr>
              <w:widowControl/>
              <w:jc w:val="left"/>
              <w:rPr>
                <w:rFonts w:ascii="宋体" w:hAnsi="宋体" w:cs="宋体"/>
                <w:i/>
                <w:iCs/>
                <w:color w:val="000000"/>
                <w:kern w:val="0"/>
                <w:sz w:val="20"/>
                <w:szCs w:val="20"/>
              </w:rPr>
            </w:pPr>
          </w:p>
        </w:tc>
      </w:tr>
      <w:tr w14:paraId="173DB797">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5F2B2388">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23CCAD8F">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34BD051B">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00F6AAF4">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19C44A30">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494A3B48">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1A3D12CC">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62C0FD2D">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3E1BCB44">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7DAF158B">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1AD1B197">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2895198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22FE0859">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2EE5BF6B">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B646ED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single" w:color="auto" w:sz="4" w:space="0"/>
              <w:left w:val="nil"/>
              <w:bottom w:val="single" w:color="auto" w:sz="4" w:space="0"/>
              <w:right w:val="single" w:color="auto" w:sz="4" w:space="0"/>
            </w:tcBorders>
            <w:shd w:val="clear" w:color="auto" w:fill="auto"/>
            <w:vAlign w:val="center"/>
          </w:tcPr>
          <w:p w14:paraId="7FB810C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250EF10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single" w:color="auto" w:sz="4" w:space="0"/>
              <w:left w:val="nil"/>
              <w:bottom w:val="single" w:color="auto" w:sz="4" w:space="0"/>
              <w:right w:val="single" w:color="auto" w:sz="4" w:space="0"/>
            </w:tcBorders>
            <w:shd w:val="clear" w:color="auto" w:fill="auto"/>
            <w:vAlign w:val="center"/>
          </w:tcPr>
          <w:p w14:paraId="48EA887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3265197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12FC9E5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center"/>
          </w:tcPr>
          <w:p w14:paraId="23863A6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CBE9B7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5F61C4C6">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79856DD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2B91CF39">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3B3C1145">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131B665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141180D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0282089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80" w:type="dxa"/>
            <w:tcBorders>
              <w:top w:val="nil"/>
              <w:left w:val="nil"/>
              <w:bottom w:val="single" w:color="auto" w:sz="4" w:space="0"/>
              <w:right w:val="single" w:color="auto" w:sz="4" w:space="0"/>
            </w:tcBorders>
            <w:shd w:val="clear" w:color="auto" w:fill="auto"/>
            <w:vAlign w:val="center"/>
          </w:tcPr>
          <w:p w14:paraId="50A153F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20" w:type="dxa"/>
            <w:tcBorders>
              <w:top w:val="nil"/>
              <w:left w:val="nil"/>
              <w:bottom w:val="single" w:color="auto" w:sz="4" w:space="0"/>
              <w:right w:val="single" w:color="auto" w:sz="4" w:space="0"/>
            </w:tcBorders>
            <w:shd w:val="clear" w:color="auto" w:fill="auto"/>
            <w:vAlign w:val="center"/>
          </w:tcPr>
          <w:p w14:paraId="44FA8C0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264D8D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BF8C6E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544E06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000000" w:sz="4" w:space="0"/>
              <w:right w:val="single" w:color="000000" w:sz="4" w:space="0"/>
            </w:tcBorders>
            <w:shd w:val="clear" w:color="auto" w:fill="auto"/>
            <w:vAlign w:val="center"/>
          </w:tcPr>
          <w:p w14:paraId="2C83A4A1">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5BE8455">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3BB7DC">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382EFD6C">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DFFCB95">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02F9436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3C80E85">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41E14D7B">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2AF9F27">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03E76D5E">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6DA90A11">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1CBBABC">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587E9B7C">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799E950A">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836B8F4">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351DD98D">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521EDF">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项目负责人：杜君</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56EF960E">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财务负责人：熊虎</w:t>
            </w:r>
          </w:p>
        </w:tc>
      </w:tr>
    </w:tbl>
    <w:p w14:paraId="0C64D5E2">
      <w:pPr>
        <w:spacing w:line="578" w:lineRule="exact"/>
        <w:ind w:firstLine="640"/>
        <w:rPr>
          <w:rFonts w:eastAsia="仿宋_GB2312" w:cs="仿宋_GB2312"/>
          <w:kern w:val="0"/>
          <w:sz w:val="32"/>
          <w:szCs w:val="32"/>
        </w:rPr>
      </w:pPr>
    </w:p>
    <w:p w14:paraId="3AC2BA0B">
      <w:pPr>
        <w:spacing w:line="578" w:lineRule="exact"/>
        <w:ind w:firstLine="640"/>
        <w:rPr>
          <w:rFonts w:eastAsia="仿宋_GB2312" w:cs="仿宋_GB2312"/>
          <w:kern w:val="0"/>
          <w:sz w:val="32"/>
          <w:szCs w:val="32"/>
        </w:rPr>
      </w:pPr>
    </w:p>
    <w:p w14:paraId="43142E11">
      <w:pPr>
        <w:spacing w:line="578" w:lineRule="exact"/>
        <w:ind w:firstLine="640"/>
        <w:rPr>
          <w:rFonts w:eastAsia="仿宋_GB2312" w:cs="仿宋_GB2312"/>
          <w:kern w:val="0"/>
          <w:sz w:val="32"/>
          <w:szCs w:val="32"/>
        </w:rPr>
      </w:pPr>
    </w:p>
    <w:p w14:paraId="02815918">
      <w:pPr>
        <w:spacing w:line="578" w:lineRule="exact"/>
        <w:ind w:firstLine="640"/>
        <w:rPr>
          <w:rFonts w:eastAsia="仿宋_GB2312" w:cs="仿宋_GB2312"/>
          <w:kern w:val="0"/>
          <w:sz w:val="32"/>
          <w:szCs w:val="32"/>
        </w:rPr>
      </w:pPr>
      <w:bookmarkStart w:id="53" w:name="_Toc15396618"/>
      <w:r>
        <w:rPr>
          <w:rFonts w:hint="eastAsia" w:eastAsia="仿宋_GB2312" w:cs="仿宋_GB2312"/>
          <w:kern w:val="0"/>
          <w:sz w:val="32"/>
          <w:szCs w:val="32"/>
        </w:rPr>
        <w:br w:type="page"/>
      </w:r>
    </w:p>
    <w:p w14:paraId="4CF82DA2">
      <w:pPr>
        <w:widowControl/>
        <w:jc w:val="center"/>
        <w:rPr>
          <w:rFonts w:eastAsia="仿宋"/>
        </w:rPr>
      </w:pPr>
      <w:r>
        <w:rPr>
          <w:rFonts w:hint="eastAsia" w:eastAsia="黑体"/>
          <w:sz w:val="44"/>
          <w:szCs w:val="44"/>
        </w:rPr>
        <w:t>第</w:t>
      </w:r>
      <w:r>
        <w:rPr>
          <w:rStyle w:val="20"/>
          <w:rFonts w:hint="eastAsia" w:eastAsia="黑体"/>
          <w:b w:val="0"/>
        </w:rPr>
        <w:t>五部分 附表</w:t>
      </w:r>
      <w:bookmarkEnd w:id="51"/>
      <w:bookmarkEnd w:id="53"/>
      <w:bookmarkStart w:id="54" w:name="_Toc15396619"/>
    </w:p>
    <w:p w14:paraId="18C9426C">
      <w:pPr>
        <w:pStyle w:val="14"/>
        <w:adjustRightInd w:val="0"/>
        <w:snapToGrid w:val="0"/>
        <w:spacing w:line="560" w:lineRule="exact"/>
        <w:jc w:val="left"/>
        <w:rPr>
          <w:rFonts w:eastAsia="仿宋_GB2312" w:cs="仿宋_GB2312"/>
          <w:sz w:val="32"/>
          <w:szCs w:val="32"/>
        </w:rPr>
      </w:pPr>
    </w:p>
    <w:p w14:paraId="2F3F2241">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4"/>
    </w:p>
    <w:p w14:paraId="610ECF90">
      <w:pPr>
        <w:pStyle w:val="14"/>
        <w:adjustRightInd w:val="0"/>
        <w:snapToGrid w:val="0"/>
        <w:spacing w:line="560" w:lineRule="exact"/>
        <w:jc w:val="left"/>
        <w:rPr>
          <w:rFonts w:eastAsia="仿宋_GB2312" w:cs="仿宋_GB2312"/>
          <w:sz w:val="32"/>
          <w:szCs w:val="32"/>
        </w:rPr>
      </w:pPr>
      <w:bookmarkStart w:id="55" w:name="_Toc15396620"/>
      <w:r>
        <w:rPr>
          <w:rFonts w:hint="eastAsia" w:eastAsia="仿宋_GB2312" w:cs="仿宋_GB2312"/>
          <w:sz w:val="32"/>
          <w:szCs w:val="32"/>
        </w:rPr>
        <w:t>二、收入决算表</w:t>
      </w:r>
      <w:bookmarkEnd w:id="55"/>
    </w:p>
    <w:p w14:paraId="5324712A">
      <w:pPr>
        <w:pStyle w:val="14"/>
        <w:adjustRightInd w:val="0"/>
        <w:snapToGrid w:val="0"/>
        <w:spacing w:line="560" w:lineRule="exact"/>
        <w:jc w:val="left"/>
        <w:rPr>
          <w:rFonts w:eastAsia="仿宋_GB2312" w:cs="仿宋_GB2312"/>
          <w:sz w:val="32"/>
          <w:szCs w:val="32"/>
        </w:rPr>
      </w:pPr>
      <w:bookmarkStart w:id="56" w:name="_Toc15396621"/>
      <w:r>
        <w:rPr>
          <w:rFonts w:hint="eastAsia" w:eastAsia="仿宋_GB2312" w:cs="仿宋_GB2312"/>
          <w:sz w:val="32"/>
          <w:szCs w:val="32"/>
        </w:rPr>
        <w:t>三、支出决算表</w:t>
      </w:r>
      <w:bookmarkEnd w:id="56"/>
    </w:p>
    <w:p w14:paraId="20614E5B">
      <w:pPr>
        <w:pStyle w:val="14"/>
        <w:adjustRightInd w:val="0"/>
        <w:snapToGrid w:val="0"/>
        <w:spacing w:line="560" w:lineRule="exact"/>
        <w:jc w:val="left"/>
        <w:rPr>
          <w:rFonts w:eastAsia="仿宋_GB2312" w:cs="仿宋_GB2312"/>
          <w:sz w:val="32"/>
          <w:szCs w:val="32"/>
        </w:rPr>
      </w:pPr>
      <w:bookmarkStart w:id="57" w:name="_Toc15396622"/>
      <w:r>
        <w:rPr>
          <w:rFonts w:hint="eastAsia" w:eastAsia="仿宋_GB2312" w:cs="仿宋_GB2312"/>
          <w:sz w:val="32"/>
          <w:szCs w:val="32"/>
        </w:rPr>
        <w:t>四、财政拨款收入支出决算总表</w:t>
      </w:r>
      <w:bookmarkEnd w:id="57"/>
    </w:p>
    <w:p w14:paraId="335BA115">
      <w:pPr>
        <w:pStyle w:val="14"/>
        <w:adjustRightInd w:val="0"/>
        <w:snapToGrid w:val="0"/>
        <w:spacing w:line="560" w:lineRule="exact"/>
        <w:jc w:val="left"/>
        <w:rPr>
          <w:rFonts w:eastAsia="仿宋_GB2312" w:cs="仿宋_GB2312"/>
          <w:sz w:val="32"/>
          <w:szCs w:val="32"/>
        </w:rPr>
      </w:pPr>
      <w:bookmarkStart w:id="58" w:name="_Toc15396623"/>
      <w:r>
        <w:rPr>
          <w:rFonts w:hint="eastAsia" w:eastAsia="仿宋_GB2312" w:cs="仿宋_GB2312"/>
          <w:sz w:val="32"/>
          <w:szCs w:val="32"/>
        </w:rPr>
        <w:t>五、财政拨款支出决算明细表</w:t>
      </w:r>
      <w:bookmarkEnd w:id="58"/>
      <w:bookmarkStart w:id="59" w:name="_Toc15396624"/>
    </w:p>
    <w:p w14:paraId="7D3E69F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9"/>
    </w:p>
    <w:p w14:paraId="75A2A1CD">
      <w:pPr>
        <w:pStyle w:val="14"/>
        <w:adjustRightInd w:val="0"/>
        <w:snapToGrid w:val="0"/>
        <w:spacing w:line="560" w:lineRule="exact"/>
        <w:jc w:val="left"/>
        <w:rPr>
          <w:rFonts w:eastAsia="仿宋_GB2312" w:cs="仿宋_GB2312"/>
          <w:sz w:val="32"/>
          <w:szCs w:val="32"/>
        </w:rPr>
      </w:pPr>
      <w:bookmarkStart w:id="60" w:name="_Toc15396625"/>
      <w:r>
        <w:rPr>
          <w:rFonts w:hint="eastAsia" w:eastAsia="仿宋_GB2312" w:cs="仿宋_GB2312"/>
          <w:sz w:val="32"/>
          <w:szCs w:val="32"/>
        </w:rPr>
        <w:t>七、一般公共预算财政拨款支出决算明细表</w:t>
      </w:r>
      <w:bookmarkEnd w:id="60"/>
    </w:p>
    <w:p w14:paraId="0E905864">
      <w:pPr>
        <w:pStyle w:val="14"/>
        <w:adjustRightInd w:val="0"/>
        <w:snapToGrid w:val="0"/>
        <w:spacing w:line="560" w:lineRule="exact"/>
        <w:jc w:val="left"/>
        <w:rPr>
          <w:rFonts w:eastAsia="仿宋_GB2312" w:cs="仿宋_GB2312"/>
          <w:sz w:val="32"/>
          <w:szCs w:val="32"/>
        </w:rPr>
      </w:pPr>
      <w:bookmarkStart w:id="61" w:name="_Toc15396626"/>
      <w:r>
        <w:rPr>
          <w:rFonts w:hint="eastAsia" w:eastAsia="仿宋_GB2312" w:cs="仿宋_GB2312"/>
          <w:sz w:val="32"/>
          <w:szCs w:val="32"/>
        </w:rPr>
        <w:t>八、一般公共预算财政拨款基本支出决算表</w:t>
      </w:r>
      <w:bookmarkEnd w:id="61"/>
    </w:p>
    <w:p w14:paraId="36DEB449">
      <w:pPr>
        <w:pStyle w:val="14"/>
        <w:adjustRightInd w:val="0"/>
        <w:snapToGrid w:val="0"/>
        <w:spacing w:line="560" w:lineRule="exact"/>
        <w:jc w:val="left"/>
        <w:rPr>
          <w:rFonts w:eastAsia="仿宋_GB2312" w:cs="仿宋_GB2312"/>
          <w:sz w:val="32"/>
          <w:szCs w:val="32"/>
        </w:rPr>
      </w:pPr>
      <w:bookmarkStart w:id="62" w:name="_Toc15396627"/>
      <w:r>
        <w:rPr>
          <w:rFonts w:hint="eastAsia" w:eastAsia="仿宋_GB2312" w:cs="仿宋_GB2312"/>
          <w:sz w:val="32"/>
          <w:szCs w:val="32"/>
        </w:rPr>
        <w:t>九、一般公共预算财政拨款项目支出决算表</w:t>
      </w:r>
      <w:bookmarkEnd w:id="62"/>
    </w:p>
    <w:p w14:paraId="5B6FCBA7">
      <w:pPr>
        <w:pStyle w:val="14"/>
        <w:adjustRightInd w:val="0"/>
        <w:snapToGrid w:val="0"/>
        <w:spacing w:line="560" w:lineRule="exact"/>
        <w:jc w:val="left"/>
        <w:rPr>
          <w:rFonts w:eastAsia="仿宋_GB2312" w:cs="仿宋_GB2312"/>
          <w:sz w:val="32"/>
          <w:szCs w:val="32"/>
        </w:rPr>
      </w:pPr>
      <w:bookmarkStart w:id="63" w:name="_Toc15396628"/>
      <w:r>
        <w:rPr>
          <w:rFonts w:hint="eastAsia" w:eastAsia="仿宋_GB2312" w:cs="仿宋_GB2312"/>
          <w:sz w:val="32"/>
          <w:szCs w:val="32"/>
        </w:rPr>
        <w:t>十、</w:t>
      </w:r>
      <w:bookmarkEnd w:id="63"/>
      <w:r>
        <w:rPr>
          <w:rFonts w:hint="eastAsia" w:eastAsia="仿宋_GB2312" w:cs="仿宋_GB2312"/>
          <w:sz w:val="32"/>
          <w:szCs w:val="32"/>
        </w:rPr>
        <w:t>政府性基金预算财政拨款收入支出决算表</w:t>
      </w:r>
    </w:p>
    <w:p w14:paraId="46FAF445">
      <w:pPr>
        <w:pStyle w:val="14"/>
        <w:adjustRightInd w:val="0"/>
        <w:snapToGrid w:val="0"/>
        <w:spacing w:line="560" w:lineRule="exact"/>
        <w:jc w:val="left"/>
        <w:rPr>
          <w:rFonts w:eastAsia="仿宋_GB2312" w:cs="仿宋_GB2312"/>
          <w:sz w:val="32"/>
          <w:szCs w:val="32"/>
        </w:rPr>
      </w:pPr>
      <w:bookmarkStart w:id="64" w:name="_Toc15396629"/>
      <w:r>
        <w:rPr>
          <w:rFonts w:hint="eastAsia" w:eastAsia="仿宋_GB2312" w:cs="仿宋_GB2312"/>
          <w:sz w:val="32"/>
          <w:szCs w:val="32"/>
        </w:rPr>
        <w:t>十一、</w:t>
      </w:r>
      <w:bookmarkEnd w:id="64"/>
      <w:r>
        <w:rPr>
          <w:rFonts w:hint="eastAsia" w:eastAsia="仿宋_GB2312" w:cs="仿宋_GB2312"/>
          <w:sz w:val="32"/>
          <w:szCs w:val="32"/>
        </w:rPr>
        <w:t>国有资本经营预算财政拨款收入支出决算表</w:t>
      </w:r>
    </w:p>
    <w:p w14:paraId="0A1A65B0">
      <w:pPr>
        <w:pStyle w:val="14"/>
        <w:adjustRightInd w:val="0"/>
        <w:snapToGrid w:val="0"/>
        <w:spacing w:line="560" w:lineRule="exact"/>
        <w:jc w:val="left"/>
        <w:rPr>
          <w:rFonts w:eastAsia="仿宋_GB2312" w:cs="仿宋_GB2312"/>
          <w:sz w:val="32"/>
          <w:szCs w:val="32"/>
        </w:rPr>
      </w:pPr>
      <w:bookmarkStart w:id="65" w:name="_Toc15396630"/>
      <w:r>
        <w:rPr>
          <w:rFonts w:hint="eastAsia" w:eastAsia="仿宋_GB2312" w:cs="仿宋_GB2312"/>
          <w:sz w:val="32"/>
          <w:szCs w:val="32"/>
        </w:rPr>
        <w:t>十二、</w:t>
      </w:r>
      <w:bookmarkEnd w:id="65"/>
      <w:r>
        <w:rPr>
          <w:rFonts w:hint="eastAsia" w:eastAsia="仿宋_GB2312" w:cs="仿宋_GB2312"/>
          <w:sz w:val="32"/>
          <w:szCs w:val="32"/>
        </w:rPr>
        <w:t>国有资本经营预算财政拨款支出决算表</w:t>
      </w:r>
    </w:p>
    <w:p w14:paraId="1F640720">
      <w:pPr>
        <w:pStyle w:val="14"/>
        <w:adjustRightInd w:val="0"/>
        <w:snapToGrid w:val="0"/>
        <w:spacing w:line="560" w:lineRule="exact"/>
        <w:jc w:val="left"/>
        <w:rPr>
          <w:rFonts w:eastAsia="仿宋_GB2312" w:cs="仿宋_GB2312"/>
          <w:sz w:val="32"/>
          <w:szCs w:val="32"/>
        </w:rPr>
      </w:pPr>
      <w:bookmarkStart w:id="66" w:name="_Toc15396631"/>
      <w:r>
        <w:rPr>
          <w:rFonts w:hint="eastAsia" w:eastAsia="仿宋_GB2312" w:cs="仿宋_GB2312"/>
          <w:sz w:val="32"/>
          <w:szCs w:val="32"/>
        </w:rPr>
        <w:t>十三、</w:t>
      </w:r>
      <w:bookmarkEnd w:id="66"/>
      <w:r>
        <w:rPr>
          <w:rFonts w:hint="eastAsia" w:eastAsia="仿宋_GB2312" w:cs="仿宋_GB2312"/>
          <w:sz w:val="32"/>
          <w:szCs w:val="32"/>
        </w:rPr>
        <w:t>财政拨款“三公”经费支出决算表</w:t>
      </w:r>
    </w:p>
    <w:p w14:paraId="35003D42"/>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0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7746">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265"/>
                            <w:docPartObj>
                              <w:docPartGallery w:val="autotext"/>
                            </w:docPartObj>
                          </w:sdtPr>
                          <w:sdtContent>
                            <w:p w14:paraId="7C74B00B">
                              <w:pPr>
                                <w:pStyle w:val="11"/>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6F8BA5A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47457265"/>
                      <w:docPartObj>
                        <w:docPartGallery w:val="autotext"/>
                      </w:docPartObj>
                    </w:sdtPr>
                    <w:sdtContent>
                      <w:p w14:paraId="7C74B00B">
                        <w:pPr>
                          <w:pStyle w:val="11"/>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6F8BA5A5">
                    <w:pPr>
                      <w:pStyle w:val="2"/>
                    </w:pPr>
                  </w:p>
                </w:txbxContent>
              </v:textbox>
            </v:shape>
          </w:pict>
        </mc:Fallback>
      </mc:AlternateContent>
    </w:r>
  </w:p>
  <w:p w14:paraId="59EE444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F26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B227B">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C4B227B">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3A7A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705BE"/>
    <w:multiLevelType w:val="multilevel"/>
    <w:tmpl w:val="647705BE"/>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052"/>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748AC"/>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7A3C"/>
    <w:rsid w:val="006440E4"/>
    <w:rsid w:val="0066343B"/>
    <w:rsid w:val="00664777"/>
    <w:rsid w:val="006748A4"/>
    <w:rsid w:val="00681A31"/>
    <w:rsid w:val="00683E73"/>
    <w:rsid w:val="006A1AFF"/>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06A26"/>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0C7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2DC9"/>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5868"/>
    <w:rsid w:val="00C87FD8"/>
    <w:rsid w:val="00C91381"/>
    <w:rsid w:val="00C91CBB"/>
    <w:rsid w:val="00CA50BE"/>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57B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B31E8"/>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0C7855"/>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9F395A"/>
    <w:rsid w:val="4FE9BD67"/>
    <w:rsid w:val="4FFB052F"/>
    <w:rsid w:val="537E6D0A"/>
    <w:rsid w:val="53F74C96"/>
    <w:rsid w:val="55170BA8"/>
    <w:rsid w:val="553218C9"/>
    <w:rsid w:val="567E1AA5"/>
    <w:rsid w:val="56E47B74"/>
    <w:rsid w:val="57175D52"/>
    <w:rsid w:val="577D2E68"/>
    <w:rsid w:val="57BD3DD4"/>
    <w:rsid w:val="5AF92295"/>
    <w:rsid w:val="5B250254"/>
    <w:rsid w:val="5B324DD3"/>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19"/>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3"/>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24"/>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脚注文本 Char"/>
    <w:basedOn w:val="16"/>
    <w:link w:val="2"/>
    <w:semiHidden/>
    <w:qFormat/>
    <w:uiPriority w:val="99"/>
    <w:rPr>
      <w:rFonts w:ascii="Times New Roman" w:hAnsi="Times New Roman" w:eastAsia="宋体" w:cs="Times New Roman"/>
      <w:kern w:val="2"/>
      <w:sz w:val="18"/>
      <w:szCs w:val="18"/>
    </w:rPr>
  </w:style>
  <w:style w:type="character" w:customStyle="1" w:styleId="20">
    <w:name w:val="标题 1 Char"/>
    <w:basedOn w:val="16"/>
    <w:link w:val="5"/>
    <w:qFormat/>
    <w:uiPriority w:val="9"/>
    <w:rPr>
      <w:rFonts w:ascii="Times New Roman" w:hAnsi="Times New Roman"/>
      <w:b/>
      <w:bCs/>
      <w:kern w:val="44"/>
      <w:sz w:val="44"/>
      <w:szCs w:val="44"/>
    </w:rPr>
  </w:style>
  <w:style w:type="character" w:customStyle="1" w:styleId="21">
    <w:name w:val="标题 2 Char"/>
    <w:basedOn w:val="16"/>
    <w:link w:val="6"/>
    <w:qFormat/>
    <w:uiPriority w:val="9"/>
    <w:rPr>
      <w:rFonts w:asciiTheme="majorHAnsi" w:hAnsiTheme="majorHAnsi" w:eastAsiaTheme="majorEastAsia" w:cstheme="majorBidi"/>
      <w:b/>
      <w:bCs/>
      <w:kern w:val="2"/>
      <w:sz w:val="32"/>
      <w:szCs w:val="32"/>
    </w:rPr>
  </w:style>
  <w:style w:type="character" w:customStyle="1" w:styleId="22">
    <w:name w:val="标题 3 Char"/>
    <w:basedOn w:val="16"/>
    <w:link w:val="7"/>
    <w:qFormat/>
    <w:uiPriority w:val="9"/>
    <w:rPr>
      <w:rFonts w:ascii="Times New Roman" w:hAnsi="Times New Roman"/>
      <w:b/>
      <w:bCs/>
      <w:kern w:val="2"/>
      <w:sz w:val="32"/>
      <w:szCs w:val="32"/>
    </w:rPr>
  </w:style>
  <w:style w:type="character" w:customStyle="1" w:styleId="23">
    <w:name w:val="正文文本 Char"/>
    <w:link w:val="8"/>
    <w:qFormat/>
    <w:locked/>
    <w:uiPriority w:val="99"/>
    <w:rPr>
      <w:rFonts w:ascii="仿宋_GB2312" w:hAnsi="Times New Roman" w:eastAsia="仿宋_GB2312"/>
      <w:sz w:val="24"/>
    </w:rPr>
  </w:style>
  <w:style w:type="character" w:customStyle="1" w:styleId="24">
    <w:name w:val="批注框文本 Char"/>
    <w:basedOn w:val="16"/>
    <w:link w:val="10"/>
    <w:semiHidden/>
    <w:qFormat/>
    <w:uiPriority w:val="99"/>
    <w:rPr>
      <w:rFonts w:ascii="Times New Roman" w:hAnsi="Times New Roman"/>
      <w:kern w:val="2"/>
      <w:sz w:val="18"/>
      <w:szCs w:val="18"/>
    </w:rPr>
  </w:style>
  <w:style w:type="character" w:customStyle="1" w:styleId="25">
    <w:name w:val="页脚 Char"/>
    <w:link w:val="11"/>
    <w:qFormat/>
    <w:locked/>
    <w:uiPriority w:val="99"/>
    <w:rPr>
      <w:sz w:val="18"/>
    </w:rPr>
  </w:style>
  <w:style w:type="character" w:customStyle="1" w:styleId="26">
    <w:name w:val="页眉 Char"/>
    <w:link w:val="12"/>
    <w:semiHidden/>
    <w:qFormat/>
    <w:locked/>
    <w:uiPriority w:val="99"/>
    <w:rPr>
      <w:sz w:val="18"/>
    </w:rPr>
  </w:style>
  <w:style w:type="paragraph" w:customStyle="1" w:styleId="2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8">
    <w:name w:val="Header Char"/>
    <w:basedOn w:val="16"/>
    <w:semiHidden/>
    <w:qFormat/>
    <w:uiPriority w:val="99"/>
    <w:rPr>
      <w:rFonts w:ascii="Times New Roman" w:hAnsi="Times New Roman"/>
      <w:sz w:val="18"/>
      <w:szCs w:val="18"/>
    </w:rPr>
  </w:style>
  <w:style w:type="character" w:customStyle="1" w:styleId="29">
    <w:name w:val="Footer Char"/>
    <w:basedOn w:val="16"/>
    <w:semiHidden/>
    <w:qFormat/>
    <w:uiPriority w:val="99"/>
    <w:rPr>
      <w:rFonts w:ascii="Times New Roman" w:hAnsi="Times New Roman"/>
      <w:sz w:val="18"/>
      <w:szCs w:val="18"/>
    </w:rPr>
  </w:style>
  <w:style w:type="character" w:customStyle="1" w:styleId="30">
    <w:name w:val="Body Text Char"/>
    <w:basedOn w:val="16"/>
    <w:semiHidden/>
    <w:qFormat/>
    <w:uiPriority w:val="99"/>
    <w:rPr>
      <w:rFonts w:ascii="Times New Roman" w:hAnsi="Times New Roman"/>
      <w:szCs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delete val="1"/>
          </c:dLbls>
          <c:cat>
            <c:strRef>
              <c:f>Sheet1!$B$3:$B$4</c:f>
              <c:strCache>
                <c:ptCount val="2"/>
                <c:pt idx="0">
                  <c:v>2023年</c:v>
                </c:pt>
                <c:pt idx="1">
                  <c:v>2024年</c:v>
                </c:pt>
              </c:strCache>
            </c:strRef>
          </c:cat>
          <c:val>
            <c:numRef>
              <c:f>Sheet1!$C$3:$C$4</c:f>
              <c:numCache>
                <c:formatCode>General</c:formatCode>
                <c:ptCount val="2"/>
                <c:pt idx="0">
                  <c:v>1261.58</c:v>
                </c:pt>
                <c:pt idx="1">
                  <c:v>1432.09</c:v>
                </c:pt>
              </c:numCache>
            </c:numRef>
          </c:val>
        </c:ser>
        <c:dLbls>
          <c:showLegendKey val="0"/>
          <c:showVal val="0"/>
          <c:showCatName val="0"/>
          <c:showSerName val="0"/>
          <c:showPercent val="0"/>
          <c:showBubbleSize val="0"/>
        </c:dLbls>
        <c:gapWidth val="219"/>
        <c:overlap val="-27"/>
        <c:axId val="451938176"/>
        <c:axId val="451939712"/>
      </c:barChart>
      <c:catAx>
        <c:axId val="45193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51939712"/>
        <c:crosses val="autoZero"/>
        <c:auto val="1"/>
        <c:lblAlgn val="ctr"/>
        <c:lblOffset val="100"/>
        <c:noMultiLvlLbl val="0"/>
      </c:catAx>
      <c:valAx>
        <c:axId val="4519397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51938176"/>
        <c:crosses val="autoZero"/>
        <c:crossBetween val="between"/>
      </c:valAx>
      <c:spPr>
        <a:noFill/>
        <a:ln w="25400">
          <a:noFill/>
        </a:ln>
      </c:spPr>
    </c:plotArea>
    <c:plotVisOnly val="1"/>
    <c:dispBlanksAs val="gap"/>
    <c:showDLblsOverMax val="0"/>
    <c:extLst>
      <c:ext uri="{0b15fc19-7d7d-44ad-8c2d-2c3a37ce22c3}">
        <chartProps xmlns="https://web.wps.cn/et/2018/main" chartId="{7d7d9e7d-d305-4201-9e84-9ed378c56ee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265056213113563"/>
                  <c:y val="-0.051615471141658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217225080685374"/>
                  <c:y val="0.070805866913694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0561044170105"/>
                  <c:y val="-0.064585209201790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243228671418773"/>
                  <c:y val="-0.0045109406122811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Sheet1!$C$14:$C$17</c:f>
              <c:strCache>
                <c:ptCount val="4"/>
                <c:pt idx="0">
                  <c:v>一般公共预算财政拨款收入</c:v>
                </c:pt>
                <c:pt idx="1">
                  <c:v>政府性基金预算财政拨款收入</c:v>
                </c:pt>
                <c:pt idx="2">
                  <c:v>事业收入</c:v>
                </c:pt>
                <c:pt idx="3">
                  <c:v>其他收入</c:v>
                </c:pt>
              </c:strCache>
            </c:strRef>
          </c:cat>
          <c:val>
            <c:numRef>
              <c:f>Sheet1!$D$14:$D$17</c:f>
              <c:numCache>
                <c:formatCode>General</c:formatCode>
                <c:ptCount val="4"/>
                <c:pt idx="0">
                  <c:v>1276.15</c:v>
                </c:pt>
                <c:pt idx="1">
                  <c:v>0</c:v>
                </c:pt>
                <c:pt idx="2">
                  <c:v>0</c:v>
                </c:pt>
                <c:pt idx="3">
                  <c:v>155.94</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extLst>
      <c:ext uri="{0b15fc19-7d7d-44ad-8c2d-2c3a37ce22c3}">
        <chartProps xmlns="https://web.wps.cn/et/2018/main" chartId="{5e52cbdf-d711-43c0-bc8d-585cd014327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04215422190858"/>
                  <c:y val="-0.13932397039476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Sheet1!$C$25:$C$26</c:f>
              <c:strCache>
                <c:ptCount val="2"/>
                <c:pt idx="0">
                  <c:v>基本支出</c:v>
                </c:pt>
                <c:pt idx="1">
                  <c:v>项目支出</c:v>
                </c:pt>
              </c:strCache>
            </c:strRef>
          </c:cat>
          <c:val>
            <c:numRef>
              <c:f>Sheet1!$D$25:$D$26</c:f>
              <c:numCache>
                <c:formatCode>General</c:formatCode>
                <c:ptCount val="2"/>
                <c:pt idx="0">
                  <c:v>1125</c:v>
                </c:pt>
                <c:pt idx="1">
                  <c:v>305</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extLst>
      <c:ext uri="{0b15fc19-7d7d-44ad-8c2d-2c3a37ce22c3}">
        <chartProps xmlns="https://web.wps.cn/et/2018/main" chartId="{ec52d0f8-f995-4e1a-8e9b-eab46d36f51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delete val="1"/>
          </c:dLbls>
          <c:cat>
            <c:strRef>
              <c:f>Sheet1!$B$41:$B$42</c:f>
              <c:strCache>
                <c:ptCount val="2"/>
                <c:pt idx="0">
                  <c:v>2023年</c:v>
                </c:pt>
                <c:pt idx="1">
                  <c:v>2024年</c:v>
                </c:pt>
              </c:strCache>
            </c:strRef>
          </c:cat>
          <c:val>
            <c:numRef>
              <c:f>Sheet1!$C$41:$C$42</c:f>
              <c:numCache>
                <c:formatCode>General</c:formatCode>
                <c:ptCount val="2"/>
                <c:pt idx="0">
                  <c:v>1261.58</c:v>
                </c:pt>
                <c:pt idx="1">
                  <c:v>1276.15</c:v>
                </c:pt>
              </c:numCache>
            </c:numRef>
          </c:val>
        </c:ser>
        <c:dLbls>
          <c:showLegendKey val="0"/>
          <c:showVal val="0"/>
          <c:showCatName val="0"/>
          <c:showSerName val="0"/>
          <c:showPercent val="0"/>
          <c:showBubbleSize val="0"/>
        </c:dLbls>
        <c:gapWidth val="219"/>
        <c:overlap val="-27"/>
        <c:axId val="267560064"/>
        <c:axId val="267561600"/>
      </c:barChart>
      <c:catAx>
        <c:axId val="26756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67561600"/>
        <c:crosses val="autoZero"/>
        <c:auto val="1"/>
        <c:lblAlgn val="ctr"/>
        <c:lblOffset val="100"/>
        <c:noMultiLvlLbl val="0"/>
      </c:catAx>
      <c:valAx>
        <c:axId val="2675616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67560064"/>
        <c:crosses val="autoZero"/>
        <c:crossBetween val="between"/>
      </c:valAx>
      <c:spPr>
        <a:noFill/>
        <a:ln w="25400">
          <a:noFill/>
        </a:ln>
      </c:spPr>
    </c:plotArea>
    <c:plotVisOnly val="1"/>
    <c:dispBlanksAs val="gap"/>
    <c:showDLblsOverMax val="0"/>
    <c:extLst>
      <c:ext uri="{0b15fc19-7d7d-44ad-8c2d-2c3a37ce22c3}">
        <chartProps xmlns="https://web.wps.cn/et/2018/main" chartId="{9feeef06-c4ad-4f36-9b26-cde45e45f42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delete val="1"/>
          </c:dLbls>
          <c:cat>
            <c:strRef>
              <c:f>Sheet1!$B$53:$B$54</c:f>
              <c:strCache>
                <c:ptCount val="2"/>
                <c:pt idx="0">
                  <c:v>2023年</c:v>
                </c:pt>
                <c:pt idx="1">
                  <c:v>2024年</c:v>
                </c:pt>
              </c:strCache>
            </c:strRef>
          </c:cat>
          <c:val>
            <c:numRef>
              <c:f>Sheet1!$C$53:$C$54</c:f>
              <c:numCache>
                <c:formatCode>General</c:formatCode>
                <c:ptCount val="2"/>
                <c:pt idx="0">
                  <c:v>1261.58</c:v>
                </c:pt>
                <c:pt idx="1">
                  <c:v>1276.15</c:v>
                </c:pt>
              </c:numCache>
            </c:numRef>
          </c:val>
        </c:ser>
        <c:dLbls>
          <c:showLegendKey val="0"/>
          <c:showVal val="0"/>
          <c:showCatName val="0"/>
          <c:showSerName val="0"/>
          <c:showPercent val="0"/>
          <c:showBubbleSize val="0"/>
        </c:dLbls>
        <c:gapWidth val="219"/>
        <c:overlap val="-27"/>
        <c:axId val="267577216"/>
        <c:axId val="267578752"/>
      </c:barChart>
      <c:catAx>
        <c:axId val="26757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67578752"/>
        <c:crosses val="autoZero"/>
        <c:auto val="1"/>
        <c:lblAlgn val="ctr"/>
        <c:lblOffset val="100"/>
        <c:noMultiLvlLbl val="0"/>
      </c:catAx>
      <c:valAx>
        <c:axId val="2675787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67577216"/>
        <c:crosses val="autoZero"/>
        <c:crossBetween val="between"/>
      </c:valAx>
      <c:spPr>
        <a:noFill/>
        <a:ln w="25400">
          <a:noFill/>
        </a:ln>
      </c:spPr>
    </c:plotArea>
    <c:plotVisOnly val="1"/>
    <c:dispBlanksAs val="gap"/>
    <c:showDLblsOverMax val="0"/>
    <c:extLst>
      <c:ext uri="{0b15fc19-7d7d-44ad-8c2d-2c3a37ce22c3}">
        <chartProps xmlns="https://web.wps.cn/et/2018/main" chartId="{f2018d0d-2a85-4b07-881a-bc7a575060e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348174411159499"/>
                  <c:y val="0.025429016494889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107855735910106"/>
                  <c:y val="-0.57026396090732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940447807152597"/>
                  <c:y val="0.12233702494505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983467010757734"/>
                  <c:y val="0.074413787707430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136643059282394"/>
                  <c:y val="0.023878966348718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0406840765016105"/>
                  <c:y val="-0.011644154236818"/>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0.112204382273445"/>
                  <c:y val="0.00451671183378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Sheet1!$C$66:$C$72</c:f>
              <c:strCache>
                <c:ptCount val="7"/>
                <c:pt idx="0">
                  <c:v>一般公共服务支出</c:v>
                </c:pt>
                <c:pt idx="1">
                  <c:v>教育支出</c:v>
                </c:pt>
                <c:pt idx="2">
                  <c:v>科学技术支出</c:v>
                </c:pt>
                <c:pt idx="3">
                  <c:v>文化旅游体育与传媒</c:v>
                </c:pt>
                <c:pt idx="4">
                  <c:v>社会保障和就业支出</c:v>
                </c:pt>
                <c:pt idx="5">
                  <c:v>卫生健康支出</c:v>
                </c:pt>
                <c:pt idx="6">
                  <c:v>住房保障支出</c:v>
                </c:pt>
              </c:strCache>
            </c:strRef>
          </c:cat>
          <c:val>
            <c:numRef>
              <c:f>Sheet1!$D$66:$D$72</c:f>
              <c:numCache>
                <c:formatCode>General</c:formatCode>
                <c:ptCount val="7"/>
                <c:pt idx="0">
                  <c:v>0</c:v>
                </c:pt>
                <c:pt idx="1">
                  <c:v>995.39</c:v>
                </c:pt>
                <c:pt idx="2">
                  <c:v>0</c:v>
                </c:pt>
                <c:pt idx="3">
                  <c:v>0</c:v>
                </c:pt>
                <c:pt idx="4">
                  <c:v>141.74</c:v>
                </c:pt>
                <c:pt idx="5">
                  <c:v>51.52</c:v>
                </c:pt>
                <c:pt idx="6">
                  <c:v>87.5</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extLst>
      <c:ext uri="{0b15fc19-7d7d-44ad-8c2d-2c3a37ce22c3}">
        <chartProps xmlns="https://web.wps.cn/et/2018/main" chartId="{4d06bf86-c1ea-4149-86d6-538346cfeb3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5835</Words>
  <Characters>6389</Characters>
  <Lines>112</Lines>
  <Paragraphs>31</Paragraphs>
  <TotalTime>15</TotalTime>
  <ScaleCrop>false</ScaleCrop>
  <LinksUpToDate>false</LinksUpToDate>
  <CharactersWithSpaces>6445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2025-08-28T07:16:08Z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eyJoZGlkIjoiZGM4NjUzNDA1NDkyY2MxZmJmZThlN2U3ZTFkMjcwOGYifQ==</vt:lpwstr>
  </property>
</Properties>
</file>