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ascii="Times New Roman" w:eastAsia="方正小标宋简体"/>
          <w:kern w:val="2"/>
          <w:sz w:val="72"/>
          <w:szCs w:val="72"/>
        </w:rPr>
      </w:pPr>
      <w:bookmarkStart w:id="0" w:name="_Toc15396475"/>
      <w:bookmarkStart w:id="1" w:name="_Toc15377193"/>
      <w:bookmarkStart w:id="2" w:name="_Toc15377425"/>
      <w:bookmarkStart w:id="3" w:name="_Toc15306267"/>
      <w:bookmarkStart w:id="4" w:name="_Toc15378441"/>
      <w:bookmarkStart w:id="5" w:name="_Toc15396597"/>
    </w:p>
    <w:p>
      <w:pPr>
        <w:pStyle w:val="8"/>
        <w:spacing w:before="93"/>
        <w:rPr>
          <w:rFonts w:ascii="Times New Roman" w:eastAsia="方正小标宋简体"/>
          <w:kern w:val="2"/>
          <w:sz w:val="72"/>
          <w:szCs w:val="72"/>
        </w:rPr>
      </w:pPr>
    </w:p>
    <w:p>
      <w:pPr>
        <w:pStyle w:val="8"/>
        <w:spacing w:before="93"/>
        <w:rPr>
          <w:rFonts w:ascii="Times New Roman" w:eastAsia="方正小标宋简体"/>
          <w:kern w:val="2"/>
          <w:sz w:val="72"/>
          <w:szCs w:val="72"/>
        </w:rPr>
      </w:pP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四川省遂宁市安居区安居区安居镇安平小学校决算公开</w:t>
      </w:r>
    </w:p>
    <w:p>
      <w:pPr>
        <w:spacing w:line="600" w:lineRule="exact"/>
        <w:jc w:val="center"/>
        <w:outlineLvl w:val="0"/>
        <w:rPr>
          <w:rFonts w:eastAsia="方正小标宋简体"/>
          <w:sz w:val="72"/>
          <w:szCs w:val="72"/>
        </w:rPr>
      </w:pPr>
    </w:p>
    <w:p>
      <w:pPr>
        <w:pStyle w:val="19"/>
        <w:rPr>
          <w:rFonts w:ascii="Times New Roman" w:hAnsi="Times New Roman"/>
        </w:rPr>
      </w:pPr>
    </w:p>
    <w:p/>
    <w:bookmarkEnd w:id="0"/>
    <w:bookmarkEnd w:id="1"/>
    <w:bookmarkEnd w:id="2"/>
    <w:bookmarkEnd w:id="3"/>
    <w:bookmarkEnd w:id="4"/>
    <w:bookmarkEnd w:id="5"/>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ins w:id="0" w:author="Lenovo" w:date="2025-08-28T17:15:04Z">
        <w:r>
          <w:rPr>
            <w:rFonts w:hint="eastAsia" w:ascii="Times New Roman" w:hAnsi="Times New Roman" w:eastAsia="仿宋_GB2312" w:cs="仿宋_GB2312"/>
            <w:sz w:val="32"/>
            <w:szCs w:val="32"/>
            <w:lang w:val="en-US" w:eastAsia="zh-CN"/>
          </w:rPr>
          <w:t>8</w:t>
        </w:r>
      </w:ins>
      <w:r>
        <w:rPr>
          <w:rFonts w:hint="eastAsia" w:ascii="Times New Roman" w:hAnsi="Times New Roman" w:eastAsia="仿宋_GB2312" w:cs="仿宋_GB2312"/>
          <w:sz w:val="32"/>
          <w:szCs w:val="32"/>
        </w:rPr>
        <w:t xml:space="preserve">  月</w:t>
      </w:r>
      <w:ins w:id="1" w:author="Lenovo" w:date="2025-08-28T17:15:05Z">
        <w:r>
          <w:rPr>
            <w:rFonts w:hint="eastAsia" w:ascii="Times New Roman" w:hAnsi="Times New Roman" w:eastAsia="仿宋_GB2312" w:cs="仿宋_GB2312"/>
            <w:sz w:val="32"/>
            <w:szCs w:val="32"/>
            <w:lang w:val="en-US" w:eastAsia="zh-CN"/>
          </w:rPr>
          <w:t>2</w:t>
        </w:r>
      </w:ins>
      <w:ins w:id="2" w:author="Lenovo" w:date="2025-08-28T17:15:06Z">
        <w:r>
          <w:rPr>
            <w:rFonts w:hint="eastAsia" w:ascii="Times New Roman" w:hAnsi="Times New Roman" w:eastAsia="仿宋_GB2312" w:cs="仿宋_GB2312"/>
            <w:sz w:val="32"/>
            <w:szCs w:val="32"/>
            <w:lang w:val="en-US" w:eastAsia="zh-CN"/>
          </w:rPr>
          <w:t>8</w:t>
        </w:r>
      </w:ins>
      <w:bookmarkStart w:id="60" w:name="_GoBack"/>
      <w:bookmarkEnd w:id="60"/>
      <w:r>
        <w:rPr>
          <w:rFonts w:hint="eastAsia" w:ascii="Times New Roman" w:hAnsi="Times New Roman" w:eastAsia="仿宋_GB2312" w:cs="仿宋_GB2312"/>
          <w:sz w:val="32"/>
          <w:szCs w:val="32"/>
        </w:rPr>
        <w:t xml:space="preserve">  日</w:t>
      </w:r>
    </w:p>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....................................................................4</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....................................5</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....................................................5</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....................6</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..10</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......................12</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..................12</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......................................12</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................................................................15</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........................................................................17</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w:t>
      </w:r>
      <w:r>
        <w:rPr>
          <w:rFonts w:hint="eastAsia" w:ascii="Times New Roman" w:hAnsi="Times New Roman" w:eastAsia="黑体" w:cs="黑体"/>
          <w:sz w:val="32"/>
          <w:szCs w:val="32"/>
          <w:lang w:val="en-US" w:eastAsia="zh-CN"/>
        </w:rPr>
        <w:t>27</w:t>
      </w:r>
    </w:p>
    <w:p>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pPr>
        <w:widowControl/>
        <w:jc w:val="left"/>
        <w:rPr>
          <w:rFonts w:eastAsia="黑体"/>
          <w:sz w:val="32"/>
          <w:szCs w:val="32"/>
        </w:rPr>
      </w:pPr>
    </w:p>
    <w:p>
      <w:pPr>
        <w:pStyle w:val="6"/>
        <w:spacing w:before="0" w:after="0" w:line="240" w:lineRule="auto"/>
        <w:rPr>
          <w:rFonts w:ascii="Times New Roman" w:hAnsi="Times New Roman" w:eastAsia="黑体"/>
          <w:b w:val="0"/>
        </w:rPr>
      </w:pPr>
      <w:r>
        <w:rPr>
          <w:rFonts w:hint="eastAsia" w:ascii="Times New Roman" w:hAnsi="Times New Roman" w:eastAsia="黑体"/>
          <w:b w:val="0"/>
        </w:rPr>
        <w:t>一、部门职责</w:t>
      </w:r>
    </w:p>
    <w:p>
      <w:pPr>
        <w:widowControl/>
        <w:spacing w:before="0" w:after="0"/>
        <w:ind w:firstLine="640" w:firstLineChars="200"/>
        <w:jc w:val="left"/>
        <w:rPr>
          <w:rStyle w:val="16"/>
          <w:rFonts w:ascii="仿宋" w:hAnsi="仿宋" w:eastAsia="仿宋"/>
          <w:b w:val="0"/>
          <w:bCs w:val="0"/>
        </w:rPr>
      </w:pPr>
      <w:r>
        <w:rPr>
          <w:rFonts w:hint="default" w:ascii="仿宋" w:hAnsi="仿宋" w:eastAsia="仿宋"/>
          <w:b w:val="0"/>
          <w:sz w:val="32"/>
          <w:szCs w:val="32"/>
        </w:rPr>
        <w:t>安平小学是1988年与原安平中学分设而成，坐落于G247国道旁，与资阳市毗邻，服务于七个行政村，辖区内有一万多人，学校占地4276平方米，校舍4961平方米；现有教学、师生宿舍各一幢，学生食堂一幢。现有6个教学班，一个附设幼儿园，学 生78人，教师30人，学历都达标。学校坚持“做真实教育，为学生同展奠基”的办学理念，学校多次获得全区教育系统业绩评估“一等奖”。</w:t>
      </w:r>
    </w:p>
    <w:p>
      <w:pPr>
        <w:pStyle w:val="6"/>
        <w:spacing w:before="0" w:after="0" w:line="240" w:lineRule="auto"/>
        <w:rPr>
          <w:rStyle w:val="29"/>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widowControl/>
        <w:ind w:firstLine="640" w:firstLineChars="200"/>
        <w:jc w:val="left"/>
        <w:rPr>
          <w:rFonts w:hint="eastAsia" w:ascii="仿宋" w:hAnsi="仿宋" w:eastAsia="仿宋"/>
          <w:sz w:val="32"/>
          <w:szCs w:val="32"/>
        </w:rPr>
      </w:pPr>
      <w:r>
        <w:rPr>
          <w:rFonts w:hint="eastAsia" w:ascii="仿宋" w:hAnsi="仿宋" w:eastAsia="仿宋"/>
          <w:sz w:val="32"/>
          <w:szCs w:val="32"/>
        </w:rPr>
        <w:t>我校</w:t>
      </w:r>
      <w:r>
        <w:rPr>
          <w:rFonts w:ascii="仿宋" w:hAnsi="仿宋" w:eastAsia="仿宋"/>
          <w:sz w:val="32"/>
          <w:szCs w:val="32"/>
        </w:rPr>
        <w:t>为</w:t>
      </w:r>
      <w:r>
        <w:rPr>
          <w:rFonts w:hint="eastAsia" w:ascii="仿宋" w:hAnsi="仿宋" w:eastAsia="仿宋"/>
          <w:sz w:val="32"/>
          <w:szCs w:val="32"/>
        </w:rPr>
        <w:t>独</w:t>
      </w:r>
      <w:r>
        <w:rPr>
          <w:rFonts w:ascii="仿宋" w:hAnsi="仿宋" w:eastAsia="仿宋"/>
          <w:sz w:val="32"/>
          <w:szCs w:val="32"/>
        </w:rPr>
        <w:t>立编制机构</w:t>
      </w:r>
      <w:r>
        <w:rPr>
          <w:rFonts w:hint="eastAsia" w:ascii="仿宋" w:hAnsi="仿宋" w:eastAsia="仿宋"/>
          <w:sz w:val="32"/>
          <w:szCs w:val="32"/>
        </w:rPr>
        <w:t>1个</w:t>
      </w:r>
      <w:r>
        <w:rPr>
          <w:rFonts w:ascii="仿宋" w:hAnsi="仿宋" w:eastAsia="仿宋"/>
          <w:sz w:val="32"/>
          <w:szCs w:val="32"/>
        </w:rPr>
        <w:t>，独立核算机构</w:t>
      </w:r>
      <w:r>
        <w:rPr>
          <w:rFonts w:hint="eastAsia" w:ascii="仿宋" w:hAnsi="仿宋" w:eastAsia="仿宋"/>
          <w:sz w:val="32"/>
          <w:szCs w:val="32"/>
        </w:rPr>
        <w:t>1个</w:t>
      </w:r>
      <w:r>
        <w:rPr>
          <w:rFonts w:ascii="仿宋" w:hAnsi="仿宋" w:eastAsia="仿宋"/>
          <w:sz w:val="32"/>
          <w:szCs w:val="32"/>
        </w:rPr>
        <w:t>，我校现有在编</w:t>
      </w:r>
      <w:r>
        <w:rPr>
          <w:rFonts w:hint="eastAsia" w:ascii="仿宋" w:hAnsi="仿宋" w:eastAsia="仿宋"/>
          <w:sz w:val="32"/>
          <w:szCs w:val="32"/>
        </w:rPr>
        <w:t>教师30人</w:t>
      </w:r>
      <w:r>
        <w:rPr>
          <w:rFonts w:ascii="仿宋" w:hAnsi="仿宋" w:eastAsia="仿宋"/>
          <w:sz w:val="32"/>
          <w:szCs w:val="32"/>
        </w:rPr>
        <w:t>，遗属</w:t>
      </w:r>
      <w:r>
        <w:rPr>
          <w:rFonts w:hint="eastAsia" w:ascii="仿宋" w:hAnsi="仿宋" w:eastAsia="仿宋"/>
          <w:sz w:val="32"/>
          <w:szCs w:val="32"/>
        </w:rPr>
        <w:t>6人，</w:t>
      </w:r>
      <w:r>
        <w:rPr>
          <w:rFonts w:ascii="仿宋" w:hAnsi="仿宋" w:eastAsia="仿宋"/>
          <w:sz w:val="32"/>
          <w:szCs w:val="32"/>
        </w:rPr>
        <w:t>退休</w:t>
      </w:r>
      <w:r>
        <w:rPr>
          <w:rFonts w:hint="eastAsia" w:ascii="仿宋" w:hAnsi="仿宋" w:eastAsia="仿宋"/>
          <w:sz w:val="32"/>
          <w:szCs w:val="32"/>
        </w:rPr>
        <w:t>教师60人</w:t>
      </w:r>
      <w:r>
        <w:rPr>
          <w:rFonts w:ascii="仿宋" w:hAnsi="仿宋" w:eastAsia="仿宋"/>
          <w:sz w:val="32"/>
          <w:szCs w:val="32"/>
        </w:rPr>
        <w:t>，学生</w:t>
      </w:r>
      <w:r>
        <w:rPr>
          <w:rFonts w:hint="eastAsia" w:ascii="仿宋" w:hAnsi="仿宋" w:eastAsia="仿宋"/>
          <w:sz w:val="32"/>
          <w:szCs w:val="32"/>
        </w:rPr>
        <w:t>78人</w:t>
      </w:r>
      <w:r>
        <w:rPr>
          <w:rFonts w:ascii="仿宋" w:hAnsi="仿宋" w:eastAsia="仿宋"/>
          <w:sz w:val="32"/>
          <w:szCs w:val="32"/>
        </w:rPr>
        <w:t>，现设有行政办，德育处，教导</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后勤</w:t>
      </w:r>
      <w:r>
        <w:rPr>
          <w:rFonts w:ascii="仿宋" w:hAnsi="仿宋" w:eastAsia="仿宋"/>
          <w:sz w:val="32"/>
          <w:szCs w:val="32"/>
        </w:rPr>
        <w:t>处等部门</w:t>
      </w:r>
      <w:r>
        <w:rPr>
          <w:rFonts w:hint="eastAsia" w:ascii="仿宋" w:hAnsi="仿宋" w:eastAsia="仿宋"/>
          <w:sz w:val="32"/>
          <w:szCs w:val="32"/>
        </w:rPr>
        <w:t>。</w:t>
      </w:r>
    </w:p>
    <w:p>
      <w:pPr>
        <w:widowControl/>
        <w:ind w:firstLine="640" w:firstLineChars="200"/>
        <w:jc w:val="left"/>
        <w:rPr>
          <w:rFonts w:hint="eastAsia" w:ascii="仿宋" w:hAnsi="仿宋" w:eastAsia="仿宋"/>
          <w:sz w:val="32"/>
          <w:szCs w:val="32"/>
        </w:rPr>
      </w:pPr>
    </w:p>
    <w:p>
      <w:pPr>
        <w:pStyle w:val="2"/>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5"/>
        <w:spacing w:before="0" w:after="0" w:line="240" w:lineRule="auto"/>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
      <w:pPr>
        <w:pStyle w:val="27"/>
        <w:spacing w:line="240" w:lineRule="auto"/>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pStyle w:val="27"/>
        <w:spacing w:line="240" w:lineRule="auto"/>
        <w:ind w:firstLine="640"/>
        <w:outlineLvl w:val="1"/>
        <w:rPr>
          <w:rFonts w:eastAsia="仿宋" w:cs="仿宋_GB2312"/>
          <w:sz w:val="32"/>
          <w:szCs w:val="32"/>
        </w:rPr>
      </w:pPr>
      <w:r>
        <w:rPr>
          <w:rFonts w:hint="eastAsia" w:eastAsia="仿宋_GB2312" w:cs="仿宋_GB2312"/>
          <w:sz w:val="32"/>
          <w:szCs w:val="32"/>
        </w:rPr>
        <w:t>2024年度收入、支出总计均为756万元。与2023年度相比，收入、支出总计各增加133万元，增长21%。</w:t>
      </w:r>
      <w:r>
        <w:rPr>
          <w:rFonts w:ascii="仿宋" w:hAnsi="仿宋" w:eastAsia="仿宋" w:cs="仿宋"/>
          <w:sz w:val="32"/>
        </w:rPr>
        <w:t>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p>
    <w:p>
      <w:pPr>
        <w:ind w:firstLine="640" w:firstLineChars="200"/>
        <w:rPr>
          <w:rFonts w:eastAsia="仿宋_GB2312" w:cs="仿宋_GB2312"/>
          <w:sz w:val="32"/>
          <w:szCs w:val="32"/>
        </w:rPr>
      </w:pPr>
    </w:p>
    <w:p>
      <w:pPr>
        <w:ind w:firstLine="420" w:firstLineChars="200"/>
        <w:rPr>
          <w:rFonts w:eastAsia="仿宋_GB2312" w:cs="仿宋_GB2312"/>
          <w:sz w:val="32"/>
          <w:szCs w:val="32"/>
        </w:rPr>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eastAsia="仿宋_GB2312" w:cs="仿宋_GB2312"/>
          <w:sz w:val="32"/>
          <w:szCs w:val="32"/>
        </w:rPr>
      </w:pPr>
      <w:r>
        <w:rPr>
          <w:rFonts w:hint="eastAsia" w:eastAsia="仿宋_GB2312" w:cs="仿宋_GB2312"/>
          <w:sz w:val="32"/>
          <w:szCs w:val="32"/>
        </w:rPr>
        <w:t>（图1：收入、支出决算总计变动情况图）（柱状图）</w:t>
      </w:r>
    </w:p>
    <w:p>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27"/>
        <w:spacing w:line="600" w:lineRule="exact"/>
        <w:ind w:firstLine="640"/>
        <w:outlineLvl w:val="1"/>
        <w:rPr>
          <w:rFonts w:hint="eastAsia" w:eastAsia="仿宋_GB2312" w:cs="仿宋_GB2312"/>
          <w:b/>
          <w:bCs/>
          <w:sz w:val="32"/>
          <w:szCs w:val="32"/>
          <w:shd w:val="clear" w:fill="FFFF00"/>
          <w:lang w:eastAsia="zh-CN"/>
        </w:rPr>
      </w:pPr>
      <w:r>
        <w:rPr>
          <w:rFonts w:hint="eastAsia" w:eastAsia="仿宋_GB2312" w:cs="仿宋_GB2312"/>
          <w:sz w:val="32"/>
          <w:szCs w:val="32"/>
        </w:rPr>
        <w:t>2024年度本年收入合计756万元，其中：一般公共预算财政拨款收入756万元，占100%</w:t>
      </w:r>
      <w:r>
        <w:rPr>
          <w:rFonts w:hint="eastAsia" w:eastAsia="仿宋_GB2312" w:cs="仿宋_GB2312"/>
          <w:sz w:val="32"/>
          <w:szCs w:val="32"/>
          <w:lang w:eastAsia="zh-CN"/>
        </w:rPr>
        <w:t>。</w:t>
      </w:r>
    </w:p>
    <w:p>
      <w:pPr>
        <w:ind w:firstLine="803" w:firstLineChars="250"/>
        <w:rPr>
          <w:rFonts w:eastAsia="仿宋_GB2312" w:cs="仿宋_GB2312"/>
          <w:sz w:val="32"/>
          <w:szCs w:val="32"/>
        </w:rPr>
      </w:pPr>
      <w:r>
        <w:rPr>
          <w:rFonts w:ascii="仿宋" w:hAnsi="仿宋" w:eastAsia="仿宋"/>
          <w:b/>
          <w:sz w:val="32"/>
          <w:szCs w:val="32"/>
        </w:rPr>
        <w:drawing>
          <wp:anchor distT="0" distB="0" distL="114300" distR="114300" simplePos="0" relativeHeight="251660288" behindDoc="0" locked="0" layoutInCell="1" allowOverlap="1">
            <wp:simplePos x="0" y="0"/>
            <wp:positionH relativeFrom="column">
              <wp:posOffset>-81915</wp:posOffset>
            </wp:positionH>
            <wp:positionV relativeFrom="paragraph">
              <wp:posOffset>72390</wp:posOffset>
            </wp:positionV>
            <wp:extent cx="5274310" cy="3076575"/>
            <wp:effectExtent l="5080" t="4445" r="16510"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eastAsia="仿宋_GB2312" w:cs="仿宋_GB2312"/>
          <w:sz w:val="32"/>
          <w:szCs w:val="32"/>
        </w:rPr>
        <w:t>（图2：收入决算结构图）（饼状图）</w:t>
      </w:r>
    </w:p>
    <w:p>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outlineLvl w:val="1"/>
        <w:rPr>
          <w:rFonts w:eastAsia="仿宋_GB2312" w:cs="仿宋_GB2312"/>
          <w:sz w:val="32"/>
          <w:szCs w:val="32"/>
          <w:shd w:val="clear" w:fill="FFFF00"/>
        </w:rPr>
      </w:pPr>
      <w:r>
        <w:rPr>
          <w:rFonts w:hint="eastAsia" w:eastAsia="仿宋_GB2312" w:cs="仿宋_GB2312"/>
          <w:sz w:val="32"/>
          <w:szCs w:val="32"/>
        </w:rPr>
        <w:t>2024年度本年支出合计756万元，其中：基本支出712.6万元，占94%；项目支出43.4万元，占6%；</w:t>
      </w:r>
    </w:p>
    <w:p>
      <w:pPr>
        <w:pStyle w:val="3"/>
        <w:ind w:left="420"/>
        <w:rPr>
          <w:rFonts w:ascii="Times New Roman" w:eastAsia="仿宋_GB2312" w:cs="仿宋_GB2312"/>
          <w:sz w:val="32"/>
        </w:rPr>
      </w:pPr>
      <w:r>
        <w:drawing>
          <wp:inline distT="0" distB="0" distL="0" distR="0">
            <wp:extent cx="5001260" cy="2382520"/>
            <wp:effectExtent l="4445" t="4445" r="23495"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jc w:val="center"/>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2024年度财政拨款收入、支出总计均为756万元。与2023年度相比，财政拨款收入、支出总计各增加133万元，增长21%。</w:t>
      </w:r>
      <w:r>
        <w:rPr>
          <w:rFonts w:ascii="仿宋" w:hAnsi="仿宋" w:eastAsia="仿宋" w:cs="仿宋"/>
          <w:sz w:val="32"/>
        </w:rPr>
        <w:t>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p>
    <w:p>
      <w:pPr>
        <w:spacing w:line="600" w:lineRule="exact"/>
        <w:ind w:firstLine="640" w:firstLineChars="200"/>
        <w:rPr>
          <w:rFonts w:eastAsia="仿宋_GB2312" w:cs="仿宋_GB2312"/>
          <w:sz w:val="32"/>
          <w:szCs w:val="32"/>
        </w:rPr>
      </w:pPr>
      <w:r>
        <w:rPr>
          <w:rFonts w:ascii="仿宋" w:hAnsi="仿宋" w:eastAsia="仿宋"/>
          <w:sz w:val="32"/>
          <w:szCs w:val="32"/>
          <w:u w:val="single"/>
        </w:rPr>
        <w:drawing>
          <wp:anchor distT="0" distB="0" distL="114300" distR="114300" simplePos="0" relativeHeight="251661312" behindDoc="0" locked="0" layoutInCell="1" allowOverlap="1">
            <wp:simplePos x="0" y="0"/>
            <wp:positionH relativeFrom="column">
              <wp:posOffset>144780</wp:posOffset>
            </wp:positionH>
            <wp:positionV relativeFrom="paragraph">
              <wp:posOffset>45085</wp:posOffset>
            </wp:positionV>
            <wp:extent cx="5188585" cy="2734310"/>
            <wp:effectExtent l="4445" t="4445" r="7620"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eastAsia="仿宋_GB2312" w:cs="仿宋_GB2312"/>
          <w:sz w:val="32"/>
          <w:szCs w:val="32"/>
        </w:rPr>
      </w:pPr>
    </w:p>
    <w:p>
      <w:pPr>
        <w:spacing w:line="600" w:lineRule="exact"/>
        <w:ind w:firstLine="640" w:firstLineChars="200"/>
        <w:rPr>
          <w:rFonts w:eastAsia="仿宋_GB2312" w:cs="仿宋_GB2312"/>
          <w:sz w:val="32"/>
          <w:szCs w:val="32"/>
        </w:rPr>
      </w:pPr>
    </w:p>
    <w:p>
      <w:pPr>
        <w:spacing w:line="600" w:lineRule="exact"/>
        <w:ind w:firstLine="640" w:firstLineChars="200"/>
        <w:rPr>
          <w:rFonts w:eastAsia="仿宋_GB2312" w:cs="仿宋_GB2312"/>
          <w:sz w:val="32"/>
          <w:szCs w:val="32"/>
        </w:rPr>
      </w:pPr>
    </w:p>
    <w:p>
      <w:pPr>
        <w:spacing w:line="600" w:lineRule="exact"/>
        <w:ind w:firstLine="640" w:firstLineChars="200"/>
        <w:rPr>
          <w:rFonts w:eastAsia="仿宋_GB2312" w:cs="仿宋_GB2312"/>
          <w:sz w:val="32"/>
          <w:szCs w:val="32"/>
        </w:rPr>
      </w:pPr>
    </w:p>
    <w:p>
      <w:pPr>
        <w:spacing w:line="600" w:lineRule="exact"/>
        <w:ind w:firstLine="640" w:firstLineChars="200"/>
        <w:rPr>
          <w:rFonts w:eastAsia="仿宋_GB2312" w:cs="仿宋_GB2312"/>
          <w:sz w:val="32"/>
          <w:szCs w:val="32"/>
        </w:rPr>
      </w:pPr>
    </w:p>
    <w:p>
      <w:pPr>
        <w:spacing w:line="600" w:lineRule="exact"/>
        <w:ind w:firstLine="640" w:firstLineChars="200"/>
        <w:rPr>
          <w:rFonts w:eastAsia="仿宋_GB2312" w:cs="仿宋_GB2312"/>
          <w:sz w:val="32"/>
          <w:szCs w:val="32"/>
        </w:rPr>
      </w:pPr>
    </w:p>
    <w:p>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2024年度一般公共预算财政拨款支出756万元，占本年支出合计的100%。与2023年度相比，一般公共预算财政拨款支出增加/减少133万元，增长21%。</w:t>
      </w:r>
      <w:r>
        <w:rPr>
          <w:rFonts w:ascii="仿宋" w:hAnsi="仿宋" w:eastAsia="仿宋" w:cs="仿宋"/>
          <w:sz w:val="32"/>
        </w:rPr>
        <w:t>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r>
        <w:rPr>
          <w:rFonts w:hint="eastAsia" w:eastAsia="仿宋_GB2312" w:cs="仿宋_GB2312"/>
          <w:sz w:val="32"/>
          <w:szCs w:val="32"/>
        </w:rPr>
        <w:t>。</w:t>
      </w:r>
    </w:p>
    <w:p>
      <w:pPr>
        <w:spacing w:line="600" w:lineRule="exact"/>
        <w:jc w:val="center"/>
        <w:rPr>
          <w:rFonts w:eastAsia="仿宋_GB2312" w:cs="仿宋_GB2312"/>
          <w:sz w:val="32"/>
          <w:szCs w:val="32"/>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1270</wp:posOffset>
            </wp:positionH>
            <wp:positionV relativeFrom="paragraph">
              <wp:posOffset>181610</wp:posOffset>
            </wp:positionV>
            <wp:extent cx="5274310" cy="2814955"/>
            <wp:effectExtent l="4445" t="4445" r="17145" b="1905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（图5：一般公共预算财政拨款支出决算变动情况）（柱状图）</w:t>
      </w:r>
    </w:p>
    <w:p>
      <w:pPr>
        <w:spacing w:line="240" w:lineRule="auto"/>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240" w:lineRule="auto"/>
        <w:ind w:firstLine="640"/>
        <w:rPr>
          <w:rFonts w:ascii="仿宋" w:hAnsi="仿宋" w:eastAsia="仿宋" w:cs="仿宋"/>
          <w:sz w:val="32"/>
        </w:rPr>
      </w:pPr>
      <w:r>
        <w:rPr>
          <w:rFonts w:hint="eastAsia" w:eastAsia="仿宋_GB2312" w:cs="仿宋_GB2312"/>
          <w:sz w:val="32"/>
          <w:szCs w:val="32"/>
        </w:rPr>
        <w:t>2024年度一般公共预算财政拨款支出756万元，</w:t>
      </w:r>
      <w:r>
        <w:rPr>
          <w:rFonts w:hint="eastAsia" w:ascii="Times New Roman" w:hAnsi="Times New Roman" w:eastAsia="仿宋_GB2312" w:cs="仿宋_GB2312"/>
          <w:sz w:val="32"/>
          <w:szCs w:val="32"/>
        </w:rPr>
        <w:t>主要用于以下方面:</w:t>
      </w:r>
      <w:r>
        <w:rPr>
          <w:rFonts w:hint="eastAsia" w:ascii="Times New Roman" w:hAnsi="Times New Roman" w:eastAsia="仿宋_GB2312" w:cs="仿宋_GB2312"/>
          <w:b w:val="0"/>
          <w:sz w:val="32"/>
          <w:szCs w:val="32"/>
        </w:rPr>
        <w:t>教育支出</w:t>
      </w:r>
      <w:r>
        <w:rPr>
          <w:rFonts w:hint="eastAsia" w:ascii="Times New Roman" w:hAnsi="Times New Roman" w:eastAsia="仿宋_GB2312" w:cs="仿宋_GB2312"/>
          <w:sz w:val="32"/>
          <w:szCs w:val="32"/>
        </w:rPr>
        <w:t>600.7万元，占80%；</w:t>
      </w:r>
      <w:r>
        <w:rPr>
          <w:rFonts w:hint="eastAsia" w:ascii="Times New Roman" w:hAnsi="Times New Roman" w:eastAsia="仿宋_GB2312" w:cs="仿宋_GB2312"/>
          <w:b w:val="0"/>
          <w:sz w:val="32"/>
          <w:szCs w:val="32"/>
        </w:rPr>
        <w:t>社会保障和就业支出</w:t>
      </w:r>
      <w:r>
        <w:rPr>
          <w:rFonts w:hint="eastAsia" w:ascii="Times New Roman" w:hAnsi="Times New Roman" w:eastAsia="仿宋_GB2312" w:cs="仿宋_GB2312"/>
          <w:sz w:val="32"/>
          <w:szCs w:val="32"/>
        </w:rPr>
        <w:t>76万元，占10%；</w:t>
      </w:r>
      <w:r>
        <w:rPr>
          <w:rFonts w:hint="eastAsia" w:ascii="Times New Roman" w:hAnsi="Times New Roman" w:eastAsia="仿宋_GB2312" w:cs="仿宋_GB2312"/>
          <w:b w:val="0"/>
          <w:sz w:val="32"/>
          <w:szCs w:val="32"/>
        </w:rPr>
        <w:t>卫生健康支出</w:t>
      </w:r>
      <w:r>
        <w:rPr>
          <w:rFonts w:hint="eastAsia" w:ascii="Times New Roman" w:hAnsi="Times New Roman" w:eastAsia="仿宋_GB2312" w:cs="仿宋_GB2312"/>
          <w:sz w:val="32"/>
          <w:szCs w:val="32"/>
        </w:rPr>
        <w:t>30.7万元，占4%；</w:t>
      </w:r>
      <w:r>
        <w:rPr>
          <w:rFonts w:hint="eastAsia" w:ascii="Times New Roman" w:hAnsi="Times New Roman" w:eastAsia="仿宋_GB2312" w:cs="仿宋_GB2312"/>
          <w:b w:val="0"/>
          <w:sz w:val="32"/>
          <w:szCs w:val="32"/>
        </w:rPr>
        <w:t>住房保障支出</w:t>
      </w:r>
      <w:r>
        <w:rPr>
          <w:rFonts w:hint="eastAsia" w:ascii="Times New Roman" w:hAnsi="Times New Roman" w:eastAsia="仿宋_GB2312" w:cs="仿宋_GB2312"/>
          <w:sz w:val="32"/>
          <w:szCs w:val="32"/>
        </w:rPr>
        <w:t>48.6万元，占6%</w:t>
      </w:r>
      <w:r>
        <w:rPr>
          <w:rFonts w:ascii="仿宋" w:hAnsi="仿宋" w:eastAsia="仿宋" w:cs="仿宋"/>
          <w:sz w:val="32"/>
        </w:rPr>
        <w:t>；。</w:t>
      </w:r>
    </w:p>
    <w:p>
      <w:pPr>
        <w:spacing w:line="600" w:lineRule="exact"/>
        <w:ind w:firstLine="640"/>
        <w:rPr>
          <w:rFonts w:eastAsia="仿宋_GB2312" w:cs="仿宋_GB2312"/>
          <w:sz w:val="32"/>
          <w:szCs w:val="32"/>
        </w:rPr>
      </w:pPr>
    </w:p>
    <w:p>
      <w:pPr>
        <w:spacing w:line="600" w:lineRule="exact"/>
        <w:jc w:val="center"/>
        <w:rPr>
          <w:rFonts w:eastAsia="仿宋_GB2312" w:cs="仿宋_GB2312"/>
          <w:sz w:val="32"/>
          <w:szCs w:val="32"/>
        </w:rPr>
      </w:pPr>
      <w:r>
        <w:rPr>
          <w:rFonts w:hint="eastAsia" w:ascii="仿宋" w:hAnsi="仿宋" w:eastAsia="仿宋"/>
          <w:b/>
          <w:sz w:val="32"/>
          <w:szCs w:val="32"/>
        </w:rPr>
        <w:drawing>
          <wp:anchor distT="0" distB="0" distL="114300" distR="114300" simplePos="0" relativeHeight="251663360" behindDoc="0" locked="0" layoutInCell="1" allowOverlap="1">
            <wp:simplePos x="0" y="0"/>
            <wp:positionH relativeFrom="column">
              <wp:posOffset>-130175</wp:posOffset>
            </wp:positionH>
            <wp:positionV relativeFrom="paragraph">
              <wp:posOffset>299085</wp:posOffset>
            </wp:positionV>
            <wp:extent cx="5274310" cy="3076575"/>
            <wp:effectExtent l="5080" t="4445" r="16510"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（图6：一般公共预算财政拨款支出决算结构）（饼状图）</w:t>
      </w:r>
    </w:p>
    <w:p>
      <w:pPr>
        <w:spacing w:line="240" w:lineRule="auto"/>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240" w:lineRule="auto"/>
        <w:ind w:firstLine="643"/>
        <w:rPr>
          <w:rFonts w:ascii="仿宋" w:hAnsi="仿宋" w:eastAsia="仿宋" w:cs="仿宋"/>
          <w:sz w:val="32"/>
          <w:szCs w:val="24"/>
        </w:rPr>
      </w:pPr>
      <w:bookmarkStart w:id="25" w:name="_Toc15377213"/>
      <w:bookmarkStart w:id="26" w:name="_Toc15378460"/>
      <w:bookmarkStart w:id="27" w:name="_Toc15377444"/>
      <w:r>
        <w:rPr>
          <w:rFonts w:hint="default" w:ascii="仿宋" w:hAnsi="仿宋" w:eastAsia="仿宋" w:cs="仿宋"/>
          <w:sz w:val="32"/>
          <w:szCs w:val="24"/>
        </w:rPr>
        <w:t>2024年度一般公共预算支出决算数为756万元，完成预算100%。其中：</w:t>
      </w:r>
      <w:bookmarkEnd w:id="25"/>
      <w:bookmarkEnd w:id="26"/>
      <w:bookmarkEnd w:id="27"/>
    </w:p>
    <w:p>
      <w:pPr>
        <w:ind w:firstLine="643"/>
        <w:rPr>
          <w:rFonts w:ascii="仿宋" w:hAnsi="仿宋" w:eastAsia="仿宋" w:cs="仿宋"/>
          <w:sz w:val="32"/>
        </w:rPr>
      </w:pPr>
      <w:r>
        <w:rPr>
          <w:rFonts w:ascii="仿宋" w:hAnsi="仿宋" w:eastAsia="仿宋" w:cs="仿宋"/>
          <w:b w:val="0"/>
          <w:sz w:val="32"/>
        </w:rPr>
        <w:t>1.教育（类）205（款）02（项）01:</w:t>
      </w:r>
      <w:r>
        <w:rPr>
          <w:rFonts w:ascii="仿宋" w:hAnsi="仿宋" w:eastAsia="仿宋" w:cs="仿宋"/>
          <w:sz w:val="32"/>
        </w:rPr>
        <w:t xml:space="preserve"> 支出决算为</w:t>
      </w:r>
      <w:r>
        <w:rPr>
          <w:rFonts w:hint="eastAsia" w:ascii="仿宋" w:hAnsi="仿宋" w:eastAsia="仿宋" w:cs="仿宋"/>
          <w:sz w:val="32"/>
        </w:rPr>
        <w:t>4.5</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spacing w:line="240" w:lineRule="auto"/>
        <w:ind w:firstLine="643"/>
        <w:rPr>
          <w:rFonts w:ascii="仿宋" w:hAnsi="仿宋" w:eastAsia="仿宋" w:cs="仿宋"/>
          <w:b w:val="0"/>
          <w:sz w:val="32"/>
        </w:rPr>
      </w:pPr>
      <w:r>
        <w:rPr>
          <w:rFonts w:ascii="仿宋" w:hAnsi="仿宋" w:eastAsia="仿宋" w:cs="仿宋"/>
          <w:b w:val="0"/>
          <w:sz w:val="32"/>
        </w:rPr>
        <w:t>2.教育（类）205（款）02（项）02:</w:t>
      </w:r>
      <w:r>
        <w:rPr>
          <w:rFonts w:ascii="仿宋" w:hAnsi="仿宋" w:eastAsia="仿宋" w:cs="仿宋"/>
          <w:sz w:val="32"/>
        </w:rPr>
        <w:t xml:space="preserve"> 支出决算为</w:t>
      </w:r>
      <w:r>
        <w:rPr>
          <w:rFonts w:hint="eastAsia" w:ascii="仿宋" w:hAnsi="仿宋" w:eastAsia="仿宋" w:cs="仿宋"/>
          <w:sz w:val="32"/>
        </w:rPr>
        <w:t>592</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spacing w:line="240" w:lineRule="auto"/>
        <w:ind w:firstLine="643"/>
        <w:rPr>
          <w:rFonts w:ascii="仿宋" w:hAnsi="仿宋" w:eastAsia="仿宋" w:cs="仿宋"/>
          <w:b w:val="0"/>
          <w:sz w:val="32"/>
        </w:rPr>
      </w:pPr>
      <w:r>
        <w:rPr>
          <w:rFonts w:ascii="仿宋" w:hAnsi="仿宋" w:eastAsia="仿宋" w:cs="仿宋"/>
          <w:b w:val="0"/>
          <w:sz w:val="32"/>
        </w:rPr>
        <w:t>3.教育（类）205（款）02（项）99</w:t>
      </w:r>
      <w:r>
        <w:rPr>
          <w:rFonts w:ascii="仿宋" w:hAnsi="仿宋" w:eastAsia="仿宋" w:cs="仿宋"/>
          <w:sz w:val="32"/>
        </w:rPr>
        <w:t xml:space="preserve"> 支出决算为</w:t>
      </w:r>
      <w:r>
        <w:rPr>
          <w:rFonts w:hint="eastAsia" w:ascii="仿宋" w:hAnsi="仿宋" w:eastAsia="仿宋" w:cs="仿宋"/>
          <w:sz w:val="32"/>
        </w:rPr>
        <w:t>1.1</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spacing w:line="240" w:lineRule="auto"/>
        <w:ind w:firstLine="643"/>
        <w:rPr>
          <w:rFonts w:ascii="仿宋" w:hAnsi="仿宋" w:eastAsia="仿宋" w:cs="仿宋"/>
          <w:b w:val="0"/>
          <w:sz w:val="32"/>
        </w:rPr>
      </w:pPr>
      <w:r>
        <w:rPr>
          <w:rFonts w:ascii="仿宋" w:hAnsi="仿宋" w:eastAsia="仿宋" w:cs="仿宋"/>
          <w:b w:val="0"/>
          <w:sz w:val="32"/>
        </w:rPr>
        <w:t>4.教育（类）205（款）99（项）99</w:t>
      </w:r>
      <w:r>
        <w:rPr>
          <w:rFonts w:ascii="仿宋" w:hAnsi="仿宋" w:eastAsia="仿宋" w:cs="仿宋"/>
          <w:sz w:val="32"/>
        </w:rPr>
        <w:t xml:space="preserve"> 支出决算为</w:t>
      </w:r>
      <w:r>
        <w:rPr>
          <w:rFonts w:hint="eastAsia" w:ascii="仿宋" w:hAnsi="仿宋" w:eastAsia="仿宋" w:cs="仿宋"/>
          <w:sz w:val="32"/>
        </w:rPr>
        <w:t>3.1</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ind w:firstLine="643"/>
        <w:rPr>
          <w:rFonts w:ascii="仿宋" w:hAnsi="仿宋" w:eastAsia="仿宋" w:cs="仿宋"/>
          <w:sz w:val="32"/>
        </w:rPr>
      </w:pPr>
      <w:r>
        <w:rPr>
          <w:rFonts w:ascii="仿宋" w:hAnsi="仿宋" w:eastAsia="仿宋" w:cs="仿宋"/>
          <w:b w:val="0"/>
          <w:sz w:val="32"/>
        </w:rPr>
        <w:t>5.社会保障和就业（类）208（款）05（项）</w:t>
      </w:r>
      <w:r>
        <w:rPr>
          <w:rFonts w:hint="default" w:ascii="仿宋" w:hAnsi="仿宋" w:eastAsia="仿宋" w:cs="仿宋"/>
          <w:b w:val="0"/>
          <w:sz w:val="32"/>
        </w:rPr>
        <w:t>0</w:t>
      </w:r>
      <w:r>
        <w:rPr>
          <w:rFonts w:ascii="仿宋" w:hAnsi="仿宋" w:eastAsia="仿宋" w:cs="仿宋"/>
          <w:b w:val="0"/>
          <w:sz w:val="32"/>
        </w:rPr>
        <w:t>5:</w:t>
      </w:r>
      <w:r>
        <w:rPr>
          <w:rFonts w:ascii="仿宋" w:hAnsi="仿宋" w:eastAsia="仿宋" w:cs="仿宋"/>
          <w:sz w:val="32"/>
        </w:rPr>
        <w:t xml:space="preserve"> 支出决算为</w:t>
      </w:r>
      <w:r>
        <w:rPr>
          <w:rFonts w:hint="eastAsia" w:ascii="仿宋" w:hAnsi="仿宋" w:eastAsia="仿宋" w:cs="仿宋"/>
          <w:sz w:val="32"/>
        </w:rPr>
        <w:t>70</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spacing w:after="0"/>
        <w:ind w:left="0" w:leftChars="0" w:firstLine="320" w:firstLineChars="100"/>
        <w:rPr>
          <w:rFonts w:ascii="仿宋" w:hAnsi="仿宋" w:eastAsia="仿宋" w:cs="仿宋"/>
          <w:sz w:val="32"/>
        </w:rPr>
      </w:pPr>
      <w:r>
        <w:rPr>
          <w:rFonts w:hint="default" w:ascii="仿宋" w:hAnsi="仿宋" w:eastAsia="仿宋" w:cs="仿宋"/>
          <w:b w:val="0"/>
          <w:sz w:val="32"/>
          <w:lang w:val="en-US" w:eastAsia="zh-CN"/>
        </w:rPr>
        <w:t>6</w:t>
      </w:r>
      <w:r>
        <w:rPr>
          <w:rFonts w:ascii="仿宋" w:hAnsi="仿宋" w:eastAsia="仿宋" w:cs="仿宋"/>
          <w:b w:val="0"/>
          <w:sz w:val="32"/>
        </w:rPr>
        <w:t>.社会保障和就业（类）208（款）99（项）99:</w:t>
      </w:r>
      <w:r>
        <w:rPr>
          <w:rFonts w:ascii="仿宋" w:hAnsi="仿宋" w:eastAsia="仿宋" w:cs="仿宋"/>
          <w:sz w:val="32"/>
        </w:rPr>
        <w:t xml:space="preserve"> 支出决算为</w:t>
      </w:r>
      <w:r>
        <w:rPr>
          <w:rFonts w:hint="eastAsia" w:ascii="仿宋" w:hAnsi="仿宋" w:eastAsia="仿宋" w:cs="仿宋"/>
          <w:sz w:val="32"/>
        </w:rPr>
        <w:t>6</w:t>
      </w:r>
      <w:r>
        <w:rPr>
          <w:rFonts w:ascii="仿宋" w:hAnsi="仿宋" w:eastAsia="仿宋" w:cs="仿宋"/>
          <w:sz w:val="32"/>
        </w:rPr>
        <w:t>万元，完成预算100%,</w:t>
      </w:r>
      <w:r>
        <w:rPr>
          <w:rStyle w:val="16"/>
          <w:rFonts w:hint="default" w:ascii="仿宋" w:hAnsi="仿宋" w:eastAsia="仿宋" w:cs="仿宋"/>
          <w:b w:val="0"/>
          <w:bCs w:val="0"/>
          <w:sz w:val="32"/>
        </w:rPr>
        <w:t>决算数等于预算数</w:t>
      </w:r>
      <w:r>
        <w:rPr>
          <w:rFonts w:hint="default" w:ascii="仿宋" w:hAnsi="仿宋" w:eastAsia="仿宋" w:cs="仿宋"/>
          <w:b w:val="0"/>
          <w:sz w:val="32"/>
        </w:rPr>
        <w:t>。</w:t>
      </w:r>
    </w:p>
    <w:p>
      <w:pPr>
        <w:spacing w:line="240" w:lineRule="auto"/>
        <w:ind w:firstLine="643"/>
        <w:rPr>
          <w:rFonts w:ascii="仿宋" w:hAnsi="仿宋" w:eastAsia="仿宋" w:cs="仿宋"/>
          <w:b w:val="0"/>
          <w:sz w:val="32"/>
        </w:rPr>
      </w:pPr>
      <w:r>
        <w:rPr>
          <w:rFonts w:hint="default" w:ascii="仿宋" w:hAnsi="仿宋" w:eastAsia="仿宋" w:cs="仿宋"/>
          <w:b w:val="0"/>
          <w:sz w:val="32"/>
          <w:lang w:val="en-US" w:eastAsia="zh-CN"/>
        </w:rPr>
        <w:t>7</w:t>
      </w:r>
      <w:r>
        <w:rPr>
          <w:rFonts w:ascii="仿宋" w:hAnsi="仿宋" w:eastAsia="仿宋" w:cs="仿宋"/>
          <w:b w:val="0"/>
          <w:sz w:val="32"/>
        </w:rPr>
        <w:t>.卫生健康（类）210（款）11（项）</w:t>
      </w:r>
      <w:r>
        <w:rPr>
          <w:rFonts w:hint="default" w:ascii="仿宋" w:hAnsi="仿宋" w:eastAsia="仿宋" w:cs="仿宋"/>
          <w:b w:val="0"/>
          <w:sz w:val="32"/>
        </w:rPr>
        <w:t>02</w:t>
      </w:r>
      <w:r>
        <w:rPr>
          <w:rFonts w:ascii="仿宋" w:hAnsi="仿宋" w:eastAsia="仿宋" w:cs="仿宋"/>
          <w:b w:val="0"/>
          <w:sz w:val="32"/>
        </w:rPr>
        <w:t>:</w:t>
      </w:r>
      <w:r>
        <w:rPr>
          <w:rFonts w:ascii="仿宋" w:hAnsi="仿宋" w:eastAsia="仿宋" w:cs="仿宋"/>
          <w:sz w:val="32"/>
        </w:rPr>
        <w:t>支出决算为</w:t>
      </w:r>
      <w:r>
        <w:rPr>
          <w:rFonts w:hint="eastAsia" w:ascii="仿宋" w:hAnsi="仿宋" w:eastAsia="仿宋" w:cs="仿宋"/>
          <w:sz w:val="32"/>
        </w:rPr>
        <w:t>30.7</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spacing w:line="240" w:lineRule="auto"/>
        <w:ind w:firstLine="643"/>
        <w:rPr>
          <w:rFonts w:ascii="仿宋" w:hAnsi="仿宋" w:eastAsia="仿宋" w:cs="仿宋"/>
          <w:b w:val="0"/>
          <w:bCs w:val="0"/>
          <w:sz w:val="32"/>
          <w:szCs w:val="24"/>
        </w:rPr>
      </w:pPr>
      <w:r>
        <w:rPr>
          <w:rFonts w:hint="default" w:ascii="仿宋" w:hAnsi="仿宋" w:eastAsia="仿宋" w:cs="仿宋"/>
          <w:b w:val="0"/>
          <w:sz w:val="32"/>
          <w:lang w:val="en-US" w:eastAsia="zh-CN"/>
        </w:rPr>
        <w:t>8</w:t>
      </w:r>
      <w:r>
        <w:rPr>
          <w:rFonts w:ascii="仿宋" w:hAnsi="仿宋" w:eastAsia="仿宋" w:cs="仿宋"/>
          <w:b w:val="0"/>
          <w:sz w:val="32"/>
        </w:rPr>
        <w:t>.</w:t>
      </w:r>
      <w:r>
        <w:rPr>
          <w:rFonts w:hint="default" w:ascii="仿宋" w:hAnsi="仿宋" w:eastAsia="仿宋" w:cs="仿宋"/>
          <w:b w:val="0"/>
          <w:sz w:val="32"/>
        </w:rPr>
        <w:t>住房</w:t>
      </w:r>
      <w:r>
        <w:rPr>
          <w:rFonts w:ascii="仿宋" w:hAnsi="仿宋" w:eastAsia="仿宋" w:cs="仿宋"/>
          <w:b w:val="0"/>
          <w:sz w:val="32"/>
        </w:rPr>
        <w:t>保障（类）221（款）02（项）</w:t>
      </w:r>
      <w:r>
        <w:rPr>
          <w:rFonts w:hint="default" w:ascii="仿宋" w:hAnsi="仿宋" w:eastAsia="仿宋" w:cs="仿宋"/>
          <w:b w:val="0"/>
          <w:sz w:val="32"/>
        </w:rPr>
        <w:t>01</w:t>
      </w:r>
      <w:r>
        <w:rPr>
          <w:rFonts w:ascii="仿宋" w:hAnsi="仿宋" w:eastAsia="仿宋" w:cs="仿宋"/>
          <w:b w:val="0"/>
          <w:sz w:val="32"/>
        </w:rPr>
        <w:t>:</w:t>
      </w:r>
      <w:r>
        <w:rPr>
          <w:rFonts w:ascii="仿宋" w:hAnsi="仿宋" w:eastAsia="仿宋" w:cs="仿宋"/>
          <w:sz w:val="32"/>
        </w:rPr>
        <w:t>支出决算为</w:t>
      </w:r>
      <w:r>
        <w:rPr>
          <w:rFonts w:hint="eastAsia" w:ascii="仿宋" w:hAnsi="仿宋" w:eastAsia="仿宋" w:cs="仿宋"/>
          <w:sz w:val="32"/>
        </w:rPr>
        <w:t>48.6</w:t>
      </w:r>
      <w:r>
        <w:rPr>
          <w:rFonts w:ascii="仿宋" w:hAnsi="仿宋" w:eastAsia="仿宋" w:cs="仿宋"/>
          <w:sz w:val="32"/>
        </w:rPr>
        <w:t>万元，完成预算100%，</w:t>
      </w:r>
      <w:r>
        <w:rPr>
          <w:rStyle w:val="16"/>
          <w:rFonts w:hint="default" w:ascii="仿宋" w:hAnsi="仿宋" w:eastAsia="仿宋" w:cs="仿宋"/>
          <w:b w:val="0"/>
          <w:bCs w:val="0"/>
          <w:sz w:val="32"/>
          <w:szCs w:val="24"/>
        </w:rPr>
        <w:t>决算数等于预算数</w:t>
      </w:r>
      <w:r>
        <w:rPr>
          <w:rFonts w:hint="default" w:ascii="仿宋" w:hAnsi="仿宋" w:eastAsia="仿宋" w:cs="仿宋"/>
          <w:b w:val="0"/>
          <w:sz w:val="32"/>
        </w:rPr>
        <w:t>。</w:t>
      </w:r>
    </w:p>
    <w:p>
      <w:pPr>
        <w:tabs>
          <w:tab w:val="right" w:pos="8306"/>
        </w:tabs>
        <w:spacing w:line="240" w:lineRule="auto"/>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240" w:lineRule="auto"/>
        <w:ind w:firstLine="640"/>
        <w:rPr>
          <w:rFonts w:eastAsia="仿宋_GB2312" w:cs="仿宋_GB2312"/>
          <w:sz w:val="32"/>
          <w:szCs w:val="32"/>
        </w:rPr>
      </w:pPr>
      <w:r>
        <w:rPr>
          <w:rFonts w:hint="eastAsia" w:eastAsia="仿宋_GB2312" w:cs="仿宋_GB2312"/>
          <w:sz w:val="32"/>
          <w:szCs w:val="32"/>
        </w:rPr>
        <w:t>2024年度一般公共预算财政拨款基本支出712.6万元，其中：</w:t>
      </w:r>
    </w:p>
    <w:p>
      <w:pPr>
        <w:spacing w:line="240" w:lineRule="auto"/>
        <w:ind w:firstLine="640"/>
        <w:rPr>
          <w:rFonts w:eastAsia="仿宋_GB2312" w:cs="仿宋_GB2312"/>
          <w:sz w:val="32"/>
          <w:szCs w:val="32"/>
        </w:rPr>
      </w:pPr>
      <w:r>
        <w:rPr>
          <w:rFonts w:hint="eastAsia" w:eastAsia="仿宋_GB2312" w:cs="仿宋_GB2312"/>
          <w:sz w:val="32"/>
          <w:szCs w:val="32"/>
        </w:rPr>
        <w:t>人员经费698.1万元，主要包括：基本工资215.2万元、津贴补贴19.6万元、奖金、伙食补助费、绩效工资197.6万元、机关事业单位基本养老保险缴费70万元、职业年金缴费、其他社会保障缴费30.7万元、其他工资福利支出、离休费、退休费、抚恤金、生活补助105.4万元、医疗费补助、助学金2.4万元、住房公积金48.6万元、其他对个人和家庭的补助支出8.6等。</w:t>
      </w:r>
      <w:r>
        <w:rPr>
          <w:rFonts w:hint="eastAsia" w:eastAsia="仿宋_GB2312" w:cs="仿宋_GB2312"/>
          <w:sz w:val="32"/>
          <w:szCs w:val="32"/>
        </w:rPr>
        <w:br w:type="textWrapping"/>
      </w:r>
      <w:r>
        <w:rPr>
          <w:rFonts w:hint="eastAsia" w:eastAsia="仿宋_GB2312" w:cs="仿宋_GB2312"/>
          <w:sz w:val="32"/>
          <w:szCs w:val="32"/>
        </w:rPr>
        <w:t>　</w:t>
      </w:r>
      <w:r>
        <w:rPr>
          <w:rFonts w:hint="eastAsia" w:eastAsia="仿宋_GB2312" w:cs="仿宋_GB2312"/>
          <w:sz w:val="32"/>
          <w:szCs w:val="32"/>
          <w:shd w:val="clear" w:fill="FFFFFF" w:themeFill="background1"/>
        </w:rPr>
        <w:t>　公用经费14.5万元</w:t>
      </w:r>
      <w:r>
        <w:rPr>
          <w:rFonts w:hint="eastAsia" w:eastAsia="仿宋_GB2312" w:cs="仿宋_GB2312"/>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240" w:lineRule="auto"/>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240" w:lineRule="auto"/>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240" w:lineRule="auto"/>
        <w:ind w:firstLine="640"/>
        <w:rPr>
          <w:rFonts w:eastAsia="仿宋_GB2312" w:cs="仿宋_GB2312"/>
          <w:sz w:val="32"/>
          <w:szCs w:val="32"/>
        </w:rPr>
      </w:pPr>
      <w:r>
        <w:rPr>
          <w:rFonts w:hint="eastAsia" w:eastAsia="仿宋_GB2312" w:cs="仿宋_GB2312"/>
          <w:sz w:val="32"/>
          <w:szCs w:val="32"/>
        </w:rPr>
        <w:t>2024年度“三公”经费财政拨款支出决算为0万元，完成预算</w:t>
      </w:r>
      <w:r>
        <w:rPr>
          <w:rFonts w:hint="eastAsia" w:eastAsia="仿宋_GB2312" w:cs="仿宋_GB2312"/>
          <w:sz w:val="32"/>
          <w:szCs w:val="32"/>
          <w:lang w:val="en-US" w:eastAsia="zh-CN"/>
        </w:rPr>
        <w:t>100</w:t>
      </w:r>
      <w:r>
        <w:rPr>
          <w:rFonts w:hint="eastAsia" w:eastAsia="仿宋_GB2312" w:cs="仿宋_GB2312"/>
          <w:color w:val="FFFFFF" w:themeColor="background1"/>
          <w:sz w:val="32"/>
          <w:szCs w:val="32"/>
          <w:shd w:val="clear" w:fill="FFFFFF" w:themeFill="background1"/>
          <w:lang w:val="en-US" w:eastAsia="zh-CN"/>
          <w14:textFill>
            <w14:solidFill>
              <w14:schemeClr w14:val="bg1"/>
            </w14:solidFill>
          </w14:textFill>
        </w:rPr>
        <w:t>1</w:t>
      </w:r>
      <w:r>
        <w:rPr>
          <w:rFonts w:hint="eastAsia" w:eastAsia="仿宋_GB2312" w:cs="仿宋_GB2312"/>
          <w:sz w:val="32"/>
          <w:szCs w:val="32"/>
          <w:shd w:val="clear" w:fill="FFFFFF" w:themeFill="background1"/>
        </w:rPr>
        <w:t>%</w:t>
      </w:r>
      <w:r>
        <w:rPr>
          <w:rFonts w:hint="eastAsia"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与上年度持平,决算数与预算数持平。</w:t>
      </w:r>
    </w:p>
    <w:p>
      <w:pPr>
        <w:spacing w:line="240" w:lineRule="auto"/>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240" w:lineRule="auto"/>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%；公务接待费支出决算</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%。具体情况如下：</w:t>
      </w:r>
    </w:p>
    <w:p>
      <w:pPr>
        <w:spacing w:line="240" w:lineRule="auto"/>
        <w:ind w:firstLine="643" w:firstLineChars="20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全年安排因公出国（境）团组</w:t>
      </w:r>
      <w:r>
        <w:rPr>
          <w:rFonts w:hint="eastAsia" w:eastAsia="仿宋_GB2312" w:cs="仿宋_GB2312"/>
          <w:sz w:val="32"/>
          <w:szCs w:val="32"/>
          <w:lang w:val="en-US" w:eastAsia="zh-CN"/>
        </w:rPr>
        <w:t>0</w:t>
      </w:r>
      <w:r>
        <w:rPr>
          <w:rFonts w:hint="eastAsia" w:eastAsia="仿宋_GB2312" w:cs="仿宋_GB2312"/>
          <w:sz w:val="32"/>
          <w:szCs w:val="32"/>
        </w:rPr>
        <w:t>次，出国（境）</w:t>
      </w:r>
      <w:r>
        <w:rPr>
          <w:rFonts w:hint="eastAsia" w:eastAsia="仿宋_GB2312" w:cs="仿宋_GB2312"/>
          <w:sz w:val="32"/>
          <w:szCs w:val="32"/>
          <w:lang w:val="en-US" w:eastAsia="zh-CN"/>
        </w:rPr>
        <w:t>0</w:t>
      </w:r>
      <w:r>
        <w:rPr>
          <w:rFonts w:hint="eastAsia" w:eastAsia="仿宋_GB2312" w:cs="仿宋_GB2312"/>
          <w:sz w:val="32"/>
          <w:szCs w:val="32"/>
        </w:rPr>
        <w:t>人。因公出国（境）支出决算比2023年增加/减少</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p>
    <w:p>
      <w:pPr>
        <w:spacing w:line="240" w:lineRule="auto"/>
        <w:ind w:firstLine="640"/>
        <w:rPr>
          <w:rFonts w:hint="eastAsia" w:eastAsia="仿宋_GB2312" w:cs="仿宋_GB2312"/>
          <w:sz w:val="32"/>
          <w:szCs w:val="32"/>
        </w:rPr>
      </w:pPr>
      <w:r>
        <w:rPr>
          <w:rFonts w:hint="eastAsia" w:eastAsia="仿宋_GB2312" w:cs="仿宋_GB2312"/>
          <w:b/>
          <w:bCs/>
          <w:sz w:val="32"/>
          <w:szCs w:val="32"/>
        </w:rPr>
        <w:t>2.公务用车购置及运行维护费支出0万元，完成预算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p>
    <w:p>
      <w:pPr>
        <w:spacing w:line="240" w:lineRule="auto"/>
        <w:ind w:firstLine="640"/>
        <w:rPr>
          <w:rFonts w:eastAsia="仿宋_GB2312" w:cs="仿宋_GB2312"/>
          <w:sz w:val="32"/>
          <w:szCs w:val="32"/>
        </w:rPr>
      </w:pPr>
      <w:r>
        <w:rPr>
          <w:rFonts w:hint="eastAsia" w:eastAsia="仿宋_GB2312" w:cs="仿宋_GB2312"/>
          <w:sz w:val="32"/>
          <w:szCs w:val="32"/>
        </w:rPr>
        <w:t>其中：公务用车购置支出</w:t>
      </w:r>
      <w:r>
        <w:rPr>
          <w:rFonts w:hint="eastAsia"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240" w:lineRule="auto"/>
        <w:ind w:firstLine="640"/>
        <w:rPr>
          <w:rFonts w:hint="eastAsia" w:eastAsia="仿宋_GB2312" w:cs="仿宋_GB2312"/>
          <w:b/>
          <w:bCs/>
          <w:sz w:val="32"/>
          <w:szCs w:val="32"/>
        </w:rPr>
      </w:pPr>
      <w:r>
        <w:rPr>
          <w:rFonts w:hint="eastAsia" w:eastAsia="仿宋_GB2312" w:cs="仿宋_GB2312"/>
          <w:sz w:val="32"/>
          <w:szCs w:val="32"/>
        </w:rPr>
        <w:t>公务用车运行维护费支出</w:t>
      </w:r>
      <w:r>
        <w:rPr>
          <w:rFonts w:hint="eastAsia" w:eastAsia="仿宋_GB2312" w:cs="仿宋_GB2312"/>
          <w:sz w:val="32"/>
          <w:szCs w:val="32"/>
          <w:lang w:val="en-US" w:eastAsia="zh-CN"/>
        </w:rPr>
        <w:t>0</w:t>
      </w:r>
      <w:r>
        <w:rPr>
          <w:rFonts w:hint="eastAsia" w:eastAsia="仿宋_GB2312" w:cs="仿宋_GB2312"/>
          <w:sz w:val="32"/>
          <w:szCs w:val="32"/>
        </w:rPr>
        <w:t>万元。</w:t>
      </w:r>
    </w:p>
    <w:p>
      <w:pPr>
        <w:spacing w:line="240" w:lineRule="auto"/>
        <w:ind w:firstLine="640"/>
        <w:rPr>
          <w:rFonts w:hint="eastAsia" w:eastAsia="仿宋_GB2312" w:cs="仿宋_GB2312"/>
          <w:sz w:val="32"/>
          <w:szCs w:val="32"/>
        </w:rPr>
      </w:pPr>
      <w:r>
        <w:rPr>
          <w:rFonts w:hint="eastAsia" w:eastAsia="仿宋_GB2312" w:cs="仿宋_GB2312"/>
          <w:b/>
          <w:bCs/>
          <w:sz w:val="32"/>
          <w:szCs w:val="32"/>
        </w:rPr>
        <w:t>3.公务接待费支出0万元，完成预算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p>
    <w:p>
      <w:pPr>
        <w:spacing w:line="240" w:lineRule="auto"/>
        <w:ind w:firstLine="640"/>
        <w:rPr>
          <w:rFonts w:eastAsia="仿宋_GB2312" w:cs="仿宋_GB2312"/>
          <w:sz w:val="32"/>
          <w:szCs w:val="32"/>
        </w:rPr>
      </w:pPr>
      <w:r>
        <w:rPr>
          <w:rFonts w:hint="eastAsia" w:eastAsia="仿宋_GB2312" w:cs="仿宋_GB2312"/>
          <w:sz w:val="32"/>
          <w:szCs w:val="32"/>
        </w:rPr>
        <w:t>国内公务接待支出</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国内公务接待</w:t>
      </w:r>
      <w:r>
        <w:rPr>
          <w:rFonts w:hint="eastAsia" w:eastAsia="仿宋_GB2312" w:cs="仿宋_GB2312"/>
          <w:sz w:val="32"/>
          <w:szCs w:val="32"/>
          <w:lang w:val="en-US" w:eastAsia="zh-CN"/>
        </w:rPr>
        <w:t>0</w:t>
      </w:r>
      <w:r>
        <w:rPr>
          <w:rFonts w:hint="eastAsia" w:eastAsia="仿宋_GB2312" w:cs="仿宋_GB2312"/>
          <w:sz w:val="32"/>
          <w:szCs w:val="32"/>
        </w:rPr>
        <w:t>批次，</w:t>
      </w:r>
      <w:r>
        <w:rPr>
          <w:rFonts w:hint="eastAsia"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eastAsia="zh-CN"/>
        </w:rPr>
        <w:t>。</w:t>
      </w:r>
    </w:p>
    <w:p>
      <w:pPr>
        <w:spacing w:line="240" w:lineRule="auto"/>
        <w:ind w:firstLine="640"/>
        <w:rPr>
          <w:rFonts w:eastAsia="仿宋_GB2312" w:cs="仿宋_GB2312"/>
          <w:sz w:val="32"/>
          <w:szCs w:val="32"/>
        </w:rPr>
      </w:pPr>
      <w:r>
        <w:rPr>
          <w:rFonts w:hint="eastAsia" w:eastAsia="仿宋_GB2312" w:cs="仿宋_GB2312"/>
          <w:sz w:val="32"/>
          <w:szCs w:val="32"/>
        </w:rPr>
        <w:t>外事接待支出</w:t>
      </w:r>
      <w:r>
        <w:rPr>
          <w:rFonts w:hint="eastAsia" w:eastAsia="仿宋_GB2312" w:cs="仿宋_GB2312"/>
          <w:sz w:val="32"/>
          <w:szCs w:val="32"/>
          <w:lang w:val="en-US" w:eastAsia="zh-CN"/>
        </w:rPr>
        <w:t>0</w:t>
      </w:r>
      <w:r>
        <w:rPr>
          <w:rFonts w:hint="eastAsia" w:eastAsia="仿宋_GB2312" w:cs="仿宋_GB2312"/>
          <w:sz w:val="32"/>
          <w:szCs w:val="32"/>
        </w:rPr>
        <w:t>万元。外事接待</w:t>
      </w:r>
      <w:r>
        <w:rPr>
          <w:rFonts w:hint="eastAsia" w:eastAsia="仿宋_GB2312" w:cs="仿宋_GB2312"/>
          <w:sz w:val="32"/>
          <w:szCs w:val="32"/>
          <w:lang w:val="en-US" w:eastAsia="zh-CN"/>
        </w:rPr>
        <w:t>0</w:t>
      </w:r>
      <w:r>
        <w:rPr>
          <w:rFonts w:hint="eastAsia" w:eastAsia="仿宋_GB2312" w:cs="仿宋_GB2312"/>
          <w:sz w:val="32"/>
          <w:szCs w:val="32"/>
        </w:rPr>
        <w:t>批次，</w:t>
      </w:r>
      <w:r>
        <w:rPr>
          <w:rFonts w:hint="eastAsia"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pPr>
        <w:spacing w:line="240" w:lineRule="auto"/>
        <w:ind w:firstLine="640"/>
        <w:outlineLvl w:val="1"/>
        <w:rPr>
          <w:rStyle w:val="29"/>
          <w:rFonts w:ascii="Times New Roman" w:hAnsi="Times New Roman" w:eastAsia="黑体"/>
        </w:rPr>
      </w:pPr>
      <w:bookmarkStart w:id="34" w:name="_Toc15396610"/>
      <w:bookmarkStart w:id="35" w:name="_Toc15377218"/>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240" w:lineRule="auto"/>
        <w:ind w:firstLine="640"/>
        <w:rPr>
          <w:rFonts w:eastAsia="仿宋_GB2312" w:cs="仿宋_GB2312"/>
          <w:sz w:val="32"/>
          <w:szCs w:val="32"/>
        </w:rPr>
      </w:pPr>
      <w:r>
        <w:rPr>
          <w:rFonts w:hint="eastAsia" w:eastAsia="仿宋_GB2312" w:cs="仿宋_GB2312"/>
          <w:sz w:val="32"/>
          <w:szCs w:val="32"/>
        </w:rPr>
        <w:t>2024年度政府性基金预算财政拨款支出0万元，占本年支出合计的</w:t>
      </w:r>
      <w:r>
        <w:rPr>
          <w:rFonts w:hint="eastAsia" w:eastAsia="仿宋_GB2312" w:cs="仿宋_GB2312"/>
          <w:sz w:val="32"/>
          <w:szCs w:val="32"/>
          <w:lang w:val="en-US" w:eastAsia="zh-CN"/>
        </w:rPr>
        <w:t>100</w:t>
      </w:r>
      <w:r>
        <w:rPr>
          <w:rFonts w:hint="eastAsia" w:eastAsia="仿宋_GB2312" w:cs="仿宋_GB2312"/>
          <w:sz w:val="32"/>
          <w:szCs w:val="32"/>
        </w:rPr>
        <w:t>%。与2023年度相比，政府性基金预算财政拨款支出增加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p>
    <w:p>
      <w:pPr>
        <w:spacing w:line="240" w:lineRule="auto"/>
        <w:ind w:left="0" w:firstLine="640" w:firstLineChars="20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pPr>
        <w:spacing w:line="240" w:lineRule="auto"/>
        <w:ind w:left="0" w:firstLine="640" w:firstLineChars="200"/>
        <w:outlineLvl w:val="1"/>
        <w:rPr>
          <w:rStyle w:val="29"/>
          <w:rFonts w:hint="eastAsia" w:ascii="Times New Roman" w:hAnsi="Times New Roman" w:eastAsia="黑体"/>
          <w:b w:val="0"/>
        </w:rPr>
      </w:pPr>
      <w:r>
        <w:rPr>
          <w:rFonts w:hint="eastAsia" w:eastAsia="仿宋_GB2312" w:cs="仿宋_GB2312"/>
          <w:sz w:val="32"/>
          <w:szCs w:val="32"/>
        </w:rPr>
        <w:t>2024年度国有资本经营预算财政拨款支出0万元，占本年支出合计的</w:t>
      </w:r>
      <w:r>
        <w:rPr>
          <w:rFonts w:hint="eastAsia" w:eastAsia="仿宋_GB2312" w:cs="仿宋_GB2312"/>
          <w:sz w:val="32"/>
          <w:szCs w:val="32"/>
          <w:lang w:val="en-US" w:eastAsia="zh-CN"/>
        </w:rPr>
        <w:t>100</w:t>
      </w:r>
      <w:r>
        <w:rPr>
          <w:rFonts w:hint="eastAsia" w:eastAsia="仿宋_GB2312" w:cs="仿宋_GB2312"/>
          <w:sz w:val="32"/>
          <w:szCs w:val="32"/>
        </w:rPr>
        <w:t>%。与2023年度相比，国有资本经营预算财政拨款支出增加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bookmarkStart w:id="38" w:name="_Toc15396612"/>
      <w:bookmarkStart w:id="39" w:name="_Toc15377221"/>
    </w:p>
    <w:p>
      <w:pPr>
        <w:spacing w:line="240" w:lineRule="auto"/>
        <w:ind w:left="0" w:firstLine="640" w:firstLineChars="200"/>
        <w:outlineLvl w:val="1"/>
        <w:rPr>
          <w:rStyle w:val="29"/>
          <w:rFonts w:ascii="Times New Roman" w:hAnsi="Times New Roman" w:eastAsia="黑体"/>
          <w:b w:val="0"/>
        </w:rPr>
      </w:pPr>
      <w:r>
        <w:rPr>
          <w:rStyle w:val="29"/>
          <w:rFonts w:hint="eastAsia" w:ascii="Times New Roman" w:hAnsi="Times New Roman" w:eastAsia="黑体"/>
          <w:b w:val="0"/>
        </w:rPr>
        <w:t>十、其他重要事项的情况说明</w:t>
      </w:r>
      <w:bookmarkEnd w:id="38"/>
      <w:bookmarkEnd w:id="39"/>
    </w:p>
    <w:p>
      <w:pPr>
        <w:spacing w:line="240" w:lineRule="auto"/>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240" w:lineRule="auto"/>
        <w:ind w:firstLine="640"/>
        <w:rPr>
          <w:rFonts w:eastAsia="仿宋_GB2312" w:cs="仿宋_GB2312"/>
          <w:sz w:val="32"/>
          <w:szCs w:val="32"/>
        </w:rPr>
      </w:pPr>
      <w:r>
        <w:rPr>
          <w:rFonts w:hint="eastAsia" w:eastAsia="仿宋_GB2312" w:cs="仿宋_GB2312"/>
          <w:sz w:val="32"/>
          <w:szCs w:val="32"/>
        </w:rPr>
        <w:t>2024年度，遂宁市安居区安居镇安平小学校</w:t>
      </w:r>
      <w:r>
        <w:rPr>
          <w:rFonts w:hint="eastAsia" w:eastAsia="仿宋_GB2312" w:cs="仿宋_GB2312"/>
          <w:color w:val="auto"/>
          <w:sz w:val="32"/>
          <w:szCs w:val="32"/>
          <w:shd w:val="clear" w:fill="FFFFFF" w:themeFill="background1"/>
        </w:rPr>
        <w:t>机关运行经费支出</w:t>
      </w:r>
      <w:r>
        <w:rPr>
          <w:rFonts w:hint="eastAsia" w:eastAsia="仿宋_GB2312" w:cs="仿宋_GB2312"/>
          <w:color w:val="auto"/>
          <w:sz w:val="32"/>
          <w:szCs w:val="32"/>
          <w:shd w:val="clear" w:fill="FFFFFF" w:themeFill="background1"/>
          <w:lang w:val="en-US" w:eastAsia="zh-CN"/>
        </w:rPr>
        <w:t>0</w:t>
      </w:r>
      <w:r>
        <w:rPr>
          <w:rFonts w:hint="eastAsia" w:eastAsia="仿宋_GB2312" w:cs="仿宋_GB2312"/>
          <w:color w:val="auto"/>
          <w:sz w:val="32"/>
          <w:szCs w:val="32"/>
          <w:shd w:val="clear" w:fill="FFFFFF" w:themeFill="background1"/>
        </w:rPr>
        <w:t>万元</w:t>
      </w:r>
      <w:r>
        <w:rPr>
          <w:rFonts w:hint="eastAsia" w:eastAsia="仿宋_GB2312" w:cs="仿宋_GB2312"/>
          <w:sz w:val="32"/>
          <w:szCs w:val="32"/>
        </w:rPr>
        <w:t>，与2023年度决算数持平</w:t>
      </w:r>
    </w:p>
    <w:p>
      <w:pPr>
        <w:spacing w:line="240" w:lineRule="auto"/>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240" w:lineRule="auto"/>
        <w:ind w:firstLine="640"/>
        <w:rPr>
          <w:rFonts w:eastAsia="仿宋_GB2312" w:cs="仿宋_GB2312"/>
          <w:sz w:val="32"/>
          <w:szCs w:val="32"/>
        </w:rPr>
      </w:pPr>
      <w:r>
        <w:rPr>
          <w:rFonts w:hint="eastAsia" w:eastAsia="仿宋_GB2312" w:cs="仿宋_GB2312"/>
          <w:sz w:val="32"/>
          <w:szCs w:val="32"/>
        </w:rPr>
        <w:t>2024年度，遂宁市安居区安居镇安平小学校政府采购支出总额0万元，其中：政府采购货物支出</w:t>
      </w:r>
      <w:r>
        <w:rPr>
          <w:rFonts w:hint="eastAsia" w:eastAsia="仿宋_GB2312" w:cs="仿宋_GB2312"/>
          <w:sz w:val="32"/>
          <w:szCs w:val="32"/>
          <w:lang w:val="en-US" w:eastAsia="zh-CN"/>
        </w:rPr>
        <w:t>0</w:t>
      </w:r>
      <w:r>
        <w:rPr>
          <w:rFonts w:hint="eastAsia" w:eastAsia="仿宋_GB2312" w:cs="仿宋_GB2312"/>
          <w:sz w:val="32"/>
          <w:szCs w:val="32"/>
        </w:rPr>
        <w:t>万元、政府采购工程支出</w:t>
      </w:r>
      <w:r>
        <w:rPr>
          <w:rFonts w:hint="eastAsia" w:eastAsia="仿宋_GB2312" w:cs="仿宋_GB2312"/>
          <w:sz w:val="32"/>
          <w:szCs w:val="32"/>
          <w:lang w:val="en-US" w:eastAsia="zh-CN"/>
        </w:rPr>
        <w:t>0</w:t>
      </w:r>
      <w:r>
        <w:rPr>
          <w:rFonts w:hint="eastAsia" w:eastAsia="仿宋_GB2312" w:cs="仿宋_GB2312"/>
          <w:sz w:val="32"/>
          <w:szCs w:val="32"/>
        </w:rPr>
        <w:t>万元、政府采购服务支出</w:t>
      </w:r>
      <w:r>
        <w:rPr>
          <w:rFonts w:hint="eastAsia" w:eastAsia="仿宋_GB2312" w:cs="仿宋_GB2312"/>
          <w:sz w:val="32"/>
          <w:szCs w:val="32"/>
          <w:lang w:val="en-US" w:eastAsia="zh-CN"/>
        </w:rPr>
        <w:t>0</w:t>
      </w:r>
      <w:r>
        <w:rPr>
          <w:rFonts w:hint="eastAsia" w:eastAsia="仿宋_GB2312" w:cs="仿宋_GB2312"/>
          <w:sz w:val="32"/>
          <w:szCs w:val="32"/>
        </w:rPr>
        <w:t>万元。授予中小企业合同金额</w:t>
      </w:r>
      <w:r>
        <w:rPr>
          <w:rFonts w:hint="eastAsia" w:eastAsia="仿宋_GB2312" w:cs="仿宋_GB2312"/>
          <w:sz w:val="32"/>
          <w:szCs w:val="32"/>
          <w:lang w:val="en-US" w:eastAsia="zh-CN"/>
        </w:rPr>
        <w:t>0</w:t>
      </w:r>
      <w:r>
        <w:rPr>
          <w:rFonts w:hint="eastAsia" w:eastAsia="仿宋_GB2312" w:cs="仿宋_GB2312"/>
          <w:sz w:val="32"/>
          <w:szCs w:val="32"/>
        </w:rPr>
        <w:t>万元，占政府采购支出总额的</w:t>
      </w:r>
      <w:r>
        <w:rPr>
          <w:rFonts w:hint="eastAsia" w:eastAsia="仿宋_GB2312" w:cs="仿宋_GB2312"/>
          <w:sz w:val="32"/>
          <w:szCs w:val="32"/>
          <w:lang w:val="en-US" w:eastAsia="zh-CN"/>
        </w:rPr>
        <w:t>0</w:t>
      </w:r>
      <w:r>
        <w:rPr>
          <w:rFonts w:hint="eastAsia" w:eastAsia="仿宋_GB2312" w:cs="仿宋_GB2312"/>
          <w:sz w:val="32"/>
          <w:szCs w:val="32"/>
        </w:rPr>
        <w:t>%，其中：授予小微企业合同金额</w:t>
      </w:r>
      <w:r>
        <w:rPr>
          <w:rFonts w:hint="eastAsia" w:eastAsia="仿宋_GB2312" w:cs="仿宋_GB2312"/>
          <w:sz w:val="32"/>
          <w:szCs w:val="32"/>
          <w:lang w:val="en-US" w:eastAsia="zh-CN"/>
        </w:rPr>
        <w:t>0</w:t>
      </w:r>
      <w:r>
        <w:rPr>
          <w:rFonts w:hint="eastAsia" w:eastAsia="仿宋_GB2312" w:cs="仿宋_GB2312"/>
          <w:sz w:val="32"/>
          <w:szCs w:val="32"/>
        </w:rPr>
        <w:t>万元，占政府采购支出总额的</w:t>
      </w:r>
      <w:r>
        <w:rPr>
          <w:rFonts w:hint="eastAsia" w:eastAsia="仿宋_GB2312" w:cs="仿宋_GB2312"/>
          <w:sz w:val="32"/>
          <w:szCs w:val="32"/>
          <w:lang w:val="en-US" w:eastAsia="zh-CN"/>
        </w:rPr>
        <w:t>0</w:t>
      </w:r>
      <w:r>
        <w:rPr>
          <w:rFonts w:hint="eastAsia" w:eastAsia="仿宋_GB2312" w:cs="仿宋_GB2312"/>
          <w:sz w:val="32"/>
          <w:szCs w:val="32"/>
        </w:rPr>
        <w:t>%。</w:t>
      </w:r>
    </w:p>
    <w:p>
      <w:pPr>
        <w:spacing w:line="240" w:lineRule="auto"/>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240" w:lineRule="auto"/>
        <w:ind w:firstLine="640"/>
        <w:rPr>
          <w:rFonts w:eastAsia="仿宋_GB2312" w:cs="仿宋_GB2312"/>
          <w:sz w:val="32"/>
          <w:szCs w:val="32"/>
        </w:rPr>
      </w:pPr>
      <w:r>
        <w:rPr>
          <w:rFonts w:hint="eastAsia" w:eastAsia="仿宋_GB2312" w:cs="仿宋_GB2312"/>
          <w:sz w:val="32"/>
          <w:szCs w:val="32"/>
        </w:rPr>
        <w:t>截至2024年12月31日，遂宁市安居区安居镇安平小学校共有车辆0辆，其中：主要负责人用车</w:t>
      </w:r>
      <w:r>
        <w:rPr>
          <w:rFonts w:hint="eastAsia" w:eastAsia="仿宋_GB2312" w:cs="仿宋_GB2312"/>
          <w:sz w:val="32"/>
          <w:szCs w:val="32"/>
          <w:lang w:val="en-US" w:eastAsia="zh-CN"/>
        </w:rPr>
        <w:t>0</w:t>
      </w:r>
      <w:r>
        <w:rPr>
          <w:rFonts w:hint="eastAsia" w:eastAsia="仿宋_GB2312" w:cs="仿宋_GB2312"/>
          <w:sz w:val="32"/>
          <w:szCs w:val="32"/>
        </w:rPr>
        <w:t>辆、机要通信用车</w:t>
      </w:r>
      <w:r>
        <w:rPr>
          <w:rFonts w:hint="eastAsia" w:eastAsia="仿宋_GB2312" w:cs="仿宋_GB2312"/>
          <w:sz w:val="32"/>
          <w:szCs w:val="32"/>
          <w:lang w:val="en-US" w:eastAsia="zh-CN"/>
        </w:rPr>
        <w:t>0</w:t>
      </w:r>
      <w:r>
        <w:rPr>
          <w:rFonts w:hint="eastAsia" w:eastAsia="仿宋_GB2312" w:cs="仿宋_GB2312"/>
          <w:sz w:val="32"/>
          <w:szCs w:val="32"/>
        </w:rPr>
        <w:t>辆、应急保障用车</w:t>
      </w:r>
      <w:r>
        <w:rPr>
          <w:rFonts w:hint="eastAsia" w:eastAsia="仿宋_GB2312" w:cs="仿宋_GB2312"/>
          <w:sz w:val="32"/>
          <w:szCs w:val="32"/>
          <w:lang w:val="en-US" w:eastAsia="zh-CN"/>
        </w:rPr>
        <w:t>0</w:t>
      </w:r>
      <w:r>
        <w:rPr>
          <w:rFonts w:hint="eastAsia" w:eastAsia="仿宋_GB2312" w:cs="仿宋_GB2312"/>
          <w:sz w:val="32"/>
          <w:szCs w:val="32"/>
        </w:rPr>
        <w:t>辆、其他用车</w:t>
      </w:r>
      <w:r>
        <w:rPr>
          <w:rFonts w:hint="eastAsia" w:eastAsia="仿宋_GB2312" w:cs="仿宋_GB2312"/>
          <w:sz w:val="32"/>
          <w:szCs w:val="32"/>
          <w:lang w:val="en-US" w:eastAsia="zh-CN"/>
        </w:rPr>
        <w:t>0</w:t>
      </w:r>
      <w:r>
        <w:rPr>
          <w:rFonts w:hint="eastAsia" w:eastAsia="仿宋_GB2312" w:cs="仿宋_GB2312"/>
          <w:sz w:val="32"/>
          <w:szCs w:val="32"/>
        </w:rPr>
        <w:t>辆。单价100万元（含）以上设备（不含车辆）</w:t>
      </w:r>
      <w:r>
        <w:rPr>
          <w:rFonts w:hint="eastAsia" w:eastAsia="仿宋_GB2312" w:cs="仿宋_GB2312"/>
          <w:sz w:val="32"/>
          <w:szCs w:val="32"/>
          <w:lang w:val="en-US" w:eastAsia="zh-CN"/>
        </w:rPr>
        <w:t>0</w:t>
      </w:r>
      <w:r>
        <w:rPr>
          <w:rFonts w:hint="eastAsia" w:eastAsia="仿宋_GB2312" w:cs="仿宋_GB2312"/>
          <w:sz w:val="32"/>
          <w:szCs w:val="32"/>
        </w:rPr>
        <w:t>台（套）。</w:t>
      </w:r>
    </w:p>
    <w:p>
      <w:pPr>
        <w:spacing w:line="240" w:lineRule="auto"/>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pStyle w:val="3"/>
        <w:ind w:left="0" w:leftChars="0" w:firstLine="640"/>
        <w:rPr>
          <w:rFonts w:hint="eastAsia" w:ascii="Times New Roman" w:eastAsia="仿宋_GB2312" w:cs="仿宋_GB2312"/>
          <w:sz w:val="32"/>
          <w:szCs w:val="32"/>
          <w:lang w:eastAsia="zh-CN"/>
        </w:rPr>
      </w:pPr>
      <w:r>
        <w:rPr>
          <w:rFonts w:hint="eastAsia" w:ascii="Times New Roman" w:hAnsi="Times New Roman" w:eastAsia="仿宋_GB2312" w:cs="仿宋_GB2312"/>
          <w:sz w:val="32"/>
          <w:szCs w:val="32"/>
        </w:rPr>
        <w:t>根据预算绩效管理要求，本单位在2024年度预算编制阶段，组织义务教育家庭经济困难学生生活补助、幼儿资助及幼儿发展资金、校舍维修、城乡义务教育-免作业本费等4个项目开展了预算事前绩效评估，对4个项目编制了绩效目标，预算执行过程中，选取4个项目开展绩效监控，组织对4个项目开展绩效自评</w:t>
      </w:r>
      <w:r>
        <w:rPr>
          <w:rFonts w:hint="eastAsia" w:ascii="Times New Roman" w:eastAsia="仿宋_GB2312" w:cs="仿宋_GB2312"/>
          <w:sz w:val="32"/>
          <w:szCs w:val="32"/>
          <w:lang w:eastAsia="zh-CN"/>
        </w:rPr>
        <w:t>。</w:t>
      </w:r>
    </w:p>
    <w:p>
      <w:pPr>
        <w:pStyle w:val="3"/>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组织对2024年度一般公共预算、政府性基金预算、国有资本经营预算、社会保险基金预算以及资本资产、债券资金等全面开展绩效自评，形成2024年安平小学部门整体（含部门预算项目）绩效自评报告、</w:t>
      </w:r>
      <w:r>
        <w:rPr>
          <w:rFonts w:hint="eastAsia" w:ascii="Times New Roman" w:hAnsi="Times New Roman" w:eastAsia="仿宋_GB2312" w:cs="仿宋_GB2312"/>
          <w:sz w:val="32"/>
          <w:szCs w:val="32"/>
        </w:rPr>
        <w:t>义务教育家庭经济困难学生生活补助、幼儿资助及幼儿发展资金、校舍维修、城乡义务教育-免作业本费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等专项预算项目绩效自评报告，其中，2024年安平小学部门整体（含部门预算项目）绩效自评得分为100分，绩效自评综述</w:t>
      </w:r>
      <w:r>
        <w:rPr>
          <w:rFonts w:hint="eastAsia" w:eastAsia="仿宋_GB2312" w:cs="Times New Roman"/>
          <w:sz w:val="32"/>
          <w:szCs w:val="32"/>
          <w:highlight w:val="none"/>
          <w:lang w:val="en-US" w:eastAsia="zh-CN"/>
        </w:rPr>
        <w:t>严格执行相关政策，保障工资及时发放、足额发放，预算编制科学合理，减少结余资金</w:t>
      </w:r>
      <w:r>
        <w:rPr>
          <w:rFonts w:hint="eastAsia" w:eastAsia="仿宋_GB2312"/>
          <w:sz w:val="32"/>
          <w:szCs w:val="32"/>
          <w:highlight w:val="none"/>
          <w:lang w:val="zh-CN"/>
        </w:rPr>
        <w:t>，</w:t>
      </w:r>
      <w:r>
        <w:rPr>
          <w:rFonts w:hint="eastAsia" w:ascii="仿宋_GB2312" w:hAnsi="仿宋_GB2312" w:eastAsia="仿宋_GB2312" w:cs="仿宋_GB2312"/>
          <w:sz w:val="32"/>
          <w:szCs w:val="32"/>
          <w:highlight w:val="none"/>
        </w:rPr>
        <w:t>广泛听取意见，认真总结分析,搜集完善各类资料。进</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步深化课程改革，提高教育质量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努力改善办学条件,促进教育均衡发展</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义教贫困生生活补助预算项目绩效自评得分为100分，绩效自评综述加强民生资金专项管理，提高民生资金使用效益，确保专款专用，按程序及时兑现给学生（或监护人）。幼儿资助及幼儿发展资金预算项目绩效自评得分为100分，绩效自评综述加强民生资金专项管理，提高民生资金使用效益，确保专款专用，按程序及时兑现给学生（或监护人），及时申报经费，促进附设幼儿园健康发展。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pPr>
        <w:spacing w:line="240" w:lineRule="auto"/>
        <w:ind w:left="0" w:firstLine="640" w:firstLineChars="200"/>
        <w:rPr>
          <w:rFonts w:hint="eastAsia" w:ascii="Times New Roman" w:hAnsi="Times New Roman" w:eastAsia="仿宋_GB2312" w:cs="仿宋_GB2312"/>
          <w:sz w:val="32"/>
          <w:szCs w:val="32"/>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spacing w:line="240" w:lineRule="auto"/>
        <w:ind w:firstLine="640"/>
        <w:rPr>
          <w:rFonts w:eastAsia="仿宋_GB2312" w:cs="仿宋_GB2312"/>
          <w:sz w:val="32"/>
          <w:szCs w:val="32"/>
        </w:rPr>
      </w:pPr>
    </w:p>
    <w:p>
      <w:pPr>
        <w:pStyle w:val="2"/>
        <w:rPr>
          <w:rFonts w:eastAsia="仿宋_GB2312" w:cs="仿宋_GB2312"/>
          <w:sz w:val="32"/>
          <w:szCs w:val="32"/>
        </w:rPr>
      </w:pPr>
    </w:p>
    <w:p>
      <w:pPr>
        <w:pStyle w:val="3"/>
        <w:rPr>
          <w:rFonts w:eastAsia="仿宋_GB2312" w:cs="仿宋_GB2312"/>
          <w:sz w:val="32"/>
          <w:szCs w:val="32"/>
        </w:rPr>
      </w:pPr>
    </w:p>
    <w:p>
      <w:pPr>
        <w:pStyle w:val="3"/>
        <w:rPr>
          <w:rFonts w:eastAsia="仿宋_GB2312" w:cs="仿宋_GB2312"/>
          <w:sz w:val="32"/>
          <w:szCs w:val="32"/>
        </w:rPr>
      </w:pPr>
    </w:p>
    <w:p>
      <w:pPr>
        <w:pStyle w:val="3"/>
        <w:rPr>
          <w:rFonts w:eastAsia="仿宋_GB2312" w:cs="仿宋_GB2312"/>
          <w:sz w:val="32"/>
          <w:szCs w:val="32"/>
        </w:rPr>
      </w:pPr>
    </w:p>
    <w:p>
      <w:pPr>
        <w:pStyle w:val="3"/>
        <w:rPr>
          <w:rFonts w:eastAsia="仿宋_GB2312" w:cs="仿宋_GB2312"/>
          <w:sz w:val="32"/>
          <w:szCs w:val="32"/>
        </w:rPr>
      </w:pPr>
    </w:p>
    <w:p>
      <w:pPr>
        <w:numPr>
          <w:ilvl w:val="0"/>
          <w:numId w:val="1"/>
        </w:numPr>
        <w:spacing w:line="240" w:lineRule="auto"/>
        <w:jc w:val="center"/>
        <w:outlineLvl w:val="0"/>
        <w:rPr>
          <w:rFonts w:eastAsia="黑体"/>
          <w:sz w:val="44"/>
          <w:szCs w:val="44"/>
        </w:rPr>
      </w:pPr>
      <w:bookmarkStart w:id="43" w:name="_Toc15396613"/>
      <w:bookmarkStart w:id="44" w:name="_Toc15377225"/>
      <w:r>
        <w:rPr>
          <w:rFonts w:hint="eastAsia" w:eastAsia="黑体"/>
          <w:sz w:val="44"/>
          <w:szCs w:val="44"/>
        </w:rPr>
        <w:t xml:space="preserve"> 名词解释</w:t>
      </w:r>
      <w:bookmarkEnd w:id="43"/>
      <w:bookmarkEnd w:id="44"/>
    </w:p>
    <w:p>
      <w:pPr>
        <w:spacing w:line="240" w:lineRule="auto"/>
        <w:jc w:val="left"/>
        <w:rPr>
          <w:b/>
          <w:sz w:val="44"/>
          <w:szCs w:val="44"/>
        </w:rPr>
      </w:pPr>
    </w:p>
    <w:p>
      <w:pPr>
        <w:pStyle w:val="26"/>
        <w:autoSpaceDE/>
        <w:autoSpaceDN/>
        <w:spacing w:line="240" w:lineRule="auto"/>
        <w:ind w:left="0"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autoSpaceDE/>
        <w:autoSpaceDN/>
        <w:spacing w:line="240" w:lineRule="auto"/>
        <w:ind w:left="0" w:firstLine="640" w:firstLineChars="20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pPr>
        <w:pStyle w:val="26"/>
        <w:autoSpaceDE/>
        <w:autoSpaceDN/>
        <w:spacing w:line="240" w:lineRule="auto"/>
        <w:ind w:left="0" w:firstLine="640" w:firstLineChars="200"/>
        <w:rPr>
          <w:rFonts w:hAnsi="仿宋"/>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p>
    <w:p>
      <w:pPr>
        <w:spacing w:line="240" w:lineRule="auto"/>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240" w:lineRule="auto"/>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r>
        <w:rPr>
          <w:rFonts w:hint="eastAsia"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基本支出：指为保障机构正常运转、完成日常工作任务而发生的人员支出和公用支出。</w:t>
      </w:r>
    </w:p>
    <w:p>
      <w:pPr>
        <w:spacing w:line="240" w:lineRule="auto"/>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项目支出：指在基本支出之外为完成特定行政任务和事业发展目标所发生的支出。</w:t>
      </w:r>
    </w:p>
    <w:p>
      <w:pPr>
        <w:autoSpaceDE/>
        <w:autoSpaceDN/>
        <w:adjustRightInd w:val="0"/>
        <w:spacing w:line="240" w:lineRule="auto"/>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pacing w:line="240" w:lineRule="auto"/>
        <w:ind w:firstLine="643" w:firstLineChars="200"/>
        <w:rPr>
          <w:rFonts w:eastAsia="仿宋_GB2312" w:cs="仿宋_GB2312"/>
          <w:b/>
          <w:bCs/>
          <w:sz w:val="32"/>
          <w:szCs w:val="32"/>
        </w:rPr>
      </w:pPr>
    </w:p>
    <w:p>
      <w:pPr>
        <w:pStyle w:val="2"/>
        <w:rPr>
          <w:rFonts w:eastAsia="仿宋_GB2312" w:cs="仿宋_GB2312"/>
          <w:b/>
          <w:bCs/>
          <w:sz w:val="32"/>
          <w:szCs w:val="32"/>
        </w:rPr>
      </w:pPr>
    </w:p>
    <w:p>
      <w:pPr>
        <w:pStyle w:val="3"/>
        <w:rPr>
          <w:rFonts w:eastAsia="仿宋_GB2312" w:cs="仿宋_GB2312"/>
          <w:b/>
          <w:bCs/>
          <w:sz w:val="32"/>
          <w:szCs w:val="32"/>
        </w:rPr>
      </w:pPr>
    </w:p>
    <w:p>
      <w:pPr>
        <w:pStyle w:val="3"/>
        <w:rPr>
          <w:rFonts w:eastAsia="仿宋_GB2312" w:cs="仿宋_GB2312"/>
          <w:b/>
          <w:bCs/>
          <w:sz w:val="32"/>
          <w:szCs w:val="32"/>
        </w:rPr>
      </w:pPr>
    </w:p>
    <w:p>
      <w:pPr>
        <w:pStyle w:val="3"/>
        <w:rPr>
          <w:rFonts w:eastAsia="仿宋_GB2312" w:cs="仿宋_GB2312"/>
          <w:b/>
          <w:bCs/>
          <w:sz w:val="32"/>
          <w:szCs w:val="32"/>
        </w:rPr>
      </w:pPr>
    </w:p>
    <w:p>
      <w:pPr>
        <w:pStyle w:val="3"/>
        <w:rPr>
          <w:rFonts w:eastAsia="仿宋_GB2312" w:cs="仿宋_GB2312"/>
          <w:b/>
          <w:bCs/>
          <w:sz w:val="32"/>
          <w:szCs w:val="32"/>
        </w:rPr>
      </w:pPr>
    </w:p>
    <w:p>
      <w:pPr>
        <w:pStyle w:val="3"/>
        <w:rPr>
          <w:rFonts w:eastAsia="仿宋_GB2312" w:cs="仿宋_GB2312"/>
          <w:b/>
          <w:bCs/>
          <w:sz w:val="32"/>
          <w:szCs w:val="32"/>
        </w:rPr>
      </w:pPr>
    </w:p>
    <w:p>
      <w:pPr>
        <w:pStyle w:val="3"/>
        <w:ind w:left="0" w:leftChars="0" w:firstLine="0" w:firstLineChars="0"/>
        <w:rPr>
          <w:rFonts w:eastAsia="仿宋_GB2312" w:cs="仿宋_GB2312"/>
          <w:b/>
          <w:bCs/>
          <w:sz w:val="32"/>
          <w:szCs w:val="32"/>
        </w:rPr>
      </w:pPr>
    </w:p>
    <w:p>
      <w:pPr>
        <w:spacing w:line="240" w:lineRule="auto"/>
        <w:jc w:val="center"/>
        <w:outlineLvl w:val="9"/>
        <w:rPr>
          <w:rFonts w:hint="eastAsia" w:ascii="方正小标宋简体" w:hAnsi="方正小标宋简体" w:eastAsia="黑体" w:cs="方正小标宋简体"/>
          <w:sz w:val="44"/>
          <w:szCs w:val="44"/>
        </w:rPr>
      </w:pPr>
      <w:bookmarkStart w:id="45" w:name="_Toc15377226"/>
      <w:r>
        <w:rPr>
          <w:rFonts w:hint="eastAsia" w:ascii="黑体" w:hAnsi="黑体" w:eastAsia="黑体"/>
          <w:sz w:val="44"/>
          <w:szCs w:val="44"/>
        </w:rPr>
        <w:t>第</w:t>
      </w:r>
      <w:r>
        <w:rPr>
          <w:rStyle w:val="28"/>
          <w:rFonts w:hint="eastAsia" w:ascii="黑体" w:hAnsi="黑体" w:eastAsia="黑体"/>
        </w:rPr>
        <w:t>四部分 附件</w:t>
      </w:r>
    </w:p>
    <w:p>
      <w:pPr>
        <w:widowControl/>
        <w:spacing w:before="469" w:beforeLines="150" w:after="469" w:afterLines="150"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60" w:lineRule="exact"/>
        <w:ind w:firstLine="640" w:firstLineChars="200"/>
        <w:contextualSpacing w:val="0"/>
        <w:jc w:val="left"/>
        <w:rPr>
          <w:rFonts w:hint="eastAsia" w:ascii="黑体" w:hAnsi="黑体" w:eastAsia="黑体" w:cs="黑体"/>
          <w:sz w:val="32"/>
          <w:szCs w:val="32"/>
          <w:lang w:val="zh-CN"/>
        </w:rPr>
      </w:pPr>
      <w:r>
        <w:rPr>
          <w:rFonts w:hint="eastAsia" w:ascii="黑体" w:hAnsi="黑体" w:eastAsia="黑体" w:cs="黑体"/>
          <w:b w:val="0"/>
          <w:bCs w:val="0"/>
          <w:sz w:val="32"/>
          <w:szCs w:val="32"/>
          <w:lang w:val="zh-CN"/>
        </w:rPr>
        <w:t>一、基本情况</w:t>
      </w:r>
    </w:p>
    <w:p>
      <w:pPr>
        <w:widowControl/>
        <w:adjustRightInd w:val="0"/>
        <w:snapToGrid w:val="0"/>
        <w:spacing w:line="56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bCs/>
          <w:sz w:val="32"/>
          <w:szCs w:val="32"/>
          <w:lang w:val="zh-CN"/>
        </w:rPr>
        <w:t>（一）</w:t>
      </w:r>
      <w:r>
        <w:rPr>
          <w:rFonts w:ascii="仿宋_GB2312" w:hAnsi="仿宋" w:eastAsia="仿宋_GB2312"/>
          <w:b/>
          <w:bCs/>
          <w:sz w:val="32"/>
          <w:szCs w:val="32"/>
          <w:lang w:val="zh-CN"/>
        </w:rPr>
        <w:t>机构组成</w:t>
      </w:r>
      <w:r>
        <w:rPr>
          <w:rFonts w:hint="eastAsia" w:ascii="仿宋_GB2312" w:hAnsi="仿宋" w:eastAsia="仿宋_GB2312"/>
          <w:sz w:val="32"/>
          <w:szCs w:val="32"/>
          <w:lang w:val="zh-CN"/>
        </w:rPr>
        <w:t>：</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安居镇安平</w:t>
      </w:r>
      <w:r>
        <w:rPr>
          <w:rFonts w:hint="eastAsia" w:ascii="仿宋_GB2312" w:hAnsi="仿宋" w:eastAsia="仿宋_GB2312"/>
          <w:sz w:val="32"/>
          <w:szCs w:val="32"/>
        </w:rPr>
        <w:t>小学校属于公益二类事业单位，学校的主管部门为四川省遂宁市安居区教育局。</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（二）机构职能</w:t>
      </w:r>
      <w:r>
        <w:rPr>
          <w:rFonts w:hint="eastAsia" w:ascii="仿宋_GB2312" w:hAnsi="仿宋" w:eastAsia="仿宋_GB2312"/>
          <w:b/>
          <w:bCs/>
          <w:sz w:val="32"/>
          <w:szCs w:val="32"/>
          <w:lang w:val="zh-CN"/>
        </w:rPr>
        <w:t>：</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pPr>
        <w:widowControl/>
        <w:adjustRightInd w:val="0"/>
        <w:snapToGrid w:val="0"/>
        <w:spacing w:line="560" w:lineRule="exact"/>
        <w:ind w:firstLine="640" w:firstLineChars="200"/>
        <w:contextualSpacing/>
        <w:jc w:val="left"/>
        <w:rPr>
          <w:rFonts w:ascii="仿宋_GB2312" w:hAnsi="仿宋" w:eastAsia="仿宋_GB2312"/>
          <w:sz w:val="32"/>
          <w:szCs w:val="32"/>
          <w:lang w:val="zh-CN"/>
        </w:rPr>
      </w:pPr>
      <w:r>
        <w:rPr>
          <w:rFonts w:hint="eastAsia" w:ascii="仿宋_GB2312" w:hAnsi="仿宋" w:eastAsia="仿宋_GB2312"/>
          <w:sz w:val="32"/>
          <w:szCs w:val="32"/>
        </w:rPr>
        <w:t>7、做好安全防范，保证学生的人身安全。</w:t>
      </w:r>
    </w:p>
    <w:p>
      <w:pPr>
        <w:widowControl/>
        <w:adjustRightInd w:val="0"/>
        <w:snapToGrid w:val="0"/>
        <w:spacing w:line="560" w:lineRule="exact"/>
        <w:ind w:firstLine="643" w:firstLineChars="200"/>
        <w:jc w:val="left"/>
        <w:rPr>
          <w:rFonts w:ascii="仿宋" w:hAnsi="仿宋" w:eastAsia="仿宋"/>
          <w:b/>
          <w:bCs/>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）人员概况</w:t>
      </w:r>
      <w:r>
        <w:rPr>
          <w:rFonts w:hint="eastAsia" w:ascii="仿宋_GB2312" w:hAnsi="仿宋" w:eastAsia="仿宋_GB2312"/>
          <w:b/>
          <w:bCs/>
          <w:sz w:val="32"/>
          <w:szCs w:val="32"/>
          <w:lang w:val="zh-CN"/>
        </w:rPr>
        <w:t>：</w:t>
      </w:r>
      <w:r>
        <w:rPr>
          <w:rFonts w:ascii="仿宋_GB2312" w:hAnsi="仿宋" w:eastAsia="仿宋_GB2312"/>
          <w:sz w:val="32"/>
          <w:szCs w:val="32"/>
        </w:rPr>
        <w:t>截至202</w:t>
      </w:r>
      <w:r>
        <w:rPr>
          <w:rFonts w:hint="eastAsia" w:ascii="仿宋_GB2312" w:hAnsi="仿宋" w:eastAsia="仿宋_GB2312"/>
          <w:sz w:val="32"/>
          <w:szCs w:val="32"/>
        </w:rPr>
        <w:t>4</w:t>
      </w:r>
      <w:r>
        <w:rPr>
          <w:rFonts w:ascii="仿宋_GB2312" w:hAnsi="仿宋" w:eastAsia="仿宋_GB2312"/>
          <w:sz w:val="32"/>
          <w:szCs w:val="32"/>
        </w:rPr>
        <w:t>年末，</w:t>
      </w: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30</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6</w:t>
      </w:r>
      <w:r>
        <w:rPr>
          <w:rFonts w:hint="eastAsia" w:ascii="仿宋_GB2312" w:hAnsi="仿宋" w:eastAsia="仿宋_GB2312"/>
          <w:sz w:val="32"/>
          <w:szCs w:val="32"/>
        </w:rPr>
        <w:t>人，退休教师</w:t>
      </w:r>
      <w:r>
        <w:rPr>
          <w:rFonts w:hint="eastAsia" w:ascii="仿宋_GB2312" w:hAnsi="仿宋" w:eastAsia="仿宋_GB2312"/>
          <w:sz w:val="32"/>
          <w:szCs w:val="32"/>
          <w:lang w:val="en-US" w:eastAsia="zh-CN"/>
        </w:rPr>
        <w:t>60</w:t>
      </w:r>
      <w:r>
        <w:rPr>
          <w:rFonts w:hint="eastAsia" w:ascii="仿宋_GB2312" w:hAnsi="仿宋" w:eastAsia="仿宋_GB2312"/>
          <w:sz w:val="32"/>
          <w:szCs w:val="32"/>
        </w:rPr>
        <w:t>人</w:t>
      </w:r>
    </w:p>
    <w:p>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二、部门资金收支情况</w:t>
      </w:r>
    </w:p>
    <w:p>
      <w:pPr>
        <w:widowControl/>
        <w:adjustRightInd w:val="0"/>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202</w:t>
      </w:r>
      <w:r>
        <w:rPr>
          <w:rFonts w:ascii="仿宋" w:hAnsi="仿宋" w:eastAsia="仿宋"/>
          <w:color w:val="000000"/>
          <w:sz w:val="32"/>
          <w:szCs w:val="32"/>
        </w:rPr>
        <w:t>4</w:t>
      </w:r>
      <w:r>
        <w:rPr>
          <w:rFonts w:hint="eastAsia" w:ascii="仿宋" w:hAnsi="仿宋" w:eastAsia="仿宋"/>
          <w:color w:val="000000"/>
          <w:sz w:val="32"/>
          <w:szCs w:val="32"/>
        </w:rPr>
        <w:t>年本年收入合计</w:t>
      </w:r>
      <w:r>
        <w:rPr>
          <w:rFonts w:ascii="仿宋" w:hAnsi="仿宋" w:eastAsia="仿宋"/>
          <w:color w:val="000000"/>
          <w:sz w:val="32"/>
          <w:szCs w:val="32"/>
        </w:rPr>
        <w:t>756</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756</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widowControl/>
        <w:numPr>
          <w:ilvl w:val="0"/>
          <w:numId w:val="2"/>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2024年度一般公共预算财政拨款支出756万元，主要用于以下方面:</w:t>
      </w:r>
      <w:r>
        <w:rPr>
          <w:rFonts w:hint="eastAsia" w:ascii="仿宋" w:hAnsi="仿宋" w:eastAsia="仿宋" w:cs="Times New Roman"/>
          <w:b w:val="0"/>
          <w:color w:val="000000"/>
          <w:sz w:val="32"/>
          <w:szCs w:val="32"/>
        </w:rPr>
        <w:t>教育支出</w:t>
      </w:r>
      <w:r>
        <w:rPr>
          <w:rFonts w:hint="eastAsia" w:ascii="仿宋" w:hAnsi="仿宋" w:eastAsia="仿宋" w:cs="Times New Roman"/>
          <w:color w:val="000000"/>
          <w:sz w:val="32"/>
          <w:szCs w:val="32"/>
        </w:rPr>
        <w:t>600.7万元，占80%；</w:t>
      </w:r>
      <w:r>
        <w:rPr>
          <w:rFonts w:hint="eastAsia" w:ascii="仿宋" w:hAnsi="仿宋" w:eastAsia="仿宋" w:cs="Times New Roman"/>
          <w:b w:val="0"/>
          <w:color w:val="000000"/>
          <w:sz w:val="32"/>
          <w:szCs w:val="32"/>
        </w:rPr>
        <w:t>社会保障和就业支出</w:t>
      </w:r>
      <w:r>
        <w:rPr>
          <w:rFonts w:hint="eastAsia" w:ascii="仿宋" w:hAnsi="仿宋" w:eastAsia="仿宋" w:cs="Times New Roman"/>
          <w:color w:val="000000"/>
          <w:sz w:val="32"/>
          <w:szCs w:val="32"/>
        </w:rPr>
        <w:t>76万元，占10%；</w:t>
      </w:r>
      <w:r>
        <w:rPr>
          <w:rFonts w:hint="eastAsia" w:ascii="仿宋" w:hAnsi="仿宋" w:eastAsia="仿宋" w:cs="Times New Roman"/>
          <w:b w:val="0"/>
          <w:color w:val="000000"/>
          <w:sz w:val="32"/>
          <w:szCs w:val="32"/>
        </w:rPr>
        <w:t>卫生健康支出</w:t>
      </w:r>
      <w:r>
        <w:rPr>
          <w:rFonts w:hint="eastAsia" w:ascii="仿宋" w:hAnsi="仿宋" w:eastAsia="仿宋" w:cs="Times New Roman"/>
          <w:color w:val="000000"/>
          <w:sz w:val="32"/>
          <w:szCs w:val="32"/>
        </w:rPr>
        <w:t>30.7万元，占4%；</w:t>
      </w:r>
      <w:r>
        <w:rPr>
          <w:rFonts w:hint="eastAsia" w:ascii="仿宋" w:hAnsi="仿宋" w:eastAsia="仿宋" w:cs="Times New Roman"/>
          <w:b w:val="0"/>
          <w:color w:val="000000"/>
          <w:sz w:val="32"/>
          <w:szCs w:val="32"/>
        </w:rPr>
        <w:t>住房保障支出</w:t>
      </w:r>
      <w:r>
        <w:rPr>
          <w:rFonts w:hint="eastAsia" w:ascii="仿宋" w:hAnsi="仿宋" w:eastAsia="仿宋" w:cs="Times New Roman"/>
          <w:color w:val="000000"/>
          <w:sz w:val="32"/>
          <w:szCs w:val="32"/>
        </w:rPr>
        <w:t>48.6万元，占6%；。</w:t>
      </w:r>
    </w:p>
    <w:p>
      <w:pPr>
        <w:widowControl/>
        <w:adjustRightInd w:val="0"/>
        <w:snapToGrid w:val="0"/>
        <w:spacing w:line="560" w:lineRule="exact"/>
        <w:ind w:firstLine="640" w:firstLineChars="200"/>
        <w:contextualSpacing w:val="0"/>
        <w:jc w:val="left"/>
        <w:rPr>
          <w:rFonts w:ascii="仿宋_GB2312" w:hAnsi="仿宋" w:eastAsia="仿宋_GB2312"/>
          <w:b/>
          <w:bCs/>
          <w:sz w:val="32"/>
          <w:szCs w:val="32"/>
          <w:lang w:val="zh-CN"/>
        </w:rPr>
      </w:pPr>
      <w:r>
        <w:rPr>
          <w:rFonts w:hint="eastAsia" w:ascii="黑体" w:hAnsi="黑体" w:eastAsia="黑体" w:cs="黑体"/>
          <w:b w:val="0"/>
          <w:bCs w:val="0"/>
          <w:sz w:val="32"/>
          <w:szCs w:val="32"/>
          <w:lang w:val="zh-CN"/>
        </w:rPr>
        <w:t>三、部门预算绩效分析</w:t>
      </w:r>
    </w:p>
    <w:p>
      <w:pPr>
        <w:widowControl/>
        <w:adjustRightInd w:val="0"/>
        <w:snapToGrid w:val="0"/>
        <w:spacing w:line="560" w:lineRule="exact"/>
        <w:ind w:firstLine="482" w:firstLineChars="200"/>
        <w:contextualSpacing/>
        <w:jc w:val="left"/>
        <w:rPr>
          <w:rFonts w:ascii="仿宋_GB2312" w:hAnsi="仿宋" w:eastAsia="仿宋_GB2312"/>
          <w:sz w:val="32"/>
          <w:szCs w:val="32"/>
          <w:lang w:val="zh-CN"/>
        </w:rPr>
      </w:pPr>
      <w:r>
        <w:rPr>
          <w:rFonts w:eastAsia="楷体_GB2312"/>
          <w:b/>
          <w:bCs/>
          <w:color w:val="000000"/>
          <w:kern w:val="0"/>
          <w:sz w:val="24"/>
          <w:shd w:val="clear" w:color="auto" w:fill="FFFFFF"/>
          <w:lang w:val="zh-CN"/>
        </w:rPr>
        <w:t>（</w:t>
      </w:r>
      <w:r>
        <w:rPr>
          <w:rFonts w:ascii="仿宋_GB2312" w:hAnsi="仿宋" w:eastAsia="仿宋_GB2312"/>
          <w:sz w:val="32"/>
          <w:szCs w:val="32"/>
          <w:lang w:val="zh-CN"/>
        </w:rPr>
        <w:t>一）</w:t>
      </w:r>
      <w:r>
        <w:rPr>
          <w:rFonts w:hint="eastAsia" w:ascii="仿宋_GB2312" w:hAnsi="仿宋" w:eastAsia="仿宋_GB2312"/>
          <w:b/>
          <w:bCs/>
          <w:sz w:val="32"/>
          <w:szCs w:val="32"/>
          <w:lang w:val="zh-CN"/>
        </w:rPr>
        <w:t>部门预算</w:t>
      </w:r>
      <w:r>
        <w:rPr>
          <w:rFonts w:ascii="仿宋_GB2312" w:hAnsi="仿宋" w:eastAsia="仿宋_GB2312"/>
          <w:b/>
          <w:bCs/>
          <w:sz w:val="32"/>
          <w:szCs w:val="32"/>
          <w:lang w:val="zh-CN"/>
        </w:rPr>
        <w:t>总体绩效分析</w:t>
      </w:r>
      <w:r>
        <w:rPr>
          <w:rFonts w:ascii="仿宋_GB2312" w:hAnsi="仿宋" w:eastAsia="仿宋_GB2312"/>
          <w:sz w:val="32"/>
          <w:szCs w:val="32"/>
          <w:lang w:val="zh-CN"/>
        </w:rPr>
        <w:t>。根据部门预算绩效评价指标体系“总体绩效”涉及</w:t>
      </w:r>
      <w:r>
        <w:rPr>
          <w:rFonts w:hint="eastAsia" w:ascii="仿宋_GB2312" w:hAnsi="仿宋" w:eastAsia="仿宋_GB2312"/>
          <w:sz w:val="32"/>
          <w:szCs w:val="32"/>
          <w:lang w:val="zh-CN"/>
        </w:rPr>
        <w:t>二、三级</w:t>
      </w:r>
      <w:r>
        <w:rPr>
          <w:rFonts w:ascii="仿宋_GB2312" w:hAnsi="仿宋" w:eastAsia="仿宋_GB2312"/>
          <w:sz w:val="32"/>
          <w:szCs w:val="32"/>
          <w:lang w:val="zh-CN"/>
        </w:rPr>
        <w:t>指标进行</w:t>
      </w:r>
      <w:r>
        <w:rPr>
          <w:rFonts w:hint="eastAsia" w:ascii="仿宋_GB2312" w:hAnsi="仿宋" w:eastAsia="仿宋_GB2312"/>
          <w:sz w:val="32"/>
          <w:szCs w:val="32"/>
          <w:lang w:val="zh-CN"/>
        </w:rPr>
        <w:t>逐项</w:t>
      </w:r>
      <w:r>
        <w:rPr>
          <w:rFonts w:ascii="仿宋_GB2312" w:hAnsi="仿宋" w:eastAsia="仿宋_GB2312"/>
          <w:sz w:val="32"/>
          <w:szCs w:val="32"/>
          <w:lang w:val="zh-CN"/>
        </w:rPr>
        <w:t>绩效分析</w:t>
      </w:r>
      <w:r>
        <w:rPr>
          <w:rFonts w:hint="eastAsia" w:ascii="仿宋_GB2312" w:hAnsi="仿宋" w:eastAsia="仿宋_GB2312"/>
          <w:sz w:val="32"/>
          <w:szCs w:val="32"/>
          <w:lang w:val="zh-CN"/>
        </w:rPr>
        <w:t>并评分</w:t>
      </w:r>
      <w:r>
        <w:rPr>
          <w:rFonts w:ascii="仿宋_GB2312" w:hAnsi="仿宋" w:eastAsia="仿宋_GB2312"/>
          <w:sz w:val="32"/>
          <w:szCs w:val="32"/>
          <w:lang w:val="zh-CN"/>
        </w:rPr>
        <w:t>，依次包括履职效能、预算管理、财务管理、资产管理、采购管理等情况。</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履职效能。</w:t>
      </w:r>
      <w:r>
        <w:rPr>
          <w:rFonts w:hint="eastAsia" w:ascii="仿宋_GB2312" w:hAnsi="仿宋" w:eastAsia="仿宋_GB2312"/>
          <w:sz w:val="32"/>
          <w:szCs w:val="32"/>
          <w:lang w:val="zh-CN"/>
        </w:rPr>
        <w:t>根据相关规定，制定绩效目标管理，规范资金使用，提升资金使用效益。严格支出控制、预算及时动态调整。我单位资金主要是人员经费、公用经费支出，学校制定的相关规章制度，对资金进行严格收支管理。</w:t>
      </w:r>
    </w:p>
    <w:p>
      <w:pPr>
        <w:widowControl/>
        <w:adjustRightInd/>
        <w:snapToGrid/>
        <w:spacing w:line="600" w:lineRule="exact"/>
        <w:ind w:firstLine="640" w:firstLineChars="0"/>
        <w:contextualSpacing w:val="0"/>
        <w:jc w:val="left"/>
        <w:rPr>
          <w:rFonts w:ascii="仿宋_GB2312" w:hAnsi="仿宋" w:eastAsia="仿宋_GB2312"/>
          <w:sz w:val="32"/>
          <w:szCs w:val="32"/>
        </w:rPr>
      </w:pPr>
      <w:r>
        <w:rPr>
          <w:rFonts w:hint="eastAsia" w:ascii="仿宋_GB2312" w:hAnsi="仿宋" w:eastAsia="仿宋_GB2312"/>
          <w:b/>
          <w:bCs/>
          <w:sz w:val="32"/>
          <w:szCs w:val="32"/>
        </w:rPr>
        <w:t>2.</w:t>
      </w:r>
      <w:r>
        <w:rPr>
          <w:rFonts w:ascii="仿宋_GB2312" w:hAnsi="仿宋" w:eastAsia="仿宋_GB2312"/>
          <w:b/>
          <w:bCs/>
          <w:sz w:val="32"/>
          <w:szCs w:val="32"/>
          <w:lang w:val="zh-CN"/>
        </w:rPr>
        <w:t>预算管理</w:t>
      </w:r>
      <w:r>
        <w:rPr>
          <w:rFonts w:hint="eastAsia" w:ascii="仿宋_GB2312" w:hAnsi="仿宋" w:eastAsia="仿宋_GB2312"/>
          <w:b/>
          <w:bCs/>
          <w:sz w:val="32"/>
          <w:szCs w:val="32"/>
          <w:lang w:val="zh-CN"/>
        </w:rPr>
        <w:t>。</w:t>
      </w:r>
      <w:r>
        <w:rPr>
          <w:rFonts w:hint="eastAsia" w:ascii="仿宋_GB2312" w:hAnsi="仿宋" w:eastAsia="仿宋_GB2312"/>
          <w:sz w:val="32"/>
          <w:szCs w:val="32"/>
          <w:lang w:val="zh-CN"/>
        </w:rPr>
        <w:t>2024年度</w:t>
      </w:r>
      <w:r>
        <w:rPr>
          <w:rFonts w:hint="eastAsia" w:ascii="仿宋_GB2312" w:hAnsi="仿宋" w:eastAsia="仿宋_GB2312"/>
          <w:sz w:val="32"/>
          <w:szCs w:val="32"/>
        </w:rPr>
        <w:t>预算</w:t>
      </w:r>
      <w:r>
        <w:rPr>
          <w:rFonts w:hint="eastAsia" w:ascii="仿宋_GB2312" w:hAnsi="仿宋" w:eastAsia="仿宋_GB2312"/>
          <w:sz w:val="32"/>
          <w:szCs w:val="32"/>
          <w:lang w:val="zh-CN"/>
        </w:rPr>
        <w:t>收、支总计均为</w:t>
      </w:r>
      <w:r>
        <w:rPr>
          <w:rFonts w:hint="eastAsia" w:ascii="仿宋_GB2312" w:hAnsi="仿宋" w:eastAsia="仿宋_GB2312"/>
          <w:sz w:val="32"/>
          <w:szCs w:val="32"/>
          <w:lang w:val="en-US" w:eastAsia="zh-CN"/>
        </w:rPr>
        <w:t>756</w:t>
      </w:r>
      <w:r>
        <w:rPr>
          <w:rFonts w:hint="eastAsia" w:ascii="仿宋_GB2312" w:hAnsi="仿宋" w:eastAsia="仿宋_GB2312"/>
          <w:sz w:val="32"/>
          <w:szCs w:val="32"/>
          <w:lang w:val="zh-CN"/>
        </w:rPr>
        <w:t>万元。与2023年度相比，收、</w:t>
      </w:r>
      <w:r>
        <w:rPr>
          <w:rFonts w:hint="eastAsia" w:ascii="仿宋_GB2312" w:hAnsi="仿宋" w:eastAsia="仿宋_GB2312"/>
          <w:sz w:val="32"/>
          <w:szCs w:val="32"/>
        </w:rPr>
        <w:t>支均增加了</w:t>
      </w:r>
      <w:r>
        <w:rPr>
          <w:rFonts w:hint="eastAsia" w:ascii="仿宋_GB2312" w:hAnsi="仿宋" w:eastAsia="仿宋_GB2312"/>
          <w:sz w:val="32"/>
          <w:szCs w:val="32"/>
          <w:lang w:val="en-US" w:eastAsia="zh-CN"/>
        </w:rPr>
        <w:t>133</w:t>
      </w:r>
      <w:r>
        <w:rPr>
          <w:rFonts w:hint="eastAsia" w:ascii="仿宋_GB2312" w:hAnsi="仿宋" w:eastAsia="仿宋_GB2312"/>
          <w:sz w:val="32"/>
          <w:szCs w:val="32"/>
        </w:rPr>
        <w:t>万元，增加</w:t>
      </w:r>
      <w:r>
        <w:rPr>
          <w:rFonts w:hint="eastAsia" w:ascii="仿宋_GB2312" w:hAnsi="仿宋" w:eastAsia="仿宋_GB2312"/>
          <w:sz w:val="32"/>
          <w:szCs w:val="32"/>
          <w:lang w:val="en-US" w:eastAsia="zh-CN"/>
        </w:rPr>
        <w:t>21</w:t>
      </w:r>
      <w:r>
        <w:rPr>
          <w:rFonts w:hint="eastAsia" w:ascii="仿宋_GB2312" w:hAnsi="仿宋" w:eastAsia="仿宋_GB2312"/>
          <w:sz w:val="32"/>
          <w:szCs w:val="32"/>
        </w:rPr>
        <w:t>%，</w:t>
      </w:r>
      <w:r>
        <w:rPr>
          <w:rFonts w:ascii="仿宋" w:hAnsi="仿宋" w:eastAsia="仿宋" w:cs="仿宋"/>
          <w:sz w:val="32"/>
        </w:rPr>
        <w:t>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r>
        <w:rPr>
          <w:rFonts w:hint="eastAsia" w:ascii="仿宋_GB2312" w:hAnsi="仿宋" w:eastAsia="仿宋_GB2312"/>
          <w:sz w:val="32"/>
          <w:szCs w:val="32"/>
        </w:rPr>
        <w:t>各项管理制度执行总体较为有效，需进一步强化，资金的使用和管理应进一步加强。</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3.</w:t>
      </w:r>
      <w:r>
        <w:rPr>
          <w:rFonts w:ascii="仿宋_GB2312" w:hAnsi="仿宋" w:eastAsia="仿宋_GB2312"/>
          <w:b/>
          <w:bCs/>
          <w:sz w:val="32"/>
          <w:szCs w:val="32"/>
          <w:lang w:val="zh-CN"/>
        </w:rPr>
        <w:t>财务管理</w:t>
      </w:r>
      <w:r>
        <w:rPr>
          <w:rFonts w:hint="eastAsia" w:ascii="仿宋_GB2312" w:hAnsi="仿宋" w:eastAsia="仿宋_GB2312"/>
          <w:b/>
          <w:bCs/>
          <w:sz w:val="32"/>
          <w:szCs w:val="32"/>
          <w:lang w:val="zh-CN"/>
        </w:rPr>
        <w:t>。</w:t>
      </w:r>
      <w:r>
        <w:rPr>
          <w:rFonts w:hint="eastAsia" w:ascii="仿宋_GB2312" w:hAnsi="仿宋" w:eastAsia="仿宋_GB2312"/>
          <w:sz w:val="32"/>
          <w:szCs w:val="32"/>
        </w:rPr>
        <w:t>制度了完善的</w:t>
      </w:r>
      <w:r>
        <w:rPr>
          <w:rFonts w:hint="eastAsia" w:ascii="仿宋_GB2312" w:hAnsi="仿宋" w:eastAsia="仿宋_GB2312"/>
          <w:sz w:val="32"/>
          <w:szCs w:val="32"/>
          <w:lang w:val="zh-CN"/>
        </w:rPr>
        <w:t>财务管理制度、财务岗位设置、</w:t>
      </w:r>
      <w:r>
        <w:rPr>
          <w:rFonts w:hint="eastAsia" w:ascii="仿宋_GB2312" w:hAnsi="仿宋" w:eastAsia="仿宋_GB2312"/>
          <w:sz w:val="32"/>
          <w:szCs w:val="32"/>
        </w:rPr>
        <w:t>规范了</w:t>
      </w:r>
      <w:r>
        <w:rPr>
          <w:rFonts w:hint="eastAsia" w:ascii="仿宋_GB2312" w:hAnsi="仿宋" w:eastAsia="仿宋_GB2312"/>
          <w:sz w:val="32"/>
          <w:szCs w:val="32"/>
          <w:lang w:val="zh-CN"/>
        </w:rPr>
        <w:t>资金使用。</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4.</w:t>
      </w:r>
      <w:r>
        <w:rPr>
          <w:rFonts w:ascii="仿宋_GB2312" w:hAnsi="仿宋" w:eastAsia="仿宋_GB2312"/>
          <w:b/>
          <w:bCs/>
          <w:sz w:val="32"/>
          <w:szCs w:val="32"/>
          <w:lang w:val="zh-CN"/>
        </w:rPr>
        <w:t>资产管理</w:t>
      </w:r>
      <w:r>
        <w:rPr>
          <w:rFonts w:hint="eastAsia" w:ascii="仿宋_GB2312" w:hAnsi="仿宋" w:eastAsia="仿宋_GB2312"/>
          <w:b/>
          <w:bCs/>
          <w:sz w:val="32"/>
          <w:szCs w:val="32"/>
          <w:lang w:val="zh-CN"/>
        </w:rPr>
        <w:t>。</w:t>
      </w:r>
      <w:r>
        <w:rPr>
          <w:rFonts w:hint="eastAsia" w:ascii="仿宋_GB2312" w:hAnsi="仿宋" w:eastAsia="仿宋_GB2312"/>
          <w:sz w:val="32"/>
          <w:szCs w:val="32"/>
        </w:rPr>
        <w:t>建立资产管理制度，定期进行资产盘点和资产清理，总体执行较好。</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5.</w:t>
      </w:r>
      <w:r>
        <w:rPr>
          <w:rFonts w:ascii="仿宋_GB2312" w:hAnsi="仿宋" w:eastAsia="仿宋_GB2312"/>
          <w:b/>
          <w:bCs/>
          <w:sz w:val="32"/>
          <w:szCs w:val="32"/>
          <w:lang w:val="zh-CN"/>
        </w:rPr>
        <w:t>采购管理</w:t>
      </w:r>
      <w:r>
        <w:rPr>
          <w:rFonts w:hint="eastAsia" w:ascii="仿宋_GB2312" w:hAnsi="仿宋" w:eastAsia="仿宋_GB2312"/>
          <w:b/>
          <w:bCs/>
          <w:sz w:val="32"/>
          <w:szCs w:val="32"/>
          <w:lang w:val="zh-CN"/>
        </w:rPr>
        <w:t>。</w:t>
      </w:r>
      <w:r>
        <w:rPr>
          <w:rFonts w:hint="eastAsia" w:ascii="仿宋_GB2312" w:hAnsi="仿宋" w:eastAsia="仿宋_GB2312"/>
          <w:sz w:val="32"/>
          <w:szCs w:val="32"/>
        </w:rPr>
        <w:t>建立学校采购管理制度，做好物品入库、领取台账，总体执行较好。</w:t>
      </w:r>
    </w:p>
    <w:p>
      <w:pPr>
        <w:widowControl/>
        <w:adjustRightInd w:val="0"/>
        <w:snapToGrid w:val="0"/>
        <w:spacing w:line="560" w:lineRule="exact"/>
        <w:ind w:firstLine="643" w:firstLineChars="200"/>
        <w:contextualSpacing/>
        <w:jc w:val="left"/>
        <w:rPr>
          <w:rFonts w:ascii="仿宋_GB2312" w:hAnsi="仿宋" w:eastAsia="仿宋_GB2312"/>
          <w:b/>
          <w:bCs/>
          <w:sz w:val="32"/>
          <w:szCs w:val="32"/>
        </w:rPr>
      </w:pPr>
      <w:r>
        <w:rPr>
          <w:rFonts w:ascii="仿宋_GB2312" w:hAnsi="仿宋" w:eastAsia="仿宋_GB2312"/>
          <w:b/>
          <w:bCs/>
          <w:sz w:val="32"/>
          <w:szCs w:val="32"/>
          <w:lang w:val="zh-CN"/>
        </w:rPr>
        <w:t>（二）部门预算项目绩效分析</w:t>
      </w:r>
      <w:r>
        <w:rPr>
          <w:rFonts w:hint="eastAsia" w:ascii="仿宋_GB2312" w:hAnsi="仿宋" w:eastAsia="仿宋_GB2312"/>
          <w:b/>
          <w:bCs/>
          <w:sz w:val="32"/>
          <w:szCs w:val="32"/>
          <w:lang w:val="zh-CN"/>
        </w:rPr>
        <w:t>：</w:t>
      </w:r>
    </w:p>
    <w:p>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ascii="仿宋_GB2312" w:hAnsi="仿宋" w:eastAsia="仿宋_GB2312"/>
          <w:b/>
          <w:bCs/>
          <w:sz w:val="32"/>
          <w:szCs w:val="32"/>
        </w:rPr>
        <w:t>常年项目绩效分析</w:t>
      </w:r>
      <w:r>
        <w:rPr>
          <w:rFonts w:hint="eastAsia" w:ascii="仿宋_GB2312" w:hAnsi="仿宋" w:eastAsia="仿宋_GB2312"/>
          <w:b/>
          <w:bCs/>
          <w:sz w:val="32"/>
          <w:szCs w:val="32"/>
        </w:rPr>
        <w:t>：</w:t>
      </w:r>
      <w:r>
        <w:rPr>
          <w:rFonts w:ascii="仿宋_GB2312" w:hAnsi="仿宋" w:eastAsia="仿宋_GB2312"/>
          <w:sz w:val="32"/>
          <w:szCs w:val="32"/>
          <w:lang w:val="zh-CN"/>
        </w:rPr>
        <w:t>该类项目总数</w:t>
      </w:r>
      <w:r>
        <w:rPr>
          <w:rFonts w:ascii="仿宋_GB2312" w:hAnsi="仿宋" w:eastAsia="仿宋_GB2312"/>
          <w:sz w:val="32"/>
          <w:szCs w:val="32"/>
        </w:rPr>
        <w:t xml:space="preserve"> </w:t>
      </w:r>
      <w:r>
        <w:rPr>
          <w:rFonts w:hint="eastAsia" w:ascii="仿宋_GB2312" w:hAnsi="仿宋" w:eastAsia="仿宋_GB2312"/>
          <w:sz w:val="32"/>
          <w:szCs w:val="32"/>
          <w:lang w:val="en-US" w:eastAsia="zh-CN"/>
        </w:rPr>
        <w:t>4</w:t>
      </w:r>
      <w:r>
        <w:rPr>
          <w:rFonts w:ascii="仿宋_GB2312" w:hAnsi="仿宋" w:eastAsia="仿宋_GB2312"/>
          <w:sz w:val="32"/>
          <w:szCs w:val="32"/>
          <w:lang w:val="zh-CN"/>
        </w:rPr>
        <w:t>个，涉及预算总金额</w:t>
      </w:r>
      <w:r>
        <w:rPr>
          <w:rFonts w:hint="eastAsia" w:ascii="仿宋_GB2312" w:hAnsi="仿宋" w:eastAsia="仿宋_GB2312"/>
          <w:sz w:val="32"/>
          <w:szCs w:val="32"/>
          <w:lang w:val="en-US" w:eastAsia="zh-CN"/>
        </w:rPr>
        <w:t>11.64</w:t>
      </w:r>
      <w:r>
        <w:rPr>
          <w:rFonts w:ascii="仿宋_GB2312" w:hAnsi="仿宋" w:eastAsia="仿宋_GB2312"/>
          <w:sz w:val="32"/>
          <w:szCs w:val="32"/>
          <w:lang w:val="zh-CN"/>
        </w:rPr>
        <w:t>万元，1</w:t>
      </w:r>
      <w:r>
        <w:rPr>
          <w:rFonts w:hint="eastAsia" w:ascii="仿宋_GB2312" w:hAnsi="仿宋" w:eastAsia="仿宋_GB2312"/>
          <w:sz w:val="32"/>
          <w:szCs w:val="32"/>
          <w:lang w:val="zh-CN"/>
        </w:rPr>
        <w:t>—</w:t>
      </w:r>
      <w:r>
        <w:rPr>
          <w:rFonts w:ascii="仿宋_GB2312" w:hAnsi="仿宋" w:eastAsia="仿宋_GB2312"/>
          <w:sz w:val="32"/>
          <w:szCs w:val="32"/>
          <w:lang w:val="zh-CN"/>
        </w:rPr>
        <w:t>1</w:t>
      </w:r>
      <w:r>
        <w:rPr>
          <w:rFonts w:ascii="仿宋_GB2312" w:hAnsi="仿宋" w:eastAsia="仿宋_GB2312"/>
          <w:sz w:val="32"/>
          <w:szCs w:val="32"/>
        </w:rPr>
        <w:t>2</w:t>
      </w:r>
      <w:r>
        <w:rPr>
          <w:rFonts w:ascii="仿宋_GB2312" w:hAnsi="仿宋" w:eastAsia="仿宋_GB2312"/>
          <w:sz w:val="32"/>
          <w:szCs w:val="32"/>
          <w:lang w:val="zh-CN"/>
        </w:rPr>
        <w:t>月预算执行总体进度为</w:t>
      </w:r>
      <w:r>
        <w:rPr>
          <w:rFonts w:hint="eastAsia" w:ascii="仿宋_GB2312" w:hAnsi="仿宋" w:eastAsia="仿宋_GB2312"/>
          <w:sz w:val="32"/>
          <w:szCs w:val="32"/>
        </w:rPr>
        <w:t>100</w:t>
      </w:r>
      <w:r>
        <w:rPr>
          <w:rFonts w:ascii="仿宋_GB2312" w:hAnsi="仿宋" w:eastAsia="仿宋_GB2312"/>
          <w:sz w:val="32"/>
          <w:szCs w:val="32"/>
          <w:lang w:val="zh-CN"/>
        </w:rPr>
        <w:t>%。</w:t>
      </w:r>
    </w:p>
    <w:p>
      <w:pPr>
        <w:widowControl/>
        <w:adjustRightInd w:val="0"/>
        <w:snapToGrid w:val="0"/>
        <w:spacing w:line="560" w:lineRule="exact"/>
        <w:ind w:firstLine="640" w:firstLineChars="200"/>
        <w:contextualSpacing/>
        <w:jc w:val="left"/>
        <w:rPr>
          <w:rFonts w:ascii="仿宋_GB2312" w:hAnsi="仿宋" w:eastAsia="仿宋_GB2312"/>
          <w:sz w:val="32"/>
          <w:szCs w:val="32"/>
          <w:lang w:val="zh-CN"/>
        </w:rPr>
      </w:pPr>
      <w:r>
        <w:rPr>
          <w:rFonts w:ascii="仿宋_GB2312" w:hAnsi="仿宋" w:eastAsia="仿宋_GB2312"/>
          <w:sz w:val="32"/>
          <w:szCs w:val="32"/>
        </w:rPr>
        <w:t>阶段</w:t>
      </w:r>
      <w:r>
        <w:rPr>
          <w:rFonts w:hint="eastAsia" w:ascii="仿宋_GB2312" w:hAnsi="仿宋" w:eastAsia="仿宋_GB2312"/>
          <w:sz w:val="32"/>
          <w:szCs w:val="32"/>
        </w:rPr>
        <w:t>（</w:t>
      </w:r>
      <w:r>
        <w:rPr>
          <w:rFonts w:ascii="仿宋_GB2312" w:hAnsi="仿宋" w:eastAsia="仿宋_GB2312"/>
          <w:sz w:val="32"/>
          <w:szCs w:val="32"/>
        </w:rPr>
        <w:t>一次性</w:t>
      </w:r>
      <w:r>
        <w:rPr>
          <w:rFonts w:hint="eastAsia" w:ascii="仿宋_GB2312" w:hAnsi="仿宋" w:eastAsia="仿宋_GB2312"/>
          <w:sz w:val="32"/>
          <w:szCs w:val="32"/>
        </w:rPr>
        <w:t>）</w:t>
      </w:r>
      <w:r>
        <w:rPr>
          <w:rFonts w:ascii="仿宋_GB2312" w:hAnsi="仿宋" w:eastAsia="仿宋_GB2312"/>
          <w:sz w:val="32"/>
          <w:szCs w:val="32"/>
        </w:rPr>
        <w:t>项目绩效分析。</w:t>
      </w:r>
      <w:r>
        <w:rPr>
          <w:rFonts w:ascii="仿宋_GB2312" w:hAnsi="仿宋" w:eastAsia="仿宋_GB2312"/>
          <w:sz w:val="32"/>
          <w:szCs w:val="32"/>
          <w:lang w:val="zh-CN"/>
        </w:rPr>
        <w:t>该类项目总数</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rPr>
        <w:t xml:space="preserve"> </w:t>
      </w:r>
      <w:r>
        <w:rPr>
          <w:rFonts w:ascii="仿宋_GB2312" w:hAnsi="仿宋" w:eastAsia="仿宋_GB2312"/>
          <w:sz w:val="32"/>
          <w:szCs w:val="32"/>
          <w:lang w:val="zh-CN"/>
        </w:rPr>
        <w:t>个，涉及预算总金额</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rPr>
        <w:t xml:space="preserve"> </w:t>
      </w:r>
      <w:r>
        <w:rPr>
          <w:rFonts w:ascii="仿宋_GB2312" w:hAnsi="仿宋" w:eastAsia="仿宋_GB2312"/>
          <w:sz w:val="32"/>
          <w:szCs w:val="32"/>
          <w:lang w:val="zh-CN"/>
        </w:rPr>
        <w:t>万元，1</w:t>
      </w:r>
      <w:r>
        <w:rPr>
          <w:rFonts w:hint="eastAsia" w:ascii="仿宋_GB2312" w:hAnsi="仿宋" w:eastAsia="仿宋_GB2312"/>
          <w:sz w:val="32"/>
          <w:szCs w:val="32"/>
          <w:lang w:val="zh-CN"/>
        </w:rPr>
        <w:t>—</w:t>
      </w:r>
      <w:r>
        <w:rPr>
          <w:rFonts w:ascii="仿宋_GB2312" w:hAnsi="仿宋" w:eastAsia="仿宋_GB2312"/>
          <w:sz w:val="32"/>
          <w:szCs w:val="32"/>
          <w:lang w:val="zh-CN"/>
        </w:rPr>
        <w:t>1</w:t>
      </w:r>
      <w:r>
        <w:rPr>
          <w:rFonts w:ascii="仿宋_GB2312" w:hAnsi="仿宋" w:eastAsia="仿宋_GB2312"/>
          <w:sz w:val="32"/>
          <w:szCs w:val="32"/>
        </w:rPr>
        <w:t>2</w:t>
      </w:r>
      <w:r>
        <w:rPr>
          <w:rFonts w:ascii="仿宋_GB2312" w:hAnsi="仿宋" w:eastAsia="仿宋_GB2312"/>
          <w:sz w:val="32"/>
          <w:szCs w:val="32"/>
          <w:lang w:val="zh-CN"/>
        </w:rPr>
        <w:t>月预算执行总体进度为</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lang w:val="zh-CN"/>
        </w:rPr>
        <w:t>%，其中：预算结余率大于</w:t>
      </w:r>
      <w:r>
        <w:rPr>
          <w:rFonts w:ascii="仿宋_GB2312" w:hAnsi="仿宋" w:eastAsia="仿宋_GB2312"/>
          <w:sz w:val="32"/>
          <w:szCs w:val="32"/>
        </w:rPr>
        <w:t>10%</w:t>
      </w:r>
      <w:r>
        <w:rPr>
          <w:rFonts w:ascii="仿宋_GB2312" w:hAnsi="仿宋" w:eastAsia="仿宋_GB2312"/>
          <w:sz w:val="32"/>
          <w:szCs w:val="32"/>
          <w:lang w:val="zh-CN"/>
        </w:rPr>
        <w:t>的项目共计</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lang w:val="zh-CN"/>
        </w:rPr>
        <w:t>个。</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项目决策。</w:t>
      </w:r>
      <w:r>
        <w:rPr>
          <w:rFonts w:hint="eastAsia" w:ascii="仿宋_GB2312" w:hAnsi="仿宋" w:eastAsia="仿宋_GB2312"/>
          <w:sz w:val="32"/>
          <w:szCs w:val="32"/>
          <w:lang w:val="zh-CN"/>
        </w:rPr>
        <w:t>围绕决策程序、目标设置、项目入库</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2.项目执行</w:t>
      </w:r>
      <w:r>
        <w:rPr>
          <w:rFonts w:hint="eastAsia" w:ascii="仿宋_GB2312" w:hAnsi="仿宋" w:eastAsia="仿宋_GB2312"/>
          <w:b/>
          <w:bCs/>
          <w:sz w:val="32"/>
          <w:szCs w:val="32"/>
          <w:lang w:val="zh-CN"/>
        </w:rPr>
        <w:t>。</w:t>
      </w:r>
      <w:r>
        <w:rPr>
          <w:rFonts w:hint="eastAsia" w:ascii="仿宋_GB2312" w:hAnsi="仿宋" w:eastAsia="仿宋_GB2312"/>
          <w:sz w:val="32"/>
          <w:szCs w:val="32"/>
          <w:lang w:val="zh-CN"/>
        </w:rPr>
        <w:t>围绕资金执行同向、项目调整、执行结果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3.</w:t>
      </w:r>
      <w:r>
        <w:rPr>
          <w:rFonts w:hint="eastAsia" w:ascii="仿宋_GB2312" w:hAnsi="仿宋" w:eastAsia="仿宋_GB2312"/>
          <w:b/>
          <w:bCs/>
          <w:sz w:val="32"/>
          <w:szCs w:val="32"/>
          <w:lang w:val="zh-CN"/>
        </w:rPr>
        <w:t>目标实现。</w:t>
      </w:r>
      <w:r>
        <w:rPr>
          <w:rFonts w:hint="eastAsia" w:ascii="仿宋_GB2312" w:hAnsi="仿宋" w:eastAsia="仿宋_GB2312"/>
          <w:sz w:val="32"/>
          <w:szCs w:val="32"/>
          <w:lang w:val="zh-CN"/>
        </w:rPr>
        <w:t>围绕目标完成、目标偏离、实现效果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）重点领域绩效分析</w:t>
      </w:r>
      <w:r>
        <w:rPr>
          <w:rFonts w:ascii="仿宋_GB2312" w:hAnsi="仿宋" w:eastAsia="仿宋_GB2312"/>
          <w:sz w:val="32"/>
          <w:szCs w:val="32"/>
          <w:lang w:val="zh-CN"/>
        </w:rPr>
        <w:t>。</w:t>
      </w:r>
      <w:r>
        <w:rPr>
          <w:rFonts w:hint="eastAsia" w:ascii="仿宋_GB2312" w:hAnsi="仿宋" w:eastAsia="仿宋_GB2312"/>
          <w:sz w:val="32"/>
          <w:szCs w:val="32"/>
        </w:rPr>
        <w:t>无</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ascii="仿宋_GB2312" w:hAnsi="仿宋" w:eastAsia="仿宋_GB2312"/>
          <w:b/>
          <w:bCs/>
          <w:sz w:val="32"/>
          <w:szCs w:val="32"/>
          <w:lang w:val="zh-CN"/>
        </w:rPr>
        <w:t>（四）绩效结果应用情况</w:t>
      </w:r>
      <w:r>
        <w:rPr>
          <w:rFonts w:hint="eastAsia" w:ascii="仿宋_GB2312" w:hAnsi="仿宋" w:eastAsia="仿宋_GB2312"/>
          <w:sz w:val="32"/>
          <w:szCs w:val="32"/>
          <w:lang w:val="zh-CN"/>
        </w:rPr>
        <w:t>。</w:t>
      </w: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遂宁市安居区</w:t>
      </w:r>
      <w:r>
        <w:rPr>
          <w:rFonts w:hint="eastAsia" w:ascii="仿宋_GB2312" w:hAnsi="仿宋" w:eastAsia="仿宋_GB2312" w:cs="Times New Roman"/>
          <w:sz w:val="32"/>
          <w:szCs w:val="32"/>
          <w:lang w:eastAsia="zh-CN"/>
        </w:rPr>
        <w:t>安居镇安平</w:t>
      </w:r>
      <w:r>
        <w:rPr>
          <w:rFonts w:hint="eastAsia" w:ascii="仿宋_GB2312" w:hAnsi="仿宋" w:eastAsia="仿宋_GB2312" w:cs="Times New Roman"/>
          <w:sz w:val="32"/>
          <w:szCs w:val="32"/>
        </w:rPr>
        <w:t>小学校认真履职尽责，认真完成项目任务，所有项目均开展绩效评价，评价效果良好，对于财政预算资金多次接受省、市、区的检查，所有资金的支出，接受财政部门的监督管理，圆满完成2024年的目标任务。</w:t>
      </w:r>
    </w:p>
    <w:p>
      <w:pPr>
        <w:widowControl/>
        <w:adjustRightInd w:val="0"/>
        <w:snapToGrid w:val="0"/>
        <w:spacing w:line="560" w:lineRule="exact"/>
        <w:ind w:firstLine="640" w:firstLineChars="200"/>
        <w:contextualSpacing w:val="0"/>
        <w:jc w:val="left"/>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四、评价结论及建议</w:t>
      </w:r>
    </w:p>
    <w:p>
      <w:pPr>
        <w:widowControl/>
        <w:adjustRightInd w:val="0"/>
        <w:snapToGrid w:val="0"/>
        <w:spacing w:line="560" w:lineRule="exact"/>
        <w:ind w:firstLine="643" w:firstLineChars="200"/>
        <w:contextualSpacing/>
        <w:jc w:val="left"/>
        <w:rPr>
          <w:rFonts w:hint="default" w:ascii="仿宋_GB2312" w:hAnsi="仿宋" w:eastAsia="仿宋_GB2312" w:cs="Times New Roman"/>
          <w:b/>
          <w:bCs/>
          <w:sz w:val="32"/>
          <w:szCs w:val="32"/>
          <w:lang w:val="zh-CN"/>
        </w:rPr>
      </w:pPr>
      <w:r>
        <w:rPr>
          <w:rFonts w:hint="default" w:ascii="仿宋_GB2312" w:hAnsi="仿宋" w:eastAsia="仿宋_GB2312" w:cs="Times New Roman"/>
          <w:b/>
          <w:bCs/>
          <w:sz w:val="32"/>
          <w:szCs w:val="32"/>
          <w:lang w:val="zh-CN"/>
        </w:rPr>
        <w:t>（一）评价结论</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hint="default" w:ascii="仿宋_GB2312" w:hAnsi="仿宋" w:eastAsia="仿宋_GB2312" w:cs="Times New Roman"/>
          <w:b/>
          <w:bCs/>
          <w:sz w:val="32"/>
          <w:szCs w:val="32"/>
          <w:lang w:val="zh-CN" w:eastAsia="zh-CN"/>
        </w:rPr>
        <w:t>（二）</w:t>
      </w:r>
      <w:r>
        <w:rPr>
          <w:rFonts w:hint="default" w:ascii="仿宋_GB2312" w:hAnsi="仿宋" w:eastAsia="仿宋_GB2312" w:cs="Times New Roman"/>
          <w:b/>
          <w:bCs/>
          <w:sz w:val="32"/>
          <w:szCs w:val="32"/>
          <w:lang w:val="zh-CN"/>
        </w:rPr>
        <w:t>存在问题</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人口下降，出生率降低，同时学校收入在减少。</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hint="default" w:ascii="仿宋_GB2312" w:hAnsi="仿宋" w:eastAsia="仿宋_GB2312" w:cs="Times New Roman"/>
          <w:b/>
          <w:bCs/>
          <w:sz w:val="32"/>
          <w:szCs w:val="32"/>
          <w:lang w:val="zh-CN"/>
        </w:rPr>
        <w:t>（</w:t>
      </w:r>
      <w:r>
        <w:rPr>
          <w:rFonts w:hint="default" w:ascii="仿宋_GB2312" w:hAnsi="仿宋" w:eastAsia="仿宋_GB2312" w:cs="Times New Roman"/>
          <w:b/>
          <w:bCs/>
          <w:sz w:val="32"/>
          <w:szCs w:val="32"/>
          <w:lang w:val="zh-CN" w:eastAsia="zh-CN"/>
        </w:rPr>
        <w:t>三</w:t>
      </w:r>
      <w:r>
        <w:rPr>
          <w:rFonts w:hint="default" w:ascii="仿宋_GB2312" w:hAnsi="仿宋" w:eastAsia="仿宋_GB2312" w:cs="Times New Roman"/>
          <w:b/>
          <w:bCs/>
          <w:sz w:val="32"/>
          <w:szCs w:val="32"/>
          <w:lang w:val="zh-CN"/>
        </w:rPr>
        <w:t>）改进建议</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pPr>
        <w:pStyle w:val="3"/>
        <w:keepNext w:val="0"/>
        <w:keepLines w:val="0"/>
        <w:pageBreakBefore w:val="0"/>
        <w:numPr>
          <w:ilvl w:val="0"/>
          <w:numId w:val="0"/>
        </w:numPr>
        <w:kinsoku/>
        <w:wordWrap/>
        <w:overflowPunct/>
        <w:topLinePunct w:val="0"/>
        <w:autoSpaceDE/>
        <w:autoSpaceDN/>
        <w:bidi w:val="0"/>
        <w:spacing w:before="469" w:beforeLines="150"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widowControl/>
        <w:numPr>
          <w:ilvl w:val="-1"/>
          <w:numId w:val="0"/>
        </w:numPr>
        <w:adjustRightInd w:val="0"/>
        <w:snapToGrid w:val="0"/>
        <w:spacing w:line="560" w:lineRule="exact"/>
        <w:ind w:firstLine="1600" w:firstLineChars="500"/>
        <w:jc w:val="left"/>
        <w:outlineLvl w:val="9"/>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tbl>
      <w:tblPr>
        <w:tblStyle w:val="15"/>
        <w:tblW w:w="5096" w:type="pct"/>
        <w:jc w:val="center"/>
        <w:tblLayout w:type="autofit"/>
        <w:tblCellMar>
          <w:top w:w="0" w:type="dxa"/>
          <w:left w:w="108" w:type="dxa"/>
          <w:bottom w:w="0" w:type="dxa"/>
          <w:right w:w="108" w:type="dxa"/>
        </w:tblCellMar>
      </w:tblPr>
      <w:tblGrid>
        <w:gridCol w:w="699"/>
        <w:gridCol w:w="710"/>
        <w:gridCol w:w="1125"/>
        <w:gridCol w:w="456"/>
        <w:gridCol w:w="1345"/>
        <w:gridCol w:w="3061"/>
        <w:gridCol w:w="585"/>
        <w:gridCol w:w="705"/>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noWrap w:val="0"/>
            <w:vAlign w:val="center"/>
          </w:tcPr>
          <w:p>
            <w:pPr>
              <w:ind w:firstLine="1280" w:firstLineChars="400"/>
              <w:rPr>
                <w:rFonts w:hint="eastAsia" w:eastAsia="黑体" w:cs="黑体"/>
                <w:kern w:val="0"/>
                <w:sz w:val="32"/>
                <w:szCs w:val="32"/>
                <w:shd w:val="clear" w:color="auto" w:fill="FFFFFF"/>
                <w:lang w:val="zh-CN"/>
              </w:rPr>
            </w:pPr>
          </w:p>
          <w:p>
            <w:pPr>
              <w:pStyle w:val="2"/>
              <w:rPr>
                <w:rFonts w:hint="eastAsia" w:eastAsia="黑体" w:cs="黑体"/>
                <w:kern w:val="0"/>
                <w:sz w:val="32"/>
                <w:szCs w:val="32"/>
                <w:shd w:val="clear" w:color="auto" w:fill="FFFFFF"/>
                <w:lang w:val="zh-CN"/>
              </w:rPr>
            </w:pPr>
          </w:p>
          <w:p>
            <w:pPr>
              <w:pStyle w:val="3"/>
              <w:rPr>
                <w:rFonts w:hint="eastAsia" w:eastAsia="黑体" w:cs="黑体"/>
                <w:kern w:val="0"/>
                <w:sz w:val="32"/>
                <w:szCs w:val="32"/>
                <w:shd w:val="clear" w:color="auto" w:fill="FFFFFF"/>
                <w:lang w:val="zh-CN"/>
              </w:rPr>
            </w:pPr>
          </w:p>
          <w:p>
            <w:pPr>
              <w:pStyle w:val="3"/>
              <w:rPr>
                <w:rFonts w:hint="eastAsia" w:eastAsia="黑体" w:cs="黑体"/>
                <w:kern w:val="0"/>
                <w:sz w:val="32"/>
                <w:szCs w:val="32"/>
                <w:shd w:val="clear" w:color="auto" w:fill="FFFFFF"/>
                <w:lang w:val="zh-CN"/>
              </w:rPr>
            </w:pPr>
          </w:p>
          <w:p>
            <w:pPr>
              <w:pStyle w:val="3"/>
              <w:rPr>
                <w:rFonts w:hint="eastAsia" w:eastAsia="黑体" w:cs="黑体"/>
                <w:kern w:val="0"/>
                <w:sz w:val="32"/>
                <w:szCs w:val="32"/>
                <w:shd w:val="clear" w:color="auto" w:fill="FFFFFF"/>
                <w:lang w:val="zh-CN"/>
              </w:rPr>
            </w:pPr>
          </w:p>
          <w:p>
            <w:pPr>
              <w:pStyle w:val="3"/>
              <w:ind w:left="0" w:leftChars="0" w:firstLine="0" w:firstLineChars="0"/>
              <w:rPr>
                <w:rFonts w:hint="eastAsia" w:eastAsia="黑体" w:cs="黑体"/>
                <w:kern w:val="0"/>
                <w:sz w:val="32"/>
                <w:szCs w:val="32"/>
                <w:shd w:val="clear" w:color="auto" w:fill="FFFFFF"/>
                <w:lang w:val="zh-CN"/>
              </w:rPr>
            </w:pPr>
          </w:p>
          <w:p>
            <w:pPr>
              <w:ind w:firstLine="1280" w:firstLineChars="400"/>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721"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7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6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37"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404"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02"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09"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47"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2"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37"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404"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402"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09"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4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2"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74"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62"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37"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4"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37"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40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37"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40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37"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40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62"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37"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40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2"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74"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62"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3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0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3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62"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503"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2"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4"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62"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37"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2"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4"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62"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37"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402"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0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4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2"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4"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62"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62"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62"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402"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09"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02"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09"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0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37"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45"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5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4"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37"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5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62"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3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0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9"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2"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74"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62"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7"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404"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spacing w:line="600" w:lineRule="exact"/>
        <w:ind w:firstLine="1600" w:firstLineChars="500"/>
        <w:jc w:val="left"/>
        <w:outlineLvl w:val="0"/>
        <w:rPr>
          <w:rFonts w:hint="eastAsia" w:ascii="黑体" w:hAnsi="黑体" w:eastAsia="黑体" w:cs="黑体"/>
          <w:sz w:val="32"/>
          <w:szCs w:val="32"/>
        </w:rPr>
      </w:pPr>
    </w:p>
    <w:tbl>
      <w:tblPr>
        <w:tblStyle w:val="15"/>
        <w:tblpPr w:leftFromText="180" w:rightFromText="180" w:vertAnchor="text" w:tblpY="1"/>
        <w:tblOverlap w:val="never"/>
        <w:tblW w:w="8610" w:type="dxa"/>
        <w:tblInd w:w="0" w:type="dxa"/>
        <w:tblLayout w:type="fixed"/>
        <w:tblCellMar>
          <w:top w:w="0" w:type="dxa"/>
          <w:left w:w="108" w:type="dxa"/>
          <w:bottom w:w="0" w:type="dxa"/>
          <w:right w:w="108" w:type="dxa"/>
        </w:tblCellMar>
      </w:tblPr>
      <w:tblGrid>
        <w:gridCol w:w="677"/>
        <w:gridCol w:w="1023"/>
        <w:gridCol w:w="908"/>
        <w:gridCol w:w="852"/>
        <w:gridCol w:w="768"/>
        <w:gridCol w:w="775"/>
        <w:gridCol w:w="796"/>
        <w:gridCol w:w="846"/>
        <w:gridCol w:w="517"/>
        <w:gridCol w:w="497"/>
        <w:gridCol w:w="951"/>
      </w:tblGrid>
      <w:tr>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ascii="黑体" w:hAnsi="黑体" w:eastAsia="黑体" w:cs="宋体"/>
                <w:b/>
                <w:bCs/>
                <w:color w:val="000000"/>
                <w:kern w:val="0"/>
                <w:sz w:val="30"/>
                <w:szCs w:val="30"/>
              </w:rPr>
              <w:t>4</w:t>
            </w:r>
            <w:r>
              <w:rPr>
                <w:rFonts w:hint="eastAsia" w:ascii="黑体" w:hAnsi="黑体" w:eastAsia="黑体" w:cs="宋体"/>
                <w:b/>
                <w:bCs/>
                <w:color w:val="000000"/>
                <w:kern w:val="0"/>
                <w:sz w:val="30"/>
                <w:szCs w:val="30"/>
              </w:rPr>
              <w:t>年度）</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遂宁市安居区安居镇安平小学校部门</w:t>
            </w:r>
          </w:p>
        </w:tc>
        <w:tc>
          <w:tcPr>
            <w:tcW w:w="846" w:type="dxa"/>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实施单位</w:t>
            </w: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（盖章）</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center"/>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保障了学校家庭经济困难学生正常入学，减轻其家庭经济负担。</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保障了学校家庭经济困难学生正常入学，减轻其家庭经济负担。</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1.47</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1.47</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r>
              <w:rPr>
                <w:rFonts w:hint="eastAsia"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1.47</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1.47</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0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950"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7"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50"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绩效目标实现指标自评得分100.00分，自评等次为：优，严格执行相关政策，按要求支付，切实提高扶贫成效。</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因留守儿童多，父母外出务工，爷爷奶奶对银行卡记录不熟习，对自己孩子享有的助学金额不清楚。</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进一步加强教育资助政策宣传及资助情况的反馈公示。</w:t>
            </w:r>
          </w:p>
        </w:tc>
      </w:tr>
      <w:tr>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财务负责人：奉勇</w:t>
            </w:r>
          </w:p>
        </w:tc>
      </w:tr>
      <w:tr>
        <w:tblPrEx>
          <w:tblCellMar>
            <w:top w:w="0" w:type="dxa"/>
            <w:left w:w="108" w:type="dxa"/>
            <w:bottom w:w="0" w:type="dxa"/>
            <w:right w:w="108" w:type="dxa"/>
          </w:tblCellMar>
        </w:tblPrEx>
        <w:trPr>
          <w:trHeight w:val="480" w:hRule="atLeast"/>
        </w:trPr>
        <w:tc>
          <w:tcPr>
            <w:tcW w:w="67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p>
            <w:pPr>
              <w:widowControl/>
              <w:jc w:val="left"/>
              <w:rPr>
                <w:rFonts w:ascii="宋体" w:hAnsi="宋体" w:cs="宋体"/>
                <w:kern w:val="0"/>
                <w:sz w:val="18"/>
                <w:szCs w:val="18"/>
              </w:rPr>
            </w:pPr>
          </w:p>
        </w:tc>
        <w:tc>
          <w:tcPr>
            <w:tcW w:w="90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5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68"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5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ascii="黑体" w:hAnsi="黑体" w:eastAsia="黑体" w:cs="宋体"/>
                <w:b/>
                <w:bCs/>
                <w:color w:val="000000"/>
                <w:kern w:val="0"/>
                <w:sz w:val="30"/>
                <w:szCs w:val="30"/>
              </w:rPr>
              <w:t>4</w:t>
            </w:r>
            <w:r>
              <w:rPr>
                <w:rFonts w:hint="eastAsia" w:ascii="黑体" w:hAnsi="黑体" w:eastAsia="黑体" w:cs="宋体"/>
                <w:b/>
                <w:bCs/>
                <w:color w:val="000000"/>
                <w:kern w:val="0"/>
                <w:sz w:val="30"/>
                <w:szCs w:val="30"/>
              </w:rPr>
              <w:t>年度）</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遂宁市安居区安居镇安平小学校部门</w:t>
            </w:r>
          </w:p>
        </w:tc>
        <w:tc>
          <w:tcPr>
            <w:tcW w:w="846" w:type="dxa"/>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实施单位</w:t>
            </w: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（盖章）</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center"/>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促进附设幼儿园健康发展，提高预算编制质量，</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严格执行预算，减少结余资金。</w:t>
            </w: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严格执行预算，及时申请支付资金，促进附设幼儿园健康发展。</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及时申报经费，促进附设幼儿园健康发展。</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0.75</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0.75</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r>
              <w:rPr>
                <w:rFonts w:hint="eastAsia"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0.75</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0.75</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0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950"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7"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50"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绩效目标实现指标自评得分100.00分，自评等次为：优，严格执行相关政策，按要求支付，促进附设幼儿园健康发展。</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建设进度与申报资金计划不一致。</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按需申报资金、及时发放。</w:t>
            </w:r>
          </w:p>
        </w:tc>
      </w:tr>
      <w:tr>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财务负责人：奉勇</w:t>
            </w:r>
          </w:p>
        </w:tc>
      </w:tr>
      <w:tr>
        <w:tblPrEx>
          <w:tblCellMar>
            <w:top w:w="0" w:type="dxa"/>
            <w:left w:w="108" w:type="dxa"/>
            <w:bottom w:w="0" w:type="dxa"/>
            <w:right w:w="108" w:type="dxa"/>
          </w:tblCellMar>
        </w:tblPrEx>
        <w:trPr>
          <w:trHeight w:val="480" w:hRule="atLeast"/>
        </w:trPr>
        <w:tc>
          <w:tcPr>
            <w:tcW w:w="67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0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p>
            <w:pPr>
              <w:widowControl/>
              <w:jc w:val="left"/>
              <w:rPr>
                <w:rFonts w:ascii="宋体" w:hAnsi="宋体" w:cs="宋体"/>
                <w:kern w:val="0"/>
                <w:sz w:val="18"/>
                <w:szCs w:val="18"/>
              </w:rPr>
            </w:pPr>
          </w:p>
        </w:tc>
        <w:tc>
          <w:tcPr>
            <w:tcW w:w="852"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68"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5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ascii="黑体" w:hAnsi="黑体" w:eastAsia="黑体" w:cs="宋体"/>
                <w:b/>
                <w:bCs/>
                <w:color w:val="000000"/>
                <w:kern w:val="0"/>
                <w:sz w:val="30"/>
                <w:szCs w:val="30"/>
              </w:rPr>
              <w:t>4</w:t>
            </w:r>
            <w:r>
              <w:rPr>
                <w:rFonts w:hint="eastAsia" w:ascii="黑体" w:hAnsi="黑体" w:eastAsia="黑体" w:cs="宋体"/>
                <w:b/>
                <w:bCs/>
                <w:color w:val="000000"/>
                <w:kern w:val="0"/>
                <w:sz w:val="30"/>
                <w:szCs w:val="30"/>
              </w:rPr>
              <w:t>年度）</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遂宁市安居区安居镇安平小学校部门</w:t>
            </w:r>
          </w:p>
        </w:tc>
        <w:tc>
          <w:tcPr>
            <w:tcW w:w="846" w:type="dxa"/>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实施单位</w:t>
            </w: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（盖章）</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center"/>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严格执行相关政策，保障资金使用到位，预算编制科学合理。</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物尽其用，不浪国家资金</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9.29</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9.29</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10</w:t>
            </w:r>
          </w:p>
        </w:tc>
        <w:tc>
          <w:tcPr>
            <w:tcW w:w="950" w:type="dxa"/>
            <w:vMerge w:val="restart"/>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r>
              <w:rPr>
                <w:rFonts w:hint="eastAsia"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9.29</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9.29</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0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950"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7"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50"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绩效目标实现指标自评得分100.00分，自评等次为：优，严格执行相关政策，按要求支付，保证资金不浪费。</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财务负责人：奉勇</w:t>
            </w:r>
          </w:p>
        </w:tc>
      </w:tr>
      <w:tr>
        <w:tblPrEx>
          <w:tblCellMar>
            <w:top w:w="0" w:type="dxa"/>
            <w:left w:w="108" w:type="dxa"/>
            <w:bottom w:w="0" w:type="dxa"/>
            <w:right w:w="108" w:type="dxa"/>
          </w:tblCellMar>
        </w:tblPrEx>
        <w:trPr>
          <w:trHeight w:val="480" w:hRule="atLeast"/>
        </w:trPr>
        <w:tc>
          <w:tcPr>
            <w:tcW w:w="67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1"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0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52" w:type="dxa"/>
            <w:vAlign w:val="center"/>
          </w:tcPr>
          <w:p>
            <w:pPr>
              <w:widowControl/>
              <w:jc w:val="left"/>
              <w:rPr>
                <w:rFonts w:ascii="宋体" w:hAnsi="宋体" w:cs="宋体"/>
                <w:kern w:val="0"/>
                <w:sz w:val="18"/>
                <w:szCs w:val="18"/>
              </w:rPr>
            </w:pPr>
          </w:p>
          <w:p>
            <w:pPr>
              <w:widowControl/>
              <w:jc w:val="left"/>
              <w:rPr>
                <w:rFonts w:ascii="宋体" w:hAnsi="宋体" w:cs="宋体"/>
                <w:kern w:val="0"/>
                <w:sz w:val="18"/>
                <w:szCs w:val="18"/>
              </w:rPr>
            </w:pPr>
          </w:p>
        </w:tc>
        <w:tc>
          <w:tcPr>
            <w:tcW w:w="768"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5"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7"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5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ascii="黑体" w:hAnsi="黑体" w:eastAsia="黑体" w:cs="宋体"/>
                <w:b/>
                <w:bCs/>
                <w:color w:val="000000"/>
                <w:kern w:val="0"/>
                <w:sz w:val="30"/>
                <w:szCs w:val="30"/>
              </w:rPr>
              <w:t>4</w:t>
            </w:r>
            <w:r>
              <w:rPr>
                <w:rFonts w:hint="eastAsia" w:ascii="黑体" w:hAnsi="黑体" w:eastAsia="黑体" w:cs="宋体"/>
                <w:b/>
                <w:bCs/>
                <w:color w:val="000000"/>
                <w:kern w:val="0"/>
                <w:sz w:val="30"/>
                <w:szCs w:val="30"/>
              </w:rPr>
              <w:t>年度）</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遂宁市安居区安居镇安平小学校部门</w:t>
            </w:r>
          </w:p>
        </w:tc>
        <w:tc>
          <w:tcPr>
            <w:tcW w:w="846" w:type="dxa"/>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实施单位</w:t>
            </w:r>
            <w:r>
              <w:rPr>
                <w:rFonts w:ascii="Courier New" w:hAnsi="Courier New" w:eastAsia="等线" w:cs="Courier New"/>
                <w:color w:val="000000"/>
                <w:kern w:val="0"/>
                <w:sz w:val="18"/>
                <w:szCs w:val="18"/>
              </w:rPr>
              <w:t xml:space="preserve"> </w:t>
            </w:r>
            <w:r>
              <w:rPr>
                <w:rFonts w:hint="eastAsia" w:ascii="Courier New" w:hAnsi="Courier New" w:eastAsia="等线" w:cs="Courier New"/>
                <w:color w:val="000000"/>
                <w:kern w:val="0"/>
                <w:sz w:val="18"/>
                <w:szCs w:val="18"/>
              </w:rPr>
              <w:t>（盖章）</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遂宁市安居区安居镇安平小学校</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center"/>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保障学校正常运转，提高预算编制质量，严格执行预算，减少结余资金。</w:t>
            </w:r>
          </w:p>
        </w:tc>
        <w:tc>
          <w:tcPr>
            <w:tcW w:w="2810" w:type="dxa"/>
            <w:gridSpan w:val="4"/>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严格执行预算，及时申请支付资金，保证学生作业本按时发放。</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及时申报经费，保证学生作业本按时发放。</w:t>
            </w: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0.13</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0.13</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r>
              <w:rPr>
                <w:rFonts w:hint="eastAsia"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0.13</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0.13</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0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950"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7"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50"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vAlign w:val="center"/>
          </w:tcPr>
          <w:p>
            <w:pPr>
              <w:widowControl/>
              <w:jc w:val="left"/>
              <w:rPr>
                <w:rFonts w:ascii="Courier New" w:hAnsi="Courier New" w:eastAsia="等线" w:cs="Courier New"/>
                <w:color w:val="000000"/>
                <w:kern w:val="0"/>
                <w:sz w:val="18"/>
                <w:szCs w:val="18"/>
              </w:rPr>
            </w:pPr>
            <w:r>
              <w:rPr>
                <w:rFonts w:hint="eastAsia" w:ascii="Courier New" w:hAnsi="Courier New" w:eastAsia="等线" w:cs="Courier New"/>
                <w:color w:val="000000"/>
                <w:kern w:val="0"/>
                <w:sz w:val="18"/>
                <w:szCs w:val="18"/>
              </w:rPr>
              <w:t>财务负责人：奉勇</w:t>
            </w:r>
          </w:p>
        </w:tc>
      </w:tr>
    </w:tbl>
    <w:p>
      <w:pPr>
        <w:spacing w:line="600" w:lineRule="exact"/>
        <w:jc w:val="center"/>
        <w:outlineLvl w:val="0"/>
        <w:rPr>
          <w:rFonts w:ascii="黑体" w:hAnsi="黑体" w:eastAsia="黑体"/>
          <w:sz w:val="44"/>
          <w:szCs w:val="44"/>
        </w:rPr>
      </w:pPr>
    </w:p>
    <w:p>
      <w:pPr>
        <w:widowControl/>
        <w:jc w:val="center"/>
        <w:rPr>
          <w:rFonts w:hint="eastAsia" w:eastAsia="黑体"/>
          <w:sz w:val="44"/>
          <w:szCs w:val="44"/>
        </w:rPr>
      </w:pPr>
      <w:bookmarkStart w:id="46" w:name="_Toc15396618"/>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6"/>
      <w:bookmarkStart w:id="47"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7"/>
    </w:p>
    <w:p>
      <w:pPr>
        <w:pStyle w:val="14"/>
        <w:adjustRightInd w:val="0"/>
        <w:snapToGrid w:val="0"/>
        <w:spacing w:line="560" w:lineRule="exact"/>
        <w:jc w:val="left"/>
        <w:rPr>
          <w:rFonts w:eastAsia="仿宋_GB2312" w:cs="仿宋_GB2312"/>
          <w:sz w:val="32"/>
          <w:szCs w:val="32"/>
        </w:rPr>
      </w:pPr>
      <w:bookmarkStart w:id="48" w:name="_Toc15396620"/>
      <w:r>
        <w:rPr>
          <w:rFonts w:hint="eastAsia" w:eastAsia="仿宋_GB2312" w:cs="仿宋_GB2312"/>
          <w:sz w:val="32"/>
          <w:szCs w:val="32"/>
        </w:rPr>
        <w:t>二、收入决算表</w:t>
      </w:r>
      <w:bookmarkEnd w:id="48"/>
    </w:p>
    <w:p>
      <w:pPr>
        <w:pStyle w:val="14"/>
        <w:adjustRightInd w:val="0"/>
        <w:snapToGrid w:val="0"/>
        <w:spacing w:line="560" w:lineRule="exact"/>
        <w:jc w:val="left"/>
        <w:rPr>
          <w:rFonts w:eastAsia="仿宋_GB2312" w:cs="仿宋_GB2312"/>
          <w:sz w:val="32"/>
          <w:szCs w:val="32"/>
        </w:rPr>
      </w:pPr>
      <w:bookmarkStart w:id="49" w:name="_Toc15396621"/>
      <w:r>
        <w:rPr>
          <w:rFonts w:hint="eastAsia" w:eastAsia="仿宋_GB2312" w:cs="仿宋_GB2312"/>
          <w:sz w:val="32"/>
          <w:szCs w:val="32"/>
        </w:rPr>
        <w:t>三、支出决算表</w:t>
      </w:r>
      <w:bookmarkEnd w:id="49"/>
    </w:p>
    <w:p>
      <w:pPr>
        <w:pStyle w:val="14"/>
        <w:adjustRightInd w:val="0"/>
        <w:snapToGrid w:val="0"/>
        <w:spacing w:line="560" w:lineRule="exact"/>
        <w:jc w:val="left"/>
        <w:rPr>
          <w:rFonts w:eastAsia="仿宋_GB2312" w:cs="仿宋_GB2312"/>
          <w:sz w:val="32"/>
          <w:szCs w:val="32"/>
        </w:rPr>
      </w:pPr>
      <w:bookmarkStart w:id="50" w:name="_Toc15396622"/>
      <w:r>
        <w:rPr>
          <w:rFonts w:hint="eastAsia" w:eastAsia="仿宋_GB2312" w:cs="仿宋_GB2312"/>
          <w:sz w:val="32"/>
          <w:szCs w:val="32"/>
        </w:rPr>
        <w:t>四、财政拨款收入支出决算总表</w:t>
      </w:r>
      <w:bookmarkEnd w:id="50"/>
    </w:p>
    <w:p>
      <w:pPr>
        <w:pStyle w:val="14"/>
        <w:adjustRightInd w:val="0"/>
        <w:snapToGrid w:val="0"/>
        <w:spacing w:line="560" w:lineRule="exact"/>
        <w:jc w:val="left"/>
        <w:rPr>
          <w:rFonts w:eastAsia="仿宋_GB2312" w:cs="仿宋_GB2312"/>
          <w:sz w:val="32"/>
          <w:szCs w:val="32"/>
        </w:rPr>
      </w:pPr>
      <w:bookmarkStart w:id="51" w:name="_Toc15396623"/>
      <w:r>
        <w:rPr>
          <w:rFonts w:hint="eastAsia" w:eastAsia="仿宋_GB2312" w:cs="仿宋_GB2312"/>
          <w:sz w:val="32"/>
          <w:szCs w:val="32"/>
        </w:rPr>
        <w:t>五、财政拨款支出决算明细表</w:t>
      </w:r>
      <w:bookmarkEnd w:id="51"/>
      <w:bookmarkStart w:id="52"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2"/>
    </w:p>
    <w:p>
      <w:pPr>
        <w:pStyle w:val="14"/>
        <w:adjustRightInd w:val="0"/>
        <w:snapToGrid w:val="0"/>
        <w:spacing w:line="560" w:lineRule="exact"/>
        <w:jc w:val="left"/>
        <w:rPr>
          <w:rFonts w:eastAsia="仿宋_GB2312" w:cs="仿宋_GB2312"/>
          <w:sz w:val="32"/>
          <w:szCs w:val="32"/>
        </w:rPr>
      </w:pPr>
      <w:bookmarkStart w:id="53" w:name="_Toc15396625"/>
      <w:r>
        <w:rPr>
          <w:rFonts w:hint="eastAsia" w:eastAsia="仿宋_GB2312" w:cs="仿宋_GB2312"/>
          <w:sz w:val="32"/>
          <w:szCs w:val="32"/>
        </w:rPr>
        <w:t>七、一般公共预算财政拨款支出决算明细表</w:t>
      </w:r>
      <w:bookmarkEnd w:id="53"/>
    </w:p>
    <w:p>
      <w:pPr>
        <w:pStyle w:val="14"/>
        <w:adjustRightInd w:val="0"/>
        <w:snapToGrid w:val="0"/>
        <w:spacing w:line="560" w:lineRule="exact"/>
        <w:jc w:val="left"/>
        <w:rPr>
          <w:rFonts w:eastAsia="仿宋_GB2312" w:cs="仿宋_GB2312"/>
          <w:sz w:val="32"/>
          <w:szCs w:val="32"/>
        </w:rPr>
      </w:pPr>
      <w:bookmarkStart w:id="54" w:name="_Toc15396626"/>
      <w:r>
        <w:rPr>
          <w:rFonts w:hint="eastAsia" w:eastAsia="仿宋_GB2312" w:cs="仿宋_GB2312"/>
          <w:sz w:val="32"/>
          <w:szCs w:val="32"/>
        </w:rPr>
        <w:t>八、一般公共预算财政拨款基本支出决算表</w:t>
      </w:r>
      <w:bookmarkEnd w:id="54"/>
    </w:p>
    <w:p>
      <w:pPr>
        <w:pStyle w:val="14"/>
        <w:adjustRightInd w:val="0"/>
        <w:snapToGrid w:val="0"/>
        <w:spacing w:line="560" w:lineRule="exact"/>
        <w:jc w:val="left"/>
        <w:rPr>
          <w:rFonts w:eastAsia="仿宋_GB2312" w:cs="仿宋_GB2312"/>
          <w:sz w:val="32"/>
          <w:szCs w:val="32"/>
        </w:rPr>
      </w:pPr>
      <w:bookmarkStart w:id="55" w:name="_Toc15396627"/>
      <w:r>
        <w:rPr>
          <w:rFonts w:hint="eastAsia" w:eastAsia="仿宋_GB2312" w:cs="仿宋_GB2312"/>
          <w:sz w:val="32"/>
          <w:szCs w:val="32"/>
        </w:rPr>
        <w:t>九、一般公共预算财政拨款项目支出决算表</w:t>
      </w:r>
      <w:bookmarkEnd w:id="55"/>
    </w:p>
    <w:p>
      <w:pPr>
        <w:pStyle w:val="14"/>
        <w:adjustRightInd w:val="0"/>
        <w:snapToGrid w:val="0"/>
        <w:spacing w:line="560" w:lineRule="exact"/>
        <w:jc w:val="left"/>
        <w:rPr>
          <w:rFonts w:eastAsia="仿宋_GB2312" w:cs="仿宋_GB2312"/>
          <w:sz w:val="32"/>
          <w:szCs w:val="32"/>
        </w:rPr>
      </w:pPr>
      <w:bookmarkStart w:id="56" w:name="_Toc15396628"/>
      <w:r>
        <w:rPr>
          <w:rFonts w:hint="eastAsia" w:eastAsia="仿宋_GB2312" w:cs="仿宋_GB2312"/>
          <w:sz w:val="32"/>
          <w:szCs w:val="32"/>
        </w:rPr>
        <w:t>十、</w:t>
      </w:r>
      <w:bookmarkEnd w:id="56"/>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7" w:name="_Toc15396629"/>
      <w:r>
        <w:rPr>
          <w:rFonts w:hint="eastAsia" w:eastAsia="仿宋_GB2312" w:cs="仿宋_GB2312"/>
          <w:sz w:val="32"/>
          <w:szCs w:val="32"/>
        </w:rPr>
        <w:t>十一、</w:t>
      </w:r>
      <w:bookmarkEnd w:id="57"/>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8" w:name="_Toc15396630"/>
      <w:r>
        <w:rPr>
          <w:rFonts w:hint="eastAsia" w:eastAsia="仿宋_GB2312" w:cs="仿宋_GB2312"/>
          <w:sz w:val="32"/>
          <w:szCs w:val="32"/>
        </w:rPr>
        <w:t>十二、</w:t>
      </w:r>
      <w:bookmarkEnd w:id="58"/>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59" w:name="_Toc15396631"/>
      <w:r>
        <w:rPr>
          <w:rFonts w:hint="eastAsia" w:eastAsia="仿宋_GB2312" w:cs="仿宋_GB2312"/>
          <w:sz w:val="32"/>
          <w:szCs w:val="32"/>
        </w:rPr>
        <w:t>十三、</w:t>
      </w:r>
      <w:bookmarkEnd w:id="59"/>
      <w:r>
        <w:rPr>
          <w:rFonts w:hint="eastAsia" w:eastAsia="仿宋_GB2312" w:cs="仿宋_GB2312"/>
          <w:sz w:val="32"/>
          <w:szCs w:val="32"/>
        </w:rPr>
        <w:t>财政拨款“三公”经费支出决算表</w:t>
      </w:r>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pPr>
        <w:ind w:left="0" w:firstLine="0"/>
      </w:pPr>
    </w:lvl>
  </w:abstractNum>
  <w:abstractNum w:abstractNumId="1">
    <w:nsid w:val="61D610E0"/>
    <w:multiLevelType w:val="singleLevel"/>
    <w:tmpl w:val="61D610E0"/>
    <w:lvl w:ilvl="0" w:tentative="0">
      <w:start w:val="3"/>
      <w:numFmt w:val="chineseCounting"/>
      <w:suff w:val="space"/>
      <w:lvlText w:val="第%1部分"/>
      <w:lvlJc w:val="left"/>
      <w:rPr>
        <w:rFonts w:hint="eastAsia"/>
      </w:rPr>
    </w:lvl>
  </w:abstractNum>
  <w:num w:numId="1">
    <w:abstractNumId w:val="1"/>
  </w:num>
  <w:num w:numId="2">
    <w:abstractNumId w:val="0"/>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549"/>
    <w:rsid w:val="000E6613"/>
    <w:rsid w:val="000E7119"/>
    <w:rsid w:val="0010130C"/>
    <w:rsid w:val="00114E9B"/>
    <w:rsid w:val="00142216"/>
    <w:rsid w:val="00144D6A"/>
    <w:rsid w:val="0014729F"/>
    <w:rsid w:val="00157BAB"/>
    <w:rsid w:val="001654D1"/>
    <w:rsid w:val="0016669F"/>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41B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1601"/>
    <w:rsid w:val="0081231C"/>
    <w:rsid w:val="00813348"/>
    <w:rsid w:val="008253BB"/>
    <w:rsid w:val="0083706E"/>
    <w:rsid w:val="008408F6"/>
    <w:rsid w:val="008423A5"/>
    <w:rsid w:val="00850625"/>
    <w:rsid w:val="00853718"/>
    <w:rsid w:val="00855221"/>
    <w:rsid w:val="00860645"/>
    <w:rsid w:val="00860F77"/>
    <w:rsid w:val="00871F71"/>
    <w:rsid w:val="00872FD8"/>
    <w:rsid w:val="00885AF4"/>
    <w:rsid w:val="008939CD"/>
    <w:rsid w:val="008A2202"/>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2866"/>
    <w:rsid w:val="00E2562A"/>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5C1EBF"/>
    <w:rsid w:val="061E35DE"/>
    <w:rsid w:val="066E0107"/>
    <w:rsid w:val="07996F6E"/>
    <w:rsid w:val="07DFD8BA"/>
    <w:rsid w:val="09867E8F"/>
    <w:rsid w:val="09F20B35"/>
    <w:rsid w:val="0A2032A3"/>
    <w:rsid w:val="0A7D0F9E"/>
    <w:rsid w:val="0CA8290A"/>
    <w:rsid w:val="0CE64131"/>
    <w:rsid w:val="0D35B1ED"/>
    <w:rsid w:val="0EBB2353"/>
    <w:rsid w:val="0F98263C"/>
    <w:rsid w:val="101860EC"/>
    <w:rsid w:val="10C055FF"/>
    <w:rsid w:val="11772AA4"/>
    <w:rsid w:val="118107EC"/>
    <w:rsid w:val="13D50BC4"/>
    <w:rsid w:val="165E0673"/>
    <w:rsid w:val="16BB723D"/>
    <w:rsid w:val="186504BB"/>
    <w:rsid w:val="19A445FC"/>
    <w:rsid w:val="1BE8440E"/>
    <w:rsid w:val="1CD639DB"/>
    <w:rsid w:val="1D155CEE"/>
    <w:rsid w:val="1E740ACF"/>
    <w:rsid w:val="1F3E1369"/>
    <w:rsid w:val="1F521B07"/>
    <w:rsid w:val="1FF35744"/>
    <w:rsid w:val="1FF6BC77"/>
    <w:rsid w:val="213E4905"/>
    <w:rsid w:val="222674C6"/>
    <w:rsid w:val="23860B96"/>
    <w:rsid w:val="240371BF"/>
    <w:rsid w:val="255F52F6"/>
    <w:rsid w:val="260F557C"/>
    <w:rsid w:val="262C62A6"/>
    <w:rsid w:val="271101DD"/>
    <w:rsid w:val="27BB2B4D"/>
    <w:rsid w:val="281408E2"/>
    <w:rsid w:val="29FD04D3"/>
    <w:rsid w:val="2BFF7BC6"/>
    <w:rsid w:val="2C8A61B5"/>
    <w:rsid w:val="2DF04E50"/>
    <w:rsid w:val="2F040D46"/>
    <w:rsid w:val="2FAE5751"/>
    <w:rsid w:val="2FB1A395"/>
    <w:rsid w:val="2FD9A7D8"/>
    <w:rsid w:val="305734E0"/>
    <w:rsid w:val="319F7F4E"/>
    <w:rsid w:val="3304709D"/>
    <w:rsid w:val="349D6851"/>
    <w:rsid w:val="356E5D45"/>
    <w:rsid w:val="36AA5135"/>
    <w:rsid w:val="36BE0DA7"/>
    <w:rsid w:val="36CE3589"/>
    <w:rsid w:val="376B6AA6"/>
    <w:rsid w:val="376D39B2"/>
    <w:rsid w:val="37E16F03"/>
    <w:rsid w:val="37F53A3B"/>
    <w:rsid w:val="389B6C89"/>
    <w:rsid w:val="38A169A5"/>
    <w:rsid w:val="38D469F0"/>
    <w:rsid w:val="395C1BE2"/>
    <w:rsid w:val="39627CCD"/>
    <w:rsid w:val="397BAF1F"/>
    <w:rsid w:val="3AB79AF3"/>
    <w:rsid w:val="3B58249F"/>
    <w:rsid w:val="3B7EF35A"/>
    <w:rsid w:val="3B9FDB6C"/>
    <w:rsid w:val="3BF5BC2F"/>
    <w:rsid w:val="3C1A5DC5"/>
    <w:rsid w:val="3CEBA265"/>
    <w:rsid w:val="3D98207C"/>
    <w:rsid w:val="3DEE7CF3"/>
    <w:rsid w:val="3E78745D"/>
    <w:rsid w:val="3FF4CAE0"/>
    <w:rsid w:val="3FF7B227"/>
    <w:rsid w:val="441C6C5E"/>
    <w:rsid w:val="44E268DA"/>
    <w:rsid w:val="45C60EFC"/>
    <w:rsid w:val="47703599"/>
    <w:rsid w:val="486A6C7A"/>
    <w:rsid w:val="4A627F82"/>
    <w:rsid w:val="4AB02849"/>
    <w:rsid w:val="4B0E749A"/>
    <w:rsid w:val="4B4F25DA"/>
    <w:rsid w:val="4BE068DB"/>
    <w:rsid w:val="4D577224"/>
    <w:rsid w:val="4DBF1CEB"/>
    <w:rsid w:val="4DF234D5"/>
    <w:rsid w:val="4E7D2305"/>
    <w:rsid w:val="4EAB630A"/>
    <w:rsid w:val="4ECE2238"/>
    <w:rsid w:val="4F833267"/>
    <w:rsid w:val="4FE9BD67"/>
    <w:rsid w:val="4FFB052F"/>
    <w:rsid w:val="537E6D0A"/>
    <w:rsid w:val="538565E9"/>
    <w:rsid w:val="53F74C96"/>
    <w:rsid w:val="56E47B74"/>
    <w:rsid w:val="57BD3DD4"/>
    <w:rsid w:val="5AF92295"/>
    <w:rsid w:val="5BDD79E6"/>
    <w:rsid w:val="5BF561CA"/>
    <w:rsid w:val="5BFF5DFC"/>
    <w:rsid w:val="5CD71FC4"/>
    <w:rsid w:val="5D1F11B5"/>
    <w:rsid w:val="5D7D0C36"/>
    <w:rsid w:val="5DAE1B18"/>
    <w:rsid w:val="5DE7D9E5"/>
    <w:rsid w:val="5ECEC941"/>
    <w:rsid w:val="5FBF9FF3"/>
    <w:rsid w:val="5FCD4E2C"/>
    <w:rsid w:val="5FEF394A"/>
    <w:rsid w:val="5FF60781"/>
    <w:rsid w:val="5FF67715"/>
    <w:rsid w:val="60071B74"/>
    <w:rsid w:val="60316970"/>
    <w:rsid w:val="62BF3928"/>
    <w:rsid w:val="646C3FEA"/>
    <w:rsid w:val="647F5392"/>
    <w:rsid w:val="664B1D71"/>
    <w:rsid w:val="67AA3209"/>
    <w:rsid w:val="698D0931"/>
    <w:rsid w:val="6A8D3387"/>
    <w:rsid w:val="6B053271"/>
    <w:rsid w:val="6C4A05C8"/>
    <w:rsid w:val="6C8742B8"/>
    <w:rsid w:val="6DBF5E93"/>
    <w:rsid w:val="6DF6206B"/>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936BE4"/>
    <w:rsid w:val="73AB61DA"/>
    <w:rsid w:val="73AD73D5"/>
    <w:rsid w:val="73B6EB34"/>
    <w:rsid w:val="73FA497D"/>
    <w:rsid w:val="744731E5"/>
    <w:rsid w:val="74BBD01D"/>
    <w:rsid w:val="74ED5379"/>
    <w:rsid w:val="75DEEEC2"/>
    <w:rsid w:val="76E3355F"/>
    <w:rsid w:val="76FF5125"/>
    <w:rsid w:val="776F6FFA"/>
    <w:rsid w:val="778769C8"/>
    <w:rsid w:val="77DC22F5"/>
    <w:rsid w:val="79086DAD"/>
    <w:rsid w:val="79D7FD79"/>
    <w:rsid w:val="79EE5BA4"/>
    <w:rsid w:val="79F72E89"/>
    <w:rsid w:val="7A894339"/>
    <w:rsid w:val="7AFF7572"/>
    <w:rsid w:val="7B6C7DFB"/>
    <w:rsid w:val="7BBFBED0"/>
    <w:rsid w:val="7BC3E394"/>
    <w:rsid w:val="7C1F3737"/>
    <w:rsid w:val="7CBFC87B"/>
    <w:rsid w:val="7CFE0F48"/>
    <w:rsid w:val="7D113C18"/>
    <w:rsid w:val="7D27443F"/>
    <w:rsid w:val="7D7EC23E"/>
    <w:rsid w:val="7E7C6DD2"/>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623</c:v>
                </c:pt>
                <c:pt idx="1">
                  <c:v>623</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756</c:v>
                </c:pt>
                <c:pt idx="1">
                  <c:v>756</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附属单位上级收入</c:v>
                </c:pt>
                <c:pt idx="6">
                  <c:v>其他收入</c:v>
                </c:pt>
              </c:strCache>
            </c:strRef>
          </c:cat>
          <c:val>
            <c:numRef>
              <c:f>Sheet1!$B$2:$B$8</c:f>
              <c:numCache>
                <c:formatCode>General</c:formatCode>
                <c:ptCount val="7"/>
                <c:pt idx="0">
                  <c:v>756</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712.6</c:v>
                </c:pt>
                <c:pt idx="1">
                  <c:v>43.4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623</c:v>
                </c:pt>
                <c:pt idx="1">
                  <c:v>623</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756</c:v>
                </c:pt>
                <c:pt idx="1">
                  <c:v>756</c:v>
                </c:pt>
              </c:numCache>
            </c:numRef>
          </c:val>
        </c:ser>
        <c:dLbls>
          <c:showLegendKey val="0"/>
          <c:showVal val="0"/>
          <c:showCatName val="0"/>
          <c:showSerName val="0"/>
          <c:showPercent val="0"/>
          <c:showBubbleSize val="0"/>
        </c:dLbls>
        <c:gapWidth val="219"/>
        <c:overlap val="-27"/>
        <c:axId val="379235544"/>
        <c:axId val="379234368"/>
      </c:barChart>
      <c:catAx>
        <c:axId val="3792355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4368"/>
        <c:crosses val="autoZero"/>
        <c:auto val="1"/>
        <c:lblAlgn val="ctr"/>
        <c:lblOffset val="100"/>
        <c:noMultiLvlLbl val="0"/>
      </c:catAx>
      <c:valAx>
        <c:axId val="3792343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80277230576132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623</c:v>
                </c:pt>
                <c:pt idx="1">
                  <c:v>756</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600.7</c:v>
                </c:pt>
                <c:pt idx="1">
                  <c:v>76</c:v>
                </c:pt>
                <c:pt idx="2">
                  <c:v>30.7</c:v>
                </c:pt>
                <c:pt idx="3">
                  <c:v>48.6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2453</Words>
  <Characters>3853</Characters>
  <Lines>105</Lines>
  <Paragraphs>29</Paragraphs>
  <TotalTime>11</TotalTime>
  <ScaleCrop>false</ScaleCrop>
  <LinksUpToDate>false</LinksUpToDate>
  <CharactersWithSpaces>3876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Lenovo</cp:lastModifiedBy>
  <cp:lastPrinted>2025-08-28T02:41:00Z</cp:lastPrinted>
  <dcterms:modified xsi:type="dcterms:W3CDTF">2025-08-28T09:15:09Z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3BF536824C220DA3E40E8B68BA118B1C_42</vt:lpwstr>
  </property>
  <property fmtid="{D5CDD505-2E9C-101B-9397-08002B2CF9AE}" pid="4" name="KSOTemplateDocerSaveRecord">
    <vt:lpwstr>eyJoZGlkIjoiMmYwY2Y1YzI2MDAxNTUxMmU5OGJkZTE3ZWQwMjYyMjIiLCJ1c2VySWQiOiI2NjM0NTAwNTMifQ==</vt:lpwstr>
  </property>
</Properties>
</file>