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5A956">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425"/>
      <w:bookmarkStart w:id="2" w:name="_Toc15306267"/>
      <w:bookmarkStart w:id="3" w:name="_Toc15396475"/>
      <w:bookmarkStart w:id="4" w:name="_Toc15377193"/>
      <w:bookmarkStart w:id="5" w:name="_Toc15378441"/>
    </w:p>
    <w:p w14:paraId="3E539EC5">
      <w:pPr>
        <w:pStyle w:val="7"/>
        <w:rPr>
          <w:rFonts w:hint="eastAsia" w:ascii="Times New Roman" w:hAnsi="Times New Roman" w:eastAsia="方正小标宋简体" w:cs="Times New Roman"/>
          <w:color w:val="auto"/>
          <w:kern w:val="2"/>
          <w:sz w:val="72"/>
          <w:szCs w:val="72"/>
          <w:highlight w:val="none"/>
          <w:lang w:val="en-US" w:eastAsia="zh-CN" w:bidi="ar-SA"/>
        </w:rPr>
      </w:pPr>
    </w:p>
    <w:p w14:paraId="5814A4D8">
      <w:pPr>
        <w:pStyle w:val="7"/>
        <w:rPr>
          <w:rFonts w:hint="eastAsia" w:ascii="Times New Roman" w:hAnsi="Times New Roman" w:eastAsia="方正小标宋简体" w:cs="Times New Roman"/>
          <w:color w:val="auto"/>
          <w:kern w:val="2"/>
          <w:sz w:val="72"/>
          <w:szCs w:val="72"/>
          <w:highlight w:val="none"/>
          <w:lang w:val="en-US" w:eastAsia="zh-CN" w:bidi="ar-SA"/>
        </w:rPr>
      </w:pPr>
    </w:p>
    <w:p w14:paraId="2AB54CC7">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b w:val="0"/>
          <w:bCs w:val="0"/>
          <w:i w:val="0"/>
          <w:iCs w:val="0"/>
          <w:color w:val="auto"/>
          <w:kern w:val="2"/>
          <w:sz w:val="44"/>
          <w:szCs w:val="44"/>
          <w:highlight w:val="none"/>
          <w:lang w:val="en-US" w:eastAsia="zh-CN" w:bidi="ar-SA"/>
        </w:rPr>
      </w:pPr>
      <w:r>
        <w:rPr>
          <w:rFonts w:ascii="Times New Roman" w:hAnsi="Times New Roman" w:eastAsia="方正小标宋简体" w:cs="Times New Roman"/>
          <w:b w:val="0"/>
          <w:bCs w:val="0"/>
          <w:i w:val="0"/>
          <w:iCs w:val="0"/>
          <w:color w:val="auto"/>
          <w:kern w:val="2"/>
          <w:sz w:val="44"/>
          <w:szCs w:val="44"/>
          <w:highlight w:val="none"/>
          <w:lang w:val="en-US" w:eastAsia="zh-CN" w:bidi="ar-SA"/>
        </w:rPr>
        <w:t>2024年</w:t>
      </w: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度</w:t>
      </w:r>
    </w:p>
    <w:p w14:paraId="71FEF95F">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b w:val="0"/>
          <w:bCs w:val="0"/>
          <w:i w:val="0"/>
          <w:iCs w:val="0"/>
          <w:color w:val="auto"/>
          <w:kern w:val="2"/>
          <w:sz w:val="44"/>
          <w:szCs w:val="44"/>
          <w:highlight w:val="none"/>
          <w:lang w:val="en-US" w:eastAsia="zh-CN" w:bidi="ar-SA"/>
        </w:rPr>
      </w:pPr>
      <w:r>
        <w:rPr>
          <w:rFonts w:ascii="Times New Roman" w:hAnsi="Times New Roman" w:eastAsia="方正小标宋简体" w:cs="Times New Roman"/>
          <w:b w:val="0"/>
          <w:bCs w:val="0"/>
          <w:i w:val="0"/>
          <w:iCs w:val="0"/>
          <w:color w:val="auto"/>
          <w:kern w:val="2"/>
          <w:sz w:val="44"/>
          <w:szCs w:val="44"/>
          <w:highlight w:val="none"/>
          <w:lang w:val="en-US" w:eastAsia="zh-CN" w:bidi="ar-SA"/>
        </w:rPr>
        <w:t>中共遂宁市安居区委统一战线工作部</w:t>
      </w:r>
    </w:p>
    <w:p w14:paraId="6AB18C9D">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rPr>
      </w:pP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部门</w:t>
      </w:r>
      <w:r>
        <w:rPr>
          <w:rFonts w:ascii="Times New Roman" w:hAnsi="Times New Roman" w:eastAsia="方正小标宋简体" w:cs="Times New Roman"/>
          <w:b w:val="0"/>
          <w:bCs w:val="0"/>
          <w:i w:val="0"/>
          <w:iCs w:val="0"/>
          <w:color w:val="auto"/>
          <w:kern w:val="2"/>
          <w:sz w:val="44"/>
          <w:szCs w:val="44"/>
          <w:highlight w:val="none"/>
          <w:lang w:val="en-US" w:eastAsia="zh-CN" w:bidi="ar-SA"/>
        </w:rPr>
        <w:t>决算</w:t>
      </w:r>
    </w:p>
    <w:p w14:paraId="5221C99A">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4C960176">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736922AF">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4A822815">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4F0855A2">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pPr>
    </w:p>
    <w:p w14:paraId="384491F2">
      <w:pPr>
        <w:widowControl/>
        <w:jc w:val="center"/>
        <w:rPr>
          <w:rFonts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目</w:t>
      </w:r>
      <w:r>
        <w:rPr>
          <w:rFonts w:ascii="Times New Roman" w:hAnsi="Times New Roman" w:eastAsia="黑体"/>
          <w:color w:val="auto"/>
          <w:sz w:val="44"/>
          <w:szCs w:val="44"/>
          <w:highlight w:val="none"/>
        </w:rPr>
        <w:t xml:space="preserve">  </w:t>
      </w:r>
      <w:r>
        <w:rPr>
          <w:rFonts w:hint="eastAsia" w:ascii="Times New Roman" w:hAnsi="Times New Roman" w:eastAsia="黑体"/>
          <w:color w:val="auto"/>
          <w:sz w:val="44"/>
          <w:szCs w:val="44"/>
          <w:highlight w:val="none"/>
        </w:rPr>
        <w:t>录</w:t>
      </w:r>
    </w:p>
    <w:p w14:paraId="14F2CC06">
      <w:pPr>
        <w:pStyle w:val="16"/>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w:t>
      </w:r>
      <w:r>
        <w:rPr>
          <w:rFonts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4"/>
          <w:szCs w:val="24"/>
          <w:lang w:val="en-US" w:eastAsia="zh-CN" w:bidi="ar-SA"/>
        </w:rPr>
        <w:id w:val="1791249276"/>
        <w15:color w:val="DBDBDB"/>
        <w:docPartObj>
          <w:docPartGallery w:val="Table of Contents"/>
          <w:docPartUnique/>
        </w:docPartObj>
      </w:sdtPr>
      <w:sdtEndPr>
        <w:rPr>
          <w:rFonts w:hint="eastAsia" w:ascii="Times New Roman" w:hAnsi="Times New Roman" w:eastAsia="黑体" w:cs="Times New Roman"/>
          <w:kern w:val="2"/>
          <w:sz w:val="24"/>
          <w:szCs w:val="24"/>
          <w:lang w:val="en-US" w:eastAsia="zh-CN" w:bidi="ar-SA"/>
        </w:rPr>
      </w:sdtEndPr>
      <w:sdtContent>
        <w:p w14:paraId="27BD9FAB">
          <w:pPr>
            <w:spacing w:before="0" w:after="0" w:line="240" w:lineRule="auto"/>
            <w:ind w:left="0" w:right="0" w:firstLine="0"/>
            <w:jc w:val="center"/>
            <w:rPr>
              <w:sz w:val="24"/>
              <w:szCs w:val="24"/>
            </w:rPr>
          </w:pPr>
        </w:p>
        <w:p w14:paraId="3C439477">
          <w:pPr>
            <w:pStyle w:val="40"/>
            <w:tabs>
              <w:tab w:val="right" w:leader="dot" w:pos="8306"/>
            </w:tabs>
            <w:spacing w:line="360" w:lineRule="auto"/>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_Toc17254 </w:instrText>
          </w:r>
          <w:r>
            <w:rPr>
              <w:b/>
              <w:sz w:val="24"/>
              <w:szCs w:val="24"/>
            </w:rPr>
            <w:fldChar w:fldCharType="separate"/>
          </w:r>
          <w:r>
            <w:rPr>
              <w:rFonts w:hint="eastAsia" w:ascii="Times New Roman" w:hAnsi="Times New Roman" w:eastAsia="方正小标宋简体" w:cs="方正小标宋简体"/>
              <w:b/>
              <w:sz w:val="24"/>
              <w:szCs w:val="24"/>
              <w:highlight w:val="none"/>
            </w:rPr>
            <w:t>第一部分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bCs w:val="0"/>
              <w:sz w:val="24"/>
              <w:szCs w:val="24"/>
              <w:highlight w:val="none"/>
            </w:rPr>
            <w:t>部门概况</w:t>
          </w:r>
          <w:r>
            <w:rPr>
              <w:b/>
              <w:sz w:val="24"/>
              <w:szCs w:val="24"/>
            </w:rPr>
            <w:tab/>
          </w:r>
          <w:r>
            <w:rPr>
              <w:b/>
              <w:sz w:val="24"/>
              <w:szCs w:val="24"/>
            </w:rPr>
            <w:fldChar w:fldCharType="begin"/>
          </w:r>
          <w:r>
            <w:rPr>
              <w:b/>
              <w:sz w:val="24"/>
              <w:szCs w:val="24"/>
            </w:rPr>
            <w:instrText xml:space="preserve"> PAGEREF _Toc17254 \h </w:instrText>
          </w:r>
          <w:r>
            <w:rPr>
              <w:b/>
              <w:sz w:val="24"/>
              <w:szCs w:val="24"/>
            </w:rPr>
            <w:fldChar w:fldCharType="separate"/>
          </w:r>
          <w:r>
            <w:rPr>
              <w:b/>
              <w:sz w:val="24"/>
              <w:szCs w:val="24"/>
            </w:rPr>
            <w:t>- 1 -</w:t>
          </w:r>
          <w:r>
            <w:rPr>
              <w:b/>
              <w:sz w:val="24"/>
              <w:szCs w:val="24"/>
            </w:rPr>
            <w:fldChar w:fldCharType="end"/>
          </w:r>
          <w:r>
            <w:rPr>
              <w:b/>
              <w:sz w:val="24"/>
              <w:szCs w:val="24"/>
            </w:rPr>
            <w:fldChar w:fldCharType="end"/>
          </w:r>
        </w:p>
        <w:p w14:paraId="70610763">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_Toc12067 </w:instrText>
          </w:r>
          <w:r>
            <w:rPr>
              <w:sz w:val="24"/>
              <w:szCs w:val="24"/>
            </w:rPr>
            <w:fldChar w:fldCharType="separate"/>
          </w:r>
          <w:r>
            <w:rPr>
              <w:rFonts w:hint="eastAsia" w:ascii="Times New Roman" w:hAnsi="Times New Roman" w:eastAsia="黑体"/>
              <w:sz w:val="24"/>
              <w:szCs w:val="24"/>
              <w:highlight w:val="none"/>
            </w:rPr>
            <w:t>一、</w:t>
          </w:r>
          <w:r>
            <w:rPr>
              <w:rFonts w:hint="eastAsia" w:ascii="Times New Roman" w:hAnsi="Times New Roman"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_Toc12067 \h </w:instrText>
          </w:r>
          <w:r>
            <w:rPr>
              <w:sz w:val="24"/>
              <w:szCs w:val="24"/>
            </w:rPr>
            <w:fldChar w:fldCharType="separate"/>
          </w:r>
          <w:r>
            <w:rPr>
              <w:sz w:val="24"/>
              <w:szCs w:val="24"/>
            </w:rPr>
            <w:t>- 1 -</w:t>
          </w:r>
          <w:r>
            <w:rPr>
              <w:sz w:val="24"/>
              <w:szCs w:val="24"/>
            </w:rPr>
            <w:fldChar w:fldCharType="end"/>
          </w:r>
          <w:r>
            <w:rPr>
              <w:sz w:val="24"/>
              <w:szCs w:val="24"/>
            </w:rPr>
            <w:fldChar w:fldCharType="end"/>
          </w:r>
        </w:p>
        <w:p w14:paraId="6177F5BD">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_Toc9967 </w:instrText>
          </w:r>
          <w:r>
            <w:rPr>
              <w:sz w:val="24"/>
              <w:szCs w:val="24"/>
            </w:rPr>
            <w:fldChar w:fldCharType="separate"/>
          </w:r>
          <w:r>
            <w:rPr>
              <w:rFonts w:hint="eastAsia" w:ascii="Times New Roman" w:hAnsi="Times New Roman" w:eastAsia="黑体"/>
              <w:sz w:val="24"/>
              <w:szCs w:val="24"/>
              <w:highlight w:val="none"/>
            </w:rPr>
            <w:t>二、机</w:t>
          </w:r>
          <w:r>
            <w:rPr>
              <w:rFonts w:hint="eastAsia" w:ascii="Times New Roman" w:hAnsi="Times New Roman" w:eastAsia="黑体"/>
              <w:bCs w:val="0"/>
              <w:sz w:val="24"/>
              <w:szCs w:val="24"/>
              <w:highlight w:val="none"/>
            </w:rPr>
            <w:t>构设置</w:t>
          </w:r>
          <w:r>
            <w:rPr>
              <w:sz w:val="24"/>
              <w:szCs w:val="24"/>
            </w:rPr>
            <w:tab/>
          </w:r>
          <w:r>
            <w:rPr>
              <w:sz w:val="24"/>
              <w:szCs w:val="24"/>
            </w:rPr>
            <w:fldChar w:fldCharType="begin"/>
          </w:r>
          <w:r>
            <w:rPr>
              <w:sz w:val="24"/>
              <w:szCs w:val="24"/>
            </w:rPr>
            <w:instrText xml:space="preserve"> PAGEREF _Toc9967 \h </w:instrText>
          </w:r>
          <w:r>
            <w:rPr>
              <w:sz w:val="24"/>
              <w:szCs w:val="24"/>
            </w:rPr>
            <w:fldChar w:fldCharType="separate"/>
          </w:r>
          <w:r>
            <w:rPr>
              <w:sz w:val="24"/>
              <w:szCs w:val="24"/>
            </w:rPr>
            <w:t>- 4 -</w:t>
          </w:r>
          <w:r>
            <w:rPr>
              <w:sz w:val="24"/>
              <w:szCs w:val="24"/>
            </w:rPr>
            <w:fldChar w:fldCharType="end"/>
          </w:r>
          <w:r>
            <w:rPr>
              <w:sz w:val="24"/>
              <w:szCs w:val="24"/>
            </w:rPr>
            <w:fldChar w:fldCharType="end"/>
          </w:r>
        </w:p>
        <w:p w14:paraId="2C6A2A8B">
          <w:pPr>
            <w:pStyle w:val="40"/>
            <w:tabs>
              <w:tab w:val="right" w:leader="dot" w:pos="8306"/>
            </w:tabs>
            <w:spacing w:line="360" w:lineRule="auto"/>
            <w:rPr>
              <w:b/>
              <w:sz w:val="24"/>
              <w:szCs w:val="24"/>
            </w:rPr>
          </w:pPr>
          <w:r>
            <w:rPr>
              <w:b/>
              <w:sz w:val="24"/>
              <w:szCs w:val="24"/>
            </w:rPr>
            <w:fldChar w:fldCharType="begin"/>
          </w:r>
          <w:r>
            <w:rPr>
              <w:b/>
              <w:sz w:val="24"/>
              <w:szCs w:val="24"/>
            </w:rPr>
            <w:instrText xml:space="preserve"> HYPERLINK \l _Toc13167 </w:instrText>
          </w:r>
          <w:r>
            <w:rPr>
              <w:b/>
              <w:sz w:val="24"/>
              <w:szCs w:val="24"/>
            </w:rPr>
            <w:fldChar w:fldCharType="separate"/>
          </w:r>
          <w:r>
            <w:rPr>
              <w:rFonts w:hint="eastAsia" w:ascii="Times New Roman" w:hAnsi="Times New Roman" w:eastAsia="方正小标宋简体" w:cs="方正小标宋简体"/>
              <w:b/>
              <w:sz w:val="24"/>
              <w:szCs w:val="24"/>
              <w:highlight w:val="none"/>
            </w:rPr>
            <w:t>第二部分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sz w:val="24"/>
              <w:szCs w:val="24"/>
              <w:highlight w:val="none"/>
              <w:lang w:val="en-US" w:eastAsia="zh-CN"/>
            </w:rPr>
            <w:t>2024年度</w:t>
          </w:r>
          <w:r>
            <w:rPr>
              <w:rFonts w:hint="eastAsia" w:ascii="Times New Roman" w:hAnsi="Times New Roman" w:eastAsia="方正小标宋简体" w:cs="方正小标宋简体"/>
              <w:b/>
              <w:sz w:val="24"/>
              <w:szCs w:val="24"/>
              <w:highlight w:val="none"/>
            </w:rPr>
            <w:t>部门决算情况说明</w:t>
          </w:r>
          <w:r>
            <w:rPr>
              <w:b/>
              <w:sz w:val="24"/>
              <w:szCs w:val="24"/>
            </w:rPr>
            <w:tab/>
          </w:r>
          <w:r>
            <w:rPr>
              <w:b/>
              <w:sz w:val="24"/>
              <w:szCs w:val="24"/>
            </w:rPr>
            <w:fldChar w:fldCharType="begin"/>
          </w:r>
          <w:r>
            <w:rPr>
              <w:b/>
              <w:sz w:val="24"/>
              <w:szCs w:val="24"/>
            </w:rPr>
            <w:instrText xml:space="preserve"> PAGEREF _Toc13167 \h </w:instrText>
          </w:r>
          <w:r>
            <w:rPr>
              <w:b/>
              <w:sz w:val="24"/>
              <w:szCs w:val="24"/>
            </w:rPr>
            <w:fldChar w:fldCharType="separate"/>
          </w:r>
          <w:r>
            <w:rPr>
              <w:b/>
              <w:sz w:val="24"/>
              <w:szCs w:val="24"/>
            </w:rPr>
            <w:t>- 5 -</w:t>
          </w:r>
          <w:r>
            <w:rPr>
              <w:b/>
              <w:sz w:val="24"/>
              <w:szCs w:val="24"/>
            </w:rPr>
            <w:fldChar w:fldCharType="end"/>
          </w:r>
          <w:r>
            <w:rPr>
              <w:b/>
              <w:sz w:val="24"/>
              <w:szCs w:val="24"/>
            </w:rPr>
            <w:fldChar w:fldCharType="end"/>
          </w:r>
        </w:p>
        <w:p w14:paraId="73831601">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_Toc888 </w:instrText>
          </w:r>
          <w:r>
            <w:rPr>
              <w:sz w:val="24"/>
              <w:szCs w:val="24"/>
            </w:rPr>
            <w:fldChar w:fldCharType="separate"/>
          </w:r>
          <w:r>
            <w:rPr>
              <w:rFonts w:hint="eastAsia" w:ascii="Times New Roman" w:hAnsi="Times New Roman" w:eastAsia="黑体"/>
              <w:sz w:val="24"/>
              <w:szCs w:val="24"/>
              <w:highlight w:val="none"/>
              <w:lang w:eastAsia="zh-CN"/>
            </w:rPr>
            <w:t>一、</w:t>
          </w:r>
          <w:r>
            <w:rPr>
              <w:rFonts w:hint="eastAsia" w:ascii="Times New Roman" w:hAnsi="Times New Roman"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_Toc888 \h </w:instrText>
          </w:r>
          <w:r>
            <w:rPr>
              <w:sz w:val="24"/>
              <w:szCs w:val="24"/>
            </w:rPr>
            <w:fldChar w:fldCharType="separate"/>
          </w:r>
          <w:r>
            <w:rPr>
              <w:sz w:val="24"/>
              <w:szCs w:val="24"/>
            </w:rPr>
            <w:t>- 5 -</w:t>
          </w:r>
          <w:r>
            <w:rPr>
              <w:sz w:val="24"/>
              <w:szCs w:val="24"/>
            </w:rPr>
            <w:fldChar w:fldCharType="end"/>
          </w:r>
          <w:r>
            <w:rPr>
              <w:sz w:val="24"/>
              <w:szCs w:val="24"/>
            </w:rPr>
            <w:fldChar w:fldCharType="end"/>
          </w:r>
        </w:p>
        <w:p w14:paraId="57B33822">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_Toc9005 </w:instrText>
          </w:r>
          <w:r>
            <w:rPr>
              <w:sz w:val="24"/>
              <w:szCs w:val="24"/>
            </w:rPr>
            <w:fldChar w:fldCharType="separate"/>
          </w:r>
          <w:r>
            <w:rPr>
              <w:rFonts w:hint="eastAsia" w:ascii="Times New Roman" w:hAnsi="Times New Roman" w:eastAsia="黑体"/>
              <w:sz w:val="24"/>
              <w:szCs w:val="24"/>
              <w:highlight w:val="none"/>
              <w:lang w:eastAsia="zh-CN"/>
            </w:rPr>
            <w:t>二、收入决算情况说明</w:t>
          </w:r>
          <w:r>
            <w:rPr>
              <w:sz w:val="24"/>
              <w:szCs w:val="24"/>
            </w:rPr>
            <w:tab/>
          </w:r>
          <w:r>
            <w:rPr>
              <w:sz w:val="24"/>
              <w:szCs w:val="24"/>
            </w:rPr>
            <w:fldChar w:fldCharType="begin"/>
          </w:r>
          <w:r>
            <w:rPr>
              <w:sz w:val="24"/>
              <w:szCs w:val="24"/>
            </w:rPr>
            <w:instrText xml:space="preserve"> PAGEREF _Toc9005 \h </w:instrText>
          </w:r>
          <w:r>
            <w:rPr>
              <w:sz w:val="24"/>
              <w:szCs w:val="24"/>
            </w:rPr>
            <w:fldChar w:fldCharType="separate"/>
          </w:r>
          <w:r>
            <w:rPr>
              <w:sz w:val="24"/>
              <w:szCs w:val="24"/>
            </w:rPr>
            <w:t>- 5 -</w:t>
          </w:r>
          <w:r>
            <w:rPr>
              <w:sz w:val="24"/>
              <w:szCs w:val="24"/>
            </w:rPr>
            <w:fldChar w:fldCharType="end"/>
          </w:r>
          <w:r>
            <w:rPr>
              <w:sz w:val="24"/>
              <w:szCs w:val="24"/>
            </w:rPr>
            <w:fldChar w:fldCharType="end"/>
          </w:r>
        </w:p>
        <w:p w14:paraId="158D9BBC">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_Toc5908 </w:instrText>
          </w:r>
          <w:r>
            <w:rPr>
              <w:sz w:val="24"/>
              <w:szCs w:val="24"/>
            </w:rPr>
            <w:fldChar w:fldCharType="separate"/>
          </w:r>
          <w:r>
            <w:rPr>
              <w:rFonts w:hint="eastAsia" w:ascii="Times New Roman" w:hAnsi="Times New Roman" w:eastAsia="黑体"/>
              <w:sz w:val="24"/>
              <w:szCs w:val="24"/>
              <w:highlight w:val="none"/>
              <w:lang w:eastAsia="zh-CN"/>
            </w:rPr>
            <w:t>三、</w:t>
          </w:r>
          <w:r>
            <w:rPr>
              <w:rFonts w:hint="eastAsia" w:ascii="Times New Roman" w:hAnsi="Times New Roman"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_Toc5908 \h </w:instrText>
          </w:r>
          <w:r>
            <w:rPr>
              <w:sz w:val="24"/>
              <w:szCs w:val="24"/>
            </w:rPr>
            <w:fldChar w:fldCharType="separate"/>
          </w:r>
          <w:r>
            <w:rPr>
              <w:sz w:val="24"/>
              <w:szCs w:val="24"/>
            </w:rPr>
            <w:t>- 6 -</w:t>
          </w:r>
          <w:r>
            <w:rPr>
              <w:sz w:val="24"/>
              <w:szCs w:val="24"/>
            </w:rPr>
            <w:fldChar w:fldCharType="end"/>
          </w:r>
          <w:r>
            <w:rPr>
              <w:sz w:val="24"/>
              <w:szCs w:val="24"/>
            </w:rPr>
            <w:fldChar w:fldCharType="end"/>
          </w:r>
        </w:p>
        <w:p w14:paraId="35508FF4">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_Toc14698 </w:instrText>
          </w:r>
          <w:r>
            <w:rPr>
              <w:sz w:val="24"/>
              <w:szCs w:val="24"/>
            </w:rPr>
            <w:fldChar w:fldCharType="separate"/>
          </w:r>
          <w:r>
            <w:rPr>
              <w:rFonts w:hint="eastAsia" w:ascii="Times New Roman" w:hAnsi="Times New Roman"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_Toc14698 \h </w:instrText>
          </w:r>
          <w:r>
            <w:rPr>
              <w:sz w:val="24"/>
              <w:szCs w:val="24"/>
            </w:rPr>
            <w:fldChar w:fldCharType="separate"/>
          </w:r>
          <w:r>
            <w:rPr>
              <w:sz w:val="24"/>
              <w:szCs w:val="24"/>
            </w:rPr>
            <w:t>- 7 -</w:t>
          </w:r>
          <w:r>
            <w:rPr>
              <w:sz w:val="24"/>
              <w:szCs w:val="24"/>
            </w:rPr>
            <w:fldChar w:fldCharType="end"/>
          </w:r>
          <w:r>
            <w:rPr>
              <w:sz w:val="24"/>
              <w:szCs w:val="24"/>
            </w:rPr>
            <w:fldChar w:fldCharType="end"/>
          </w:r>
        </w:p>
        <w:p w14:paraId="17762C26">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_Toc8367 </w:instrText>
          </w:r>
          <w:r>
            <w:rPr>
              <w:sz w:val="24"/>
              <w:szCs w:val="24"/>
            </w:rPr>
            <w:fldChar w:fldCharType="separate"/>
          </w:r>
          <w:r>
            <w:rPr>
              <w:rFonts w:hint="eastAsia" w:ascii="Times New Roman" w:hAnsi="Times New Roman"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_Toc8367 \h </w:instrText>
          </w:r>
          <w:r>
            <w:rPr>
              <w:sz w:val="24"/>
              <w:szCs w:val="24"/>
            </w:rPr>
            <w:fldChar w:fldCharType="separate"/>
          </w:r>
          <w:r>
            <w:rPr>
              <w:sz w:val="24"/>
              <w:szCs w:val="24"/>
            </w:rPr>
            <w:t>- 8 -</w:t>
          </w:r>
          <w:r>
            <w:rPr>
              <w:sz w:val="24"/>
              <w:szCs w:val="24"/>
            </w:rPr>
            <w:fldChar w:fldCharType="end"/>
          </w:r>
          <w:r>
            <w:rPr>
              <w:sz w:val="24"/>
              <w:szCs w:val="24"/>
            </w:rPr>
            <w:fldChar w:fldCharType="end"/>
          </w:r>
        </w:p>
        <w:p w14:paraId="329700EF">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_Toc8222 </w:instrText>
          </w:r>
          <w:r>
            <w:rPr>
              <w:sz w:val="24"/>
              <w:szCs w:val="24"/>
            </w:rPr>
            <w:fldChar w:fldCharType="separate"/>
          </w:r>
          <w:r>
            <w:rPr>
              <w:rFonts w:hint="eastAsia" w:ascii="Times New Roman" w:hAnsi="Times New Roman" w:eastAsia="黑体"/>
              <w:sz w:val="24"/>
              <w:szCs w:val="24"/>
              <w:highlight w:val="none"/>
            </w:rPr>
            <w:t>六、一般公共预算财政拨款基本支出决算情况说明</w:t>
          </w:r>
          <w:r>
            <w:rPr>
              <w:sz w:val="24"/>
              <w:szCs w:val="24"/>
            </w:rPr>
            <w:tab/>
          </w:r>
          <w:r>
            <w:rPr>
              <w:sz w:val="24"/>
              <w:szCs w:val="24"/>
            </w:rPr>
            <w:fldChar w:fldCharType="begin"/>
          </w:r>
          <w:r>
            <w:rPr>
              <w:sz w:val="24"/>
              <w:szCs w:val="24"/>
            </w:rPr>
            <w:instrText xml:space="preserve"> PAGEREF _Toc8222 \h </w:instrText>
          </w:r>
          <w:r>
            <w:rPr>
              <w:sz w:val="24"/>
              <w:szCs w:val="24"/>
            </w:rPr>
            <w:fldChar w:fldCharType="separate"/>
          </w:r>
          <w:r>
            <w:rPr>
              <w:sz w:val="24"/>
              <w:szCs w:val="24"/>
            </w:rPr>
            <w:t>- 12 -</w:t>
          </w:r>
          <w:r>
            <w:rPr>
              <w:sz w:val="24"/>
              <w:szCs w:val="24"/>
            </w:rPr>
            <w:fldChar w:fldCharType="end"/>
          </w:r>
          <w:r>
            <w:rPr>
              <w:sz w:val="24"/>
              <w:szCs w:val="24"/>
            </w:rPr>
            <w:fldChar w:fldCharType="end"/>
          </w:r>
        </w:p>
        <w:p w14:paraId="578F0E6A">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_Toc1161 </w:instrText>
          </w:r>
          <w:r>
            <w:rPr>
              <w:sz w:val="24"/>
              <w:szCs w:val="24"/>
            </w:rPr>
            <w:fldChar w:fldCharType="separate"/>
          </w:r>
          <w:r>
            <w:rPr>
              <w:rFonts w:hint="eastAsia" w:ascii="Times New Roman" w:hAnsi="Times New Roman" w:eastAsia="黑体"/>
              <w:sz w:val="24"/>
              <w:szCs w:val="24"/>
              <w:highlight w:val="none"/>
            </w:rPr>
            <w:t>七、财政拨款“三公”经费支出决算情况说明</w:t>
          </w:r>
          <w:r>
            <w:rPr>
              <w:sz w:val="24"/>
              <w:szCs w:val="24"/>
            </w:rPr>
            <w:tab/>
          </w:r>
          <w:r>
            <w:rPr>
              <w:sz w:val="24"/>
              <w:szCs w:val="24"/>
            </w:rPr>
            <w:fldChar w:fldCharType="begin"/>
          </w:r>
          <w:r>
            <w:rPr>
              <w:sz w:val="24"/>
              <w:szCs w:val="24"/>
            </w:rPr>
            <w:instrText xml:space="preserve"> PAGEREF _Toc1161 \h </w:instrText>
          </w:r>
          <w:r>
            <w:rPr>
              <w:sz w:val="24"/>
              <w:szCs w:val="24"/>
            </w:rPr>
            <w:fldChar w:fldCharType="separate"/>
          </w:r>
          <w:r>
            <w:rPr>
              <w:sz w:val="24"/>
              <w:szCs w:val="24"/>
            </w:rPr>
            <w:t>- 12 -</w:t>
          </w:r>
          <w:r>
            <w:rPr>
              <w:sz w:val="24"/>
              <w:szCs w:val="24"/>
            </w:rPr>
            <w:fldChar w:fldCharType="end"/>
          </w:r>
          <w:r>
            <w:rPr>
              <w:sz w:val="24"/>
              <w:szCs w:val="24"/>
            </w:rPr>
            <w:fldChar w:fldCharType="end"/>
          </w:r>
        </w:p>
        <w:p w14:paraId="715D1474">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_Toc26581 </w:instrText>
          </w:r>
          <w:r>
            <w:rPr>
              <w:sz w:val="24"/>
              <w:szCs w:val="24"/>
            </w:rPr>
            <w:fldChar w:fldCharType="separate"/>
          </w:r>
          <w:r>
            <w:rPr>
              <w:rFonts w:hint="eastAsia" w:ascii="Times New Roman" w:hAnsi="Times New Roman" w:eastAsia="黑体"/>
              <w:sz w:val="24"/>
              <w:szCs w:val="24"/>
              <w:highlight w:val="none"/>
            </w:rPr>
            <w:t>八、政府性基金预算支出决算情况说明</w:t>
          </w:r>
          <w:r>
            <w:rPr>
              <w:sz w:val="24"/>
              <w:szCs w:val="24"/>
            </w:rPr>
            <w:tab/>
          </w:r>
          <w:r>
            <w:rPr>
              <w:sz w:val="24"/>
              <w:szCs w:val="24"/>
            </w:rPr>
            <w:fldChar w:fldCharType="begin"/>
          </w:r>
          <w:r>
            <w:rPr>
              <w:sz w:val="24"/>
              <w:szCs w:val="24"/>
            </w:rPr>
            <w:instrText xml:space="preserve"> PAGEREF _Toc26581 \h </w:instrText>
          </w:r>
          <w:r>
            <w:rPr>
              <w:sz w:val="24"/>
              <w:szCs w:val="24"/>
            </w:rPr>
            <w:fldChar w:fldCharType="separate"/>
          </w:r>
          <w:r>
            <w:rPr>
              <w:sz w:val="24"/>
              <w:szCs w:val="24"/>
            </w:rPr>
            <w:t>- 14 -</w:t>
          </w:r>
          <w:r>
            <w:rPr>
              <w:sz w:val="24"/>
              <w:szCs w:val="24"/>
            </w:rPr>
            <w:fldChar w:fldCharType="end"/>
          </w:r>
          <w:r>
            <w:rPr>
              <w:sz w:val="24"/>
              <w:szCs w:val="24"/>
            </w:rPr>
            <w:fldChar w:fldCharType="end"/>
          </w:r>
        </w:p>
        <w:p w14:paraId="214E0209">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_Toc8762 </w:instrText>
          </w:r>
          <w:r>
            <w:rPr>
              <w:sz w:val="24"/>
              <w:szCs w:val="24"/>
            </w:rPr>
            <w:fldChar w:fldCharType="separate"/>
          </w:r>
          <w:r>
            <w:rPr>
              <w:rFonts w:hint="eastAsia" w:ascii="Times New Roman" w:hAnsi="Times New Roman" w:eastAsia="黑体"/>
              <w:sz w:val="24"/>
              <w:szCs w:val="24"/>
              <w:highlight w:val="none"/>
              <w:lang w:eastAsia="zh-CN"/>
            </w:rPr>
            <w:t>九、</w:t>
          </w:r>
          <w:r>
            <w:rPr>
              <w:rFonts w:hint="eastAsia" w:ascii="Times New Roman" w:hAnsi="Times New Roman"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_Toc8762 \h </w:instrText>
          </w:r>
          <w:r>
            <w:rPr>
              <w:sz w:val="24"/>
              <w:szCs w:val="24"/>
            </w:rPr>
            <w:fldChar w:fldCharType="separate"/>
          </w:r>
          <w:r>
            <w:rPr>
              <w:sz w:val="24"/>
              <w:szCs w:val="24"/>
            </w:rPr>
            <w:t>- 14 -</w:t>
          </w:r>
          <w:r>
            <w:rPr>
              <w:sz w:val="24"/>
              <w:szCs w:val="24"/>
            </w:rPr>
            <w:fldChar w:fldCharType="end"/>
          </w:r>
          <w:r>
            <w:rPr>
              <w:sz w:val="24"/>
              <w:szCs w:val="24"/>
            </w:rPr>
            <w:fldChar w:fldCharType="end"/>
          </w:r>
        </w:p>
        <w:p w14:paraId="59D0EDE5">
          <w:pPr>
            <w:pStyle w:val="41"/>
            <w:tabs>
              <w:tab w:val="right" w:leader="dot" w:pos="8306"/>
            </w:tabs>
            <w:spacing w:line="360" w:lineRule="auto"/>
            <w:rPr>
              <w:sz w:val="24"/>
              <w:szCs w:val="24"/>
            </w:rPr>
          </w:pPr>
          <w:r>
            <w:rPr>
              <w:sz w:val="24"/>
              <w:szCs w:val="24"/>
            </w:rPr>
            <w:fldChar w:fldCharType="begin"/>
          </w:r>
          <w:r>
            <w:rPr>
              <w:sz w:val="24"/>
              <w:szCs w:val="24"/>
            </w:rPr>
            <w:instrText xml:space="preserve"> HYPERLINK \l _Toc17500 </w:instrText>
          </w:r>
          <w:r>
            <w:rPr>
              <w:sz w:val="24"/>
              <w:szCs w:val="24"/>
            </w:rPr>
            <w:fldChar w:fldCharType="separate"/>
          </w:r>
          <w:r>
            <w:rPr>
              <w:rFonts w:hint="eastAsia" w:ascii="Times New Roman" w:hAnsi="Times New Roman" w:eastAsia="黑体"/>
              <w:sz w:val="24"/>
              <w:szCs w:val="24"/>
              <w:highlight w:val="none"/>
              <w:lang w:eastAsia="zh-CN"/>
            </w:rPr>
            <w:t>十、</w:t>
          </w:r>
          <w:r>
            <w:rPr>
              <w:rFonts w:hint="eastAsia" w:ascii="Times New Roman" w:hAnsi="Times New Roman"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_Toc17500 \h </w:instrText>
          </w:r>
          <w:r>
            <w:rPr>
              <w:sz w:val="24"/>
              <w:szCs w:val="24"/>
            </w:rPr>
            <w:fldChar w:fldCharType="separate"/>
          </w:r>
          <w:r>
            <w:rPr>
              <w:sz w:val="24"/>
              <w:szCs w:val="24"/>
            </w:rPr>
            <w:t>- 15 -</w:t>
          </w:r>
          <w:r>
            <w:rPr>
              <w:sz w:val="24"/>
              <w:szCs w:val="24"/>
            </w:rPr>
            <w:fldChar w:fldCharType="end"/>
          </w:r>
          <w:r>
            <w:rPr>
              <w:sz w:val="24"/>
              <w:szCs w:val="24"/>
            </w:rPr>
            <w:fldChar w:fldCharType="end"/>
          </w:r>
        </w:p>
        <w:p w14:paraId="6E5D5BE8">
          <w:pPr>
            <w:pStyle w:val="40"/>
            <w:tabs>
              <w:tab w:val="right" w:leader="dot" w:pos="8306"/>
            </w:tabs>
            <w:spacing w:line="360" w:lineRule="auto"/>
            <w:rPr>
              <w:b/>
              <w:sz w:val="24"/>
              <w:szCs w:val="24"/>
            </w:rPr>
          </w:pPr>
          <w:r>
            <w:rPr>
              <w:b/>
              <w:sz w:val="24"/>
              <w:szCs w:val="24"/>
            </w:rPr>
            <w:fldChar w:fldCharType="begin"/>
          </w:r>
          <w:r>
            <w:rPr>
              <w:b/>
              <w:sz w:val="24"/>
              <w:szCs w:val="24"/>
            </w:rPr>
            <w:instrText xml:space="preserve"> HYPERLINK \l _Toc12143 </w:instrText>
          </w:r>
          <w:r>
            <w:rPr>
              <w:b/>
              <w:sz w:val="24"/>
              <w:szCs w:val="24"/>
            </w:rPr>
            <w:fldChar w:fldCharType="separate"/>
          </w:r>
          <w:r>
            <w:rPr>
              <w:rFonts w:hint="eastAsia" w:ascii="Times New Roman" w:hAnsi="Times New Roman" w:eastAsia="黑体"/>
              <w:b/>
              <w:sz w:val="24"/>
              <w:szCs w:val="24"/>
              <w:highlight w:val="none"/>
            </w:rPr>
            <w:t>第</w:t>
          </w:r>
          <w:r>
            <w:rPr>
              <w:rFonts w:hint="eastAsia" w:eastAsia="黑体"/>
              <w:b/>
              <w:sz w:val="24"/>
              <w:szCs w:val="24"/>
              <w:highlight w:val="none"/>
              <w:lang w:eastAsia="zh-CN"/>
            </w:rPr>
            <w:t>三</w:t>
          </w:r>
          <w:r>
            <w:rPr>
              <w:rFonts w:hint="eastAsia" w:ascii="Times New Roman" w:hAnsi="Times New Roman" w:eastAsia="黑体"/>
              <w:b/>
              <w:sz w:val="24"/>
              <w:szCs w:val="24"/>
              <w:highlight w:val="none"/>
            </w:rPr>
            <w:t>部分</w:t>
          </w:r>
          <w:r>
            <w:rPr>
              <w:rFonts w:hint="eastAsia" w:ascii="Times New Roman" w:hAnsi="Times New Roman" w:eastAsia="黑体"/>
              <w:b/>
              <w:sz w:val="24"/>
              <w:szCs w:val="24"/>
              <w:highlight w:val="none"/>
              <w:lang w:val="en-US" w:eastAsia="zh-CN"/>
            </w:rPr>
            <w:t xml:space="preserve"> </w:t>
          </w:r>
          <w:r>
            <w:rPr>
              <w:rFonts w:hint="eastAsia" w:eastAsia="黑体"/>
              <w:b/>
              <w:sz w:val="24"/>
              <w:szCs w:val="24"/>
              <w:highlight w:val="none"/>
              <w:lang w:val="en-US" w:eastAsia="zh-CN"/>
            </w:rPr>
            <w:t xml:space="preserve"> </w:t>
          </w:r>
          <w:r>
            <w:rPr>
              <w:rFonts w:hint="eastAsia" w:ascii="Times New Roman" w:hAnsi="Times New Roman"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_Toc12143 \h </w:instrText>
          </w:r>
          <w:r>
            <w:rPr>
              <w:b/>
              <w:sz w:val="24"/>
              <w:szCs w:val="24"/>
            </w:rPr>
            <w:fldChar w:fldCharType="separate"/>
          </w:r>
          <w:r>
            <w:rPr>
              <w:b/>
              <w:sz w:val="24"/>
              <w:szCs w:val="24"/>
            </w:rPr>
            <w:t>- 18 -</w:t>
          </w:r>
          <w:r>
            <w:rPr>
              <w:b/>
              <w:sz w:val="24"/>
              <w:szCs w:val="24"/>
            </w:rPr>
            <w:fldChar w:fldCharType="end"/>
          </w:r>
          <w:r>
            <w:rPr>
              <w:b/>
              <w:sz w:val="24"/>
              <w:szCs w:val="24"/>
            </w:rPr>
            <w:fldChar w:fldCharType="end"/>
          </w:r>
        </w:p>
        <w:p w14:paraId="623894C7">
          <w:pPr>
            <w:pStyle w:val="40"/>
            <w:tabs>
              <w:tab w:val="right" w:leader="dot" w:pos="8306"/>
            </w:tabs>
            <w:spacing w:line="360" w:lineRule="auto"/>
            <w:rPr>
              <w:b/>
              <w:sz w:val="24"/>
              <w:szCs w:val="24"/>
            </w:rPr>
          </w:pPr>
          <w:r>
            <w:rPr>
              <w:b/>
              <w:sz w:val="24"/>
              <w:szCs w:val="24"/>
            </w:rPr>
            <w:fldChar w:fldCharType="begin"/>
          </w:r>
          <w:r>
            <w:rPr>
              <w:b/>
              <w:sz w:val="24"/>
              <w:szCs w:val="24"/>
            </w:rPr>
            <w:instrText xml:space="preserve"> HYPERLINK \l _Toc27006 </w:instrText>
          </w:r>
          <w:r>
            <w:rPr>
              <w:b/>
              <w:sz w:val="24"/>
              <w:szCs w:val="24"/>
            </w:rPr>
            <w:fldChar w:fldCharType="separate"/>
          </w:r>
          <w:r>
            <w:rPr>
              <w:rFonts w:hint="eastAsia" w:ascii="Times New Roman" w:hAnsi="Times New Roman" w:eastAsia="黑体"/>
              <w:b/>
              <w:sz w:val="24"/>
              <w:szCs w:val="24"/>
              <w:highlight w:val="none"/>
            </w:rPr>
            <w:t>第四部分</w:t>
          </w:r>
          <w:r>
            <w:rPr>
              <w:rFonts w:hint="eastAsia" w:ascii="Times New Roman" w:hAnsi="Times New Roman" w:eastAsia="黑体"/>
              <w:b/>
              <w:sz w:val="24"/>
              <w:szCs w:val="24"/>
              <w:highlight w:val="none"/>
              <w:lang w:val="en-US" w:eastAsia="zh-CN"/>
            </w:rPr>
            <w:t xml:space="preserve"> </w:t>
          </w:r>
          <w:r>
            <w:rPr>
              <w:rFonts w:hint="eastAsia" w:ascii="Times New Roman" w:hAnsi="Times New Roman" w:eastAsia="黑体"/>
              <w:b/>
              <w:sz w:val="24"/>
              <w:szCs w:val="24"/>
              <w:highlight w:val="none"/>
            </w:rPr>
            <w:t xml:space="preserve"> 附件</w:t>
          </w:r>
          <w:r>
            <w:rPr>
              <w:b/>
              <w:sz w:val="24"/>
              <w:szCs w:val="24"/>
            </w:rPr>
            <w:tab/>
          </w:r>
          <w:r>
            <w:rPr>
              <w:b/>
              <w:sz w:val="24"/>
              <w:szCs w:val="24"/>
            </w:rPr>
            <w:fldChar w:fldCharType="begin"/>
          </w:r>
          <w:r>
            <w:rPr>
              <w:b/>
              <w:sz w:val="24"/>
              <w:szCs w:val="24"/>
            </w:rPr>
            <w:instrText xml:space="preserve"> PAGEREF _Toc27006 \h </w:instrText>
          </w:r>
          <w:r>
            <w:rPr>
              <w:b/>
              <w:sz w:val="24"/>
              <w:szCs w:val="24"/>
            </w:rPr>
            <w:fldChar w:fldCharType="separate"/>
          </w:r>
          <w:r>
            <w:rPr>
              <w:b/>
              <w:sz w:val="24"/>
              <w:szCs w:val="24"/>
            </w:rPr>
            <w:t>- 21 -</w:t>
          </w:r>
          <w:r>
            <w:rPr>
              <w:b/>
              <w:sz w:val="24"/>
              <w:szCs w:val="24"/>
            </w:rPr>
            <w:fldChar w:fldCharType="end"/>
          </w:r>
          <w:r>
            <w:rPr>
              <w:b/>
              <w:sz w:val="24"/>
              <w:szCs w:val="24"/>
            </w:rPr>
            <w:fldChar w:fldCharType="end"/>
          </w:r>
        </w:p>
        <w:p w14:paraId="792A21BE">
          <w:pPr>
            <w:pStyle w:val="40"/>
            <w:tabs>
              <w:tab w:val="right" w:leader="dot" w:pos="8306"/>
            </w:tabs>
            <w:spacing w:line="360" w:lineRule="auto"/>
            <w:rPr>
              <w:b/>
              <w:sz w:val="24"/>
              <w:szCs w:val="24"/>
            </w:rPr>
          </w:pPr>
          <w:r>
            <w:rPr>
              <w:b/>
              <w:sz w:val="24"/>
              <w:szCs w:val="24"/>
            </w:rPr>
            <w:fldChar w:fldCharType="begin"/>
          </w:r>
          <w:r>
            <w:rPr>
              <w:b/>
              <w:sz w:val="24"/>
              <w:szCs w:val="24"/>
            </w:rPr>
            <w:instrText xml:space="preserve"> HYPERLINK \l _Toc14216 </w:instrText>
          </w:r>
          <w:r>
            <w:rPr>
              <w:b/>
              <w:sz w:val="24"/>
              <w:szCs w:val="24"/>
            </w:rPr>
            <w:fldChar w:fldCharType="separate"/>
          </w:r>
          <w:r>
            <w:rPr>
              <w:rFonts w:hint="eastAsia" w:ascii="Times New Roman" w:hAnsi="Times New Roman" w:eastAsia="黑体"/>
              <w:b/>
              <w:sz w:val="24"/>
              <w:szCs w:val="24"/>
              <w:highlight w:val="none"/>
            </w:rPr>
            <w:t xml:space="preserve">第五部分 </w:t>
          </w:r>
          <w:r>
            <w:rPr>
              <w:rFonts w:hint="eastAsia" w:ascii="Times New Roman" w:hAnsi="Times New Roman" w:eastAsia="黑体"/>
              <w:b/>
              <w:sz w:val="24"/>
              <w:szCs w:val="24"/>
              <w:highlight w:val="none"/>
              <w:lang w:val="en-US" w:eastAsia="zh-CN"/>
            </w:rPr>
            <w:t xml:space="preserve"> </w:t>
          </w:r>
          <w:r>
            <w:rPr>
              <w:rFonts w:hint="eastAsia" w:ascii="Times New Roman" w:hAnsi="Times New Roman" w:eastAsia="黑体"/>
              <w:b/>
              <w:sz w:val="24"/>
              <w:szCs w:val="24"/>
              <w:highlight w:val="none"/>
            </w:rPr>
            <w:t>附表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r>
            <w:rPr>
              <w:b/>
              <w:sz w:val="24"/>
              <w:szCs w:val="24"/>
            </w:rPr>
            <w:fldChar w:fldCharType="end"/>
          </w:r>
        </w:p>
        <w:p w14:paraId="06406241">
          <w:pPr>
            <w:pStyle w:val="41"/>
            <w:keepNext w:val="0"/>
            <w:keepLines w:val="0"/>
            <w:pageBreakBefore w:val="0"/>
            <w:widowControl/>
            <w:tabs>
              <w:tab w:val="right" w:leader="dot" w:pos="8306"/>
            </w:tabs>
            <w:kinsoku/>
            <w:wordWrap/>
            <w:overflowPunct/>
            <w:topLinePunct w:val="0"/>
            <w:autoSpaceDE/>
            <w:autoSpaceDN/>
            <w:bidi w:val="0"/>
            <w:adjustRightInd/>
            <w:snapToGrid/>
            <w:spacing w:line="120" w:lineRule="exact"/>
            <w:textAlignment w:val="auto"/>
          </w:pPr>
          <w:r>
            <w:rPr>
              <w:b/>
              <w:sz w:val="24"/>
              <w:szCs w:val="24"/>
            </w:rPr>
            <w:fldChar w:fldCharType="end"/>
          </w:r>
        </w:p>
      </w:sdtContent>
    </w:sdt>
    <w:p w14:paraId="55647944">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bookmarkStart w:id="6" w:name="_Toc15377196"/>
      <w:bookmarkStart w:id="7" w:name="_Toc17254"/>
      <w:bookmarkStart w:id="8" w:name="_Toc15396599"/>
      <w:r>
        <w:rPr>
          <w:rFonts w:hint="eastAsia" w:ascii="Times New Roman" w:hAnsi="Times New Roman" w:eastAsia="黑体"/>
          <w:sz w:val="24"/>
          <w:szCs w:val="24"/>
          <w:highlight w:val="none"/>
        </w:rPr>
        <w:t>一、收入支出决算总表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19CBEBE8">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二、收入决算表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54BAEE31">
      <w:pPr>
        <w:pStyle w:val="41"/>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1155" w:leftChars="550"/>
        <w:textAlignment w:val="auto"/>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三、支出决算表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5909258A">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四、财政拨款收入支出决算总表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1C4051DF">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五、财政拨款支出决算明细表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7C454581">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六、一般公共预算财政拨款支出决算表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7A474062">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七、一般公共预算财政拨款支出决算明细表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471A7E38">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八、一般公共预算财政拨款基本支出决算表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1FEC75C5">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九、一般公共预算财政拨款项目支出决算表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6CC756A5">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十、政府性基金预算财政拨款收入支出决算表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2EE7A3CE">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十一、国有资本经营预算</w:t>
      </w:r>
      <w:r>
        <w:rPr>
          <w:rFonts w:hint="eastAsia" w:ascii="Times New Roman" w:hAnsi="Times New Roman" w:eastAsia="黑体"/>
          <w:sz w:val="24"/>
          <w:szCs w:val="24"/>
          <w:highlight w:val="none"/>
          <w:lang w:eastAsia="zh-CN"/>
        </w:rPr>
        <w:t>财政拨款收入</w:t>
      </w:r>
      <w:r>
        <w:rPr>
          <w:rFonts w:hint="eastAsia" w:ascii="Times New Roman" w:hAnsi="Times New Roman" w:eastAsia="黑体"/>
          <w:sz w:val="24"/>
          <w:szCs w:val="24"/>
          <w:highlight w:val="none"/>
        </w:rPr>
        <w:t>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42D76ACA">
      <w:pPr>
        <w:pStyle w:val="41"/>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十二、</w:t>
      </w:r>
      <w:r>
        <w:rPr>
          <w:rFonts w:hint="eastAsia" w:ascii="Times New Roman" w:hAnsi="Times New Roman" w:eastAsia="黑体"/>
          <w:sz w:val="24"/>
          <w:szCs w:val="24"/>
          <w:highlight w:val="none"/>
          <w:lang w:eastAsia="zh-CN"/>
        </w:rPr>
        <w:t>国有资本经营预算财政拨款支出决算表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63F50BB4">
      <w:pPr>
        <w:pStyle w:val="41"/>
        <w:tabs>
          <w:tab w:val="right" w:leader="dot" w:pos="8306"/>
        </w:tabs>
        <w:spacing w:line="360" w:lineRule="auto"/>
        <w:ind w:firstLine="720" w:firstLineChars="300"/>
        <w:rPr>
          <w:rFonts w:hint="eastAsia" w:ascii="Times New Roman" w:hAnsi="Times New Roman" w:eastAsia="黑体"/>
          <w:sz w:val="24"/>
          <w:szCs w:val="24"/>
          <w:highlight w:val="none"/>
          <w:lang w:eastAsia="zh-CN"/>
        </w:rPr>
      </w:pPr>
      <w:r>
        <w:rPr>
          <w:rFonts w:hint="eastAsia" w:ascii="Times New Roman" w:hAnsi="Times New Roman" w:eastAsia="黑体"/>
          <w:sz w:val="24"/>
          <w:szCs w:val="24"/>
          <w:highlight w:val="none"/>
        </w:rPr>
        <w:t>十三、</w:t>
      </w:r>
      <w:r>
        <w:rPr>
          <w:rFonts w:hint="eastAsia" w:ascii="Times New Roman" w:hAnsi="Times New Roman" w:eastAsia="黑体"/>
          <w:sz w:val="24"/>
          <w:szCs w:val="24"/>
          <w:highlight w:val="none"/>
          <w:lang w:eastAsia="zh-CN"/>
        </w:rPr>
        <w:t>财政拨款“三公”经费支出决算表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- 60 -</w:t>
      </w:r>
      <w:r>
        <w:rPr>
          <w:b/>
          <w:sz w:val="24"/>
          <w:szCs w:val="24"/>
        </w:rPr>
        <w:fldChar w:fldCharType="end"/>
      </w:r>
    </w:p>
    <w:p w14:paraId="1CFE7A64">
      <w:pPr>
        <w:pStyle w:val="41"/>
        <w:tabs>
          <w:tab w:val="right" w:leader="dot" w:pos="8306"/>
        </w:tabs>
        <w:spacing w:line="360" w:lineRule="auto"/>
        <w:rPr>
          <w:rFonts w:hint="eastAsia" w:ascii="Times New Roman" w:hAnsi="Times New Roman" w:eastAsia="黑体"/>
          <w:sz w:val="24"/>
          <w:szCs w:val="24"/>
          <w:highlight w:val="none"/>
        </w:rPr>
        <w:sectPr>
          <w:footerReference r:id="rId5" w:type="default"/>
          <w:pgSz w:w="11906" w:h="16838"/>
          <w:pgMar w:top="2098" w:right="1474" w:bottom="1984" w:left="1587" w:header="851" w:footer="992" w:gutter="0"/>
          <w:pgNumType w:fmt="numberInDash" w:start="1"/>
          <w:cols w:space="425" w:num="1"/>
          <w:docGrid w:type="lines" w:linePitch="312" w:charSpace="0"/>
        </w:sectPr>
      </w:pPr>
    </w:p>
    <w:p w14:paraId="1B555DEA">
      <w:pPr>
        <w:pStyle w:val="3"/>
        <w:spacing w:before="0" w:beforeAutospacing="0" w:after="0" w:afterAutospacing="0" w:line="700" w:lineRule="exact"/>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3"/>
          <w:rFonts w:hint="eastAsia" w:ascii="Times New Roman" w:hAnsi="Times New Roman" w:eastAsia="方正小标宋简体" w:cs="方正小标宋简体"/>
          <w:b w:val="0"/>
          <w:bCs w:val="0"/>
          <w:color w:val="auto"/>
          <w:highlight w:val="none"/>
        </w:rPr>
        <w:t>部门概况</w:t>
      </w:r>
      <w:bookmarkEnd w:id="6"/>
      <w:bookmarkEnd w:id="7"/>
      <w:bookmarkEnd w:id="8"/>
    </w:p>
    <w:p w14:paraId="6467571B">
      <w:pPr>
        <w:pStyle w:val="4"/>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黑体"/>
          <w:b w:val="0"/>
          <w:color w:val="auto"/>
          <w:highlight w:val="none"/>
        </w:rPr>
      </w:pPr>
      <w:bookmarkStart w:id="9" w:name="_Toc15377197"/>
      <w:bookmarkStart w:id="10" w:name="_Toc15396600"/>
      <w:bookmarkStart w:id="11" w:name="_Toc12067"/>
    </w:p>
    <w:p w14:paraId="5A310C46">
      <w:pPr>
        <w:pStyle w:val="4"/>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eastAsia="zh-CN"/>
        </w:rPr>
        <w:t>部门职责</w:t>
      </w:r>
      <w:bookmarkEnd w:id="11"/>
    </w:p>
    <w:p w14:paraId="020227A0">
      <w:pPr>
        <w:spacing w:line="560" w:lineRule="exact"/>
        <w:ind w:firstLine="660" w:firstLineChars="200"/>
        <w:rPr>
          <w:rFonts w:hint="eastAsia" w:ascii="Times New Roman" w:hAnsi="Times New Roman" w:eastAsia="仿宋_GB2312" w:cs="Times New Roman"/>
          <w:kern w:val="2"/>
          <w:sz w:val="33"/>
          <w:szCs w:val="33"/>
          <w:lang w:val="en-US" w:eastAsia="zh-CN" w:bidi="ar-SA"/>
        </w:rPr>
      </w:pPr>
      <w:bookmarkStart w:id="12" w:name="_Toc15377200"/>
      <w:bookmarkStart w:id="13" w:name="_Toc15396601"/>
      <w:bookmarkStart w:id="14" w:name="_Toc9967"/>
      <w:r>
        <w:rPr>
          <w:rFonts w:hint="eastAsia" w:ascii="Times New Roman" w:hAnsi="Times New Roman" w:eastAsia="仿宋_GB2312" w:cs="Times New Roman"/>
          <w:kern w:val="2"/>
          <w:sz w:val="33"/>
          <w:szCs w:val="33"/>
          <w:lang w:val="en-US" w:eastAsia="zh-CN" w:bidi="ar-SA"/>
        </w:rPr>
        <w:t xml:space="preserve">1.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省委、市委、区委关于统一战线工作的重大决策部署，巩固壮大最广泛的统一战线。 </w:t>
      </w:r>
    </w:p>
    <w:p w14:paraId="5024957B">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2.贯彻落实统一战线工作的政策措施，深入调查研究，及时向区委报告统一战线工作情况并提出建议，统筹协调和指导各地、各部门（单位）统一</w:t>
      </w:r>
      <w:bookmarkStart w:id="83" w:name="_GoBack"/>
      <w:bookmarkEnd w:id="83"/>
      <w:r>
        <w:rPr>
          <w:rFonts w:hint="eastAsia" w:ascii="Times New Roman" w:hAnsi="Times New Roman" w:eastAsia="仿宋_GB2312" w:cs="Times New Roman"/>
          <w:kern w:val="2"/>
          <w:sz w:val="33"/>
          <w:szCs w:val="33"/>
          <w:lang w:val="en-US" w:eastAsia="zh-CN" w:bidi="ar-SA"/>
        </w:rPr>
        <w:t>战线工作。</w:t>
      </w:r>
    </w:p>
    <w:p w14:paraId="1EAEE745">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3.负责发现、培养党外代表人士，制定党外干部培养规划，负责党外人士的政治安排，认真贯彻落实《中国共产党统一战线工作条例</w:t>
      </w:r>
      <w:r>
        <w:rPr>
          <w:rFonts w:ascii="Times New Roman" w:hAnsi="Times New Roman" w:eastAsia="仿宋_GB2312" w:cs="Times New Roman"/>
          <w:kern w:val="2"/>
          <w:sz w:val="33"/>
          <w:szCs w:val="33"/>
          <w:lang w:val="en-US" w:eastAsia="zh-CN" w:bidi="ar-SA"/>
        </w:rPr>
        <w:t>（</w:t>
      </w:r>
      <w:r>
        <w:rPr>
          <w:rFonts w:hint="eastAsia" w:ascii="Times New Roman" w:hAnsi="Times New Roman" w:eastAsia="仿宋_GB2312" w:cs="Times New Roman"/>
          <w:kern w:val="2"/>
          <w:sz w:val="33"/>
          <w:szCs w:val="33"/>
          <w:lang w:val="en-US" w:eastAsia="zh-CN" w:bidi="ar-SA"/>
        </w:rPr>
        <w:t>试行</w:t>
      </w:r>
      <w:r>
        <w:rPr>
          <w:rFonts w:ascii="Times New Roman" w:hAnsi="Times New Roman" w:eastAsia="仿宋_GB2312" w:cs="Times New Roman"/>
          <w:kern w:val="2"/>
          <w:sz w:val="33"/>
          <w:szCs w:val="33"/>
          <w:lang w:val="en-US" w:eastAsia="zh-CN" w:bidi="ar-SA"/>
        </w:rPr>
        <w:t>）</w:t>
      </w:r>
      <w:r>
        <w:rPr>
          <w:rFonts w:hint="eastAsia" w:ascii="Times New Roman" w:hAnsi="Times New Roman" w:eastAsia="仿宋_GB2312" w:cs="Times New Roman"/>
          <w:kern w:val="2"/>
          <w:sz w:val="33"/>
          <w:szCs w:val="33"/>
          <w:lang w:val="en-US" w:eastAsia="zh-CN" w:bidi="ar-SA"/>
        </w:rPr>
        <w:t xml:space="preserve">》有关党外于部配备刚 性规定，会同有关部门做好党外干部实职安排。 协助民主党派安居总支、区工商联做好干部管理工作，反映和协调解决党外代表人士工作生活中的实际困难。 </w:t>
      </w:r>
    </w:p>
    <w:p w14:paraId="0153AA5D">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4.贯彻落实党的宣传工作方针，统筹推进全区统一战线宣传和意识形态工作，组织贯彻落实党中央、省委、市委、区委统一战线宣传工作政策和规划，统筹推进网络统战工作，打造网络统战工作平台，研判涉及统一战线的舆情并协调有关部门应对处置。 </w:t>
      </w:r>
    </w:p>
    <w:p w14:paraId="0BF164D2">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5.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 </w:t>
      </w:r>
    </w:p>
    <w:p w14:paraId="342FB23B">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6.贯彻落实党的民族工作方针、政策和重大措施，协调处理民族工作中的重大问题，根据分工，统筹协调做好少数民族干部工作，依法管理民族事务，全面促进民族事业发展。 </w:t>
      </w:r>
    </w:p>
    <w:p w14:paraId="532DAAE3">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7.贯彻落实党的宗数工作基本方针和政策，研究拟订宗教工作的重大政策措施并督促落实，依法管理宗教行政事务，保护公民宗教信仰自由和正常的宗教活动，维护宗教界合法权益，抵御境外利用宗教进行渗透，引导各宗教坚持中国化方内，巩国和发展同宗教界的爱国统一战线。</w:t>
      </w:r>
    </w:p>
    <w:p w14:paraId="05785F51">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8.负责联系、培养无党派代表人士，支持、帮助无党派人士加强自身建设、发挥作用。调查研究全区党外知识 分子情况并提出政策建议，联系、 培养党外知识分子代表人士，开展思想政治工作，指导学校、医院、国有企业等有关单位开展统战工作。 </w:t>
      </w:r>
    </w:p>
    <w:p w14:paraId="63DB04EB">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9.负责联系、培养新的社会阶层代表人士，支持、帮助新的社会阶层人士加强自身建设、发挥作用。调查研究全区新的社会阶层人士情况并提出政策建议，开展思想政治工作，指导社会组织开展新的社会阶层人士统战工作。 </w:t>
      </w:r>
    </w:p>
    <w:p w14:paraId="2E4F68F9">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10.承担全区非公有制经济协调工作，负责全区引导非公有制经济代表人士工作，参与制定、推动落实鼓励支持非公有制经济发展的政策，调查研究全区非公有制经济人士情况并提出政策建议，了解和反映非公有制经济人士的意见，团结、服务、引导、教育非公有制经济人士，促进非公有制经济健康发展和非公有制经济人士健康成长。 </w:t>
      </w:r>
    </w:p>
    <w:p w14:paraId="588F2B83">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11.统一管理侨务工作，贯彻落实党的侨务工作方针政策，拟订全区侨务工作规划并组织协调、督促检查落实，调查研究侨情和侨务工作情况，管理侨务行政事务，统筹协调有关部门和社会团体涉侨工作，联系海外有关侨团和代表人士，负责海外侨胞代表人士在相关统战团体的安排，指导推动涉侨宣传、文化交流、华文教育工作等，保护华侨和归侨侨眷在区内的合法权利和利益。 </w:t>
      </w:r>
    </w:p>
    <w:p w14:paraId="5D3E5A6F">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12.统一管理台湾事务工作。贯彻落实中、省、市海外统战工作政策和规划并组织协调、督促检查落实，联系港澳台有关党派、团体及代表人士。调查研究台情和涉台事务工作情况，提出政策建议。组织、指导、管理、协调各地各部门对台工作。负责我区同台湾有关党派、团体和各阶层人士的重大交流交往和反对“台独”工作。负责我区对台上层联络工作。负责对台宣传、涉台教育和有关台湾工作的新闻发布。 </w:t>
      </w:r>
    </w:p>
    <w:p w14:paraId="040921D8">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13.协助管理乡镇</w:t>
      </w:r>
      <w:r>
        <w:rPr>
          <w:rFonts w:ascii="Times New Roman" w:hAnsi="Times New Roman" w:eastAsia="仿宋_GB2312" w:cs="Times New Roman"/>
          <w:kern w:val="2"/>
          <w:sz w:val="33"/>
          <w:szCs w:val="33"/>
          <w:lang w:val="en-US" w:eastAsia="zh-CN" w:bidi="ar-SA"/>
        </w:rPr>
        <w:t>（</w:t>
      </w:r>
      <w:r>
        <w:rPr>
          <w:rFonts w:hint="eastAsia" w:ascii="Times New Roman" w:hAnsi="Times New Roman" w:eastAsia="仿宋_GB2312" w:cs="Times New Roman"/>
          <w:kern w:val="2"/>
          <w:sz w:val="33"/>
          <w:szCs w:val="33"/>
          <w:lang w:val="en-US" w:eastAsia="zh-CN" w:bidi="ar-SA"/>
        </w:rPr>
        <w:t>街道</w:t>
      </w:r>
      <w:r>
        <w:rPr>
          <w:rFonts w:ascii="Times New Roman" w:hAnsi="Times New Roman" w:eastAsia="仿宋_GB2312" w:cs="Times New Roman"/>
          <w:kern w:val="2"/>
          <w:sz w:val="33"/>
          <w:szCs w:val="33"/>
          <w:lang w:val="en-US" w:eastAsia="zh-CN" w:bidi="ar-SA"/>
        </w:rPr>
        <w:t>）</w:t>
      </w:r>
      <w:r>
        <w:rPr>
          <w:rFonts w:hint="eastAsia" w:ascii="Times New Roman" w:hAnsi="Times New Roman" w:eastAsia="仿宋_GB2312" w:cs="Times New Roman"/>
          <w:kern w:val="2"/>
          <w:sz w:val="33"/>
          <w:szCs w:val="33"/>
          <w:lang w:val="en-US" w:eastAsia="zh-CN" w:bidi="ar-SA"/>
        </w:rPr>
        <w:t xml:space="preserve">统战人员，受区委委托，领导区工商联党组，指导工商联工作，做好统一战线有关单位和团体及事业单位的管理工作。 </w:t>
      </w:r>
    </w:p>
    <w:p w14:paraId="04DA7616">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14.负责职责范围内的安全生产和职业健康、生态环境保护、审批服务便民化、市场监管、依法治理等工作。</w:t>
      </w:r>
    </w:p>
    <w:p w14:paraId="511C699E">
      <w:pPr>
        <w:spacing w:line="560" w:lineRule="exact"/>
        <w:ind w:firstLine="660" w:firstLineChars="200"/>
        <w:rPr>
          <w:rFonts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15.完成区委交办的其他任务。</w:t>
      </w:r>
    </w:p>
    <w:p w14:paraId="274F468B">
      <w:pPr>
        <w:pStyle w:val="4"/>
        <w:spacing w:before="0" w:beforeAutospacing="0" w:after="0" w:afterAutospacing="0" w:line="560" w:lineRule="exact"/>
        <w:ind w:firstLine="640" w:firstLineChars="200"/>
        <w:rPr>
          <w:rStyle w:val="24"/>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4"/>
          <w:rFonts w:hint="eastAsia" w:ascii="Times New Roman" w:hAnsi="Times New Roman" w:eastAsia="黑体"/>
          <w:b w:val="0"/>
          <w:bCs w:val="0"/>
          <w:color w:val="auto"/>
          <w:highlight w:val="none"/>
        </w:rPr>
        <w:t>构设置</w:t>
      </w:r>
      <w:bookmarkEnd w:id="12"/>
      <w:bookmarkEnd w:id="13"/>
      <w:bookmarkEnd w:id="14"/>
    </w:p>
    <w:p w14:paraId="78A598D7">
      <w:pPr>
        <w:spacing w:before="0" w:beforeAutospacing="0" w:after="0" w:afterAutospacing="0" w:line="560" w:lineRule="exact"/>
        <w:ind w:firstLine="709"/>
        <w:rPr>
          <w:rFonts w:eastAsia="仿宋_GB2312"/>
          <w:bCs/>
          <w:color w:val="000000"/>
          <w:sz w:val="32"/>
          <w:szCs w:val="32"/>
        </w:rPr>
      </w:pPr>
      <w:bookmarkStart w:id="15" w:name="_Toc15396602"/>
      <w:bookmarkStart w:id="16" w:name="_Toc15377204"/>
      <w:bookmarkStart w:id="17" w:name="_Toc13167"/>
      <w:r>
        <w:rPr>
          <w:rFonts w:eastAsia="仿宋_GB2312"/>
          <w:bCs/>
          <w:color w:val="000000"/>
          <w:sz w:val="32"/>
          <w:szCs w:val="32"/>
        </w:rPr>
        <w:t>区委统战部下属事业单位1个，其中行政单位</w:t>
      </w:r>
      <w:r>
        <w:rPr>
          <w:bCs/>
          <w:color w:val="000000"/>
          <w:sz w:val="32"/>
          <w:szCs w:val="32"/>
          <w:lang w:val="en-US" w:eastAsia="zh-CN"/>
        </w:rPr>
        <w:t>0</w:t>
      </w:r>
      <w:r>
        <w:rPr>
          <w:rFonts w:eastAsia="仿宋_GB2312"/>
          <w:bCs/>
          <w:color w:val="000000"/>
          <w:sz w:val="32"/>
          <w:szCs w:val="32"/>
        </w:rPr>
        <w:t>个，参照公务员法管理的事业单位</w:t>
      </w:r>
      <w:r>
        <w:rPr>
          <w:bCs/>
          <w:color w:val="000000"/>
          <w:sz w:val="32"/>
          <w:szCs w:val="32"/>
          <w:lang w:val="en-US" w:eastAsia="zh-CN"/>
        </w:rPr>
        <w:t>0</w:t>
      </w:r>
      <w:r>
        <w:rPr>
          <w:rFonts w:eastAsia="仿宋_GB2312"/>
          <w:bCs/>
          <w:color w:val="000000"/>
          <w:sz w:val="32"/>
          <w:szCs w:val="32"/>
        </w:rPr>
        <w:t>个，其他事业单位1个。</w:t>
      </w:r>
    </w:p>
    <w:p w14:paraId="14F6093F">
      <w:pPr>
        <w:pStyle w:val="2"/>
      </w:pPr>
    </w:p>
    <w:p w14:paraId="2007599C"/>
    <w:p w14:paraId="1898F384">
      <w:pPr>
        <w:pStyle w:val="2"/>
      </w:pPr>
    </w:p>
    <w:p w14:paraId="1AC646AA">
      <w:pPr>
        <w:pStyle w:val="3"/>
        <w:spacing w:before="0" w:beforeAutospacing="0" w:after="0" w:afterAutospacing="0" w:line="700" w:lineRule="exact"/>
        <w:jc w:val="center"/>
        <w:rPr>
          <w:rFonts w:eastAsia="方正小标宋简体"/>
          <w:b w:val="0"/>
          <w:color w:val="auto"/>
          <w:highlight w:val="none"/>
        </w:rPr>
      </w:pPr>
    </w:p>
    <w:p w14:paraId="5556EECE">
      <w:pPr>
        <w:pStyle w:val="3"/>
        <w:spacing w:before="0" w:beforeAutospacing="0" w:after="0" w:afterAutospacing="0" w:line="700" w:lineRule="exact"/>
        <w:jc w:val="center"/>
        <w:rPr>
          <w:rFonts w:eastAsia="方正小标宋简体"/>
          <w:b w:val="0"/>
          <w:color w:val="auto"/>
          <w:highlight w:val="none"/>
        </w:rPr>
      </w:pPr>
    </w:p>
    <w:p w14:paraId="06E24941">
      <w:pPr>
        <w:pStyle w:val="3"/>
        <w:spacing w:before="0" w:beforeAutospacing="0" w:after="0" w:afterAutospacing="0" w:line="700" w:lineRule="exact"/>
        <w:jc w:val="center"/>
        <w:rPr>
          <w:rFonts w:eastAsia="方正小标宋简体"/>
          <w:b w:val="0"/>
          <w:color w:val="auto"/>
          <w:highlight w:val="none"/>
        </w:rPr>
      </w:pPr>
    </w:p>
    <w:p w14:paraId="10C7F078">
      <w:pPr>
        <w:pStyle w:val="3"/>
        <w:spacing w:before="0" w:beforeAutospacing="0" w:after="0" w:afterAutospacing="0" w:line="700" w:lineRule="exact"/>
        <w:jc w:val="center"/>
        <w:rPr>
          <w:rFonts w:eastAsia="方正小标宋简体"/>
          <w:b w:val="0"/>
          <w:color w:val="auto"/>
          <w:highlight w:val="none"/>
        </w:rPr>
      </w:pPr>
    </w:p>
    <w:p w14:paraId="508C5FF1">
      <w:pPr>
        <w:pStyle w:val="3"/>
        <w:spacing w:before="0" w:beforeAutospacing="0" w:after="0" w:afterAutospacing="0" w:line="700" w:lineRule="exact"/>
        <w:jc w:val="center"/>
        <w:rPr>
          <w:rFonts w:eastAsia="方正小标宋简体"/>
          <w:b w:val="0"/>
          <w:color w:val="auto"/>
          <w:highlight w:val="none"/>
        </w:rPr>
      </w:pPr>
    </w:p>
    <w:p w14:paraId="0EFAC431">
      <w:pPr>
        <w:pStyle w:val="3"/>
        <w:spacing w:before="0" w:beforeAutospacing="0" w:after="0" w:afterAutospacing="0" w:line="700" w:lineRule="exact"/>
        <w:jc w:val="center"/>
        <w:rPr>
          <w:rFonts w:eastAsia="方正小标宋简体"/>
          <w:b w:val="0"/>
          <w:color w:val="auto"/>
          <w:highlight w:val="none"/>
        </w:rPr>
      </w:pPr>
    </w:p>
    <w:p w14:paraId="21770C6E"/>
    <w:p w14:paraId="7786085B">
      <w:pPr>
        <w:pStyle w:val="2"/>
      </w:pPr>
    </w:p>
    <w:p w14:paraId="47650122"/>
    <w:p w14:paraId="289F87B4">
      <w:pPr>
        <w:pStyle w:val="2"/>
      </w:pPr>
    </w:p>
    <w:p w14:paraId="4B999DE9"/>
    <w:p w14:paraId="432F588C">
      <w:pPr>
        <w:pStyle w:val="2"/>
      </w:pPr>
    </w:p>
    <w:p w14:paraId="45091DBA"/>
    <w:p w14:paraId="0CA2FAC5">
      <w:pPr>
        <w:pStyle w:val="2"/>
      </w:pPr>
    </w:p>
    <w:p w14:paraId="205F726C">
      <w:pPr>
        <w:pStyle w:val="3"/>
        <w:spacing w:before="0" w:beforeAutospacing="0" w:after="0" w:afterAutospacing="0" w:line="700" w:lineRule="exact"/>
        <w:jc w:val="center"/>
        <w:rPr>
          <w:rFonts w:eastAsia="方正小标宋简体"/>
          <w:b w:val="0"/>
          <w:color w:val="auto"/>
          <w:highlight w:val="none"/>
        </w:rPr>
      </w:pPr>
      <w:r>
        <w:rPr>
          <w:rFonts w:eastAsia="方正小标宋简体"/>
          <w:b w:val="0"/>
          <w:color w:val="auto"/>
          <w:highlight w:val="none"/>
        </w:rPr>
        <w:t>第二部分</w:t>
      </w:r>
      <w:r>
        <w:rPr>
          <w:rFonts w:eastAsia="方正小标宋简体"/>
          <w:b w:val="0"/>
          <w:color w:val="auto"/>
          <w:highlight w:val="none"/>
          <w:lang w:val="en-US" w:eastAsia="zh-CN"/>
        </w:rPr>
        <w:t xml:space="preserve"> </w:t>
      </w:r>
      <w:r>
        <w:rPr>
          <w:rFonts w:eastAsia="方正小标宋简体"/>
          <w:b w:val="0"/>
          <w:color w:val="auto"/>
          <w:highlight w:val="none"/>
        </w:rPr>
        <w:t xml:space="preserve"> </w:t>
      </w:r>
      <w:r>
        <w:rPr>
          <w:rFonts w:eastAsia="方正小标宋简体"/>
          <w:b w:val="0"/>
          <w:color w:val="auto"/>
          <w:highlight w:val="none"/>
          <w:lang w:val="en-US" w:eastAsia="zh-CN"/>
        </w:rPr>
        <w:t>2024年度</w:t>
      </w:r>
      <w:r>
        <w:rPr>
          <w:rFonts w:eastAsia="方正小标宋简体"/>
          <w:b w:val="0"/>
          <w:color w:val="auto"/>
          <w:highlight w:val="none"/>
        </w:rPr>
        <w:t>部门决算情况说明</w:t>
      </w:r>
      <w:bookmarkEnd w:id="15"/>
      <w:bookmarkEnd w:id="16"/>
      <w:bookmarkEnd w:id="17"/>
    </w:p>
    <w:p w14:paraId="190280BE">
      <w:pPr>
        <w:pStyle w:val="36"/>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Times New Roman" w:hAnsi="Times New Roman" w:eastAsia="黑体"/>
          <w:color w:val="auto"/>
          <w:sz w:val="32"/>
          <w:szCs w:val="32"/>
          <w:highlight w:val="none"/>
          <w:lang w:eastAsia="zh-CN"/>
        </w:rPr>
      </w:pPr>
      <w:bookmarkStart w:id="18" w:name="_Toc15396603"/>
      <w:bookmarkStart w:id="19" w:name="_Toc15377205"/>
      <w:bookmarkStart w:id="20" w:name="_Toc888"/>
    </w:p>
    <w:p w14:paraId="707131AB">
      <w:pPr>
        <w:pStyle w:val="3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1"/>
        <w:rPr>
          <w:rStyle w:val="24"/>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4"/>
          <w:rFonts w:hint="eastAsia" w:ascii="Times New Roman" w:hAnsi="Times New Roman" w:eastAsia="黑体"/>
          <w:b w:val="0"/>
          <w:color w:val="auto"/>
          <w:highlight w:val="none"/>
        </w:rPr>
        <w:t>入支出决算总体情况说明</w:t>
      </w:r>
      <w:bookmarkEnd w:id="18"/>
      <w:bookmarkEnd w:id="19"/>
      <w:bookmarkEnd w:id="20"/>
    </w:p>
    <w:p w14:paraId="312D5BF0">
      <w:pPr>
        <w:pStyle w:val="3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1"/>
        <w:rPr>
          <w:rFonts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2024年度收、支总计均为460.88万元。与2023年度相比，收、支总计各增加97.34万元，增长26.78%。主要变动原因系本年度因项目工作需要，较上年预算有所增加，例如本年增加了</w:t>
      </w:r>
      <w:r>
        <w:rPr>
          <w:rFonts w:hint="eastAsia" w:eastAsia="仿宋_GB2312" w:cs="仿宋_GB2312"/>
          <w:color w:val="auto"/>
          <w:sz w:val="32"/>
          <w:szCs w:val="32"/>
          <w:highlight w:val="none"/>
          <w:lang w:val="en-US" w:eastAsia="zh-CN"/>
        </w:rPr>
        <w:t>一次性项目</w:t>
      </w:r>
      <w:r>
        <w:rPr>
          <w:rFonts w:hint="eastAsia" w:ascii="Times New Roman" w:hAnsi="Times New Roman" w:eastAsia="仿宋_GB2312" w:cs="仿宋_GB2312"/>
          <w:color w:val="auto"/>
          <w:sz w:val="32"/>
          <w:szCs w:val="32"/>
          <w:highlight w:val="none"/>
          <w:lang w:val="en-US" w:eastAsia="zh-CN"/>
        </w:rPr>
        <w:t>“横山会议”活动、分水镇乡村振兴建设配套基础设施建设项目等。</w:t>
      </w:r>
    </w:p>
    <w:p w14:paraId="2151B39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4" t="4444" r="20955" b="14604"/>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9965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D876420">
      <w:pPr>
        <w:pStyle w:val="3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5396604"/>
      <w:bookmarkStart w:id="22" w:name="_Toc15377206"/>
      <w:bookmarkStart w:id="23" w:name="_Toc9005"/>
      <w:r>
        <w:rPr>
          <w:rFonts w:hint="eastAsia" w:ascii="Times New Roman" w:hAnsi="Times New Roman" w:eastAsia="黑体"/>
          <w:color w:val="auto"/>
          <w:sz w:val="32"/>
          <w:szCs w:val="32"/>
          <w:highlight w:val="none"/>
          <w:lang w:eastAsia="zh-CN"/>
        </w:rPr>
        <w:t>二、收入决算情况说明</w:t>
      </w:r>
      <w:bookmarkEnd w:id="21"/>
      <w:bookmarkEnd w:id="22"/>
      <w:bookmarkEnd w:id="23"/>
    </w:p>
    <w:p w14:paraId="5593DC5D">
      <w:pPr>
        <w:pStyle w:val="3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4" w:name="_Toc8621"/>
      <w:r>
        <w:rPr>
          <w:rFonts w:hint="eastAsia" w:ascii="Times New Roman" w:hAnsi="Times New Roman" w:eastAsia="仿宋_GB2312" w:cs="仿宋_GB2312"/>
          <w:color w:val="auto"/>
          <w:sz w:val="32"/>
          <w:szCs w:val="32"/>
          <w:highlight w:val="none"/>
          <w:lang w:eastAsia="zh-CN"/>
        </w:rPr>
        <w:t>2024年度本年收入合计460.88万元，其中：一般公共预算财政拨款收入460.88万元，占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w:t>
      </w:r>
      <w:bookmarkEnd w:id="24"/>
    </w:p>
    <w:p w14:paraId="1F30DA01">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4" t="4444" r="20955" b="14604"/>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F27309">
      <w:pPr>
        <w:spacing w:beforeAutospacing="0" w:afterAutospacing="0" w:line="560" w:lineRule="exact"/>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1AEB4A6">
      <w:pPr>
        <w:pStyle w:val="3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Style w:val="24"/>
          <w:rFonts w:hint="eastAsia" w:ascii="Times New Roman" w:hAnsi="Times New Roman" w:eastAsia="黑体"/>
          <w:b w:val="0"/>
          <w:color w:val="auto"/>
          <w:highlight w:val="none"/>
        </w:rPr>
      </w:pPr>
      <w:bookmarkStart w:id="25" w:name="_Toc15396605"/>
      <w:bookmarkStart w:id="26" w:name="_Toc15377207"/>
      <w:bookmarkStart w:id="27" w:name="_Toc5908"/>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4"/>
          <w:rFonts w:hint="eastAsia" w:ascii="Times New Roman" w:hAnsi="Times New Roman" w:eastAsia="黑体"/>
          <w:b w:val="0"/>
          <w:color w:val="auto"/>
          <w:highlight w:val="none"/>
        </w:rPr>
        <w:t>出决算情况说明</w:t>
      </w:r>
      <w:bookmarkEnd w:id="25"/>
      <w:bookmarkEnd w:id="26"/>
      <w:bookmarkEnd w:id="27"/>
    </w:p>
    <w:p w14:paraId="3630C305">
      <w:pPr>
        <w:pStyle w:val="3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ascii="Times New Roman" w:hAnsi="Times New Roman" w:eastAsia="仿宋_GB2312" w:cs="仿宋_GB2312"/>
          <w:color w:val="auto"/>
          <w:sz w:val="32"/>
          <w:szCs w:val="32"/>
          <w:highlight w:val="none"/>
          <w:lang w:val="en-US" w:eastAsia="zh-CN"/>
        </w:rPr>
      </w:pPr>
      <w:bookmarkStart w:id="28" w:name="_Toc5023"/>
      <w:r>
        <w:rPr>
          <w:rFonts w:hint="eastAsia" w:ascii="Times New Roman" w:hAnsi="Times New Roman" w:eastAsia="仿宋_GB2312" w:cs="仿宋_GB2312"/>
          <w:color w:val="auto"/>
          <w:sz w:val="32"/>
          <w:szCs w:val="32"/>
          <w:highlight w:val="none"/>
          <w:lang w:eastAsia="zh-CN"/>
        </w:rPr>
        <w:t>2024年度本年支出合计460.88万元，其中：基本支出227.44万元，占</w:t>
      </w:r>
      <w:r>
        <w:rPr>
          <w:rFonts w:hint="eastAsia" w:eastAsia="仿宋_GB2312" w:cs="仿宋_GB2312"/>
          <w:color w:val="auto"/>
          <w:sz w:val="32"/>
          <w:szCs w:val="32"/>
          <w:highlight w:val="none"/>
          <w:lang w:val="en-US" w:eastAsia="zh-CN"/>
        </w:rPr>
        <w:t>49.35</w:t>
      </w:r>
      <w:r>
        <w:rPr>
          <w:rFonts w:hint="eastAsia" w:ascii="Times New Roman" w:hAnsi="Times New Roman" w:eastAsia="仿宋_GB2312" w:cs="仿宋_GB2312"/>
          <w:color w:val="auto"/>
          <w:sz w:val="32"/>
          <w:szCs w:val="32"/>
          <w:highlight w:val="none"/>
          <w:lang w:eastAsia="zh-CN"/>
        </w:rPr>
        <w:t>%；项目支出233.44万元，占</w:t>
      </w:r>
      <w:r>
        <w:rPr>
          <w:rFonts w:hint="eastAsia" w:eastAsia="仿宋_GB2312" w:cs="仿宋_GB2312"/>
          <w:color w:val="auto"/>
          <w:sz w:val="32"/>
          <w:szCs w:val="32"/>
          <w:highlight w:val="none"/>
          <w:lang w:val="en-US" w:eastAsia="zh-CN"/>
        </w:rPr>
        <w:t>50.65</w:t>
      </w:r>
      <w:r>
        <w:rPr>
          <w:rFonts w:hint="eastAsia" w:ascii="Times New Roman" w:hAnsi="Times New Roman" w:eastAsia="仿宋_GB2312" w:cs="仿宋_GB2312"/>
          <w:color w:val="auto"/>
          <w:sz w:val="32"/>
          <w:szCs w:val="32"/>
          <w:highlight w:val="none"/>
          <w:lang w:eastAsia="zh-CN"/>
        </w:rPr>
        <w:t>%</w:t>
      </w:r>
      <w:bookmarkEnd w:id="28"/>
      <w:r>
        <w:rPr>
          <w:rFonts w:hint="eastAsia" w:eastAsia="仿宋_GB2312" w:cs="仿宋_GB2312"/>
          <w:color w:val="auto"/>
          <w:sz w:val="32"/>
          <w:szCs w:val="32"/>
          <w:highlight w:val="none"/>
          <w:lang w:eastAsia="zh-CN"/>
        </w:rPr>
        <w:t>。</w:t>
      </w:r>
    </w:p>
    <w:p w14:paraId="3C549955">
      <w:pPr>
        <w:pStyle w:val="36"/>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4" t="4444" r="20955" b="14604"/>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3F22AA">
      <w:pPr>
        <w:spacing w:beforeAutospacing="0" w:afterAutospacing="0" w:line="560" w:lineRule="exact"/>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3F2B8EF">
      <w:pPr>
        <w:spacing w:line="560" w:lineRule="exact"/>
        <w:ind w:firstLine="640" w:firstLineChars="200"/>
        <w:outlineLvl w:val="1"/>
        <w:rPr>
          <w:rStyle w:val="24"/>
          <w:rFonts w:ascii="Times New Roman" w:hAnsi="Times New Roman" w:eastAsia="黑体"/>
          <w:b w:val="0"/>
          <w:color w:val="auto"/>
          <w:highlight w:val="none"/>
        </w:rPr>
      </w:pPr>
      <w:bookmarkStart w:id="29" w:name="_Toc14698"/>
      <w:bookmarkStart w:id="30" w:name="_Toc15396606"/>
      <w:bookmarkStart w:id="31" w:name="_Toc15377208"/>
      <w:r>
        <w:rPr>
          <w:rFonts w:hint="eastAsia" w:ascii="Times New Roman" w:hAnsi="Times New Roman" w:eastAsia="黑体"/>
          <w:color w:val="auto"/>
          <w:sz w:val="32"/>
          <w:szCs w:val="32"/>
          <w:highlight w:val="none"/>
        </w:rPr>
        <w:t>四、财</w:t>
      </w:r>
      <w:r>
        <w:rPr>
          <w:rStyle w:val="24"/>
          <w:rFonts w:hint="eastAsia" w:ascii="Times New Roman" w:hAnsi="Times New Roman" w:eastAsia="黑体"/>
          <w:b w:val="0"/>
          <w:color w:val="auto"/>
          <w:highlight w:val="none"/>
        </w:rPr>
        <w:t>政拨款收入支出决算总体情况说明</w:t>
      </w:r>
      <w:bookmarkEnd w:id="29"/>
      <w:bookmarkEnd w:id="30"/>
      <w:bookmarkEnd w:id="31"/>
    </w:p>
    <w:p w14:paraId="46235796">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2024年度财政拨款收入、支出总计均为460.88万元。与2023年度相比，财政拨款收入、支出总计各</w:t>
      </w:r>
      <w:r>
        <w:rPr>
          <w:rFonts w:hint="eastAsia" w:ascii="Times New Roman" w:hAnsi="Times New Roman" w:eastAsia="仿宋_GB2312" w:cs="仿宋_GB2312"/>
          <w:color w:val="auto"/>
          <w:sz w:val="32"/>
          <w:szCs w:val="32"/>
          <w:highlight w:val="none"/>
          <w:lang w:val="en-US" w:eastAsia="zh-CN"/>
        </w:rPr>
        <w:t>增加97.34万元，增长26.78%。主要变动原因系本年度因项目工作需要，较上年预算有所增加，例如本年增加了</w:t>
      </w:r>
      <w:r>
        <w:rPr>
          <w:rFonts w:hint="eastAsia" w:eastAsia="仿宋_GB2312" w:cs="仿宋_GB2312"/>
          <w:color w:val="auto"/>
          <w:sz w:val="32"/>
          <w:szCs w:val="32"/>
          <w:highlight w:val="none"/>
          <w:lang w:val="en-US" w:eastAsia="zh-CN"/>
        </w:rPr>
        <w:t>一次性项目</w:t>
      </w:r>
      <w:r>
        <w:rPr>
          <w:rFonts w:hint="eastAsia" w:ascii="Times New Roman" w:hAnsi="Times New Roman" w:eastAsia="仿宋_GB2312" w:cs="仿宋_GB2312"/>
          <w:color w:val="auto"/>
          <w:sz w:val="32"/>
          <w:szCs w:val="32"/>
          <w:highlight w:val="none"/>
          <w:lang w:val="en-US" w:eastAsia="zh-CN"/>
        </w:rPr>
        <w:t>“横山会议”活动、分水镇乡村振兴建设配套基础设施建设项目等。</w:t>
      </w:r>
    </w:p>
    <w:p w14:paraId="528ED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4" t="4444" r="20955" b="14604"/>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4DA354">
      <w:pPr>
        <w:spacing w:beforeAutospacing="0" w:afterAutospacing="0"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D3F84D6">
      <w:pPr>
        <w:spacing w:line="560" w:lineRule="exact"/>
        <w:ind w:firstLine="640" w:firstLineChars="200"/>
        <w:outlineLvl w:val="1"/>
        <w:rPr>
          <w:rStyle w:val="24"/>
          <w:rFonts w:ascii="Times New Roman" w:hAnsi="Times New Roman" w:eastAsia="黑体"/>
          <w:b w:val="0"/>
          <w:color w:val="auto"/>
          <w:highlight w:val="none"/>
        </w:rPr>
      </w:pPr>
      <w:bookmarkStart w:id="32" w:name="_Toc15377209"/>
      <w:bookmarkStart w:id="33" w:name="_Toc15396607"/>
      <w:bookmarkStart w:id="34" w:name="_Toc836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4"/>
          <w:rFonts w:hint="eastAsia" w:ascii="Times New Roman" w:hAnsi="Times New Roman" w:eastAsia="黑体"/>
          <w:b w:val="0"/>
          <w:color w:val="auto"/>
          <w:highlight w:val="none"/>
        </w:rPr>
        <w:t>般公共预算财政拨款支出决算情况说明</w:t>
      </w:r>
      <w:bookmarkEnd w:id="32"/>
      <w:bookmarkEnd w:id="33"/>
      <w:bookmarkEnd w:id="34"/>
    </w:p>
    <w:p w14:paraId="0024347F">
      <w:pPr>
        <w:spacing w:line="56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5"/>
    </w:p>
    <w:p w14:paraId="644A18E9">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2024年度一般公共预算财政拨款支出460.88万元，占本年支出合计的100%。与2023年度相比，一般公共预算财政拨款支出</w:t>
      </w:r>
      <w:r>
        <w:rPr>
          <w:rFonts w:hint="eastAsia" w:ascii="Times New Roman" w:hAnsi="Times New Roman" w:eastAsia="仿宋_GB2312" w:cs="仿宋_GB2312"/>
          <w:color w:val="auto"/>
          <w:sz w:val="32"/>
          <w:szCs w:val="32"/>
          <w:highlight w:val="none"/>
          <w:lang w:val="en-US" w:eastAsia="zh-CN"/>
        </w:rPr>
        <w:t>增加97.34万元，增长26.78%。主要变动原因系本年度因项目工作需要，较上年预算有所增加，例如本年增加了</w:t>
      </w:r>
      <w:r>
        <w:rPr>
          <w:rFonts w:hint="eastAsia" w:eastAsia="仿宋_GB2312" w:cs="仿宋_GB2312"/>
          <w:color w:val="auto"/>
          <w:sz w:val="32"/>
          <w:szCs w:val="32"/>
          <w:highlight w:val="none"/>
          <w:lang w:val="en-US" w:eastAsia="zh-CN"/>
        </w:rPr>
        <w:t>一次性项目</w:t>
      </w:r>
      <w:r>
        <w:rPr>
          <w:rFonts w:hint="eastAsia" w:ascii="Times New Roman" w:hAnsi="Times New Roman" w:eastAsia="仿宋_GB2312" w:cs="仿宋_GB2312"/>
          <w:color w:val="auto"/>
          <w:sz w:val="32"/>
          <w:szCs w:val="32"/>
          <w:highlight w:val="none"/>
          <w:lang w:val="en-US" w:eastAsia="zh-CN"/>
        </w:rPr>
        <w:t>“横山会议”活动、分水镇乡村振兴建设配套基础设施建设项目等</w:t>
      </w:r>
      <w:r>
        <w:rPr>
          <w:rFonts w:hint="eastAsia" w:ascii="Times New Roman" w:hAnsi="Times New Roman" w:eastAsia="仿宋_GB2312" w:cs="仿宋_GB2312"/>
          <w:color w:val="auto"/>
          <w:kern w:val="2"/>
          <w:sz w:val="32"/>
          <w:szCs w:val="32"/>
          <w:highlight w:val="none"/>
          <w:lang w:val="en-US" w:eastAsia="zh-CN" w:bidi="ar-SA"/>
        </w:rPr>
        <w:t>。</w:t>
      </w:r>
    </w:p>
    <w:p w14:paraId="02228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4" t="4444" r="20955" b="14604"/>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55584B">
      <w:pPr>
        <w:spacing w:beforeAutospacing="0" w:afterAutospacing="0" w:line="560" w:lineRule="exact"/>
        <w:ind w:firstLine="640"/>
        <w:rPr>
          <w:rFonts w:hint="eastAsia" w:ascii="Times New Roman" w:hAnsi="Times New Roman" w:eastAsia="仿宋_GB2312" w:cs="仿宋_GB2312"/>
          <w:color w:val="auto"/>
          <w:spacing w:val="-5"/>
          <w:kern w:val="2"/>
          <w:sz w:val="32"/>
          <w:szCs w:val="32"/>
          <w:highlight w:val="none"/>
          <w:lang w:val="en-US" w:eastAsia="zh-CN" w:bidi="ar-SA"/>
        </w:rPr>
      </w:pPr>
      <w:r>
        <w:rPr>
          <w:rFonts w:hint="eastAsia" w:ascii="Times New Roman" w:hAnsi="Times New Roman" w:eastAsia="仿宋_GB2312" w:cs="仿宋_GB2312"/>
          <w:color w:val="auto"/>
          <w:spacing w:val="-5"/>
          <w:kern w:val="2"/>
          <w:sz w:val="32"/>
          <w:szCs w:val="32"/>
          <w:highlight w:val="none"/>
          <w:lang w:val="en-US" w:eastAsia="zh-CN" w:bidi="ar-SA"/>
        </w:rPr>
        <w:t>（图5：一般公共预算财政拨款支出决算变动情况）（柱状图）</w:t>
      </w:r>
    </w:p>
    <w:p w14:paraId="51448893">
      <w:pPr>
        <w:spacing w:beforeAutospacing="0" w:afterAutospacing="0" w:line="56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6"/>
    </w:p>
    <w:p w14:paraId="736106C6">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2024年度一般公共预算财政拨款支出460.88万元，主要用于以下方面：一般公共服务支出366.71万元，占</w:t>
      </w:r>
      <w:r>
        <w:rPr>
          <w:rFonts w:hint="eastAsia" w:eastAsia="仿宋_GB2312" w:cs="仿宋_GB2312"/>
          <w:color w:val="auto"/>
          <w:kern w:val="2"/>
          <w:sz w:val="32"/>
          <w:szCs w:val="32"/>
          <w:highlight w:val="none"/>
          <w:lang w:val="en-US" w:eastAsia="zh-CN" w:bidi="ar-SA"/>
        </w:rPr>
        <w:t>79.57</w:t>
      </w:r>
      <w:r>
        <w:rPr>
          <w:rFonts w:hint="eastAsia" w:ascii="Times New Roman" w:hAnsi="Times New Roman" w:eastAsia="仿宋_GB2312" w:cs="仿宋_GB2312"/>
          <w:color w:val="auto"/>
          <w:kern w:val="2"/>
          <w:sz w:val="32"/>
          <w:szCs w:val="32"/>
          <w:highlight w:val="none"/>
          <w:lang w:val="en-US" w:eastAsia="zh-CN" w:bidi="ar-SA"/>
        </w:rPr>
        <w:t>%；社会保障和就业支出33.41万元，占</w:t>
      </w:r>
      <w:r>
        <w:rPr>
          <w:rFonts w:hint="eastAsia" w:eastAsia="仿宋_GB2312" w:cs="仿宋_GB2312"/>
          <w:color w:val="auto"/>
          <w:kern w:val="2"/>
          <w:sz w:val="32"/>
          <w:szCs w:val="32"/>
          <w:highlight w:val="none"/>
          <w:lang w:val="en-US" w:eastAsia="zh-CN" w:bidi="ar-SA"/>
        </w:rPr>
        <w:t>7.25</w:t>
      </w:r>
      <w:r>
        <w:rPr>
          <w:rFonts w:hint="eastAsia" w:ascii="Times New Roman" w:hAnsi="Times New Roman" w:eastAsia="仿宋_GB2312" w:cs="仿宋_GB2312"/>
          <w:color w:val="auto"/>
          <w:kern w:val="2"/>
          <w:sz w:val="32"/>
          <w:szCs w:val="32"/>
          <w:highlight w:val="none"/>
          <w:lang w:val="en-US" w:eastAsia="zh-CN" w:bidi="ar-SA"/>
        </w:rPr>
        <w:t>%；卫生健康支出11.59万元，占</w:t>
      </w:r>
      <w:r>
        <w:rPr>
          <w:rFonts w:hint="eastAsia" w:eastAsia="仿宋_GB2312" w:cs="仿宋_GB2312"/>
          <w:color w:val="auto"/>
          <w:kern w:val="2"/>
          <w:sz w:val="32"/>
          <w:szCs w:val="32"/>
          <w:highlight w:val="none"/>
          <w:lang w:val="en-US" w:eastAsia="zh-CN" w:bidi="ar-SA"/>
        </w:rPr>
        <w:t>2.51</w:t>
      </w:r>
      <w:r>
        <w:rPr>
          <w:rFonts w:hint="eastAsia" w:ascii="Times New Roman" w:hAnsi="Times New Roman" w:eastAsia="仿宋_GB2312" w:cs="仿宋_GB2312"/>
          <w:color w:val="auto"/>
          <w:kern w:val="2"/>
          <w:sz w:val="32"/>
          <w:szCs w:val="32"/>
          <w:highlight w:val="none"/>
          <w:lang w:val="en-US" w:eastAsia="zh-CN" w:bidi="ar-SA"/>
        </w:rPr>
        <w:t>%；农林水支出34.19万元，占</w:t>
      </w:r>
      <w:r>
        <w:rPr>
          <w:rFonts w:hint="eastAsia" w:eastAsia="仿宋_GB2312" w:cs="仿宋_GB2312"/>
          <w:color w:val="auto"/>
          <w:kern w:val="2"/>
          <w:sz w:val="32"/>
          <w:szCs w:val="32"/>
          <w:highlight w:val="none"/>
          <w:lang w:val="en-US" w:eastAsia="zh-CN" w:bidi="ar-SA"/>
        </w:rPr>
        <w:t>7.42</w:t>
      </w:r>
      <w:r>
        <w:rPr>
          <w:rFonts w:hint="eastAsia" w:ascii="Times New Roman" w:hAnsi="Times New Roman" w:eastAsia="仿宋_GB2312" w:cs="仿宋_GB2312"/>
          <w:color w:val="auto"/>
          <w:kern w:val="2"/>
          <w:sz w:val="32"/>
          <w:szCs w:val="32"/>
          <w:highlight w:val="none"/>
          <w:lang w:val="en-US" w:eastAsia="zh-CN" w:bidi="ar-SA"/>
        </w:rPr>
        <w:t>%；住房保障支出14.98万元，占</w:t>
      </w:r>
      <w:r>
        <w:rPr>
          <w:rFonts w:hint="eastAsia" w:eastAsia="仿宋_GB2312" w:cs="仿宋_GB2312"/>
          <w:color w:val="auto"/>
          <w:kern w:val="2"/>
          <w:sz w:val="32"/>
          <w:szCs w:val="32"/>
          <w:highlight w:val="none"/>
          <w:lang w:val="en-US" w:eastAsia="zh-CN" w:bidi="ar-SA"/>
        </w:rPr>
        <w:t>3.25</w:t>
      </w:r>
      <w:r>
        <w:rPr>
          <w:rFonts w:hint="eastAsia" w:ascii="Times New Roman" w:hAnsi="Times New Roman" w:eastAsia="仿宋_GB2312" w:cs="仿宋_GB2312"/>
          <w:color w:val="auto"/>
          <w:kern w:val="2"/>
          <w:sz w:val="32"/>
          <w:szCs w:val="32"/>
          <w:highlight w:val="none"/>
          <w:lang w:val="en-US" w:eastAsia="zh-CN" w:bidi="ar-SA"/>
        </w:rPr>
        <w:t>%。</w:t>
      </w:r>
    </w:p>
    <w:p w14:paraId="08F19BD5">
      <w:pPr>
        <w:pStyle w:val="17"/>
        <w:jc w:val="center"/>
        <w:rPr>
          <w:rFonts w:hint="eastAsia"/>
          <w:lang w:val="en-US" w:eastAsia="zh-CN"/>
        </w:rPr>
      </w:pPr>
      <w:r>
        <w:rPr>
          <w:rFonts w:hint="eastAsia"/>
          <w:lang w:val="en-US" w:eastAsia="zh-CN"/>
        </w:rPr>
        <w:drawing>
          <wp:inline distT="0" distB="0" distL="114300" distR="114300">
            <wp:extent cx="5043170" cy="3091815"/>
            <wp:effectExtent l="4444" t="4444" r="19050" b="8889"/>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393546">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68ACA07">
      <w:pPr>
        <w:spacing w:beforeAutospacing="0" w:afterAutospacing="0" w:line="56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7"/>
    </w:p>
    <w:p w14:paraId="163BDC9E">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8460"/>
      <w:bookmarkStart w:id="39" w:name="_Toc15377213"/>
      <w:bookmarkStart w:id="40" w:name="_Toc15377444"/>
      <w:r>
        <w:rPr>
          <w:rFonts w:hint="eastAsia" w:ascii="Times New Roman" w:hAnsi="Times New Roman" w:eastAsia="仿宋_GB2312" w:cs="仿宋_GB2312"/>
          <w:color w:val="auto"/>
          <w:kern w:val="2"/>
          <w:sz w:val="32"/>
          <w:szCs w:val="32"/>
          <w:highlight w:val="none"/>
          <w:lang w:val="en-US" w:eastAsia="zh-CN" w:bidi="ar-SA"/>
        </w:rPr>
        <w:t>2024年度一般公共预算支出决算数为460.88</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8"/>
      <w:bookmarkEnd w:id="39"/>
      <w:bookmarkEnd w:id="40"/>
    </w:p>
    <w:p w14:paraId="3C494B37">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ascii="Times New Roman" w:hAnsi="Times New Roman" w:eastAsia="仿宋_GB2312" w:cs="Times New Roman"/>
          <w:b w:val="0"/>
          <w:bCs w:val="0"/>
          <w:i w:val="0"/>
          <w:iCs w:val="0"/>
          <w:color w:val="auto"/>
          <w:sz w:val="32"/>
          <w:szCs w:val="32"/>
          <w:highlight w:val="none"/>
        </w:rPr>
      </w:pPr>
      <w:bookmarkStart w:id="41" w:name="_Toc15396608"/>
      <w:bookmarkStart w:id="42" w:name="_Toc15377214"/>
      <w:bookmarkStart w:id="43" w:name="_Toc8222"/>
      <w:r>
        <w:rPr>
          <w:rStyle w:val="21"/>
          <w:rFonts w:ascii="Times New Roman" w:hAnsi="Times New Roman" w:eastAsia="仿宋_GB2312" w:cs="Times New Roman"/>
          <w:b w:val="0"/>
          <w:bCs w:val="0"/>
          <w:i w:val="0"/>
          <w:iCs w:val="0"/>
          <w:color w:val="auto"/>
          <w:sz w:val="32"/>
          <w:szCs w:val="32"/>
          <w:highlight w:val="none"/>
        </w:rPr>
        <w:t>1.一般公共服务（类）民族事务（款）民族工作专项（项）</w:t>
      </w:r>
      <w:r>
        <w:rPr>
          <w:rStyle w:val="21"/>
          <w:rFonts w:hint="eastAsia" w:ascii="Times New Roman" w:hAnsi="Times New Roman"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 xml:space="preserve"> 支出决算为19.81万元，完成预算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ascii="Times New Roman" w:hAnsi="Times New Roman" w:eastAsia="仿宋_GB2312" w:cs="Times New Roman"/>
          <w:b w:val="0"/>
          <w:bCs w:val="0"/>
          <w:i w:val="0"/>
          <w:iCs w:val="0"/>
          <w:color w:val="auto"/>
          <w:sz w:val="32"/>
          <w:szCs w:val="32"/>
          <w:highlight w:val="none"/>
        </w:rPr>
        <w:t>%，决算数等于预算数。</w:t>
      </w:r>
    </w:p>
    <w:p w14:paraId="716AD56F">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ascii="Times New Roman" w:hAnsi="Times New Roman" w:eastAsia="仿宋_GB2312" w:cs="Times New Roman"/>
          <w:b w:val="0"/>
          <w:bCs w:val="0"/>
          <w:i w:val="0"/>
          <w:iCs w:val="0"/>
          <w:color w:val="auto"/>
          <w:sz w:val="32"/>
          <w:szCs w:val="32"/>
          <w:highlight w:val="none"/>
        </w:rPr>
      </w:pPr>
      <w:r>
        <w:rPr>
          <w:rStyle w:val="21"/>
          <w:rFonts w:ascii="Times New Roman" w:hAnsi="Times New Roman" w:eastAsia="仿宋_GB2312" w:cs="Times New Roman"/>
          <w:b w:val="0"/>
          <w:bCs w:val="0"/>
          <w:i w:val="0"/>
          <w:iCs w:val="0"/>
          <w:color w:val="auto"/>
          <w:sz w:val="32"/>
          <w:szCs w:val="32"/>
          <w:highlight w:val="none"/>
        </w:rPr>
        <w:t>2.一般公共服务（类）民族事务（款）其他民族事务支出（项）</w:t>
      </w:r>
      <w:r>
        <w:rPr>
          <w:rStyle w:val="21"/>
          <w:rFonts w:hint="eastAsia" w:ascii="Times New Roman" w:hAnsi="Times New Roman"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支出决算为40.00万元，完成预算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ascii="Times New Roman" w:hAnsi="Times New Roman" w:eastAsia="仿宋_GB2312" w:cs="Times New Roman"/>
          <w:b w:val="0"/>
          <w:bCs w:val="0"/>
          <w:i w:val="0"/>
          <w:iCs w:val="0"/>
          <w:color w:val="auto"/>
          <w:sz w:val="32"/>
          <w:szCs w:val="32"/>
          <w:highlight w:val="none"/>
        </w:rPr>
        <w:t>%，决算数等于预算数。</w:t>
      </w:r>
    </w:p>
    <w:p w14:paraId="50977AFB">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ascii="Times New Roman" w:hAnsi="Times New Roman" w:eastAsia="仿宋_GB2312" w:cs="Times New Roman"/>
          <w:b w:val="0"/>
          <w:bCs w:val="0"/>
          <w:i w:val="0"/>
          <w:iCs w:val="0"/>
          <w:color w:val="auto"/>
          <w:sz w:val="32"/>
          <w:szCs w:val="32"/>
          <w:highlight w:val="none"/>
        </w:rPr>
      </w:pPr>
      <w:r>
        <w:rPr>
          <w:rStyle w:val="21"/>
          <w:rFonts w:ascii="Times New Roman" w:hAnsi="Times New Roman" w:eastAsia="仿宋_GB2312" w:cs="Times New Roman"/>
          <w:b w:val="0"/>
          <w:bCs w:val="0"/>
          <w:i w:val="0"/>
          <w:iCs w:val="0"/>
          <w:color w:val="auto"/>
          <w:sz w:val="32"/>
          <w:szCs w:val="32"/>
          <w:highlight w:val="none"/>
        </w:rPr>
        <w:t>3.一般公共服务（类）民主党派及工商联事务（款）参政议政（项）</w:t>
      </w:r>
      <w:r>
        <w:rPr>
          <w:rStyle w:val="21"/>
          <w:rFonts w:hint="eastAsia" w:ascii="Times New Roman" w:hAnsi="Times New Roman"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支出决算为39.89万元，完成预算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ascii="Times New Roman" w:hAnsi="Times New Roman" w:eastAsia="仿宋_GB2312" w:cs="Times New Roman"/>
          <w:b w:val="0"/>
          <w:bCs w:val="0"/>
          <w:i w:val="0"/>
          <w:iCs w:val="0"/>
          <w:color w:val="auto"/>
          <w:sz w:val="32"/>
          <w:szCs w:val="32"/>
          <w:highlight w:val="none"/>
        </w:rPr>
        <w:t>%，决算数等于预算数。</w:t>
      </w:r>
    </w:p>
    <w:p w14:paraId="7C0B9185">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ascii="Times New Roman" w:hAnsi="Times New Roman" w:eastAsia="仿宋_GB2312" w:cs="Times New Roman"/>
          <w:b w:val="0"/>
          <w:bCs w:val="0"/>
          <w:i w:val="0"/>
          <w:iCs w:val="0"/>
          <w:color w:val="auto"/>
          <w:sz w:val="32"/>
          <w:szCs w:val="32"/>
          <w:highlight w:val="none"/>
        </w:rPr>
      </w:pPr>
      <w:r>
        <w:rPr>
          <w:rStyle w:val="21"/>
          <w:rFonts w:ascii="Times New Roman" w:hAnsi="Times New Roman" w:eastAsia="仿宋_GB2312" w:cs="Times New Roman"/>
          <w:b w:val="0"/>
          <w:bCs w:val="0"/>
          <w:i w:val="0"/>
          <w:iCs w:val="0"/>
          <w:color w:val="auto"/>
          <w:sz w:val="32"/>
          <w:szCs w:val="32"/>
          <w:highlight w:val="none"/>
        </w:rPr>
        <w:t>4.一般公共服务（类）统战事务（款）行政运行（项）</w:t>
      </w:r>
      <w:r>
        <w:rPr>
          <w:rStyle w:val="21"/>
          <w:rFonts w:hint="eastAsia" w:ascii="Times New Roman" w:hAnsi="Times New Roman"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 xml:space="preserve"> 支出决算为</w:t>
      </w:r>
      <w:r>
        <w:rPr>
          <w:rStyle w:val="21"/>
          <w:rFonts w:hint="eastAsia" w:ascii="Times New Roman" w:hAnsi="Times New Roman" w:cs="Times New Roman"/>
          <w:b w:val="0"/>
          <w:bCs w:val="0"/>
          <w:i w:val="0"/>
          <w:iCs w:val="0"/>
          <w:color w:val="auto"/>
          <w:sz w:val="32"/>
          <w:szCs w:val="32"/>
          <w:highlight w:val="none"/>
          <w:lang w:val="en-US" w:eastAsia="zh-CN"/>
        </w:rPr>
        <w:t>144.32</w:t>
      </w:r>
      <w:r>
        <w:rPr>
          <w:rStyle w:val="21"/>
          <w:rFonts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ascii="Times New Roman" w:hAnsi="Times New Roman" w:eastAsia="仿宋_GB2312" w:cs="Times New Roman"/>
          <w:b w:val="0"/>
          <w:bCs w:val="0"/>
          <w:i w:val="0"/>
          <w:iCs w:val="0"/>
          <w:color w:val="auto"/>
          <w:sz w:val="32"/>
          <w:szCs w:val="32"/>
          <w:highlight w:val="none"/>
        </w:rPr>
        <w:t>%，决算数等于预算数。</w:t>
      </w:r>
    </w:p>
    <w:p w14:paraId="48F4D585">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cs="Times New Roman"/>
          <w:b w:val="0"/>
          <w:bCs w:val="0"/>
          <w:i w:val="0"/>
          <w:iCs w:val="0"/>
          <w:color w:val="auto"/>
          <w:sz w:val="32"/>
          <w:szCs w:val="32"/>
          <w:highlight w:val="none"/>
          <w:lang w:val="en-US" w:eastAsia="zh-CN"/>
        </w:rPr>
        <w:t>5</w:t>
      </w:r>
      <w:r>
        <w:rPr>
          <w:rStyle w:val="21"/>
          <w:rFonts w:ascii="Times New Roman" w:hAnsi="Times New Roman" w:eastAsia="仿宋_GB2312" w:cs="Times New Roman"/>
          <w:b w:val="0"/>
          <w:bCs w:val="0"/>
          <w:i w:val="0"/>
          <w:iCs w:val="0"/>
          <w:color w:val="auto"/>
          <w:sz w:val="32"/>
          <w:szCs w:val="32"/>
          <w:highlight w:val="none"/>
        </w:rPr>
        <w:t>.一般公共服务（类）统战事务（款）宗教事务（项）</w:t>
      </w:r>
      <w:r>
        <w:rPr>
          <w:rStyle w:val="21"/>
          <w:rFonts w:hint="eastAsia" w:ascii="Times New Roman" w:hAnsi="Times New Roman"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 xml:space="preserve"> 支出决算为55.77万元，完成预算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ascii="Times New Roman" w:hAnsi="Times New Roman" w:eastAsia="仿宋_GB2312" w:cs="Times New Roman"/>
          <w:b w:val="0"/>
          <w:bCs w:val="0"/>
          <w:i w:val="0"/>
          <w:iCs w:val="0"/>
          <w:color w:val="auto"/>
          <w:sz w:val="32"/>
          <w:szCs w:val="32"/>
          <w:highlight w:val="none"/>
        </w:rPr>
        <w:t>%，决算数等于预算数。</w:t>
      </w:r>
    </w:p>
    <w:p w14:paraId="65107C70">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cs="Times New Roman"/>
          <w:b w:val="0"/>
          <w:bCs w:val="0"/>
          <w:i w:val="0"/>
          <w:iCs w:val="0"/>
          <w:color w:val="auto"/>
          <w:sz w:val="32"/>
          <w:szCs w:val="32"/>
          <w:highlight w:val="none"/>
          <w:lang w:val="en-US" w:eastAsia="zh-CN"/>
        </w:rPr>
        <w:t>6</w:t>
      </w:r>
      <w:r>
        <w:rPr>
          <w:rStyle w:val="21"/>
          <w:rFonts w:ascii="Times New Roman" w:hAnsi="Times New Roman" w:eastAsia="仿宋_GB2312" w:cs="Times New Roman"/>
          <w:b w:val="0"/>
          <w:bCs w:val="0"/>
          <w:i w:val="0"/>
          <w:iCs w:val="0"/>
          <w:color w:val="auto"/>
          <w:sz w:val="32"/>
          <w:szCs w:val="32"/>
          <w:highlight w:val="none"/>
        </w:rPr>
        <w:t>.一般公共服务（类）统战事务（款）事业运行（项）</w:t>
      </w:r>
      <w:r>
        <w:rPr>
          <w:rStyle w:val="21"/>
          <w:rFonts w:hint="eastAsia" w:ascii="Times New Roman" w:hAnsi="Times New Roman"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 xml:space="preserve"> 支出决算为23.15万元，完成预算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ascii="Times New Roman" w:hAnsi="Times New Roman" w:eastAsia="仿宋_GB2312" w:cs="Times New Roman"/>
          <w:b w:val="0"/>
          <w:bCs w:val="0"/>
          <w:i w:val="0"/>
          <w:iCs w:val="0"/>
          <w:color w:val="auto"/>
          <w:sz w:val="32"/>
          <w:szCs w:val="32"/>
          <w:highlight w:val="none"/>
        </w:rPr>
        <w:t>%，决算数等于预算数。</w:t>
      </w:r>
    </w:p>
    <w:p w14:paraId="492951B8">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cs="Times New Roman"/>
          <w:b w:val="0"/>
          <w:bCs w:val="0"/>
          <w:i w:val="0"/>
          <w:iCs w:val="0"/>
          <w:color w:val="auto"/>
          <w:sz w:val="32"/>
          <w:szCs w:val="32"/>
          <w:highlight w:val="none"/>
          <w:lang w:val="en-US" w:eastAsia="zh-CN"/>
        </w:rPr>
        <w:t>7</w:t>
      </w:r>
      <w:r>
        <w:rPr>
          <w:rStyle w:val="21"/>
          <w:rFonts w:ascii="Times New Roman" w:hAnsi="Times New Roman" w:eastAsia="仿宋_GB2312" w:cs="Times New Roman"/>
          <w:b w:val="0"/>
          <w:bCs w:val="0"/>
          <w:i w:val="0"/>
          <w:iCs w:val="0"/>
          <w:color w:val="auto"/>
          <w:sz w:val="32"/>
          <w:szCs w:val="32"/>
          <w:highlight w:val="none"/>
        </w:rPr>
        <w:t>.一般公共服务（类）统战事务（款）其他统战事务支出（项）</w:t>
      </w:r>
      <w:r>
        <w:rPr>
          <w:rStyle w:val="21"/>
          <w:rFonts w:hint="eastAsia" w:ascii="Times New Roman" w:hAnsi="Times New Roman"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支出决算为</w:t>
      </w:r>
      <w:r>
        <w:rPr>
          <w:rStyle w:val="21"/>
          <w:rFonts w:hint="eastAsia" w:ascii="Times New Roman" w:hAnsi="Times New Roman" w:cs="Times New Roman"/>
          <w:b w:val="0"/>
          <w:bCs w:val="0"/>
          <w:i w:val="0"/>
          <w:iCs w:val="0"/>
          <w:color w:val="auto"/>
          <w:sz w:val="32"/>
          <w:szCs w:val="32"/>
          <w:highlight w:val="none"/>
          <w:lang w:val="en-US" w:eastAsia="zh-CN"/>
        </w:rPr>
        <w:t>37.68</w:t>
      </w:r>
      <w:r>
        <w:rPr>
          <w:rStyle w:val="21"/>
          <w:rFonts w:ascii="Times New Roman" w:hAnsi="Times New Roman" w:eastAsia="仿宋_GB2312" w:cs="Times New Roman"/>
          <w:b w:val="0"/>
          <w:bCs w:val="0"/>
          <w:i w:val="0"/>
          <w:iCs w:val="0"/>
          <w:color w:val="auto"/>
          <w:sz w:val="32"/>
          <w:szCs w:val="32"/>
          <w:highlight w:val="none"/>
        </w:rPr>
        <w:t>万元，完成预算</w:t>
      </w:r>
      <w:r>
        <w:rPr>
          <w:rStyle w:val="21"/>
          <w:rFonts w:hint="eastAsia" w:ascii="Times New Roman" w:hAnsi="Times New Roman" w:cs="Times New Roman"/>
          <w:b w:val="0"/>
          <w:bCs w:val="0"/>
          <w:i w:val="0"/>
          <w:iCs w:val="0"/>
          <w:color w:val="auto"/>
          <w:sz w:val="32"/>
          <w:szCs w:val="32"/>
          <w:highlight w:val="none"/>
          <w:lang w:val="en-US" w:eastAsia="zh-CN"/>
        </w:rPr>
        <w:t>100</w:t>
      </w:r>
      <w:r>
        <w:rPr>
          <w:rStyle w:val="21"/>
          <w:rFonts w:ascii="Times New Roman" w:hAnsi="Times New Roman" w:eastAsia="仿宋_GB2312" w:cs="Times New Roman"/>
          <w:b w:val="0"/>
          <w:bCs w:val="0"/>
          <w:i w:val="0"/>
          <w:iCs w:val="0"/>
          <w:color w:val="auto"/>
          <w:sz w:val="32"/>
          <w:szCs w:val="32"/>
          <w:highlight w:val="none"/>
        </w:rPr>
        <w:t>%，决算数等于预算数。</w:t>
      </w:r>
    </w:p>
    <w:p w14:paraId="1AE56D8A">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cs="Times New Roman"/>
          <w:b w:val="0"/>
          <w:bCs w:val="0"/>
          <w:i w:val="0"/>
          <w:iCs w:val="0"/>
          <w:color w:val="auto"/>
          <w:sz w:val="32"/>
          <w:szCs w:val="32"/>
          <w:highlight w:val="none"/>
          <w:lang w:val="en-US" w:eastAsia="zh-CN"/>
        </w:rPr>
        <w:t>8</w:t>
      </w:r>
      <w:r>
        <w:rPr>
          <w:rStyle w:val="21"/>
          <w:rFonts w:ascii="Times New Roman" w:hAnsi="Times New Roman" w:eastAsia="仿宋_GB2312" w:cs="Times New Roman"/>
          <w:b w:val="0"/>
          <w:bCs w:val="0"/>
          <w:i w:val="0"/>
          <w:iCs w:val="0"/>
          <w:color w:val="auto"/>
          <w:sz w:val="32"/>
          <w:szCs w:val="32"/>
          <w:highlight w:val="none"/>
        </w:rPr>
        <w:t>.社会保障和就业（类）行政事业单位养老支出（款）行政单位离退休（项）</w:t>
      </w:r>
      <w:r>
        <w:rPr>
          <w:rStyle w:val="21"/>
          <w:rFonts w:hint="eastAsia" w:ascii="Times New Roman" w:hAnsi="Times New Roman"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支出决算为</w:t>
      </w:r>
      <w:r>
        <w:rPr>
          <w:rStyle w:val="21"/>
          <w:rFonts w:hint="eastAsia" w:ascii="Times New Roman" w:hAnsi="Times New Roman" w:cs="Times New Roman"/>
          <w:b w:val="0"/>
          <w:bCs w:val="0"/>
          <w:i w:val="0"/>
          <w:iCs w:val="0"/>
          <w:color w:val="auto"/>
          <w:sz w:val="32"/>
          <w:szCs w:val="32"/>
          <w:highlight w:val="none"/>
          <w:lang w:val="en-US" w:eastAsia="zh-CN"/>
        </w:rPr>
        <w:t>11.56</w:t>
      </w:r>
      <w:r>
        <w:rPr>
          <w:rStyle w:val="21"/>
          <w:rFonts w:ascii="Times New Roman" w:hAnsi="Times New Roman" w:eastAsia="仿宋_GB2312" w:cs="Times New Roman"/>
          <w:b w:val="0"/>
          <w:bCs w:val="0"/>
          <w:i w:val="0"/>
          <w:iCs w:val="0"/>
          <w:color w:val="auto"/>
          <w:sz w:val="32"/>
          <w:szCs w:val="32"/>
          <w:highlight w:val="none"/>
        </w:rPr>
        <w:t>万元，完成预算100%，决算数等于预算数。</w:t>
      </w:r>
    </w:p>
    <w:p w14:paraId="0759E236">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Style w:val="21"/>
          <w:rFonts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cs="Times New Roman"/>
          <w:b w:val="0"/>
          <w:bCs w:val="0"/>
          <w:i w:val="0"/>
          <w:iCs w:val="0"/>
          <w:color w:val="auto"/>
          <w:sz w:val="32"/>
          <w:szCs w:val="32"/>
          <w:highlight w:val="none"/>
          <w:lang w:val="en-US" w:eastAsia="zh-CN"/>
        </w:rPr>
        <w:t>9</w:t>
      </w:r>
      <w:r>
        <w:rPr>
          <w:rStyle w:val="21"/>
          <w:rFonts w:ascii="Times New Roman" w:hAnsi="Times New Roman" w:eastAsia="仿宋_GB2312" w:cs="Times New Roman"/>
          <w:b w:val="0"/>
          <w:bCs w:val="0"/>
          <w:i w:val="0"/>
          <w:iCs w:val="0"/>
          <w:color w:val="auto"/>
          <w:sz w:val="32"/>
          <w:szCs w:val="32"/>
          <w:highlight w:val="none"/>
        </w:rPr>
        <w:t>.社会保障和就业（类）行政事业单位养老支出（款）机关事业单位基本养老保险缴费支出（项）</w:t>
      </w:r>
      <w:r>
        <w:rPr>
          <w:rStyle w:val="21"/>
          <w:rFonts w:hint="eastAsia" w:ascii="Times New Roman" w:hAnsi="Times New Roman" w:eastAsia="仿宋_GB2312"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支出决算为</w:t>
      </w:r>
      <w:r>
        <w:rPr>
          <w:rStyle w:val="21"/>
          <w:rFonts w:hint="eastAsia" w:ascii="Times New Roman" w:hAnsi="Times New Roman" w:eastAsia="仿宋_GB2312" w:cs="Times New Roman"/>
          <w:b w:val="0"/>
          <w:bCs w:val="0"/>
          <w:i w:val="0"/>
          <w:iCs w:val="0"/>
          <w:color w:val="auto"/>
          <w:sz w:val="32"/>
          <w:szCs w:val="32"/>
          <w:highlight w:val="none"/>
          <w:lang w:val="en-US" w:eastAsia="zh-CN"/>
        </w:rPr>
        <w:t>20.80</w:t>
      </w:r>
      <w:r>
        <w:rPr>
          <w:rStyle w:val="21"/>
          <w:rFonts w:ascii="Times New Roman" w:hAnsi="Times New Roman" w:eastAsia="仿宋_GB2312" w:cs="Times New Roman"/>
          <w:b w:val="0"/>
          <w:bCs w:val="0"/>
          <w:i w:val="0"/>
          <w:iCs w:val="0"/>
          <w:color w:val="auto"/>
          <w:sz w:val="32"/>
          <w:szCs w:val="32"/>
          <w:highlight w:val="none"/>
        </w:rPr>
        <w:t>万元，完成预算100%，决算数等于预算数。</w:t>
      </w:r>
    </w:p>
    <w:p w14:paraId="756B0163">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Style w:val="21"/>
          <w:rFonts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10</w:t>
      </w:r>
      <w:r>
        <w:rPr>
          <w:rStyle w:val="21"/>
          <w:rFonts w:ascii="Times New Roman" w:hAnsi="Times New Roman" w:eastAsia="仿宋_GB2312" w:cs="Times New Roman"/>
          <w:b w:val="0"/>
          <w:bCs w:val="0"/>
          <w:i w:val="0"/>
          <w:iCs w:val="0"/>
          <w:color w:val="auto"/>
          <w:sz w:val="32"/>
          <w:szCs w:val="32"/>
          <w:highlight w:val="none"/>
        </w:rPr>
        <w:t>.一般公共服务支出（类）网信事务（款）其他网信事务支出（项）</w:t>
      </w:r>
      <w:r>
        <w:rPr>
          <w:rStyle w:val="21"/>
          <w:rFonts w:hint="eastAsia" w:ascii="Times New Roman" w:hAnsi="Times New Roman" w:eastAsia="仿宋_GB2312"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 xml:space="preserve"> 支出决算为6.10万元，完成预算100%，决算数等于预算数。</w:t>
      </w:r>
    </w:p>
    <w:p w14:paraId="1CF60FBD">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Style w:val="21"/>
          <w:rFonts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11</w:t>
      </w:r>
      <w:r>
        <w:rPr>
          <w:rStyle w:val="21"/>
          <w:rFonts w:ascii="Times New Roman" w:hAnsi="Times New Roman" w:eastAsia="仿宋_GB2312" w:cs="Times New Roman"/>
          <w:b w:val="0"/>
          <w:bCs w:val="0"/>
          <w:i w:val="0"/>
          <w:iCs w:val="0"/>
          <w:color w:val="auto"/>
          <w:sz w:val="32"/>
          <w:szCs w:val="32"/>
          <w:highlight w:val="none"/>
        </w:rPr>
        <w:t>.</w:t>
      </w:r>
      <w:r>
        <w:rPr>
          <w:rStyle w:val="21"/>
          <w:rFonts w:hint="eastAsia" w:ascii="Times New Roman" w:hAnsi="Times New Roman" w:eastAsia="仿宋_GB2312" w:cs="Times New Roman"/>
          <w:b w:val="0"/>
          <w:bCs w:val="0"/>
          <w:i w:val="0"/>
          <w:iCs w:val="0"/>
          <w:color w:val="auto"/>
          <w:sz w:val="32"/>
          <w:szCs w:val="32"/>
          <w:highlight w:val="none"/>
        </w:rPr>
        <w:t>社会保障和就业（类）其他社会保障和就业支出（款）其他社会保障和就业支出（项）</w:t>
      </w:r>
      <w:r>
        <w:rPr>
          <w:rStyle w:val="21"/>
          <w:rFonts w:hint="eastAsia" w:ascii="Times New Roman" w:hAnsi="Times New Roman" w:eastAsia="仿宋_GB2312"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支出决算为1.05万元，完成预算100%，决算数等于预算数。</w:t>
      </w:r>
    </w:p>
    <w:p w14:paraId="3EB218B3">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Style w:val="21"/>
          <w:rFonts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12.</w:t>
      </w:r>
      <w:r>
        <w:rPr>
          <w:rStyle w:val="21"/>
          <w:rFonts w:ascii="Times New Roman" w:hAnsi="Times New Roman" w:eastAsia="仿宋_GB2312" w:cs="Times New Roman"/>
          <w:b w:val="0"/>
          <w:bCs w:val="0"/>
          <w:i w:val="0"/>
          <w:iCs w:val="0"/>
          <w:color w:val="auto"/>
          <w:sz w:val="32"/>
          <w:szCs w:val="32"/>
          <w:highlight w:val="none"/>
        </w:rPr>
        <w:t>卫生健康（类）行政事业单位医疗（款）行政单位医疗（项）</w:t>
      </w:r>
      <w:r>
        <w:rPr>
          <w:rStyle w:val="21"/>
          <w:rFonts w:hint="eastAsia" w:ascii="Times New Roman" w:hAnsi="Times New Roman" w:eastAsia="仿宋_GB2312"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支出决算为7.26万元，完成预算100%，决算数等于预算数。</w:t>
      </w:r>
    </w:p>
    <w:p w14:paraId="528978ED">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Style w:val="21"/>
          <w:rFonts w:ascii="Times New Roman" w:hAnsi="Times New Roman" w:eastAsia="仿宋_GB2312" w:cs="Times New Roman"/>
          <w:b w:val="0"/>
          <w:bCs w:val="0"/>
          <w:i w:val="0"/>
          <w:iCs w:val="0"/>
          <w:color w:val="auto"/>
          <w:sz w:val="32"/>
          <w:szCs w:val="32"/>
          <w:highlight w:val="none"/>
        </w:rPr>
      </w:pPr>
      <w:r>
        <w:rPr>
          <w:rFonts w:hint="eastAsia" w:ascii="Times New Roman" w:hAnsi="Times New Roman" w:cs="Times New Roman"/>
          <w:b w:val="0"/>
          <w:bCs w:val="0"/>
          <w:i w:val="0"/>
          <w:iCs w:val="0"/>
          <w:color w:val="auto"/>
          <w:sz w:val="32"/>
          <w:szCs w:val="32"/>
          <w:highlight w:val="none"/>
          <w:lang w:val="en-US" w:eastAsia="zh-CN"/>
        </w:rPr>
        <w:t>13.</w:t>
      </w:r>
      <w:r>
        <w:rPr>
          <w:rFonts w:ascii="Times New Roman" w:hAnsi="Times New Roman" w:eastAsia="仿宋_GB2312" w:cs="Times New Roman"/>
          <w:b w:val="0"/>
          <w:bCs w:val="0"/>
          <w:i w:val="0"/>
          <w:iCs w:val="0"/>
          <w:color w:val="auto"/>
          <w:sz w:val="32"/>
          <w:szCs w:val="32"/>
          <w:highlight w:val="none"/>
        </w:rPr>
        <w:t>卫生健康（类）行政事业单位医疗（款）事业单位医疗（项）</w:t>
      </w:r>
      <w:r>
        <w:rPr>
          <w:rFonts w:hint="eastAsia" w:ascii="Times New Roman" w:hAnsi="Times New Roman"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支出决算为1.41万元，完成预算100%，决算数等于预算数。</w:t>
      </w:r>
    </w:p>
    <w:p w14:paraId="6FDB81B3">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Style w:val="21"/>
          <w:rFonts w:ascii="Times New Roman" w:hAnsi="Times New Roman" w:eastAsia="仿宋_GB2312" w:cs="Times New Roman"/>
          <w:b w:val="0"/>
          <w:bCs w:val="0"/>
          <w:i w:val="0"/>
          <w:iCs w:val="0"/>
          <w:color w:val="auto"/>
          <w:sz w:val="32"/>
          <w:szCs w:val="32"/>
          <w:highlight w:val="none"/>
        </w:rPr>
      </w:pPr>
      <w:r>
        <w:rPr>
          <w:rStyle w:val="21"/>
          <w:rFonts w:hint="eastAsia" w:ascii="Times New Roman" w:hAnsi="Times New Roman" w:eastAsia="仿宋_GB2312" w:cs="Times New Roman"/>
          <w:b w:val="0"/>
          <w:bCs w:val="0"/>
          <w:i w:val="0"/>
          <w:iCs w:val="0"/>
          <w:color w:val="auto"/>
          <w:sz w:val="32"/>
          <w:szCs w:val="32"/>
          <w:highlight w:val="none"/>
          <w:lang w:val="en-US" w:eastAsia="zh-CN"/>
        </w:rPr>
        <w:t>14.</w:t>
      </w:r>
      <w:r>
        <w:rPr>
          <w:rStyle w:val="21"/>
          <w:rFonts w:ascii="Times New Roman" w:hAnsi="Times New Roman" w:eastAsia="仿宋_GB2312" w:cs="Times New Roman"/>
          <w:b w:val="0"/>
          <w:bCs w:val="0"/>
          <w:i w:val="0"/>
          <w:iCs w:val="0"/>
          <w:color w:val="auto"/>
          <w:sz w:val="32"/>
          <w:szCs w:val="32"/>
          <w:highlight w:val="none"/>
        </w:rPr>
        <w:t>卫生健康（类）行政事业单位医疗（款）公务员医疗补助（项）</w:t>
      </w:r>
      <w:r>
        <w:rPr>
          <w:rStyle w:val="21"/>
          <w:rFonts w:hint="eastAsia" w:ascii="Times New Roman" w:hAnsi="Times New Roman" w:eastAsia="仿宋_GB2312" w:cs="Times New Roman"/>
          <w:b w:val="0"/>
          <w:bCs w:val="0"/>
          <w:i w:val="0"/>
          <w:iCs w:val="0"/>
          <w:color w:val="auto"/>
          <w:sz w:val="32"/>
          <w:szCs w:val="32"/>
          <w:highlight w:val="none"/>
          <w:lang w:eastAsia="zh-CN"/>
        </w:rPr>
        <w:t>：</w:t>
      </w:r>
      <w:r>
        <w:rPr>
          <w:rStyle w:val="21"/>
          <w:rFonts w:ascii="Times New Roman" w:hAnsi="Times New Roman" w:eastAsia="仿宋_GB2312" w:cs="Times New Roman"/>
          <w:b w:val="0"/>
          <w:bCs w:val="0"/>
          <w:i w:val="0"/>
          <w:iCs w:val="0"/>
          <w:color w:val="auto"/>
          <w:sz w:val="32"/>
          <w:szCs w:val="32"/>
          <w:highlight w:val="none"/>
        </w:rPr>
        <w:t>支出决算为2.93万元，完成预算100%，决算数等于预算数。</w:t>
      </w:r>
    </w:p>
    <w:p w14:paraId="7C462122">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Style w:val="21"/>
          <w:rFonts w:ascii="Times New Roman" w:hAnsi="Times New Roman" w:eastAsia="仿宋_GB2312" w:cs="Times New Roman"/>
          <w:b w:val="0"/>
          <w:bCs w:val="0"/>
          <w:i w:val="0"/>
          <w:iCs w:val="0"/>
          <w:color w:val="auto"/>
          <w:sz w:val="32"/>
          <w:szCs w:val="32"/>
          <w:highlight w:val="none"/>
          <w:lang w:eastAsia="zh-CN"/>
        </w:rPr>
      </w:pPr>
      <w:r>
        <w:rPr>
          <w:rStyle w:val="21"/>
          <w:rFonts w:hint="eastAsia" w:ascii="Times New Roman" w:hAnsi="Times New Roman" w:eastAsia="仿宋_GB2312" w:cs="Times New Roman"/>
          <w:b w:val="0"/>
          <w:bCs w:val="0"/>
          <w:i w:val="0"/>
          <w:iCs w:val="0"/>
          <w:color w:val="auto"/>
          <w:sz w:val="32"/>
          <w:szCs w:val="32"/>
          <w:highlight w:val="none"/>
          <w:lang w:val="en-US" w:eastAsia="zh-CN"/>
        </w:rPr>
        <w:t>15.住房保障支出（类）住房改革支出（款）住房公积金（项）：</w:t>
      </w:r>
      <w:r>
        <w:rPr>
          <w:rStyle w:val="21"/>
          <w:rFonts w:ascii="Times New Roman" w:hAnsi="Times New Roman" w:eastAsia="仿宋_GB2312" w:cs="Times New Roman"/>
          <w:b w:val="0"/>
          <w:bCs w:val="0"/>
          <w:i w:val="0"/>
          <w:iCs w:val="0"/>
          <w:color w:val="auto"/>
          <w:sz w:val="32"/>
          <w:szCs w:val="32"/>
          <w:highlight w:val="none"/>
          <w:lang w:eastAsia="zh-CN"/>
        </w:rPr>
        <w:t>支出决算为14.98万元，完成预算100%，决算数等于预算数。</w:t>
      </w:r>
    </w:p>
    <w:p w14:paraId="486E19B6">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Style w:val="21"/>
          <w:rFonts w:ascii="Times New Roman" w:hAnsi="Times New Roman" w:eastAsia="仿宋_GB2312" w:cs="Times New Roman"/>
          <w:b w:val="0"/>
          <w:bCs w:val="0"/>
          <w:i w:val="0"/>
          <w:iCs w:val="0"/>
          <w:color w:val="auto"/>
          <w:sz w:val="32"/>
          <w:szCs w:val="32"/>
          <w:highlight w:val="none"/>
          <w:lang w:eastAsia="zh-CN"/>
        </w:rPr>
      </w:pPr>
      <w:r>
        <w:rPr>
          <w:rStyle w:val="21"/>
          <w:rFonts w:hint="eastAsia" w:ascii="Times New Roman" w:hAnsi="Times New Roman" w:eastAsia="仿宋_GB2312" w:cs="Times New Roman"/>
          <w:b w:val="0"/>
          <w:bCs w:val="0"/>
          <w:i w:val="0"/>
          <w:iCs w:val="0"/>
          <w:color w:val="auto"/>
          <w:sz w:val="32"/>
          <w:szCs w:val="32"/>
          <w:highlight w:val="none"/>
          <w:lang w:val="en-US" w:eastAsia="zh-CN"/>
        </w:rPr>
        <w:t>1</w:t>
      </w:r>
      <w:r>
        <w:rPr>
          <w:rStyle w:val="21"/>
          <w:rFonts w:hint="eastAsia" w:eastAsia="仿宋_GB2312" w:cs="Times New Roman"/>
          <w:b w:val="0"/>
          <w:bCs w:val="0"/>
          <w:i w:val="0"/>
          <w:iCs w:val="0"/>
          <w:color w:val="auto"/>
          <w:sz w:val="32"/>
          <w:szCs w:val="32"/>
          <w:highlight w:val="none"/>
          <w:lang w:val="en-US" w:eastAsia="zh-CN"/>
        </w:rPr>
        <w:t>6</w:t>
      </w:r>
      <w:r>
        <w:rPr>
          <w:rStyle w:val="21"/>
          <w:rFonts w:hint="eastAsia" w:ascii="Times New Roman" w:hAnsi="Times New Roman" w:eastAsia="仿宋_GB2312" w:cs="Times New Roman"/>
          <w:b w:val="0"/>
          <w:bCs w:val="0"/>
          <w:i w:val="0"/>
          <w:iCs w:val="0"/>
          <w:color w:val="auto"/>
          <w:sz w:val="32"/>
          <w:szCs w:val="32"/>
          <w:highlight w:val="none"/>
          <w:lang w:val="en-US" w:eastAsia="zh-CN"/>
        </w:rPr>
        <w:t>.农林水支出（类）巩固脱贫攻坚成果衔接乡村振兴（款）其他巩固脱贫攻坚成果衔接乡村振兴支出（项）：</w:t>
      </w:r>
      <w:r>
        <w:rPr>
          <w:rStyle w:val="21"/>
          <w:rFonts w:ascii="Times New Roman" w:hAnsi="Times New Roman" w:eastAsia="仿宋_GB2312" w:cs="Times New Roman"/>
          <w:b w:val="0"/>
          <w:bCs w:val="0"/>
          <w:i w:val="0"/>
          <w:iCs w:val="0"/>
          <w:color w:val="auto"/>
          <w:sz w:val="32"/>
          <w:szCs w:val="32"/>
          <w:highlight w:val="none"/>
          <w:lang w:eastAsia="zh-CN"/>
        </w:rPr>
        <w:t>支出决算为34.19万元，完成预算100%，决算数等于预算数。</w:t>
      </w:r>
    </w:p>
    <w:p w14:paraId="624D02E0">
      <w:pPr>
        <w:tabs>
          <w:tab w:val="right" w:pos="8306"/>
        </w:tabs>
        <w:spacing w:beforeAutospacing="0" w:afterAutospacing="0" w:line="560" w:lineRule="exact"/>
        <w:ind w:firstLine="640"/>
        <w:outlineLvl w:val="1"/>
        <w:rPr>
          <w:rStyle w:val="24"/>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4"/>
          <w:rFonts w:hint="eastAsia" w:ascii="Times New Roman" w:hAnsi="Times New Roman" w:eastAsia="黑体"/>
          <w:b w:val="0"/>
          <w:color w:val="auto"/>
          <w:highlight w:val="none"/>
        </w:rPr>
        <w:t>般公共预算财政拨款基本支出决算情况说明</w:t>
      </w:r>
      <w:bookmarkEnd w:id="41"/>
      <w:bookmarkEnd w:id="42"/>
      <w:bookmarkEnd w:id="43"/>
      <w:r>
        <w:rPr>
          <w:rStyle w:val="24"/>
          <w:rFonts w:ascii="Times New Roman" w:hAnsi="Times New Roman" w:eastAsia="黑体"/>
          <w:b w:val="0"/>
          <w:color w:val="auto"/>
          <w:highlight w:val="none"/>
        </w:rPr>
        <w:tab/>
      </w:r>
    </w:p>
    <w:p w14:paraId="5EF3F0BB">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2024年度一般公共预算财政拨款基本支出227.44万元，其中：</w:t>
      </w:r>
    </w:p>
    <w:p w14:paraId="66DACC77">
      <w:pPr>
        <w:keepNext w:val="0"/>
        <w:keepLines w:val="0"/>
        <w:pageBreakBefore w:val="0"/>
        <w:widowControl w:val="0"/>
        <w:kinsoku/>
        <w:wordWrap/>
        <w:overflowPunct/>
        <w:topLinePunct w:val="0"/>
        <w:bidi w:val="0"/>
        <w:snapToGrid/>
        <w:spacing w:beforeAutospacing="0" w:afterAutospacing="0" w:line="560" w:lineRule="exact"/>
        <w:ind w:firstLine="645"/>
        <w:textAlignment w:val="auto"/>
        <w:rPr>
          <w:rFonts w:ascii="Times New Roman" w:hAnsi="Times New Roman" w:eastAsia="仿宋_GB2312" w:cs="Times New Roman"/>
          <w:b w:val="0"/>
          <w:bCs w:val="0"/>
          <w:i w:val="0"/>
          <w:iCs w:val="0"/>
          <w:color w:val="auto"/>
          <w:sz w:val="32"/>
          <w:szCs w:val="32"/>
          <w:highlight w:val="none"/>
          <w:lang w:eastAsia="zh-CN"/>
        </w:rPr>
      </w:pPr>
      <w:r>
        <w:rPr>
          <w:rFonts w:ascii="Times New Roman" w:hAnsi="Times New Roman" w:eastAsia="仿宋_GB2312" w:cs="Times New Roman"/>
          <w:b w:val="0"/>
          <w:bCs w:val="0"/>
          <w:i w:val="0"/>
          <w:iCs w:val="0"/>
          <w:color w:val="auto"/>
          <w:sz w:val="32"/>
          <w:szCs w:val="32"/>
          <w:highlight w:val="none"/>
        </w:rPr>
        <w:t>人员经费202.85万元，主要包括：基本工资、津贴补贴、奖金、绩效工资、机关事业单位基本养老保险缴费、基本医疗保险缴费</w:t>
      </w:r>
      <w:r>
        <w:rPr>
          <w:rFonts w:hint="eastAsia" w:ascii="Times New Roman" w:hAnsi="Times New Roman" w:cs="Times New Roman"/>
          <w:b w:val="0"/>
          <w:bCs w:val="0"/>
          <w:i w:val="0"/>
          <w:iCs w:val="0"/>
          <w:color w:val="auto"/>
          <w:sz w:val="32"/>
          <w:szCs w:val="32"/>
          <w:highlight w:val="none"/>
          <w:lang w:eastAsia="zh-CN"/>
        </w:rPr>
        <w:t>、</w:t>
      </w:r>
      <w:r>
        <w:rPr>
          <w:rFonts w:ascii="Times New Roman" w:hAnsi="Times New Roman" w:eastAsia="仿宋_GB2312" w:cs="Times New Roman"/>
          <w:b w:val="0"/>
          <w:bCs w:val="0"/>
          <w:i w:val="0"/>
          <w:iCs w:val="0"/>
          <w:color w:val="auto"/>
          <w:sz w:val="32"/>
          <w:szCs w:val="32"/>
          <w:highlight w:val="none"/>
        </w:rPr>
        <w:t>其他社会保障缴费、住房公积金</w:t>
      </w:r>
      <w:r>
        <w:rPr>
          <w:rFonts w:hint="eastAsia" w:eastAsia="仿宋_GB2312" w:cs="Times New Roman"/>
          <w:b w:val="0"/>
          <w:bCs w:val="0"/>
          <w:i w:val="0"/>
          <w:iCs w:val="0"/>
          <w:color w:val="auto"/>
          <w:sz w:val="32"/>
          <w:szCs w:val="32"/>
          <w:highlight w:val="none"/>
          <w:lang w:eastAsia="zh-CN"/>
        </w:rPr>
        <w:t>、其他对个人和家庭的补助</w:t>
      </w:r>
      <w:r>
        <w:rPr>
          <w:rFonts w:ascii="Times New Roman" w:hAnsi="Times New Roman" w:eastAsia="仿宋_GB2312" w:cs="Times New Roman"/>
          <w:b w:val="0"/>
          <w:bCs w:val="0"/>
          <w:i w:val="0"/>
          <w:iCs w:val="0"/>
          <w:color w:val="auto"/>
          <w:sz w:val="32"/>
          <w:szCs w:val="32"/>
          <w:highlight w:val="none"/>
        </w:rPr>
        <w:t>等。</w:t>
      </w:r>
    </w:p>
    <w:p w14:paraId="784C9DCE">
      <w:pPr>
        <w:keepNext w:val="0"/>
        <w:keepLines w:val="0"/>
        <w:pageBreakBefore w:val="0"/>
        <w:widowControl w:val="0"/>
        <w:kinsoku/>
        <w:wordWrap/>
        <w:overflowPunct/>
        <w:topLinePunct w:val="0"/>
        <w:bidi w:val="0"/>
        <w:snapToGrid/>
        <w:spacing w:beforeAutospacing="0" w:afterAutospacing="0" w:line="560" w:lineRule="exact"/>
        <w:ind w:firstLine="645"/>
        <w:textAlignment w:val="auto"/>
        <w:rPr>
          <w:rFonts w:ascii="Times New Roman" w:hAnsi="Times New Roman" w:eastAsia="仿宋_GB2312" w:cs="Times New Roman"/>
          <w:b w:val="0"/>
          <w:bCs w:val="0"/>
          <w:i w:val="0"/>
          <w:iCs w:val="0"/>
          <w:color w:val="auto"/>
          <w:sz w:val="32"/>
          <w:szCs w:val="32"/>
          <w:highlight w:val="none"/>
        </w:rPr>
      </w:pPr>
      <w:r>
        <w:rPr>
          <w:rFonts w:ascii="Times New Roman" w:hAnsi="Times New Roman" w:eastAsia="仿宋_GB2312" w:cs="Times New Roman"/>
          <w:b w:val="0"/>
          <w:bCs w:val="0"/>
          <w:i w:val="0"/>
          <w:iCs w:val="0"/>
          <w:color w:val="auto"/>
          <w:sz w:val="32"/>
          <w:szCs w:val="32"/>
          <w:highlight w:val="none"/>
        </w:rPr>
        <w:t>公用经费</w:t>
      </w:r>
      <w:r>
        <w:rPr>
          <w:rFonts w:hint="eastAsia" w:ascii="Times New Roman" w:hAnsi="Times New Roman" w:cs="Times New Roman"/>
          <w:b w:val="0"/>
          <w:bCs w:val="0"/>
          <w:i w:val="0"/>
          <w:iCs w:val="0"/>
          <w:color w:val="auto"/>
          <w:sz w:val="32"/>
          <w:szCs w:val="32"/>
          <w:highlight w:val="none"/>
          <w:lang w:val="en-US" w:eastAsia="zh-CN"/>
        </w:rPr>
        <w:t>24.59</w:t>
      </w:r>
      <w:r>
        <w:rPr>
          <w:rFonts w:ascii="Times New Roman" w:hAnsi="Times New Roman" w:eastAsia="仿宋_GB2312" w:cs="Times New Roman"/>
          <w:b w:val="0"/>
          <w:bCs w:val="0"/>
          <w:i w:val="0"/>
          <w:iCs w:val="0"/>
          <w:color w:val="auto"/>
          <w:sz w:val="32"/>
          <w:szCs w:val="32"/>
          <w:highlight w:val="none"/>
        </w:rPr>
        <w:t>万元，主要包括：办公费</w:t>
      </w:r>
      <w:r>
        <w:rPr>
          <w:rFonts w:hint="eastAsia" w:eastAsia="仿宋_GB2312" w:cs="Times New Roman"/>
          <w:b w:val="0"/>
          <w:bCs w:val="0"/>
          <w:i w:val="0"/>
          <w:iCs w:val="0"/>
          <w:color w:val="auto"/>
          <w:sz w:val="32"/>
          <w:szCs w:val="32"/>
          <w:highlight w:val="none"/>
          <w:lang w:eastAsia="zh-CN"/>
        </w:rPr>
        <w:t>、印刷费、邮电费、</w:t>
      </w:r>
      <w:r>
        <w:rPr>
          <w:rFonts w:ascii="Times New Roman" w:hAnsi="Times New Roman" w:eastAsia="仿宋_GB2312" w:cs="Times New Roman"/>
          <w:b w:val="0"/>
          <w:bCs w:val="0"/>
          <w:i w:val="0"/>
          <w:iCs w:val="0"/>
          <w:color w:val="auto"/>
          <w:sz w:val="32"/>
          <w:szCs w:val="32"/>
          <w:highlight w:val="none"/>
        </w:rPr>
        <w:t>差旅费、工会经费、福利费、其他交通费、其他商品和服务支出等。</w:t>
      </w:r>
    </w:p>
    <w:p w14:paraId="1441CE34">
      <w:pPr>
        <w:spacing w:beforeAutospacing="0" w:afterAutospacing="0" w:line="560" w:lineRule="exact"/>
        <w:ind w:firstLine="640"/>
        <w:outlineLvl w:val="1"/>
        <w:rPr>
          <w:rStyle w:val="24"/>
          <w:rFonts w:ascii="Times New Roman" w:hAnsi="Times New Roman" w:eastAsia="黑体"/>
          <w:b w:val="0"/>
          <w:color w:val="auto"/>
          <w:highlight w:val="none"/>
        </w:rPr>
      </w:pPr>
      <w:bookmarkStart w:id="44" w:name="_Toc15396609"/>
      <w:bookmarkStart w:id="45" w:name="_Toc15377215"/>
      <w:bookmarkStart w:id="46" w:name="_Toc1161"/>
      <w:r>
        <w:rPr>
          <w:rFonts w:hint="eastAsia" w:ascii="Times New Roman" w:hAnsi="Times New Roman" w:eastAsia="黑体"/>
          <w:color w:val="auto"/>
          <w:sz w:val="32"/>
          <w:szCs w:val="32"/>
          <w:highlight w:val="none"/>
        </w:rPr>
        <w:t>七、</w:t>
      </w:r>
      <w:r>
        <w:rPr>
          <w:rStyle w:val="24"/>
          <w:rFonts w:hint="eastAsia" w:ascii="Times New Roman" w:hAnsi="Times New Roman" w:eastAsia="黑体"/>
          <w:b w:val="0"/>
          <w:color w:val="auto"/>
          <w:highlight w:val="none"/>
        </w:rPr>
        <w:t>财政拨款</w:t>
      </w:r>
      <w:r>
        <w:rPr>
          <w:rStyle w:val="24"/>
          <w:rFonts w:hint="eastAsia" w:ascii="Times New Roman" w:hAnsi="Times New Roman" w:eastAsia="黑体"/>
          <w:color w:val="auto"/>
          <w:highlight w:val="none"/>
        </w:rPr>
        <w:t>“</w:t>
      </w:r>
      <w:r>
        <w:rPr>
          <w:rStyle w:val="24"/>
          <w:rFonts w:hint="eastAsia" w:ascii="Times New Roman" w:hAnsi="Times New Roman" w:eastAsia="黑体"/>
          <w:b w:val="0"/>
          <w:color w:val="auto"/>
          <w:highlight w:val="none"/>
        </w:rPr>
        <w:t>三公”经费支出决算情况说明</w:t>
      </w:r>
      <w:bookmarkEnd w:id="44"/>
      <w:bookmarkEnd w:id="45"/>
      <w:bookmarkEnd w:id="46"/>
    </w:p>
    <w:p w14:paraId="278B9088">
      <w:pPr>
        <w:spacing w:beforeAutospacing="0" w:afterAutospacing="0" w:line="56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7"/>
    </w:p>
    <w:p w14:paraId="53D8126B">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0.68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较2023年增加0.42万元</w:t>
      </w:r>
      <w:r>
        <w:rPr>
          <w:rFonts w:hint="eastAsia" w:ascii="Times New Roman" w:hAnsi="Times New Roman" w:eastAsia="仿宋_GB2312" w:cs="仿宋_GB2312"/>
          <w:color w:val="auto"/>
          <w:kern w:val="2"/>
          <w:sz w:val="32"/>
          <w:szCs w:val="32"/>
          <w:highlight w:val="none"/>
          <w:lang w:val="en-US" w:eastAsia="zh-CN" w:bidi="ar-SA"/>
        </w:rPr>
        <w:t>。</w:t>
      </w:r>
      <w:r>
        <w:rPr>
          <w:rFonts w:ascii="Times New Roman" w:hAnsi="Times New Roman" w:eastAsia="仿宋_GB2312" w:cs="Times New Roman"/>
          <w:b w:val="0"/>
          <w:bCs w:val="0"/>
          <w:i w:val="0"/>
          <w:iCs w:val="0"/>
          <w:color w:val="auto"/>
          <w:sz w:val="32"/>
          <w:szCs w:val="32"/>
          <w:highlight w:val="none"/>
        </w:rPr>
        <w:t>决算数与预算数持平</w:t>
      </w:r>
      <w:r>
        <w:rPr>
          <w:rFonts w:hint="eastAsia" w:eastAsia="仿宋_GB2312" w:cs="Times New Roman"/>
          <w:b w:val="0"/>
          <w:bCs w:val="0"/>
          <w:i w:val="0"/>
          <w:iCs w:val="0"/>
          <w:color w:val="auto"/>
          <w:sz w:val="32"/>
          <w:szCs w:val="32"/>
          <w:highlight w:val="none"/>
          <w:lang w:eastAsia="zh-CN"/>
        </w:rPr>
        <w:t>。</w:t>
      </w:r>
    </w:p>
    <w:p w14:paraId="6B8B89D9">
      <w:pPr>
        <w:spacing w:beforeAutospacing="0" w:afterAutospacing="0" w:line="56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8"/>
    </w:p>
    <w:p w14:paraId="30209212">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0.68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14:paraId="2D66333A">
      <w:pPr>
        <w:pStyle w:val="17"/>
        <w:jc w:val="center"/>
        <w:rPr>
          <w:rFonts w:hint="eastAsia"/>
          <w:lang w:val="en-US" w:eastAsia="zh-CN"/>
        </w:rPr>
      </w:pPr>
      <w:r>
        <w:rPr>
          <w:rFonts w:hint="eastAsia"/>
          <w:lang w:val="en-US" w:eastAsia="zh-CN"/>
        </w:rPr>
        <w:drawing>
          <wp:inline distT="0" distB="0" distL="114300" distR="114300">
            <wp:extent cx="5130800" cy="2768600"/>
            <wp:effectExtent l="4444" t="4444" r="825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2E30E8">
      <w:pPr>
        <w:spacing w:beforeAutospacing="0" w:afterAutospacing="0" w:line="560" w:lineRule="exact"/>
        <w:ind w:firstLine="64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640EFFB2">
      <w:pPr>
        <w:spacing w:beforeAutospacing="0" w:afterAutospacing="0" w:line="560" w:lineRule="exact"/>
        <w:ind w:firstLine="641"/>
        <w:rPr>
          <w:rFonts w:hint="eastAsia" w:ascii="仿宋_GB2312" w:eastAsia="仿宋_GB2312"/>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本单位</w:t>
      </w:r>
      <w:r>
        <w:rPr>
          <w:rFonts w:hint="eastAsia" w:ascii="仿宋_GB2312" w:eastAsia="仿宋_GB2312"/>
          <w:sz w:val="32"/>
          <w:szCs w:val="32"/>
        </w:rPr>
        <w:t>未安排因公出国（境）</w:t>
      </w:r>
      <w:r>
        <w:rPr>
          <w:rFonts w:hint="eastAsia" w:ascii="仿宋_GB2312" w:eastAsia="仿宋_GB2312"/>
          <w:sz w:val="32"/>
          <w:szCs w:val="32"/>
          <w:lang w:eastAsia="zh-CN"/>
        </w:rPr>
        <w:t>。</w:t>
      </w:r>
    </w:p>
    <w:p w14:paraId="49E13EC2">
      <w:pPr>
        <w:spacing w:beforeAutospacing="0" w:afterAutospacing="0" w:line="560" w:lineRule="exact"/>
        <w:ind w:firstLine="64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持平，主要原因系本单位无公务车辆。</w:t>
      </w:r>
    </w:p>
    <w:p w14:paraId="3C30A946">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78921349">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0AC665AC">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kern w:val="2"/>
          <w:sz w:val="32"/>
          <w:szCs w:val="32"/>
          <w:highlight w:val="none"/>
          <w:lang w:val="en-US" w:eastAsia="zh-CN" w:bidi="ar-SA"/>
        </w:rPr>
        <w:t>0.68</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增加0.42万元，增长159.85%，</w:t>
      </w:r>
      <w:r>
        <w:rPr>
          <w:rFonts w:hint="eastAsia" w:ascii="Times New Roman" w:hAnsi="Times New Roman" w:eastAsia="仿宋_GB2312" w:cs="仿宋_GB2312"/>
          <w:color w:val="auto"/>
          <w:kern w:val="2"/>
          <w:sz w:val="32"/>
          <w:szCs w:val="32"/>
          <w:highlight w:val="none"/>
          <w:lang w:val="en-US" w:eastAsia="zh-CN" w:bidi="ar-SA"/>
        </w:rPr>
        <w:t>主要原因系</w:t>
      </w:r>
      <w:r>
        <w:rPr>
          <w:rFonts w:hint="eastAsia" w:eastAsia="仿宋_GB2312" w:cs="仿宋_GB2312"/>
          <w:color w:val="auto"/>
          <w:kern w:val="2"/>
          <w:sz w:val="32"/>
          <w:szCs w:val="32"/>
          <w:highlight w:val="none"/>
          <w:lang w:val="en-US" w:eastAsia="zh-CN" w:bidi="ar-SA"/>
        </w:rPr>
        <w:t>上年度未开展相关接待活动</w:t>
      </w:r>
      <w:r>
        <w:rPr>
          <w:rFonts w:hint="eastAsia" w:ascii="Times New Roman" w:hAnsi="Times New Roman" w:eastAsia="仿宋_GB2312" w:cs="仿宋_GB2312"/>
          <w:color w:val="auto"/>
          <w:kern w:val="2"/>
          <w:sz w:val="32"/>
          <w:szCs w:val="32"/>
          <w:highlight w:val="none"/>
          <w:lang w:val="en-US" w:eastAsia="zh-CN" w:bidi="ar-SA"/>
        </w:rPr>
        <w:t>。其中：</w:t>
      </w:r>
    </w:p>
    <w:p w14:paraId="3647254F">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9" w:name="_Toc15377218"/>
      <w:bookmarkStart w:id="50" w:name="_Toc15396610"/>
      <w:r>
        <w:rPr>
          <w:rFonts w:hint="eastAsia" w:ascii="Times New Roman" w:hAnsi="Times New Roman" w:eastAsia="仿宋_GB2312" w:cs="仿宋_GB2312"/>
          <w:color w:val="auto"/>
          <w:kern w:val="2"/>
          <w:sz w:val="32"/>
          <w:szCs w:val="32"/>
          <w:highlight w:val="none"/>
          <w:lang w:val="en-US" w:eastAsia="zh-CN" w:bidi="ar-SA"/>
        </w:rPr>
        <w:t>国内公务接待支出0.68万元，主要用于开展业务活动开支的用餐费。国内公务接待</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59</w:t>
      </w:r>
      <w:r>
        <w:rPr>
          <w:rFonts w:hint="eastAsia" w:ascii="Times New Roman" w:hAnsi="Times New Roman" w:eastAsia="仿宋_GB2312" w:cs="仿宋_GB2312"/>
          <w:color w:val="auto"/>
          <w:kern w:val="2"/>
          <w:sz w:val="32"/>
          <w:szCs w:val="32"/>
          <w:highlight w:val="none"/>
          <w:lang w:val="en-US" w:eastAsia="zh-CN" w:bidi="ar-SA"/>
        </w:rPr>
        <w:t>人次（不包括陪同人员），共计支出0.68万元，具体内容包括：</w:t>
      </w:r>
      <w:r>
        <w:rPr>
          <w:rFonts w:hint="eastAsia" w:eastAsia="仿宋_GB2312" w:cs="仿宋_GB2312"/>
          <w:color w:val="auto"/>
          <w:kern w:val="2"/>
          <w:sz w:val="32"/>
          <w:szCs w:val="32"/>
          <w:highlight w:val="none"/>
          <w:lang w:val="en-US" w:eastAsia="zh-CN" w:bidi="ar-SA"/>
        </w:rPr>
        <w:t>接待</w:t>
      </w:r>
      <w:r>
        <w:rPr>
          <w:rFonts w:hint="eastAsia" w:ascii="Times New Roman" w:hAnsi="Times New Roman" w:eastAsia="仿宋_GB2312" w:cs="仿宋_GB2312"/>
          <w:color w:val="auto"/>
          <w:kern w:val="2"/>
          <w:sz w:val="32"/>
          <w:szCs w:val="32"/>
          <w:highlight w:val="none"/>
          <w:lang w:val="en-US" w:eastAsia="zh-CN" w:bidi="ar-SA"/>
        </w:rPr>
        <w:t>甘肃陇南统战部和新阶人士</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68</w:t>
      </w:r>
      <w:r>
        <w:rPr>
          <w:rFonts w:hint="eastAsia" w:eastAsia="仿宋_GB2312" w:cs="仿宋_GB2312"/>
          <w:color w:val="auto"/>
          <w:kern w:val="2"/>
          <w:sz w:val="32"/>
          <w:szCs w:val="32"/>
          <w:highlight w:val="none"/>
          <w:lang w:val="en-US" w:eastAsia="zh-CN" w:bidi="ar-SA"/>
        </w:rPr>
        <w:t>万元等</w:t>
      </w:r>
      <w:r>
        <w:rPr>
          <w:rFonts w:hint="eastAsia" w:ascii="Times New Roman" w:hAnsi="Times New Roman" w:eastAsia="仿宋_GB2312" w:cs="仿宋_GB2312"/>
          <w:color w:val="auto"/>
          <w:kern w:val="2"/>
          <w:sz w:val="32"/>
          <w:szCs w:val="32"/>
          <w:highlight w:val="none"/>
          <w:lang w:val="en-US" w:eastAsia="zh-CN" w:bidi="ar-SA"/>
        </w:rPr>
        <w:t>。</w:t>
      </w:r>
    </w:p>
    <w:p w14:paraId="59AFF6A8">
      <w:pPr>
        <w:keepNext w:val="0"/>
        <w:keepLines w:val="0"/>
        <w:pageBreakBefore w:val="0"/>
        <w:widowControl w:val="0"/>
        <w:kinsoku/>
        <w:wordWrap/>
        <w:overflowPunct/>
        <w:topLinePunct w:val="0"/>
        <w:bidi w:val="0"/>
        <w:snapToGrid/>
        <w:spacing w:beforeAutospacing="0" w:afterAutospacing="0" w:line="560" w:lineRule="exact"/>
        <w:ind w:firstLine="640" w:firstLineChars="200"/>
        <w:textAlignment w:val="auto"/>
        <w:rPr>
          <w:rFonts w:ascii="Times New Roman" w:hAnsi="Times New Roman" w:eastAsia="仿宋_GB2312" w:cs="Times New Roman"/>
          <w:b w:val="0"/>
          <w:bCs w:val="0"/>
          <w:i w:val="0"/>
          <w:iCs w:val="0"/>
          <w:color w:val="auto"/>
          <w:sz w:val="32"/>
          <w:szCs w:val="32"/>
          <w:highlight w:val="none"/>
        </w:rPr>
      </w:pPr>
      <w:r>
        <w:rPr>
          <w:rFonts w:ascii="Times New Roman" w:hAnsi="Times New Roman" w:eastAsia="仿宋_GB2312" w:cs="Times New Roman"/>
          <w:b w:val="0"/>
          <w:bCs w:val="0"/>
          <w:i w:val="0"/>
          <w:iCs w:val="0"/>
          <w:color w:val="auto"/>
          <w:sz w:val="32"/>
          <w:szCs w:val="32"/>
          <w:highlight w:val="none"/>
        </w:rPr>
        <w:t>外事接待支出</w:t>
      </w:r>
      <w:r>
        <w:rPr>
          <w:rFonts w:hint="eastAsia" w:ascii="Times New Roman" w:hAnsi="Times New Roman" w:cs="Times New Roman"/>
          <w:b w:val="0"/>
          <w:bCs w:val="0"/>
          <w:i w:val="0"/>
          <w:iCs w:val="0"/>
          <w:color w:val="auto"/>
          <w:sz w:val="32"/>
          <w:szCs w:val="32"/>
          <w:highlight w:val="none"/>
          <w:lang w:val="en-US" w:eastAsia="zh-CN"/>
        </w:rPr>
        <w:t>0</w:t>
      </w:r>
      <w:r>
        <w:rPr>
          <w:rFonts w:ascii="Times New Roman" w:hAnsi="Times New Roman" w:eastAsia="仿宋_GB2312" w:cs="Times New Roman"/>
          <w:b w:val="0"/>
          <w:bCs w:val="0"/>
          <w:i w:val="0"/>
          <w:iCs w:val="0"/>
          <w:color w:val="auto"/>
          <w:sz w:val="32"/>
          <w:szCs w:val="32"/>
          <w:highlight w:val="none"/>
        </w:rPr>
        <w:t>万元</w:t>
      </w:r>
      <w:r>
        <w:rPr>
          <w:rFonts w:ascii="Times New Roman" w:hAnsi="Times New Roman" w:eastAsia="仿宋_GB2312" w:cs="Times New Roman"/>
          <w:b w:val="0"/>
          <w:bCs w:val="0"/>
          <w:i w:val="0"/>
          <w:iCs w:val="0"/>
          <w:color w:val="auto"/>
          <w:sz w:val="32"/>
          <w:szCs w:val="32"/>
          <w:highlight w:val="none"/>
          <w:lang w:eastAsia="zh-CN"/>
        </w:rPr>
        <w:t>。</w:t>
      </w:r>
      <w:r>
        <w:rPr>
          <w:rFonts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cs="Times New Roman"/>
          <w:b w:val="0"/>
          <w:bCs w:val="0"/>
          <w:i w:val="0"/>
          <w:iCs w:val="0"/>
          <w:color w:val="auto"/>
          <w:sz w:val="32"/>
          <w:szCs w:val="32"/>
          <w:highlight w:val="none"/>
          <w:lang w:val="en-US" w:eastAsia="zh-CN"/>
        </w:rPr>
        <w:t>0</w:t>
      </w:r>
      <w:r>
        <w:rPr>
          <w:rFonts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cs="Times New Roman"/>
          <w:b w:val="0"/>
          <w:bCs w:val="0"/>
          <w:i w:val="0"/>
          <w:iCs w:val="0"/>
          <w:color w:val="auto"/>
          <w:sz w:val="32"/>
          <w:szCs w:val="32"/>
          <w:highlight w:val="none"/>
          <w:lang w:val="en-US" w:eastAsia="zh-CN"/>
        </w:rPr>
        <w:t>0</w:t>
      </w:r>
      <w:r>
        <w:rPr>
          <w:rFonts w:ascii="Times New Roman" w:hAnsi="Times New Roman" w:eastAsia="仿宋_GB2312" w:cs="Times New Roman"/>
          <w:b w:val="0"/>
          <w:bCs w:val="0"/>
          <w:i w:val="0"/>
          <w:iCs w:val="0"/>
          <w:color w:val="auto"/>
          <w:sz w:val="32"/>
          <w:szCs w:val="32"/>
          <w:highlight w:val="none"/>
        </w:rPr>
        <w:t>人</w:t>
      </w:r>
      <w:r>
        <w:rPr>
          <w:rFonts w:ascii="Times New Roman" w:hAnsi="Times New Roman" w:eastAsia="仿宋_GB2312" w:cs="Times New Roman"/>
          <w:b w:val="0"/>
          <w:bCs w:val="0"/>
          <w:i w:val="0"/>
          <w:iCs w:val="0"/>
          <w:color w:val="auto"/>
          <w:sz w:val="32"/>
          <w:szCs w:val="32"/>
          <w:highlight w:val="none"/>
          <w:lang w:eastAsia="zh-CN"/>
        </w:rPr>
        <w:t>次（不包括陪同人员）</w:t>
      </w:r>
      <w:r>
        <w:rPr>
          <w:rFonts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cs="Times New Roman"/>
          <w:b w:val="0"/>
          <w:bCs w:val="0"/>
          <w:i w:val="0"/>
          <w:iCs w:val="0"/>
          <w:color w:val="auto"/>
          <w:sz w:val="32"/>
          <w:szCs w:val="32"/>
          <w:highlight w:val="none"/>
          <w:lang w:val="en-US" w:eastAsia="zh-CN"/>
        </w:rPr>
        <w:t>0</w:t>
      </w:r>
      <w:r>
        <w:rPr>
          <w:rFonts w:ascii="Times New Roman" w:hAnsi="Times New Roman" w:eastAsia="仿宋_GB2312" w:cs="Times New Roman"/>
          <w:b w:val="0"/>
          <w:bCs w:val="0"/>
          <w:i w:val="0"/>
          <w:iCs w:val="0"/>
          <w:color w:val="auto"/>
          <w:sz w:val="32"/>
          <w:szCs w:val="32"/>
          <w:highlight w:val="none"/>
        </w:rPr>
        <w:t>万元。</w:t>
      </w:r>
    </w:p>
    <w:p w14:paraId="469B15B7">
      <w:pPr>
        <w:spacing w:beforeAutospacing="0" w:afterAutospacing="0" w:line="560" w:lineRule="exact"/>
        <w:ind w:firstLine="640"/>
        <w:outlineLvl w:val="1"/>
        <w:rPr>
          <w:rStyle w:val="24"/>
          <w:rFonts w:ascii="Times New Roman" w:hAnsi="Times New Roman" w:eastAsia="黑体"/>
          <w:color w:val="auto"/>
          <w:highlight w:val="none"/>
        </w:rPr>
      </w:pPr>
      <w:bookmarkStart w:id="51" w:name="_Toc26581"/>
      <w:r>
        <w:rPr>
          <w:rFonts w:hint="eastAsia" w:ascii="Times New Roman" w:hAnsi="Times New Roman" w:eastAsia="黑体"/>
          <w:color w:val="auto"/>
          <w:sz w:val="32"/>
          <w:szCs w:val="32"/>
          <w:highlight w:val="none"/>
        </w:rPr>
        <w:t>八、</w:t>
      </w:r>
      <w:r>
        <w:rPr>
          <w:rStyle w:val="24"/>
          <w:rFonts w:hint="eastAsia" w:ascii="Times New Roman" w:hAnsi="Times New Roman" w:eastAsia="黑体"/>
          <w:b w:val="0"/>
          <w:color w:val="auto"/>
          <w:highlight w:val="none"/>
        </w:rPr>
        <w:t>政府性基金预算支出决算情况说明</w:t>
      </w:r>
      <w:bookmarkEnd w:id="49"/>
      <w:bookmarkEnd w:id="50"/>
      <w:bookmarkEnd w:id="51"/>
    </w:p>
    <w:p w14:paraId="1F8F125F">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67C9A28F">
      <w:pPr>
        <w:spacing w:beforeAutospacing="0" w:afterAutospacing="0" w:line="560" w:lineRule="exact"/>
        <w:ind w:left="630"/>
        <w:outlineLvl w:val="1"/>
        <w:rPr>
          <w:rStyle w:val="24"/>
          <w:rFonts w:ascii="Times New Roman" w:hAnsi="Times New Roman" w:eastAsia="黑体"/>
          <w:b w:val="0"/>
          <w:color w:val="auto"/>
          <w:highlight w:val="none"/>
        </w:rPr>
      </w:pPr>
      <w:bookmarkStart w:id="52" w:name="_Toc15396611"/>
      <w:bookmarkStart w:id="53" w:name="_Toc15377219"/>
      <w:bookmarkStart w:id="54" w:name="_Toc8762"/>
      <w:r>
        <w:rPr>
          <w:rStyle w:val="24"/>
          <w:rFonts w:hint="eastAsia" w:ascii="Times New Roman" w:hAnsi="Times New Roman" w:eastAsia="黑体"/>
          <w:b w:val="0"/>
          <w:color w:val="auto"/>
          <w:highlight w:val="none"/>
          <w:lang w:eastAsia="zh-CN"/>
        </w:rPr>
        <w:t>九、</w:t>
      </w:r>
      <w:r>
        <w:rPr>
          <w:rStyle w:val="24"/>
          <w:rFonts w:hint="eastAsia" w:ascii="Times New Roman" w:hAnsi="Times New Roman" w:eastAsia="黑体"/>
          <w:b w:val="0"/>
          <w:color w:val="auto"/>
          <w:highlight w:val="none"/>
        </w:rPr>
        <w:t>国有资本经营预算支出决算情况说明</w:t>
      </w:r>
      <w:bookmarkEnd w:id="52"/>
      <w:bookmarkEnd w:id="53"/>
      <w:bookmarkEnd w:id="54"/>
    </w:p>
    <w:p w14:paraId="6CF05661">
      <w:pPr>
        <w:spacing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039C4357">
      <w:pPr>
        <w:spacing w:beforeAutospacing="0" w:afterAutospacing="0" w:line="560" w:lineRule="exact"/>
        <w:ind w:left="630"/>
        <w:outlineLvl w:val="1"/>
        <w:rPr>
          <w:rStyle w:val="24"/>
          <w:rFonts w:hint="eastAsia" w:ascii="Times New Roman" w:hAnsi="Times New Roman" w:eastAsia="黑体"/>
          <w:b w:val="0"/>
          <w:color w:val="auto"/>
          <w:highlight w:val="none"/>
        </w:rPr>
      </w:pPr>
      <w:bookmarkStart w:id="55" w:name="_Toc15396612"/>
      <w:bookmarkStart w:id="56" w:name="_Toc15377221"/>
      <w:bookmarkStart w:id="57" w:name="_Toc17500"/>
      <w:r>
        <w:rPr>
          <w:rStyle w:val="24"/>
          <w:rFonts w:hint="eastAsia" w:ascii="Times New Roman" w:hAnsi="Times New Roman" w:eastAsia="黑体"/>
          <w:b w:val="0"/>
          <w:color w:val="auto"/>
          <w:highlight w:val="none"/>
          <w:lang w:eastAsia="zh-CN"/>
        </w:rPr>
        <w:t>十、</w:t>
      </w:r>
      <w:r>
        <w:rPr>
          <w:rStyle w:val="24"/>
          <w:rFonts w:hint="eastAsia" w:ascii="Times New Roman" w:hAnsi="Times New Roman" w:eastAsia="黑体"/>
          <w:b w:val="0"/>
          <w:color w:val="auto"/>
          <w:highlight w:val="none"/>
        </w:rPr>
        <w:t>其他重要事项的情况说明</w:t>
      </w:r>
      <w:bookmarkEnd w:id="55"/>
      <w:bookmarkEnd w:id="56"/>
      <w:bookmarkEnd w:id="57"/>
    </w:p>
    <w:p w14:paraId="5DC43917">
      <w:pPr>
        <w:spacing w:beforeAutospacing="0" w:afterAutospacing="0" w:line="56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22"/>
      <w:r>
        <w:rPr>
          <w:rFonts w:hint="eastAsia" w:ascii="Times New Roman" w:hAnsi="Times New Roman" w:eastAsia="楷体_GB2312" w:cs="楷体_GB2312"/>
          <w:b/>
          <w:color w:val="auto"/>
          <w:sz w:val="32"/>
          <w:szCs w:val="32"/>
          <w:highlight w:val="none"/>
        </w:rPr>
        <w:t>（一）机关运行经费支出情况</w:t>
      </w:r>
      <w:bookmarkEnd w:id="58"/>
    </w:p>
    <w:p w14:paraId="682A1C97">
      <w:pPr>
        <w:spacing w:beforeAutospacing="0" w:afterAutospacing="0" w:line="560" w:lineRule="exact"/>
        <w:ind w:firstLine="640"/>
        <w:rPr>
          <w:rFonts w:hint="eastAsia"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24.59</w:t>
      </w:r>
      <w:r>
        <w:rPr>
          <w:rFonts w:hint="eastAsia" w:ascii="Times New Roman" w:hAnsi="Times New Roman" w:eastAsia="仿宋_GB2312" w:cs="仿宋_GB2312"/>
          <w:color w:val="auto"/>
          <w:kern w:val="2"/>
          <w:sz w:val="32"/>
          <w:szCs w:val="32"/>
          <w:highlight w:val="none"/>
          <w:lang w:val="en-US" w:eastAsia="zh-CN" w:bidi="ar-SA"/>
        </w:rPr>
        <w:t>万元，比2023年度</w:t>
      </w:r>
      <w:r>
        <w:rPr>
          <w:rFonts w:hint="eastAsia" w:eastAsia="仿宋_GB2312" w:cs="仿宋_GB2312"/>
          <w:color w:val="auto"/>
          <w:kern w:val="2"/>
          <w:sz w:val="32"/>
          <w:szCs w:val="32"/>
          <w:highlight w:val="none"/>
          <w:lang w:val="en-US" w:eastAsia="zh-CN" w:bidi="ar-SA"/>
        </w:rPr>
        <w:t>减少0.31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Times New Roman"/>
          <w:b w:val="0"/>
          <w:bCs w:val="0"/>
          <w:i w:val="0"/>
          <w:iCs w:val="0"/>
          <w:color w:val="auto"/>
          <w:sz w:val="32"/>
          <w:szCs w:val="32"/>
          <w:highlight w:val="none"/>
          <w:lang w:eastAsia="zh-CN"/>
        </w:rPr>
        <w:t>下降</w:t>
      </w:r>
      <w:r>
        <w:rPr>
          <w:rFonts w:hint="eastAsia" w:eastAsia="仿宋_GB2312" w:cs="仿宋_GB2312"/>
          <w:color w:val="auto"/>
          <w:kern w:val="2"/>
          <w:sz w:val="32"/>
          <w:szCs w:val="32"/>
          <w:highlight w:val="none"/>
          <w:lang w:val="en-US" w:eastAsia="zh-CN" w:bidi="ar-SA"/>
        </w:rPr>
        <w:t>1.23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主要变动原因系我单位厉行勤俭节约</w:t>
      </w:r>
      <w:r>
        <w:rPr>
          <w:rFonts w:hint="eastAsia" w:eastAsia="仿宋_GB2312" w:cs="仿宋_GB2312"/>
          <w:color w:val="auto"/>
          <w:kern w:val="2"/>
          <w:sz w:val="32"/>
          <w:szCs w:val="32"/>
          <w:highlight w:val="none"/>
          <w:lang w:val="en-US" w:eastAsia="zh-CN" w:bidi="ar-SA"/>
        </w:rPr>
        <w:t>，尽量缩减费用开支</w:t>
      </w:r>
      <w:r>
        <w:rPr>
          <w:rFonts w:hint="eastAsia" w:ascii="Times New Roman" w:hAnsi="Times New Roman" w:eastAsia="仿宋_GB2312" w:cs="仿宋_GB2312"/>
          <w:color w:val="auto"/>
          <w:sz w:val="32"/>
          <w:szCs w:val="32"/>
          <w:highlight w:val="none"/>
          <w:lang w:val="en-US" w:eastAsia="zh-CN"/>
        </w:rPr>
        <w:t>。</w:t>
      </w:r>
    </w:p>
    <w:p w14:paraId="61BD2616">
      <w:pPr>
        <w:spacing w:beforeAutospacing="0" w:afterAutospacing="0" w:line="56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3"/>
      <w:r>
        <w:rPr>
          <w:rFonts w:hint="eastAsia" w:ascii="Times New Roman" w:hAnsi="Times New Roman" w:eastAsia="楷体_GB2312" w:cs="楷体_GB2312"/>
          <w:b/>
          <w:color w:val="auto"/>
          <w:sz w:val="32"/>
          <w:szCs w:val="32"/>
          <w:highlight w:val="none"/>
        </w:rPr>
        <w:t>（二）政府采购支出情况</w:t>
      </w:r>
      <w:bookmarkEnd w:id="59"/>
    </w:p>
    <w:p w14:paraId="3762D4CC">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政府采购支出总额1.78万元，其中：政府采购货物支出1.78万元、政府采购工程支出0万元、政府采购服务支出0万元。授予中小企业合同金额1.78万元，占政府采购支出总额的</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0%，其中：授予小微企业合同金额0万元，占政府采购支出总额的0%。</w:t>
      </w:r>
    </w:p>
    <w:p w14:paraId="226AC1ED">
      <w:pPr>
        <w:spacing w:beforeAutospacing="0" w:afterAutospacing="0" w:line="56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4"/>
      <w:r>
        <w:rPr>
          <w:rFonts w:hint="eastAsia" w:ascii="Times New Roman" w:hAnsi="Times New Roman" w:eastAsia="楷体_GB2312" w:cs="楷体_GB2312"/>
          <w:b/>
          <w:color w:val="auto"/>
          <w:sz w:val="32"/>
          <w:szCs w:val="32"/>
          <w:highlight w:val="none"/>
        </w:rPr>
        <w:t>（三）国有资产占有使用情况</w:t>
      </w:r>
      <w:bookmarkEnd w:id="60"/>
    </w:p>
    <w:p w14:paraId="49AC218C">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477CD482">
      <w:pPr>
        <w:spacing w:beforeAutospacing="0" w:afterAutospacing="0" w:line="56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4056D89">
      <w:pPr>
        <w:spacing w:beforeAutospacing="0" w:afterAutospacing="0" w:line="56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cs="Times New Roman"/>
          <w:b w:val="0"/>
          <w:bCs w:val="0"/>
          <w:i w:val="0"/>
          <w:iCs w:val="0"/>
          <w:color w:val="auto"/>
          <w:sz w:val="32"/>
          <w:szCs w:val="32"/>
          <w:highlight w:val="none"/>
        </w:rPr>
        <w:t>根据预算绩效管理要求，本部门在</w:t>
      </w:r>
      <w:r>
        <w:rPr>
          <w:rFonts w:ascii="Times New Roman" w:hAnsi="Times New Roman" w:eastAsia="仿宋_GB2312" w:cs="Times New Roman"/>
          <w:b w:val="0"/>
          <w:bCs w:val="0"/>
          <w:i w:val="0"/>
          <w:iCs w:val="0"/>
          <w:color w:val="auto"/>
          <w:sz w:val="32"/>
          <w:szCs w:val="32"/>
          <w:highlight w:val="none"/>
          <w:lang w:val="en-US" w:eastAsia="zh-CN"/>
        </w:rPr>
        <w:t>202</w:t>
      </w:r>
      <w:r>
        <w:rPr>
          <w:rFonts w:hint="eastAsia" w:eastAsia="仿宋_GB2312" w:cs="Times New Roman"/>
          <w:b w:val="0"/>
          <w:bCs w:val="0"/>
          <w:i w:val="0"/>
          <w:iCs w:val="0"/>
          <w:color w:val="auto"/>
          <w:sz w:val="32"/>
          <w:szCs w:val="32"/>
          <w:highlight w:val="none"/>
          <w:lang w:val="en-US" w:eastAsia="zh-CN"/>
        </w:rPr>
        <w:t>4</w:t>
      </w:r>
      <w:r>
        <w:rPr>
          <w:rFonts w:ascii="Times New Roman" w:hAnsi="Times New Roman" w:eastAsia="仿宋_GB2312" w:cs="Times New Roman"/>
          <w:b w:val="0"/>
          <w:bCs w:val="0"/>
          <w:i w:val="0"/>
          <w:iCs w:val="0"/>
          <w:color w:val="auto"/>
          <w:sz w:val="32"/>
          <w:szCs w:val="32"/>
          <w:highlight w:val="none"/>
          <w:lang w:val="en-US" w:eastAsia="zh-CN"/>
        </w:rPr>
        <w:t>年度</w:t>
      </w:r>
      <w:r>
        <w:rPr>
          <w:rFonts w:ascii="Times New Roman" w:hAnsi="Times New Roman" w:eastAsia="仿宋_GB2312" w:cs="Times New Roman"/>
          <w:b w:val="0"/>
          <w:bCs w:val="0"/>
          <w:i w:val="0"/>
          <w:iCs w:val="0"/>
          <w:color w:val="auto"/>
          <w:sz w:val="32"/>
          <w:szCs w:val="32"/>
          <w:highlight w:val="none"/>
        </w:rPr>
        <w:t>预算编制阶段组织</w:t>
      </w:r>
      <w:r>
        <w:rPr>
          <w:rFonts w:hint="eastAsia" w:ascii="Times New Roman" w:hAnsi="Times New Roman" w:eastAsia="仿宋_GB2312" w:cs="Times New Roman"/>
          <w:b w:val="0"/>
          <w:bCs w:val="0"/>
          <w:i w:val="0"/>
          <w:iCs w:val="0"/>
          <w:color w:val="auto"/>
          <w:sz w:val="32"/>
          <w:szCs w:val="32"/>
          <w:highlight w:val="none"/>
          <w:lang w:eastAsia="zh-CN"/>
        </w:rPr>
        <w:t>对党派经费</w:t>
      </w:r>
      <w:r>
        <w:rPr>
          <w:rFonts w:hint="eastAsia"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eastAsia="zh-CN"/>
        </w:rPr>
        <w:t>多党合作工作经费</w:t>
      </w:r>
      <w:r>
        <w:rPr>
          <w:rFonts w:hint="eastAsia" w:eastAsia="仿宋_GB2312" w:cs="Times New Roman"/>
          <w:b w:val="0"/>
          <w:bCs w:val="0"/>
          <w:i w:val="0"/>
          <w:iCs w:val="0"/>
          <w:color w:val="auto"/>
          <w:sz w:val="32"/>
          <w:szCs w:val="32"/>
          <w:highlight w:val="none"/>
          <w:lang w:eastAsia="zh-CN"/>
        </w:rPr>
        <w:t>、少数民族机动金等</w:t>
      </w:r>
      <w:r>
        <w:rPr>
          <w:rFonts w:hint="eastAsia" w:eastAsia="仿宋_GB2312" w:cs="Times New Roman"/>
          <w:b w:val="0"/>
          <w:bCs w:val="0"/>
          <w:i w:val="0"/>
          <w:iCs w:val="0"/>
          <w:color w:val="auto"/>
          <w:sz w:val="32"/>
          <w:szCs w:val="32"/>
          <w:highlight w:val="none"/>
          <w:lang w:val="en-US" w:eastAsia="zh-CN"/>
        </w:rPr>
        <w:t>11个</w:t>
      </w:r>
      <w:r>
        <w:rPr>
          <w:rFonts w:ascii="Times New Roman" w:hAnsi="Times New Roman" w:eastAsia="仿宋_GB2312" w:cs="Times New Roman"/>
          <w:b w:val="0"/>
          <w:bCs w:val="0"/>
          <w:i w:val="0"/>
          <w:iCs w:val="0"/>
          <w:color w:val="auto"/>
          <w:sz w:val="32"/>
          <w:szCs w:val="32"/>
          <w:highlight w:val="none"/>
          <w:lang w:val="en-US" w:eastAsia="zh-CN"/>
        </w:rPr>
        <w:t>项目</w:t>
      </w:r>
      <w:r>
        <w:rPr>
          <w:rFonts w:ascii="Times New Roman" w:hAnsi="Times New Roman" w:eastAsia="仿宋_GB2312" w:cs="Times New Roman"/>
          <w:b w:val="0"/>
          <w:bCs w:val="0"/>
          <w:i w:val="0"/>
          <w:iCs w:val="0"/>
          <w:color w:val="auto"/>
          <w:sz w:val="32"/>
          <w:szCs w:val="32"/>
          <w:highlight w:val="none"/>
        </w:rPr>
        <w:t>开展了预算事前绩效评估</w:t>
      </w:r>
      <w:r>
        <w:rPr>
          <w:rFonts w:hint="eastAsia" w:eastAsia="仿宋_GB2312" w:cs="Times New Roman"/>
          <w:b w:val="0"/>
          <w:bCs w:val="0"/>
          <w:i w:val="0"/>
          <w:iCs w:val="0"/>
          <w:color w:val="auto"/>
          <w:sz w:val="32"/>
          <w:szCs w:val="32"/>
          <w:highlight w:val="none"/>
          <w:lang w:eastAsia="zh-CN"/>
        </w:rPr>
        <w:t>，并</w:t>
      </w:r>
      <w:r>
        <w:rPr>
          <w:rFonts w:hint="eastAsia" w:ascii="Times New Roman" w:hAnsi="Times New Roman" w:eastAsia="仿宋_GB2312" w:cs="仿宋_GB2312"/>
          <w:color w:val="auto"/>
          <w:kern w:val="2"/>
          <w:sz w:val="32"/>
          <w:szCs w:val="32"/>
          <w:highlight w:val="none"/>
          <w:lang w:val="en-US" w:eastAsia="zh-CN" w:bidi="ar-SA"/>
        </w:rPr>
        <w:t>对</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9D6AB09">
      <w:pPr>
        <w:spacing w:beforeAutospacing="0" w:afterAutospacing="0" w:line="56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w:t>
      </w:r>
      <w:r>
        <w:rPr>
          <w:rFonts w:hint="eastAsia" w:ascii="Times New Roman" w:hAnsi="Times New Roman" w:eastAsia="仿宋_GB2312" w:cs="Times New Roman"/>
          <w:b w:val="0"/>
          <w:bCs w:val="0"/>
          <w:i w:val="0"/>
          <w:iCs w:val="0"/>
          <w:color w:val="auto"/>
          <w:sz w:val="32"/>
          <w:szCs w:val="32"/>
          <w:highlight w:val="none"/>
          <w:lang w:eastAsia="zh-CN"/>
        </w:rPr>
        <w:t>对党派经费</w:t>
      </w:r>
      <w:r>
        <w:rPr>
          <w:rFonts w:hint="eastAsia" w:eastAsia="仿宋_GB2312" w:cs="Times New Roman"/>
          <w:b w:val="0"/>
          <w:bCs w:val="0"/>
          <w:i w:val="0"/>
          <w:iCs w:val="0"/>
          <w:color w:val="auto"/>
          <w:sz w:val="32"/>
          <w:szCs w:val="32"/>
          <w:highlight w:val="none"/>
          <w:lang w:eastAsia="zh-CN"/>
        </w:rPr>
        <w:t>、</w:t>
      </w:r>
      <w:r>
        <w:rPr>
          <w:rFonts w:hint="eastAsia" w:ascii="Times New Roman" w:hAnsi="Times New Roman" w:eastAsia="仿宋_GB2312" w:cs="Times New Roman"/>
          <w:b w:val="0"/>
          <w:bCs w:val="0"/>
          <w:i w:val="0"/>
          <w:iCs w:val="0"/>
          <w:color w:val="auto"/>
          <w:sz w:val="32"/>
          <w:szCs w:val="32"/>
          <w:highlight w:val="none"/>
          <w:lang w:eastAsia="zh-CN"/>
        </w:rPr>
        <w:t>多党合作工作经费</w:t>
      </w:r>
      <w:r>
        <w:rPr>
          <w:rFonts w:hint="eastAsia" w:eastAsia="仿宋_GB2312" w:cs="Times New Roman"/>
          <w:b w:val="0"/>
          <w:bCs w:val="0"/>
          <w:i w:val="0"/>
          <w:iCs w:val="0"/>
          <w:color w:val="auto"/>
          <w:sz w:val="32"/>
          <w:szCs w:val="32"/>
          <w:highlight w:val="none"/>
          <w:lang w:eastAsia="zh-CN"/>
        </w:rPr>
        <w:t>、少数民族机动金等</w:t>
      </w:r>
      <w:r>
        <w:rPr>
          <w:rFonts w:ascii="Times New Roman" w:hAnsi="Times New Roman" w:eastAsia="仿宋_GB2312" w:cs="Times New Roman"/>
          <w:b w:val="0"/>
          <w:bCs w:val="0"/>
          <w:i w:val="0"/>
          <w:iCs w:val="0"/>
          <w:color w:val="auto"/>
          <w:sz w:val="32"/>
          <w:szCs w:val="32"/>
          <w:highlight w:val="none"/>
          <w:lang w:val="en-US" w:eastAsia="zh-CN"/>
        </w:rPr>
        <w:t>项目</w:t>
      </w:r>
      <w:r>
        <w:rPr>
          <w:rFonts w:hint="eastAsia" w:ascii="Times New Roman" w:hAnsi="Times New Roman" w:eastAsia="仿宋_GB2312" w:cs="仿宋_GB2312"/>
          <w:color w:val="auto"/>
          <w:kern w:val="2"/>
          <w:sz w:val="32"/>
          <w:szCs w:val="32"/>
          <w:highlight w:val="none"/>
          <w:lang w:val="en-US" w:eastAsia="zh-CN" w:bidi="ar-SA"/>
        </w:rPr>
        <w:t>绩效自评</w:t>
      </w:r>
      <w:r>
        <w:rPr>
          <w:rFonts w:hint="eastAsia" w:eastAsia="仿宋_GB2312" w:cs="仿宋_GB2312"/>
          <w:color w:val="auto"/>
          <w:kern w:val="2"/>
          <w:sz w:val="32"/>
          <w:szCs w:val="32"/>
          <w:highlight w:val="none"/>
          <w:lang w:val="en-US" w:eastAsia="zh-CN" w:bidi="ar-SA"/>
        </w:rPr>
        <w:t>表</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color w:val="auto"/>
          <w:sz w:val="32"/>
          <w:szCs w:val="32"/>
          <w:highlight w:val="none"/>
          <w:lang w:eastAsia="zh-CN"/>
        </w:rPr>
        <w:t>本单位</w:t>
      </w:r>
      <w:r>
        <w:rPr>
          <w:rFonts w:hint="eastAsia" w:ascii="Times New Roman" w:hAnsi="Times New Roman" w:eastAsia="仿宋_GB2312" w:cs="仿宋_GB2312"/>
          <w:b w:val="0"/>
          <w:bCs w:val="0"/>
          <w:i w:val="0"/>
          <w:iCs w:val="0"/>
          <w:color w:val="auto"/>
          <w:sz w:val="32"/>
          <w:szCs w:val="32"/>
          <w:highlight w:val="none"/>
          <w:lang w:val="en-US" w:eastAsia="zh-CN"/>
        </w:rPr>
        <w:t>部门</w:t>
      </w:r>
      <w:r>
        <w:rPr>
          <w:rFonts w:hint="eastAsia" w:ascii="Times New Roman" w:hAnsi="Times New Roman" w:eastAsia="仿宋_GB2312" w:cs="仿宋_GB2312"/>
          <w:color w:val="auto"/>
          <w:kern w:val="2"/>
          <w:sz w:val="32"/>
          <w:szCs w:val="32"/>
          <w:highlight w:val="none"/>
          <w:lang w:val="en-US" w:eastAsia="zh-CN" w:bidi="ar-SA"/>
        </w:rPr>
        <w:t>整体（含部门预算项目）绩效自评得分为</w:t>
      </w:r>
      <w:r>
        <w:rPr>
          <w:rFonts w:ascii="Times New Roman" w:hAnsi="Times New Roman" w:eastAsia="仿宋_GB2312" w:cs="Times New Roman"/>
          <w:color w:val="000000"/>
          <w:sz w:val="32"/>
          <w:szCs w:val="32"/>
          <w:shd w:val="clear" w:color="auto" w:fill="FFFFFF"/>
          <w:lang w:val="en-US" w:eastAsia="zh-CN"/>
        </w:rPr>
        <w:t>92.8</w:t>
      </w:r>
      <w:r>
        <w:rPr>
          <w:rFonts w:hint="eastAsia" w:ascii="Times New Roman" w:hAnsi="Times New Roman" w:eastAsia="仿宋_GB2312" w:cs="Times New Roman"/>
          <w:color w:val="000000"/>
          <w:sz w:val="32"/>
          <w:szCs w:val="32"/>
          <w:shd w:val="clear" w:color="auto" w:fill="FFFFFF"/>
          <w:lang w:val="en-US" w:eastAsia="zh-CN"/>
        </w:rPr>
        <w:t>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：整体来看，部门预算资金使用规范，在履行职能职责、推动统一战线事业发展方面取得了一定成效，但在预算管理、资产管理等方面仍存在一些不足；</w:t>
      </w:r>
    </w:p>
    <w:p w14:paraId="398F3386">
      <w:pPr>
        <w:spacing w:line="560" w:lineRule="exact"/>
        <w:ind w:firstLine="641"/>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党派经费项目绩效自评综合得分为100分，绩效自评综述：通过项目实施使各民主党派知联会、新联会顺利完成年初既定活动目标，进一步增强与各民主党派和协会的凝聚力；</w:t>
      </w:r>
      <w:r>
        <w:rPr>
          <w:rFonts w:hint="eastAsia" w:ascii="Times New Roman" w:hAnsi="Times New Roman" w:eastAsia="仿宋_GB2312" w:cs="Times New Roman"/>
          <w:b w:val="0"/>
          <w:bCs w:val="0"/>
          <w:i w:val="0"/>
          <w:iCs w:val="0"/>
          <w:color w:val="auto"/>
          <w:sz w:val="32"/>
          <w:szCs w:val="32"/>
          <w:highlight w:val="none"/>
          <w:lang w:eastAsia="zh-CN"/>
        </w:rPr>
        <w:t>多党合作工作经费</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目绩效自评综合得分为100分，绩效自评综述：通过项目实施及时完成各党派对接及政治协商工作，促进合作项目落地安居；</w:t>
      </w:r>
      <w:r>
        <w:rPr>
          <w:rFonts w:hint="eastAsia" w:ascii="Times New Roman" w:hAnsi="Times New Roman" w:eastAsia="仿宋_GB2312" w:cs="Times New Roman"/>
          <w:b w:val="0"/>
          <w:bCs w:val="0"/>
          <w:i w:val="0"/>
          <w:iCs w:val="0"/>
          <w:color w:val="auto"/>
          <w:sz w:val="32"/>
          <w:szCs w:val="32"/>
          <w:highlight w:val="none"/>
          <w:lang w:eastAsia="zh-CN"/>
        </w:rPr>
        <w:t>少数民族机动金</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目绩效自评综合得分为95分，绩效自评综述：通过项目实施顺利完成散杂居少数民族地区四小工程项目和民族团结示范点创建，支持散杂居少数民族困难群众生产发展；</w:t>
      </w:r>
      <w:r>
        <w:rPr>
          <w:rFonts w:hint="eastAsia" w:ascii="Times New Roman" w:hAnsi="Times New Roman" w:eastAsia="仿宋_GB2312" w:cs="Times New Roman"/>
          <w:b w:val="0"/>
          <w:bCs w:val="0"/>
          <w:i w:val="0"/>
          <w:iCs w:val="0"/>
          <w:color w:val="auto"/>
          <w:sz w:val="32"/>
          <w:szCs w:val="32"/>
          <w:highlight w:val="none"/>
          <w:lang w:eastAsia="zh-CN"/>
        </w:rPr>
        <w:t>统战对象慰问金</w:t>
      </w:r>
      <w:r>
        <w:rPr>
          <w:rFonts w:hint="eastAsia" w:eastAsia="仿宋_GB2312" w:cs="Times New Roman"/>
          <w:b w:val="0"/>
          <w:bCs w:val="0"/>
          <w:i w:val="0"/>
          <w:iCs w:val="0"/>
          <w:color w:val="auto"/>
          <w:sz w:val="32"/>
          <w:szCs w:val="32"/>
          <w:highlight w:val="none"/>
          <w:lang w:eastAsia="zh-CN"/>
        </w:rPr>
        <w:t>项</w:t>
      </w:r>
      <w:r>
        <w:rPr>
          <w:rFonts w:hint="eastAsia" w:eastAsia="仿宋_GB2312" w:cs="仿宋_GB2312"/>
          <w:color w:val="auto"/>
          <w:kern w:val="2"/>
          <w:sz w:val="32"/>
          <w:szCs w:val="32"/>
          <w:highlight w:val="none"/>
          <w:lang w:val="en-US" w:eastAsia="zh-CN" w:bidi="ar-SA"/>
        </w:rPr>
        <w:t>目绩效自评综合得分为95分，绩效自评综述：通过项目的实施及时足额保障了少数民族贫困户、“9+3”藏区学生、宗教界人士、民主党派、无党派代表人士和台属侨眷中困难人士慰问，确保了民族团结统一；宗教、台侨事务、民营经济统战等工作经费项目绩效自评综合得分为100分，绩效自评综述：通过项目实施协调解决相关问题，全面推动民营经济健康发展；宗教团体等（四项）经费项目绩效自评综合得分为100分，绩效自评综述：通过项目实施进一步加强和改进了宗教团体的指导和管理工作；干部教育培训项目绩效自评综合得分为100分，绩效自评综述：通过项目实施确保统一战线代表人士培训顺利完成，强化了政治引领；少数民族机动金项目绩效自评综合得分为100分，绩效自评综述：通过项目的实施解决了确保了少数民族工作顺利开展，进一步铸牢中华民族共同体意识；少数民族发展资金项目绩效自评综合得分为100分，绩效自评综述：通过项目实施，闲散少数民族居住地的基础实施得以改善、产业项目得以发展，促进了这些地区的经济与发展；2024海峡两岸同名"横山"遂宁行活动资金项目绩效自评综合得分为100分，绩效自评综述：增进了海峡两岸的沟通与交流，综合评价良好。</w:t>
      </w:r>
    </w:p>
    <w:p w14:paraId="1A4E56CE">
      <w:pPr>
        <w:pStyle w:val="17"/>
        <w:rPr>
          <w:rFonts w:hint="eastAsia" w:eastAsia="仿宋_GB2312" w:cs="仿宋_GB2312"/>
          <w:color w:val="auto"/>
          <w:kern w:val="2"/>
          <w:sz w:val="32"/>
          <w:szCs w:val="32"/>
          <w:highlight w:val="none"/>
          <w:lang w:val="en-US" w:eastAsia="zh-CN" w:bidi="ar-SA"/>
        </w:rPr>
      </w:pPr>
    </w:p>
    <w:p w14:paraId="77CC0253">
      <w:pPr>
        <w:pStyle w:val="9"/>
        <w:rPr>
          <w:rFonts w:hint="eastAsia"/>
          <w:lang w:val="en-US" w:eastAsia="zh-CN"/>
        </w:rPr>
      </w:pPr>
    </w:p>
    <w:p w14:paraId="25FE57DC">
      <w:pPr>
        <w:pStyle w:val="9"/>
        <w:rPr>
          <w:rFonts w:hint="eastAsia" w:ascii="Times New Roman" w:hAnsi="Times New Roman" w:eastAsia="仿宋_GB2312" w:cs="仿宋_GB2312"/>
          <w:color w:val="auto"/>
          <w:kern w:val="2"/>
          <w:sz w:val="32"/>
          <w:szCs w:val="32"/>
          <w:highlight w:val="none"/>
          <w:lang w:val="en-US" w:eastAsia="zh-CN" w:bidi="ar-SA"/>
        </w:rPr>
      </w:pPr>
    </w:p>
    <w:p w14:paraId="5C5DA072">
      <w:pPr>
        <w:pStyle w:val="9"/>
        <w:rPr>
          <w:rFonts w:hint="eastAsia" w:ascii="Times New Roman" w:hAnsi="Times New Roman" w:eastAsia="仿宋_GB2312" w:cs="仿宋_GB2312"/>
          <w:color w:val="auto"/>
          <w:kern w:val="2"/>
          <w:sz w:val="32"/>
          <w:szCs w:val="32"/>
          <w:highlight w:val="none"/>
          <w:lang w:val="en-US" w:eastAsia="zh-CN" w:bidi="ar-SA"/>
        </w:rPr>
      </w:pPr>
    </w:p>
    <w:p w14:paraId="290228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0596EC">
      <w:pPr>
        <w:spacing w:line="600" w:lineRule="exact"/>
        <w:jc w:val="center"/>
        <w:outlineLvl w:val="0"/>
        <w:rPr>
          <w:rFonts w:hint="eastAsia" w:ascii="Times New Roman" w:hAnsi="Times New Roman" w:eastAsia="黑体"/>
          <w:color w:val="auto"/>
          <w:sz w:val="44"/>
          <w:szCs w:val="44"/>
          <w:highlight w:val="none"/>
        </w:rPr>
      </w:pPr>
      <w:bookmarkStart w:id="61" w:name="_Toc15396613"/>
      <w:bookmarkStart w:id="62" w:name="_Toc15377225"/>
      <w:bookmarkStart w:id="63" w:name="_Toc12143"/>
    </w:p>
    <w:p w14:paraId="36A5E7FF">
      <w:pPr>
        <w:spacing w:line="600" w:lineRule="exact"/>
        <w:jc w:val="center"/>
        <w:outlineLvl w:val="0"/>
        <w:rPr>
          <w:rFonts w:hint="eastAsia" w:ascii="Times New Roman" w:hAnsi="Times New Roman" w:eastAsia="黑体"/>
          <w:color w:val="auto"/>
          <w:sz w:val="44"/>
          <w:szCs w:val="44"/>
          <w:highlight w:val="none"/>
        </w:rPr>
      </w:pPr>
    </w:p>
    <w:p w14:paraId="35AFEED2">
      <w:pPr>
        <w:spacing w:line="600" w:lineRule="exact"/>
        <w:jc w:val="center"/>
        <w:outlineLvl w:val="0"/>
        <w:rPr>
          <w:rFonts w:hint="eastAsia" w:ascii="Times New Roman" w:hAnsi="Times New Roman" w:eastAsia="黑体"/>
          <w:color w:val="auto"/>
          <w:sz w:val="44"/>
          <w:szCs w:val="44"/>
          <w:highlight w:val="none"/>
        </w:rPr>
      </w:pPr>
    </w:p>
    <w:p w14:paraId="35CCC85B">
      <w:pPr>
        <w:pStyle w:val="2"/>
        <w:rPr>
          <w:rFonts w:hint="eastAsia"/>
        </w:rPr>
      </w:pPr>
    </w:p>
    <w:p w14:paraId="29402938">
      <w:pPr>
        <w:spacing w:line="600" w:lineRule="exact"/>
        <w:jc w:val="center"/>
        <w:outlineLvl w:val="0"/>
        <w:rPr>
          <w:rFonts w:ascii="Times New Roman" w:hAnsi="Times New Roman" w:eastAsia="黑体"/>
          <w:color w:val="auto"/>
          <w:sz w:val="44"/>
          <w:szCs w:val="44"/>
          <w:highlight w:val="none"/>
        </w:rPr>
      </w:pPr>
    </w:p>
    <w:p w14:paraId="20EC4114">
      <w:pPr>
        <w:pStyle w:val="2"/>
      </w:pPr>
    </w:p>
    <w:p w14:paraId="2813E405">
      <w:pPr>
        <w:rPr>
          <w:rFonts w:hint="eastAsia"/>
        </w:rPr>
      </w:pPr>
    </w:p>
    <w:p w14:paraId="6641A5C1">
      <w:pPr>
        <w:spacing w:beforeAutospacing="0" w:afterAutospacing="0" w:line="70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61"/>
      <w:bookmarkEnd w:id="62"/>
      <w:bookmarkEnd w:id="63"/>
    </w:p>
    <w:p w14:paraId="24228448">
      <w:pPr>
        <w:spacing w:line="600" w:lineRule="exact"/>
        <w:jc w:val="left"/>
        <w:rPr>
          <w:rFonts w:ascii="Times New Roman" w:hAnsi="Times New Roman"/>
          <w:b/>
          <w:color w:val="auto"/>
          <w:sz w:val="44"/>
          <w:szCs w:val="44"/>
          <w:highlight w:val="none"/>
        </w:rPr>
      </w:pPr>
    </w:p>
    <w:p w14:paraId="44065EEE">
      <w:pPr>
        <w:spacing w:line="600" w:lineRule="exact"/>
        <w:ind w:firstLine="640"/>
        <w:rPr>
          <w:rFonts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541DD1E8">
      <w:pPr>
        <w:spacing w:line="600" w:lineRule="exact"/>
        <w:ind w:firstLine="640"/>
        <w:rPr>
          <w:rFonts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E34B7D6">
      <w:pPr>
        <w:spacing w:line="600" w:lineRule="exact"/>
        <w:ind w:firstLine="640"/>
        <w:rPr>
          <w:rFonts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223648D7">
      <w:pPr>
        <w:spacing w:line="600" w:lineRule="exact"/>
        <w:ind w:firstLine="640"/>
        <w:rPr>
          <w:rFonts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7278A2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14:paraId="32591BE3">
      <w:pPr>
        <w:spacing w:line="600" w:lineRule="exact"/>
        <w:ind w:firstLine="640"/>
        <w:rPr>
          <w:rFonts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56F2087">
      <w:pPr>
        <w:spacing w:line="600" w:lineRule="exact"/>
        <w:ind w:firstLine="640"/>
        <w:rPr>
          <w:rFonts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1BE85A43">
      <w:pPr>
        <w:spacing w:line="600" w:lineRule="exact"/>
        <w:ind w:firstLine="640"/>
        <w:rPr>
          <w:rFonts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6D5F3CD">
      <w:pPr>
        <w:ind w:firstLine="640" w:firstLineChars="200"/>
        <w:rPr>
          <w:rFonts w:hint="eastAsia" w:ascii="仿宋_GB2312" w:eastAsia="仿宋_GB2312"/>
          <w:sz w:val="32"/>
          <w:szCs w:val="32"/>
        </w:rPr>
      </w:pPr>
      <w:bookmarkStart w:id="64" w:name="_Toc15396614"/>
      <w:bookmarkStart w:id="65" w:name="_Toc27006"/>
      <w:bookmarkStart w:id="66" w:name="_Toc15377226"/>
      <w:r>
        <w:rPr>
          <w:rFonts w:eastAsia="仿宋_GB2312"/>
          <w:sz w:val="32"/>
          <w:szCs w:val="32"/>
        </w:rPr>
        <w:t>9.</w:t>
      </w:r>
      <w:r>
        <w:rPr>
          <w:rFonts w:hint="eastAsia" w:ascii="仿宋_GB2312" w:eastAsia="仿宋_GB2312"/>
          <w:sz w:val="32"/>
          <w:szCs w:val="32"/>
        </w:rPr>
        <w:t>一般公共服务（类）民族事务（款）民族工作专项（项）</w:t>
      </w:r>
      <w:r>
        <w:rPr>
          <w:rFonts w:hint="eastAsia" w:ascii="仿宋_GB2312" w:hAnsi="仿宋_GB2312"/>
          <w:sz w:val="32"/>
          <w:szCs w:val="32"/>
          <w:lang w:eastAsia="zh-CN"/>
        </w:rPr>
        <w:t>：</w:t>
      </w:r>
      <w:r>
        <w:rPr>
          <w:rFonts w:hint="eastAsia" w:ascii="仿宋_GB2312" w:eastAsia="仿宋_GB2312"/>
          <w:sz w:val="32"/>
          <w:szCs w:val="32"/>
        </w:rPr>
        <w:t>指用于民族事务管理方面的专项支出</w:t>
      </w:r>
      <w:r>
        <w:rPr>
          <w:rFonts w:hint="eastAsia" w:ascii="仿宋_GB2312" w:eastAsia="仿宋_GB2312"/>
          <w:sz w:val="32"/>
          <w:szCs w:val="32"/>
          <w:lang w:eastAsia="zh-CN"/>
        </w:rPr>
        <w:t>。</w:t>
      </w:r>
    </w:p>
    <w:p w14:paraId="5F3A6156">
      <w:pPr>
        <w:ind w:firstLine="640" w:firstLineChars="200"/>
        <w:rPr>
          <w:rFonts w:hint="eastAsia" w:ascii="仿宋_GB2312" w:eastAsia="仿宋_GB2312"/>
          <w:sz w:val="32"/>
          <w:szCs w:val="32"/>
          <w:lang w:eastAsia="zh-CN"/>
        </w:rPr>
      </w:pPr>
      <w:r>
        <w:rPr>
          <w:rFonts w:eastAsia="仿宋_GB2312"/>
          <w:sz w:val="32"/>
          <w:szCs w:val="32"/>
        </w:rPr>
        <w:t>10.</w:t>
      </w:r>
      <w:r>
        <w:rPr>
          <w:rFonts w:hint="eastAsia" w:ascii="仿宋_GB2312" w:eastAsia="仿宋_GB2312"/>
          <w:sz w:val="32"/>
          <w:szCs w:val="32"/>
        </w:rPr>
        <w:t>一般公共服务（类）民主党派及工商联事务（款）参政议政（项）</w:t>
      </w:r>
      <w:r>
        <w:rPr>
          <w:rFonts w:hint="eastAsia" w:ascii="仿宋_GB2312" w:hAnsi="仿宋_GB2312"/>
          <w:sz w:val="32"/>
          <w:szCs w:val="32"/>
          <w:lang w:eastAsia="zh-CN"/>
        </w:rPr>
        <w:t>：</w:t>
      </w:r>
      <w:r>
        <w:rPr>
          <w:rFonts w:hint="eastAsia" w:ascii="仿宋_GB2312" w:eastAsia="仿宋_GB2312"/>
          <w:sz w:val="32"/>
          <w:szCs w:val="32"/>
        </w:rPr>
        <w:t>指各民主党派为参政议政进行的调研、会议、检查等方面的支出</w:t>
      </w:r>
      <w:r>
        <w:rPr>
          <w:rFonts w:hint="eastAsia" w:ascii="仿宋_GB2312" w:eastAsia="仿宋_GB2312"/>
          <w:sz w:val="32"/>
          <w:szCs w:val="32"/>
          <w:lang w:eastAsia="zh-CN"/>
        </w:rPr>
        <w:t>。</w:t>
      </w:r>
    </w:p>
    <w:p w14:paraId="6356148F">
      <w:pPr>
        <w:spacing w:beforeAutospacing="0" w:afterAutospacing="0" w:line="560" w:lineRule="exact"/>
        <w:ind w:firstLine="640" w:firstLineChars="200"/>
        <w:rPr>
          <w:rFonts w:eastAsia="仿宋_GB2312"/>
          <w:sz w:val="32"/>
          <w:szCs w:val="32"/>
          <w:lang w:eastAsia="zh-CN"/>
        </w:rPr>
      </w:pPr>
      <w:r>
        <w:rPr>
          <w:rFonts w:eastAsia="仿宋_GB2312"/>
          <w:sz w:val="32"/>
          <w:szCs w:val="32"/>
        </w:rPr>
        <w:t>11.一般公共服务（类）统战事务（款）行政运行（项）</w:t>
      </w:r>
      <w:r>
        <w:rPr>
          <w:sz w:val="32"/>
          <w:szCs w:val="32"/>
          <w:lang w:eastAsia="zh-CN"/>
        </w:rPr>
        <w:t>：</w:t>
      </w:r>
      <w:r>
        <w:rPr>
          <w:rFonts w:eastAsia="仿宋_GB2312"/>
          <w:sz w:val="32"/>
          <w:szCs w:val="32"/>
        </w:rPr>
        <w:t>指中国共产党统战部门的基本支出</w:t>
      </w:r>
      <w:r>
        <w:rPr>
          <w:rFonts w:eastAsia="仿宋_GB2312"/>
          <w:sz w:val="32"/>
          <w:szCs w:val="32"/>
          <w:lang w:eastAsia="zh-CN"/>
        </w:rPr>
        <w:t>。</w:t>
      </w:r>
    </w:p>
    <w:p w14:paraId="58909D5B">
      <w:pPr>
        <w:spacing w:beforeAutospacing="0" w:afterAutospacing="0" w:line="560" w:lineRule="exact"/>
        <w:ind w:firstLine="640" w:firstLineChars="200"/>
        <w:rPr>
          <w:rFonts w:eastAsia="仿宋_GB2312"/>
          <w:sz w:val="32"/>
          <w:szCs w:val="32"/>
          <w:lang w:eastAsia="zh-CN"/>
        </w:rPr>
      </w:pPr>
      <w:r>
        <w:rPr>
          <w:rFonts w:eastAsia="仿宋_GB2312"/>
          <w:sz w:val="32"/>
          <w:szCs w:val="32"/>
        </w:rPr>
        <w:t>12.一般公共服务（类）统战事务（款）一般行政管理事务（项）</w:t>
      </w:r>
      <w:r>
        <w:rPr>
          <w:sz w:val="32"/>
          <w:szCs w:val="32"/>
          <w:lang w:eastAsia="zh-CN"/>
        </w:rPr>
        <w:t>：</w:t>
      </w:r>
      <w:r>
        <w:rPr>
          <w:rFonts w:eastAsia="仿宋_GB2312"/>
          <w:sz w:val="32"/>
          <w:szCs w:val="32"/>
        </w:rPr>
        <w:t>指未单独设置项级科目的其他项目支出</w:t>
      </w:r>
      <w:r>
        <w:rPr>
          <w:rFonts w:eastAsia="仿宋_GB2312"/>
          <w:sz w:val="32"/>
          <w:szCs w:val="32"/>
          <w:lang w:eastAsia="zh-CN"/>
        </w:rPr>
        <w:t>。</w:t>
      </w:r>
    </w:p>
    <w:p w14:paraId="0F39A51B">
      <w:pPr>
        <w:spacing w:beforeAutospacing="0" w:afterAutospacing="0" w:line="560" w:lineRule="exact"/>
        <w:ind w:firstLine="640" w:firstLineChars="200"/>
        <w:rPr>
          <w:rFonts w:eastAsia="仿宋_GB2312"/>
          <w:sz w:val="32"/>
          <w:szCs w:val="32"/>
        </w:rPr>
      </w:pPr>
      <w:r>
        <w:rPr>
          <w:rFonts w:eastAsia="仿宋_GB2312"/>
          <w:sz w:val="32"/>
          <w:szCs w:val="32"/>
        </w:rPr>
        <w:t>13.一般公共服务（类）统战事务（款）宗教事务（项）：指用于宗教事务管理方面的支出</w:t>
      </w:r>
      <w:r>
        <w:rPr>
          <w:rFonts w:eastAsia="仿宋_GB2312"/>
          <w:sz w:val="32"/>
          <w:szCs w:val="32"/>
          <w:lang w:eastAsia="zh-CN"/>
        </w:rPr>
        <w:t>。</w:t>
      </w:r>
    </w:p>
    <w:p w14:paraId="68AEE104">
      <w:pPr>
        <w:spacing w:beforeAutospacing="0" w:afterAutospacing="0" w:line="560" w:lineRule="exact"/>
        <w:ind w:firstLine="640" w:firstLineChars="200"/>
        <w:rPr>
          <w:rFonts w:eastAsia="仿宋_GB2312"/>
          <w:sz w:val="32"/>
          <w:szCs w:val="32"/>
        </w:rPr>
      </w:pPr>
      <w:r>
        <w:rPr>
          <w:rFonts w:eastAsia="仿宋_GB2312"/>
          <w:sz w:val="32"/>
          <w:szCs w:val="32"/>
        </w:rPr>
        <w:t>1</w:t>
      </w:r>
      <w:r>
        <w:rPr>
          <w:rFonts w:eastAsia="仿宋_GB2312"/>
          <w:sz w:val="32"/>
          <w:szCs w:val="32"/>
          <w:lang w:val="en-US" w:eastAsia="zh-CN"/>
        </w:rPr>
        <w:t>4</w:t>
      </w:r>
      <w:r>
        <w:rPr>
          <w:rFonts w:eastAsia="仿宋_GB2312"/>
          <w:sz w:val="32"/>
          <w:szCs w:val="32"/>
        </w:rPr>
        <w:t>.一般公共服务（类）统战事务（款）事业运行（项）</w:t>
      </w:r>
      <w:r>
        <w:rPr>
          <w:sz w:val="32"/>
          <w:szCs w:val="32"/>
          <w:lang w:eastAsia="zh-CN"/>
        </w:rPr>
        <w:t>：</w:t>
      </w:r>
      <w:r>
        <w:rPr>
          <w:rFonts w:eastAsia="仿宋_GB2312"/>
          <w:sz w:val="32"/>
          <w:szCs w:val="32"/>
        </w:rPr>
        <w:t>指事业单位的基本支出，不包括行政单位（包括实行公务员管理的事业单位）后勤服务中心、医务室等附属事业单位。</w:t>
      </w:r>
    </w:p>
    <w:p w14:paraId="56ACE00A">
      <w:pPr>
        <w:spacing w:beforeAutospacing="0" w:afterAutospacing="0" w:line="560" w:lineRule="exact"/>
        <w:ind w:firstLine="640" w:firstLineChars="200"/>
        <w:rPr>
          <w:rFonts w:eastAsia="仿宋_GB2312"/>
          <w:sz w:val="32"/>
          <w:szCs w:val="32"/>
        </w:rPr>
      </w:pPr>
      <w:r>
        <w:rPr>
          <w:rFonts w:eastAsia="仿宋_GB2312"/>
          <w:sz w:val="32"/>
          <w:szCs w:val="32"/>
        </w:rPr>
        <w:t>1</w:t>
      </w:r>
      <w:r>
        <w:rPr>
          <w:rFonts w:eastAsia="仿宋_GB2312"/>
          <w:sz w:val="32"/>
          <w:szCs w:val="32"/>
          <w:lang w:val="en-US" w:eastAsia="zh-CN"/>
        </w:rPr>
        <w:t>5</w:t>
      </w:r>
      <w:r>
        <w:rPr>
          <w:rFonts w:eastAsia="仿宋_GB2312"/>
          <w:sz w:val="32"/>
          <w:szCs w:val="32"/>
        </w:rPr>
        <w:t>.社会保障和就业（类）行政事业单位养老支出（款）  机关事业单位基本养老保险缴费支出（项）</w:t>
      </w:r>
      <w:r>
        <w:rPr>
          <w:sz w:val="32"/>
          <w:szCs w:val="32"/>
          <w:lang w:eastAsia="zh-CN"/>
        </w:rPr>
        <w:t>：</w:t>
      </w:r>
      <w:r>
        <w:rPr>
          <w:rFonts w:eastAsia="仿宋_GB2312"/>
          <w:sz w:val="32"/>
          <w:szCs w:val="32"/>
        </w:rPr>
        <w:t>指机关事业单位实施养老保险制度由单位缴纳的基本养老保险费支出。</w:t>
      </w:r>
    </w:p>
    <w:p w14:paraId="459D4B7B">
      <w:pPr>
        <w:spacing w:beforeAutospacing="0" w:afterAutospacing="0" w:line="560" w:lineRule="exact"/>
        <w:ind w:firstLine="640" w:firstLineChars="200"/>
        <w:rPr>
          <w:rFonts w:eastAsia="仿宋_GB2312"/>
          <w:sz w:val="32"/>
          <w:szCs w:val="32"/>
        </w:rPr>
      </w:pPr>
      <w:r>
        <w:rPr>
          <w:rFonts w:eastAsia="仿宋_GB2312"/>
          <w:sz w:val="32"/>
          <w:szCs w:val="32"/>
        </w:rPr>
        <w:t>1</w:t>
      </w:r>
      <w:r>
        <w:rPr>
          <w:rFonts w:eastAsia="仿宋_GB2312"/>
          <w:sz w:val="32"/>
          <w:szCs w:val="32"/>
          <w:lang w:val="en-US" w:eastAsia="zh-CN"/>
        </w:rPr>
        <w:t>6</w:t>
      </w:r>
      <w:r>
        <w:rPr>
          <w:rFonts w:eastAsia="仿宋_GB2312"/>
          <w:sz w:val="32"/>
          <w:szCs w:val="32"/>
        </w:rPr>
        <w:t>.社会保障和就业（类）其他社会保障和就业支出（款）其他社会保障和就业支出（项）</w:t>
      </w:r>
      <w:r>
        <w:rPr>
          <w:sz w:val="32"/>
          <w:szCs w:val="32"/>
          <w:lang w:eastAsia="zh-CN"/>
        </w:rPr>
        <w:t>：</w:t>
      </w:r>
      <w:r>
        <w:rPr>
          <w:rFonts w:eastAsia="仿宋_GB2312"/>
          <w:sz w:val="32"/>
          <w:szCs w:val="32"/>
        </w:rPr>
        <w:t>指其他用于社会保障和就业方面的支出</w:t>
      </w:r>
    </w:p>
    <w:p w14:paraId="41799BF2">
      <w:pPr>
        <w:spacing w:beforeAutospacing="0" w:afterAutospacing="0" w:line="560" w:lineRule="exact"/>
        <w:ind w:firstLine="640" w:firstLineChars="200"/>
        <w:rPr>
          <w:rFonts w:eastAsia="仿宋_GB2312"/>
          <w:sz w:val="32"/>
          <w:szCs w:val="32"/>
        </w:rPr>
      </w:pPr>
      <w:r>
        <w:rPr>
          <w:rFonts w:eastAsia="仿宋_GB2312"/>
          <w:sz w:val="32"/>
          <w:szCs w:val="32"/>
        </w:rPr>
        <w:t>1</w:t>
      </w:r>
      <w:r>
        <w:rPr>
          <w:rFonts w:eastAsia="仿宋_GB2312"/>
          <w:sz w:val="32"/>
          <w:szCs w:val="32"/>
          <w:lang w:val="en-US" w:eastAsia="zh-CN"/>
        </w:rPr>
        <w:t>7</w:t>
      </w:r>
      <w:r>
        <w:rPr>
          <w:rFonts w:eastAsia="仿宋_GB2312"/>
          <w:sz w:val="32"/>
          <w:szCs w:val="32"/>
        </w:rPr>
        <w:t>.卫生健康支出（类）行政事业单位医疗（款）行政单位医疗（项）</w:t>
      </w:r>
      <w:r>
        <w:rPr>
          <w:sz w:val="32"/>
          <w:szCs w:val="32"/>
          <w:lang w:eastAsia="zh-CN"/>
        </w:rPr>
        <w:t>：</w:t>
      </w:r>
      <w:r>
        <w:rPr>
          <w:rFonts w:eastAsia="仿宋_GB2312"/>
          <w:sz w:val="32"/>
          <w:szCs w:val="32"/>
        </w:rPr>
        <w:t>指行政事业单位医疗方面的支出</w:t>
      </w:r>
    </w:p>
    <w:p w14:paraId="26445FEF">
      <w:pPr>
        <w:spacing w:beforeAutospacing="0" w:afterAutospacing="0" w:line="560" w:lineRule="exact"/>
        <w:ind w:firstLine="640" w:firstLineChars="200"/>
        <w:rPr>
          <w:rFonts w:eastAsia="仿宋_GB2312"/>
          <w:sz w:val="32"/>
          <w:szCs w:val="32"/>
        </w:rPr>
      </w:pPr>
      <w:r>
        <w:rPr>
          <w:rFonts w:eastAsia="仿宋_GB2312"/>
          <w:sz w:val="32"/>
          <w:szCs w:val="32"/>
        </w:rPr>
        <w:t>1</w:t>
      </w:r>
      <w:r>
        <w:rPr>
          <w:rFonts w:eastAsia="仿宋_GB2312"/>
          <w:sz w:val="32"/>
          <w:szCs w:val="32"/>
          <w:lang w:val="en-US" w:eastAsia="zh-CN"/>
        </w:rPr>
        <w:t>8</w:t>
      </w:r>
      <w:r>
        <w:rPr>
          <w:rFonts w:eastAsia="仿宋_GB2312"/>
          <w:sz w:val="32"/>
          <w:szCs w:val="32"/>
        </w:rPr>
        <w:t>.卫生健康支出（类）行政事业单位医疗（款）公务员医疗补助（项）</w:t>
      </w:r>
      <w:r>
        <w:rPr>
          <w:sz w:val="32"/>
          <w:szCs w:val="32"/>
          <w:lang w:eastAsia="zh-CN"/>
        </w:rPr>
        <w:t>：</w:t>
      </w:r>
      <w:r>
        <w:rPr>
          <w:rFonts w:eastAsia="仿宋_GB2312"/>
          <w:sz w:val="32"/>
          <w:szCs w:val="32"/>
        </w:rPr>
        <w:t>指财政部门安排的公务员医疗补助经费。</w:t>
      </w:r>
    </w:p>
    <w:p w14:paraId="4E234CF0">
      <w:pPr>
        <w:spacing w:beforeAutospacing="0" w:afterAutospacing="0" w:line="560" w:lineRule="exact"/>
        <w:ind w:firstLine="640" w:firstLineChars="200"/>
        <w:rPr>
          <w:rFonts w:eastAsia="仿宋_GB2312"/>
          <w:sz w:val="32"/>
          <w:szCs w:val="32"/>
        </w:rPr>
      </w:pPr>
      <w:r>
        <w:rPr>
          <w:rFonts w:eastAsia="仿宋_GB2312"/>
          <w:sz w:val="32"/>
          <w:szCs w:val="32"/>
          <w:lang w:val="en-US" w:eastAsia="zh-CN"/>
        </w:rPr>
        <w:t>19</w:t>
      </w:r>
      <w:r>
        <w:rPr>
          <w:rFonts w:eastAsia="仿宋_GB2312"/>
          <w:sz w:val="32"/>
          <w:szCs w:val="32"/>
        </w:rPr>
        <w:t>.住房保障支出（类）住房改革支出（款）住房公积金（项）：指行政事业单位按人力资源和社会保障部、财政部规定的基本工资和津贴补贴以及规定比例为职工缴纳的住房公积金。</w:t>
      </w:r>
    </w:p>
    <w:p w14:paraId="27CED7CE">
      <w:pPr>
        <w:spacing w:beforeAutospacing="0" w:afterAutospacing="0" w:line="560" w:lineRule="exact"/>
        <w:ind w:firstLine="640" w:firstLineChars="200"/>
        <w:rPr>
          <w:rFonts w:eastAsia="仿宋_GB2312"/>
          <w:sz w:val="32"/>
          <w:szCs w:val="32"/>
        </w:rPr>
      </w:pPr>
      <w:r>
        <w:rPr>
          <w:rFonts w:eastAsia="仿宋_GB2312"/>
          <w:sz w:val="32"/>
          <w:szCs w:val="32"/>
          <w:lang w:val="en-US" w:eastAsia="zh-CN"/>
        </w:rPr>
        <w:t>20</w:t>
      </w:r>
      <w:r>
        <w:rPr>
          <w:rFonts w:eastAsia="仿宋_GB2312"/>
          <w:sz w:val="32"/>
          <w:szCs w:val="32"/>
        </w:rPr>
        <w:t>.基本支出：指为保障机构正常运转、完成日常工作任务而发生的人员支出和公用支出。</w:t>
      </w:r>
    </w:p>
    <w:p w14:paraId="2C85656E">
      <w:pPr>
        <w:spacing w:beforeAutospacing="0" w:afterAutospacing="0" w:line="560" w:lineRule="exact"/>
        <w:ind w:firstLine="640" w:firstLineChars="200"/>
        <w:rPr>
          <w:rFonts w:eastAsia="仿宋_GB2312"/>
          <w:sz w:val="32"/>
          <w:szCs w:val="32"/>
        </w:rPr>
      </w:pPr>
      <w:r>
        <w:rPr>
          <w:rFonts w:eastAsia="仿宋_GB2312"/>
          <w:sz w:val="32"/>
          <w:szCs w:val="32"/>
          <w:lang w:val="en-US" w:eastAsia="zh-CN"/>
        </w:rPr>
        <w:t>21</w:t>
      </w:r>
      <w:r>
        <w:rPr>
          <w:rFonts w:eastAsia="仿宋_GB2312"/>
          <w:sz w:val="32"/>
          <w:szCs w:val="32"/>
        </w:rPr>
        <w:t xml:space="preserve">.项目支出：指在基本支出之外为完成特定行政任务和事业发展目标所发生的支出。 </w:t>
      </w:r>
    </w:p>
    <w:p w14:paraId="62CB26DA">
      <w:pPr>
        <w:spacing w:beforeAutospacing="0" w:afterAutospacing="0" w:line="560" w:lineRule="exact"/>
        <w:ind w:firstLine="640" w:firstLineChars="200"/>
        <w:rPr>
          <w:rFonts w:eastAsia="仿宋_GB2312"/>
          <w:sz w:val="32"/>
          <w:szCs w:val="32"/>
        </w:rPr>
      </w:pPr>
      <w:r>
        <w:rPr>
          <w:rFonts w:eastAsia="仿宋_GB2312"/>
          <w:sz w:val="32"/>
          <w:szCs w:val="32"/>
        </w:rPr>
        <w:t>2</w:t>
      </w:r>
      <w:r>
        <w:rPr>
          <w:rFonts w:eastAsia="仿宋_GB2312"/>
          <w:sz w:val="32"/>
          <w:szCs w:val="32"/>
          <w:lang w:val="en-US" w:eastAsia="zh-CN"/>
        </w:rPr>
        <w:t>2</w:t>
      </w:r>
      <w:r>
        <w:rPr>
          <w:rFonts w:eastAsia="仿宋_GB2312"/>
          <w:sz w:val="32"/>
          <w:szCs w:val="32"/>
        </w:rPr>
        <w:t>.经营支出：指事业单位在专业业务活动及其辅助活动之外开展非独立核算经营活动发生的支出。</w:t>
      </w:r>
    </w:p>
    <w:p w14:paraId="4ED88124">
      <w:pPr>
        <w:pStyle w:val="35"/>
        <w:spacing w:beforeAutospacing="0" w:afterAutospacing="0" w:line="56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0315720">
      <w:pPr>
        <w:pStyle w:val="35"/>
        <w:spacing w:beforeAutospacing="0" w:afterAutospacing="0" w:line="560" w:lineRule="exact"/>
        <w:ind w:firstLine="640" w:firstLineChars="200"/>
        <w:jc w:val="both"/>
        <w:rPr>
          <w:rFonts w:ascii="Times New Roman" w:hAnsi="Times New Roman" w:eastAsia="黑体" w:cs="Times New Roman"/>
          <w:color w:val="auto"/>
          <w:sz w:val="44"/>
          <w:szCs w:val="44"/>
          <w:highlight w:val="none"/>
        </w:rPr>
      </w:pPr>
      <w:r>
        <w:rPr>
          <w:rFonts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605D83">
      <w:pPr>
        <w:spacing w:line="600" w:lineRule="exact"/>
        <w:jc w:val="center"/>
        <w:outlineLvl w:val="0"/>
        <w:rPr>
          <w:rFonts w:ascii="Times New Roman" w:hAnsi="Times New Roman" w:eastAsia="黑体"/>
          <w:color w:val="auto"/>
          <w:sz w:val="44"/>
          <w:szCs w:val="44"/>
          <w:highlight w:val="none"/>
        </w:rPr>
      </w:pPr>
    </w:p>
    <w:p w14:paraId="5826BE1B">
      <w:pPr>
        <w:spacing w:line="600" w:lineRule="exact"/>
        <w:jc w:val="center"/>
        <w:outlineLvl w:val="0"/>
        <w:rPr>
          <w:rFonts w:ascii="Times New Roman" w:hAnsi="Times New Roman" w:eastAsia="黑体"/>
          <w:color w:val="auto"/>
          <w:sz w:val="44"/>
          <w:szCs w:val="44"/>
          <w:highlight w:val="none"/>
        </w:rPr>
      </w:pPr>
    </w:p>
    <w:p w14:paraId="0740954B">
      <w:pPr>
        <w:spacing w:line="600" w:lineRule="exact"/>
        <w:jc w:val="center"/>
        <w:outlineLvl w:val="0"/>
        <w:rPr>
          <w:rFonts w:ascii="Times New Roman" w:hAnsi="Times New Roman" w:eastAsia="黑体"/>
          <w:color w:val="auto"/>
          <w:sz w:val="44"/>
          <w:szCs w:val="44"/>
          <w:highlight w:val="none"/>
        </w:rPr>
      </w:pPr>
    </w:p>
    <w:p w14:paraId="07475FE0">
      <w:pPr>
        <w:spacing w:line="600" w:lineRule="exact"/>
        <w:jc w:val="center"/>
        <w:outlineLvl w:val="0"/>
        <w:rPr>
          <w:rStyle w:val="23"/>
          <w:rFonts w:hint="eastAsia" w:ascii="方正小标宋简体" w:hAnsi="方正小标宋简体" w:eastAsia="方正小标宋简体" w:cs="方正小标宋简体"/>
          <w:b w:val="0"/>
          <w:color w:val="auto"/>
          <w:highlight w:val="none"/>
          <w:lang w:eastAsia="zh-CN"/>
        </w:rPr>
      </w:pPr>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64"/>
      <w:bookmarkEnd w:id="65"/>
    </w:p>
    <w:p w14:paraId="4019F41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p>
    <w:p w14:paraId="658CC066">
      <w:pPr>
        <w:spacing w:line="600" w:lineRule="exact"/>
        <w:jc w:val="center"/>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中共遂宁市安居</w:t>
      </w:r>
      <w:r>
        <w:rPr>
          <w:rFonts w:hint="eastAsia" w:ascii="方正小标宋简体" w:hAnsi="宋体" w:eastAsia="方正小标宋简体"/>
          <w:color w:val="000000"/>
          <w:kern w:val="0"/>
          <w:sz w:val="44"/>
          <w:szCs w:val="44"/>
        </w:rPr>
        <w:t>区委</w:t>
      </w:r>
      <w:r>
        <w:rPr>
          <w:rFonts w:hint="eastAsia" w:ascii="方正小标宋简体" w:hAnsi="宋体" w:eastAsia="方正小标宋简体"/>
          <w:color w:val="000000"/>
          <w:kern w:val="0"/>
          <w:sz w:val="44"/>
          <w:szCs w:val="44"/>
          <w:lang w:val="en-US" w:eastAsia="zh-CN"/>
        </w:rPr>
        <w:t>统一战线工作部</w:t>
      </w:r>
    </w:p>
    <w:p w14:paraId="6F8AE1E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ascii="Times New Roman" w:hAnsi="Times New Roman" w:eastAsia="方正小标宋简体" w:cs="Times New Roman"/>
          <w:b w:val="0"/>
          <w:bCs/>
          <w:sz w:val="44"/>
          <w:szCs w:val="44"/>
          <w:highlight w:val="none"/>
          <w:shd w:val="clear" w:color="auto" w:fill="FFFFFF"/>
        </w:rPr>
      </w:pPr>
      <w:r>
        <w:rPr>
          <w:rFonts w:ascii="Times New Roman" w:hAnsi="Times New Roman" w:eastAsia="方正小标宋简体" w:cs="Times New Roman"/>
          <w:b w:val="0"/>
          <w:bCs/>
          <w:sz w:val="44"/>
          <w:szCs w:val="44"/>
          <w:highlight w:val="none"/>
          <w:shd w:val="clear" w:color="auto" w:fill="FFFFFF"/>
        </w:rPr>
        <w:t>部门</w:t>
      </w:r>
      <w:r>
        <w:rPr>
          <w:rFonts w:ascii="Times New Roman" w:hAnsi="Times New Roman" w:eastAsia="方正小标宋简体" w:cs="Times New Roman"/>
          <w:b w:val="0"/>
          <w:bCs/>
          <w:sz w:val="44"/>
          <w:szCs w:val="44"/>
          <w:highlight w:val="none"/>
          <w:shd w:val="clear" w:color="auto" w:fill="FFFFFF"/>
          <w:lang w:eastAsia="zh-CN"/>
        </w:rPr>
        <w:t>预算</w:t>
      </w:r>
      <w:r>
        <w:rPr>
          <w:rFonts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ascii="Times New Roman" w:hAnsi="Times New Roman" w:eastAsia="方正小标宋简体" w:cs="Times New Roman"/>
          <w:b w:val="0"/>
          <w:bCs/>
          <w:sz w:val="44"/>
          <w:szCs w:val="44"/>
          <w:highlight w:val="none"/>
          <w:shd w:val="clear" w:color="auto" w:fill="FFFFFF"/>
        </w:rPr>
        <w:t>报告</w:t>
      </w:r>
    </w:p>
    <w:p w14:paraId="05C88067">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ascii="Times New Roman" w:hAnsi="Times New Roman" w:eastAsia="黑体" w:cs="Times New Roman"/>
          <w:color w:val="000000"/>
          <w:kern w:val="0"/>
          <w:sz w:val="24"/>
          <w:szCs w:val="32"/>
          <w:highlight w:val="none"/>
          <w:shd w:val="clear" w:color="auto" w:fill="FFFFFF"/>
        </w:rPr>
      </w:pPr>
    </w:p>
    <w:p w14:paraId="209949F6">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ascii="Times New Roman" w:hAnsi="Times New Roman" w:eastAsia="黑体" w:cs="Times New Roman"/>
          <w:color w:val="000000"/>
          <w:kern w:val="0"/>
          <w:sz w:val="32"/>
          <w:szCs w:val="32"/>
          <w:highlight w:val="none"/>
          <w:shd w:val="clear" w:color="auto" w:fill="FFFFFF"/>
          <w:lang w:val="zh-CN"/>
        </w:rPr>
        <w:t>部门（单位）基本情况</w:t>
      </w:r>
    </w:p>
    <w:p w14:paraId="3C8367F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ascii="Times New Roman" w:hAnsi="Times New Roman" w:eastAsia="楷体_GB2312" w:cs="楷体_GB2312"/>
          <w:b/>
          <w:color w:val="auto"/>
          <w:sz w:val="32"/>
          <w:szCs w:val="32"/>
          <w:highlight w:val="none"/>
          <w:lang w:val="zh-CN"/>
        </w:rPr>
        <w:t>机构组成。</w:t>
      </w:r>
    </w:p>
    <w:p w14:paraId="613238A0">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区委统战部内设办公室、党派干部股、经济台侨股、民族宗教事务股（法规股），有下属公益一类事业单位1个，为区民族宗教服务中心。</w:t>
      </w:r>
    </w:p>
    <w:p w14:paraId="213A6471">
      <w:pPr>
        <w:keepNext w:val="0"/>
        <w:keepLines w:val="0"/>
        <w:pageBreakBefore w:val="0"/>
        <w:widowControl/>
        <w:kinsoku/>
        <w:wordWrap/>
        <w:overflowPunct/>
        <w:topLinePunct w:val="0"/>
        <w:autoSpaceDE/>
        <w:autoSpaceDN/>
        <w:bidi w:val="0"/>
        <w:adjustRightInd w:val="0"/>
        <w:snapToGrid w:val="0"/>
        <w:spacing w:line="578" w:lineRule="exact"/>
        <w:ind w:left="638" w:leftChars="304" w:firstLine="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619EDD0C">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1.贯彻落实加强党对统一战线工作集中统一领导的要求，发挥区委在统战工作方面的参谋机构、组织协调机构、具体执行机构、督促检查机构作用，了解情况、掌握政策、协调关系、安排人事、增进共识、加强团结，协调统一战线各方面关系，组织落实党中央、省委、市委、区委关于统一战线工作的重大决策部署，巩固壮大最广泛的统一战线。 </w:t>
      </w:r>
    </w:p>
    <w:p w14:paraId="74CF73DE">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2.贯彻落实统一战线工作的政策措施，深入调查研究，及时向区委报告统一战线工作情况并提出建议，统筹协调和指导各地、各部门（单位）统一战线工作。</w:t>
      </w:r>
    </w:p>
    <w:p w14:paraId="4305F4B2">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3.负责发现、培养党外代表人士，制定党外干部培养规划，负责党外人士的政治安排，认真贯彻落实《中国共产党统一战线工作条例</w:t>
      </w:r>
      <w:r>
        <w:rPr>
          <w:rFonts w:ascii="Times New Roman" w:hAnsi="Times New Roman" w:eastAsia="仿宋_GB2312" w:cs="Times New Roman"/>
          <w:kern w:val="2"/>
          <w:sz w:val="33"/>
          <w:szCs w:val="33"/>
          <w:lang w:val="en-US" w:eastAsia="zh-CN" w:bidi="ar-SA"/>
        </w:rPr>
        <w:t>（</w:t>
      </w:r>
      <w:r>
        <w:rPr>
          <w:rFonts w:hint="eastAsia" w:ascii="Times New Roman" w:hAnsi="Times New Roman" w:eastAsia="仿宋_GB2312" w:cs="Times New Roman"/>
          <w:kern w:val="2"/>
          <w:sz w:val="33"/>
          <w:szCs w:val="33"/>
          <w:lang w:val="en-US" w:eastAsia="zh-CN" w:bidi="ar-SA"/>
        </w:rPr>
        <w:t>试行</w:t>
      </w:r>
      <w:r>
        <w:rPr>
          <w:rFonts w:ascii="Times New Roman" w:hAnsi="Times New Roman" w:eastAsia="仿宋_GB2312" w:cs="Times New Roman"/>
          <w:kern w:val="2"/>
          <w:sz w:val="33"/>
          <w:szCs w:val="33"/>
          <w:lang w:val="en-US" w:eastAsia="zh-CN" w:bidi="ar-SA"/>
        </w:rPr>
        <w:t>）</w:t>
      </w:r>
      <w:r>
        <w:rPr>
          <w:rFonts w:hint="eastAsia" w:ascii="Times New Roman" w:hAnsi="Times New Roman" w:eastAsia="仿宋_GB2312" w:cs="Times New Roman"/>
          <w:kern w:val="2"/>
          <w:sz w:val="33"/>
          <w:szCs w:val="33"/>
          <w:lang w:val="en-US" w:eastAsia="zh-CN" w:bidi="ar-SA"/>
        </w:rPr>
        <w:t xml:space="preserve">》有关党外于部配备刚 性规定，会同有关部门做好党外干部实职安排。 协助民主党派安居总支、区工商联做好干部管理工作，反映和协调解决党外代表人士工作生活中的实际困难。 </w:t>
      </w:r>
    </w:p>
    <w:p w14:paraId="49CEF33E">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4.贯彻落实党的宣传工作方针，统筹推进全区统一战线宣传和意识形态工作，组织贯彻落实党中央、省委、市委、区委统一战线宣传工作政策和规划，统筹推进网络统战工作，打造网络统战工作平台，研判涉及统一战线的舆情并协调有关部门应对处置。 </w:t>
      </w:r>
    </w:p>
    <w:p w14:paraId="10EF16BF">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5.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 </w:t>
      </w:r>
    </w:p>
    <w:p w14:paraId="65B3900C">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6.贯彻落实党的民族工作方针、政策和重大措施，协调处理民族工作中的重大问题，根据分工，统筹协调做好少数民族干部工作，依法管理民族事务，全面促进民族事业发展。 </w:t>
      </w:r>
    </w:p>
    <w:p w14:paraId="4B524724">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7.贯彻落实党的宗数工作基本方针和政策，研究拟订宗教工作的重大政策措施并督促落实，依法管理宗教行政事务，保护公民宗教信仰自由和正常的宗教活动，维护宗教界合法权益，抵御境外利用宗教进行渗透，引导各宗教坚持中国化方内，巩国和发展同宗教界的爱国统一战线。</w:t>
      </w:r>
    </w:p>
    <w:p w14:paraId="1426F239">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8.负责联系、培养无党派代表人士，支持、帮助无党派人士加强自身建设、发挥作用。调查研究全区党外知识 分子情况并提出政策建议，联系、 培养党外知识分子代表人士，开展思想政治工作，指导学校、医院、国有企业等有关单位开展统战工作。 </w:t>
      </w:r>
    </w:p>
    <w:p w14:paraId="764DF39A">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9.负责联系、培养新的社会阶层代表人士，支持、帮助新的社会阶层人士加强自身建设、发挥作用。调查研究全区新的社会阶层人士情况并提出政策建议，开展思想政治工作，指导社会组织开展新的社会阶层人士统战工作。 </w:t>
      </w:r>
    </w:p>
    <w:p w14:paraId="7EB1FD24">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10.承担全区非公有制经济协调工作，负责全区引导非公有制经济代表人士工作，参与制定、推动落实鼓励支持非公有制经济发展的政策，调查研究全区非公有制经济人士情况并提出政策建议，了解和反映非公有制经济人士的意见，团结、服务、引导、教育非公有制经济人士，促进非公有制经济健康发展和非公有制经济人士健康成长。 </w:t>
      </w:r>
    </w:p>
    <w:p w14:paraId="7649F3B6">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11.统一管理侨务工作，贯彻落实党的侨务工作方针政策，拟订全区侨务工作规划并组织协调、督促检查落实，调查研究侨情和侨务工作情况，管理侨务行政事务，统筹协调有关部门和社会团体涉侨工作，联系海外有关侨团和代表人士，负责海外侨胞代表人士在相关统战团体的安排，指导推动涉侨宣传、文化交流、华文教育工作等，保护华侨和归侨侨眷在区内的合法权利和利益。 </w:t>
      </w:r>
    </w:p>
    <w:p w14:paraId="3CDEBA3F">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 xml:space="preserve">12.统一管理台湾事务工作。贯彻落实中、省、市海外统战工作政策和规划并组织协调、督促检查落实，联系港澳台有关党派、团体及代表人士。调查研究台情和涉台事务工作情况，提出政策建议。组织、指导、管理、协调各地各部门对台工作。负责我区同台湾有关党派、团体和各阶层人士的重大交流交往和反对“台独”工作。负责我区对台上层联络工作。负责对台宣传、涉台教育和有关台湾工作的新闻发布。 </w:t>
      </w:r>
    </w:p>
    <w:p w14:paraId="2FCEB3F8">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13.协助管理乡镇</w:t>
      </w:r>
      <w:r>
        <w:rPr>
          <w:rFonts w:ascii="Times New Roman" w:hAnsi="Times New Roman" w:eastAsia="仿宋_GB2312" w:cs="Times New Roman"/>
          <w:kern w:val="2"/>
          <w:sz w:val="33"/>
          <w:szCs w:val="33"/>
          <w:lang w:val="en-US" w:eastAsia="zh-CN" w:bidi="ar-SA"/>
        </w:rPr>
        <w:t>（</w:t>
      </w:r>
      <w:r>
        <w:rPr>
          <w:rFonts w:hint="eastAsia" w:ascii="Times New Roman" w:hAnsi="Times New Roman" w:eastAsia="仿宋_GB2312" w:cs="Times New Roman"/>
          <w:kern w:val="2"/>
          <w:sz w:val="33"/>
          <w:szCs w:val="33"/>
          <w:lang w:val="en-US" w:eastAsia="zh-CN" w:bidi="ar-SA"/>
        </w:rPr>
        <w:t>街道</w:t>
      </w:r>
      <w:r>
        <w:rPr>
          <w:rFonts w:ascii="Times New Roman" w:hAnsi="Times New Roman" w:eastAsia="仿宋_GB2312" w:cs="Times New Roman"/>
          <w:kern w:val="2"/>
          <w:sz w:val="33"/>
          <w:szCs w:val="33"/>
          <w:lang w:val="en-US" w:eastAsia="zh-CN" w:bidi="ar-SA"/>
        </w:rPr>
        <w:t>）</w:t>
      </w:r>
      <w:r>
        <w:rPr>
          <w:rFonts w:hint="eastAsia" w:ascii="Times New Roman" w:hAnsi="Times New Roman" w:eastAsia="仿宋_GB2312" w:cs="Times New Roman"/>
          <w:kern w:val="2"/>
          <w:sz w:val="33"/>
          <w:szCs w:val="33"/>
          <w:lang w:val="en-US" w:eastAsia="zh-CN" w:bidi="ar-SA"/>
        </w:rPr>
        <w:t xml:space="preserve">统战人员，受区委委托，领导区工商联党组，指导工商联工作，做好统一战线有关单位和团体及事业单位的管理工作。 </w:t>
      </w:r>
    </w:p>
    <w:p w14:paraId="11CA2171">
      <w:pPr>
        <w:spacing w:line="560" w:lineRule="exact"/>
        <w:ind w:firstLine="660" w:firstLineChars="200"/>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14.负责职责范围内的安全生产和职业健康、生态环境保护、审批服务便民化、市场监管、依法治理等工作。</w:t>
      </w:r>
    </w:p>
    <w:p w14:paraId="1F546E96">
      <w:pPr>
        <w:spacing w:line="560" w:lineRule="exact"/>
        <w:ind w:firstLine="660" w:firstLineChars="200"/>
        <w:rPr>
          <w:rFonts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15.完成区委交办的其他任务。</w:t>
      </w:r>
    </w:p>
    <w:p w14:paraId="7B639341">
      <w:pPr>
        <w:spacing w:line="560" w:lineRule="exact"/>
        <w:ind w:firstLine="643" w:firstLineChars="200"/>
        <w:rPr>
          <w:rFonts w:hint="eastAsia" w:ascii="Times New Roman" w:hAnsi="Times New Roman" w:eastAsia="楷体_GB2312" w:cs="Times New Roman"/>
          <w:b/>
          <w:bCs/>
          <w:color w:val="000000"/>
          <w:kern w:val="0"/>
          <w:sz w:val="32"/>
          <w:szCs w:val="32"/>
          <w:highlight w:val="none"/>
          <w:shd w:val="clear" w:color="auto" w:fill="FFFFFF"/>
          <w:lang w:val="zh-CN"/>
        </w:rPr>
      </w:pPr>
      <w:r>
        <w:rPr>
          <w:rFonts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38720367">
      <w:pPr>
        <w:spacing w:line="560" w:lineRule="exact"/>
        <w:ind w:firstLine="640" w:firstLineChars="200"/>
        <w:rPr>
          <w:rFonts w:ascii="Times New Roman" w:hAnsi="Times New Roman" w:eastAsia="仿宋_GB2312" w:cs="Times New Roman"/>
          <w:bCs/>
          <w:color w:val="000000"/>
          <w:sz w:val="32"/>
          <w:szCs w:val="32"/>
          <w:shd w:val="clear" w:color="auto" w:fill="FFFFFF"/>
          <w:lang w:val="en-US" w:eastAsia="zh-CN"/>
        </w:rPr>
      </w:pPr>
      <w:r>
        <w:rPr>
          <w:rFonts w:hint="eastAsia" w:ascii="Times New Roman" w:hAnsi="Times New Roman" w:eastAsia="仿宋_GB2312"/>
          <w:color w:val="000000"/>
          <w:sz w:val="32"/>
          <w:szCs w:val="32"/>
          <w:shd w:val="clear" w:color="auto" w:fill="FFFFFF"/>
          <w:lang w:val="en-US" w:eastAsia="zh-CN"/>
        </w:rPr>
        <w:t>截至2024年末，区委统战部及下属事业单位在职人员11人，其中：行政人员编制8人，事业人员编制3人，较上年无变化</w:t>
      </w:r>
      <w:r>
        <w:rPr>
          <w:rFonts w:ascii="Times New Roman" w:hAnsi="Times New Roman" w:eastAsia="仿宋_GB2312"/>
          <w:color w:val="000000"/>
          <w:sz w:val="32"/>
          <w:szCs w:val="32"/>
          <w:shd w:val="clear" w:color="auto" w:fill="FFFFFF"/>
          <w:lang w:val="en-US" w:eastAsia="zh-CN"/>
        </w:rPr>
        <w:t>。</w:t>
      </w:r>
    </w:p>
    <w:p w14:paraId="78500871">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ascii="Times New Roman" w:hAnsi="Times New Roman" w:eastAsia="黑体" w:cs="Times New Roman"/>
          <w:color w:val="000000"/>
          <w:kern w:val="0"/>
          <w:sz w:val="32"/>
          <w:szCs w:val="32"/>
          <w:highlight w:val="none"/>
          <w:shd w:val="clear" w:color="auto" w:fill="FFFFFF"/>
          <w:lang w:val="zh-CN" w:eastAsia="zh-CN"/>
        </w:rPr>
      </w:pPr>
      <w:r>
        <w:rPr>
          <w:rFonts w:ascii="Times New Roman" w:hAnsi="Times New Roman" w:eastAsia="黑体" w:cs="Times New Roman"/>
          <w:color w:val="000000"/>
          <w:kern w:val="0"/>
          <w:sz w:val="32"/>
          <w:szCs w:val="32"/>
          <w:highlight w:val="none"/>
          <w:shd w:val="clear" w:color="auto" w:fill="FFFFFF"/>
          <w:lang w:val="zh-CN" w:eastAsia="zh-CN"/>
        </w:rPr>
        <w:t>二、部门资金收支情况</w:t>
      </w:r>
    </w:p>
    <w:p w14:paraId="3687930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Times New Roman" w:hAnsi="Times New Roman" w:eastAsia="楷体_GB2312" w:cs="Times New Roman"/>
          <w:b/>
          <w:bCs/>
          <w:color w:val="000000"/>
          <w:kern w:val="0"/>
          <w:szCs w:val="32"/>
          <w:highlight w:val="none"/>
          <w:shd w:val="clear" w:color="auto" w:fill="FFFFFF"/>
          <w:lang w:val="en-US"/>
        </w:rPr>
      </w:pPr>
      <w:r>
        <w:rPr>
          <w:rFonts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2024年预算收入460.88</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、决算报表收入460.88</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6A43985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Times New Roman" w:hAnsi="Times New Roman" w:cs="Times New Roman"/>
          <w:szCs w:val="32"/>
          <w:lang w:val="zh-CN" w:eastAsia="zh-CN"/>
        </w:rPr>
      </w:pPr>
      <w:r>
        <w:rPr>
          <w:rFonts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2024年预算支出460.88</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、决算报表支出460.88</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5B8E41E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Times New Roman" w:hAnsi="Times New Roman" w:eastAsia="仿宋_GB2312" w:cs="Times New Roman"/>
          <w:b w:val="0"/>
          <w:bCs w:val="0"/>
          <w:color w:val="000000"/>
          <w:kern w:val="0"/>
          <w:szCs w:val="32"/>
          <w:highlight w:val="none"/>
          <w:shd w:val="clear" w:color="auto" w:fill="FFFFFF"/>
          <w:lang w:val="zh-CN" w:eastAsia="zh-CN"/>
        </w:rPr>
      </w:pPr>
      <w:r>
        <w:rPr>
          <w:rFonts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ascii="Times New Roman" w:hAnsi="Times New Roman" w:eastAsia="仿宋_GB2312" w:cs="Times New Roman"/>
          <w:sz w:val="32"/>
          <w:szCs w:val="32"/>
          <w:lang w:val="en-US" w:eastAsia="zh-CN"/>
        </w:rPr>
        <w:t>。</w:t>
      </w:r>
    </w:p>
    <w:p w14:paraId="5368375B">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contextualSpacing/>
        <w:jc w:val="left"/>
        <w:textAlignment w:val="auto"/>
        <w:outlineLvl w:val="9"/>
        <w:rPr>
          <w:rFonts w:ascii="Times New Roman" w:hAnsi="Times New Roman" w:eastAsia="黑体" w:cs="Times New Roman"/>
          <w:color w:val="000000"/>
          <w:kern w:val="0"/>
          <w:sz w:val="32"/>
          <w:szCs w:val="32"/>
          <w:highlight w:val="none"/>
          <w:shd w:val="clear" w:color="auto" w:fill="FFFFFF"/>
          <w:lang w:val="zh-CN" w:eastAsia="zh-CN"/>
        </w:rPr>
      </w:pPr>
      <w:r>
        <w:rPr>
          <w:rFonts w:ascii="Times New Roman" w:hAnsi="Times New Roman" w:eastAsia="黑体" w:cs="Times New Roman"/>
          <w:color w:val="000000"/>
          <w:kern w:val="0"/>
          <w:sz w:val="32"/>
          <w:szCs w:val="32"/>
          <w:highlight w:val="none"/>
          <w:shd w:val="clear" w:color="auto" w:fill="FFFFFF"/>
          <w:lang w:val="zh-CN" w:eastAsia="zh-CN"/>
        </w:rPr>
        <w:t>三、部门预算绩效分析</w:t>
      </w:r>
    </w:p>
    <w:p w14:paraId="5188FCE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3" w:firstLineChars="200"/>
        <w:contextualSpacing/>
        <w:jc w:val="left"/>
        <w:textAlignment w:val="auto"/>
        <w:outlineLvl w:val="9"/>
        <w:rPr>
          <w:rFonts w:ascii="Times New Roman" w:hAnsi="Times New Roman" w:eastAsia="仿宋_GB2312" w:cs="仿宋_GB2312"/>
          <w:color w:val="auto"/>
          <w:kern w:val="2"/>
          <w:sz w:val="32"/>
          <w:szCs w:val="32"/>
          <w:highlight w:val="none"/>
          <w:lang w:val="zh-CN" w:eastAsia="zh-CN" w:bidi="ar-SA"/>
        </w:rPr>
      </w:pPr>
      <w:r>
        <w:rPr>
          <w:rFonts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ascii="Times New Roman" w:hAnsi="Times New Roman" w:eastAsia="楷体_GB2312" w:cs="Times New Roman"/>
          <w:b/>
          <w:bCs/>
          <w:color w:val="000000"/>
          <w:kern w:val="0"/>
          <w:sz w:val="32"/>
          <w:szCs w:val="32"/>
          <w:highlight w:val="none"/>
          <w:shd w:val="clear" w:color="auto" w:fill="FFFFFF"/>
          <w:lang w:val="zh-CN"/>
        </w:rPr>
        <w:t>总体绩效分析。</w:t>
      </w:r>
    </w:p>
    <w:p w14:paraId="689AA12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51E008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（1）铸牢中华民族共同体意识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以铸牢中华民族共同体意识为主线，完成市级民族资金项目建设4个，争取到省级少数民族发展任务资金项目1个，走访慰问少数民族困难群众102人、“9+3”藏区学生15人。开展“强国复兴有我”、“9+3”学生缅怀先烈催奋进、红色文化润心智”主题教育实践活动和民族团结进步宣传月活动，举办“同运动•一家亲”篮球友谊赛、“团结花开•幸福遂宁”社区文艺汇演10余场次，处置涉民族因素事件1件，有效促进各民族</w:t>
      </w:r>
      <w:r>
        <w:rPr>
          <w:rFonts w:hint="eastAsia" w:eastAsia="仿宋_GB2312" w:cs="仿宋_GB2312"/>
          <w:color w:val="auto"/>
          <w:kern w:val="2"/>
          <w:sz w:val="32"/>
          <w:szCs w:val="32"/>
          <w:highlight w:val="none"/>
          <w:lang w:val="en-US" w:eastAsia="zh-CN" w:bidi="ar-SA"/>
        </w:rPr>
        <w:t>交往交流交融</w:t>
      </w:r>
      <w:r>
        <w:rPr>
          <w:rFonts w:hint="eastAsia" w:ascii="Times New Roman" w:hAnsi="Times New Roman" w:eastAsia="仿宋_GB2312" w:cs="仿宋_GB2312"/>
          <w:color w:val="auto"/>
          <w:kern w:val="2"/>
          <w:sz w:val="32"/>
          <w:szCs w:val="32"/>
          <w:highlight w:val="none"/>
          <w:lang w:val="en-US" w:eastAsia="zh-CN" w:bidi="ar-SA"/>
        </w:rPr>
        <w:t>。</w:t>
      </w:r>
    </w:p>
    <w:p w14:paraId="27EB34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（2）依法管理宗教事务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强化宗教界人士思想政治引领，组织召开民族宗教专题会议和宗教活动场所负责人会议6次，开展“以案促改，从严治教”教育整顿和“四进”宗教场所等活动10余次，教育培训240余人次。加强宗教领域综合治理，开展抵御境外基督教渗透和治理非法宗教活动专项工作，依法处置2处基督教私设聚会点，做好互联网宗教信息服务主体摸排和防藏传佛教渗透工作，严格落实宗教活动场所骨灰存放服务“三停一封”管理措施，防范商业化问题反弹。强化宗教活动场所安全监管，举行消防安全知识培训和应急演练3次，整改安全隐患12个，2024年全年宗教领域实现和睦和顺。</w:t>
      </w:r>
    </w:p>
    <w:p w14:paraId="2968D5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（3）促进非公经济“两个健康”</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开展统战部部长与民营企业家沟通协商“键对键+面对面”活动6期，为31家企业解决困难26个，进一步提振企业发展信心。持续推进民营企业品牌建设，四川裕能新能源电池材料有限公司入围“2024四川民营企业100强”榜单，6家民营企业入围全市民营企业50强。</w:t>
      </w:r>
    </w:p>
    <w:p w14:paraId="2367ED0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（4）党外干部工作</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迎接全国政协副主席、农工党中央常务副主席杨震，民盟四川省委原主委、省政协原副主席赵振铣等</w:t>
      </w:r>
      <w:r>
        <w:rPr>
          <w:rFonts w:hint="eastAsia" w:eastAsia="仿宋_GB2312" w:cs="仿宋_GB2312"/>
          <w:color w:val="auto"/>
          <w:kern w:val="2"/>
          <w:sz w:val="32"/>
          <w:szCs w:val="32"/>
          <w:highlight w:val="none"/>
          <w:lang w:val="en-US" w:eastAsia="zh-CN" w:bidi="ar-SA"/>
        </w:rPr>
        <w:t>中央和省、市</w:t>
      </w:r>
      <w:r>
        <w:rPr>
          <w:rFonts w:hint="eastAsia" w:ascii="Times New Roman" w:hAnsi="Times New Roman" w:eastAsia="仿宋_GB2312" w:cs="仿宋_GB2312"/>
          <w:color w:val="auto"/>
          <w:kern w:val="2"/>
          <w:sz w:val="32"/>
          <w:szCs w:val="32"/>
          <w:highlight w:val="none"/>
          <w:lang w:val="en-US" w:eastAsia="zh-CN" w:bidi="ar-SA"/>
        </w:rPr>
        <w:t>领导莅安调研20余次，为安居发展汇聚资源。新增党外知识分子助力乡村振兴“千村共建”联系村5个，助力乡村振兴。吸收发展党派新成员和无党派人士认定21名。坚持“组织+统战”党外干部工作联席会议机制，安排优秀党外干部担当重任，目前全区配备党外领导干部44名，其中副县级5人、正科级11人、副科级28人，党外领导干部配备数量居全市第一。</w:t>
      </w:r>
    </w:p>
    <w:p w14:paraId="1131744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（5）统战团体建设</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着力开展19个基层新阶分会的组织建设，建立“1+19+N”组织体系，实现教育引领、活动品牌、基地建设、联系联谊、服务社会等五个方面的提升，全区新联会会员达到1200余人。完成区新联会换届，成立区台联会、新媒体专委会、农业农村专委会，不断扩大联系范围和工作覆盖面，促进统战团体持续健康发展</w:t>
      </w:r>
    </w:p>
    <w:p w14:paraId="74291BC1">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contextualSpacing/>
        <w:jc w:val="both"/>
        <w:textAlignment w:val="auto"/>
        <w:outlineLvl w:val="9"/>
        <w:rPr>
          <w:rFonts w:hint="eastAsia"/>
          <w:lang w:val="zh-CN"/>
        </w:rPr>
      </w:pPr>
      <w:r>
        <w:rPr>
          <w:rFonts w:hint="eastAsia" w:ascii="Times New Roman" w:hAnsi="Times New Roman" w:eastAsia="仿宋_GB2312" w:cs="仿宋_GB2312"/>
          <w:color w:val="auto"/>
          <w:kern w:val="2"/>
          <w:sz w:val="32"/>
          <w:szCs w:val="32"/>
          <w:highlight w:val="none"/>
          <w:lang w:val="en-US" w:eastAsia="zh-CN" w:bidi="ar-SA"/>
        </w:rPr>
        <w:t>2.</w:t>
      </w:r>
      <w:r>
        <w:rPr>
          <w:rFonts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严格按照区级部门预算编制通知和有关要求，按规定及时完成2024年部门预算编制工作，并按时提交部门预算草案和编制说明。2024年我单位预算资金均为财政拨款，无其他资金来源，收入结构单一但稳定性强。收入统筹重点体现在财政拨款预算的全口径管理，未出现资金体外循环或隐瞒收入的情况。一般性支出年初预算和执行数均较上年压减，符合“只减不增”要求，落实了财政节俭要求</w:t>
      </w:r>
      <w:r>
        <w:rPr>
          <w:rFonts w:eastAsia="仿宋_GB2312"/>
          <w:color w:val="000000"/>
          <w:kern w:val="0"/>
          <w:sz w:val="32"/>
          <w:szCs w:val="32"/>
          <w:shd w:val="clear" w:color="auto" w:fill="FFFFFF"/>
          <w:lang w:val="zh-CN"/>
        </w:rPr>
        <w:t>。</w:t>
      </w:r>
    </w:p>
    <w:p w14:paraId="2EB8505A">
      <w:pPr>
        <w:keepNext w:val="0"/>
        <w:keepLines w:val="0"/>
        <w:pageBreakBefore w:val="0"/>
        <w:widowControl w:val="0"/>
        <w:kinsoku/>
        <w:wordWrap/>
        <w:overflowPunct/>
        <w:topLinePunct w:val="0"/>
        <w:autoSpaceDE/>
        <w:autoSpaceDN/>
        <w:adjustRightInd/>
        <w:snapToGrid/>
        <w:spacing w:beforeAutospacing="0" w:afterAutospacing="0" w:line="560" w:lineRule="exact"/>
        <w:ind w:left="0" w:firstLine="640" w:firstLineChars="200"/>
        <w:contextualSpacing/>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本部门制定了《中共遂宁市安居区委统一战线工作部机关工作及内部控制手册》，内含财务管理等制度，覆盖预算编制、资金审批、资产管理、政府采购等关键环节，未发现因制度缺失或执行不到位导致的问题。严格遵循财务岗位设置规范，设置财务负责人、会计、出纳等财务工作岗位。财务负责人对经济活动发生的票据及其相关附件审核把关，检查其合规性、合法性，有无违规事项；会计按会计制度审查经济活动过程及结算单据附件的真实性、完整性、合规性；出纳终审把关，并据实支付，完全做到“钱账分离、审批与经办分离”</w:t>
      </w:r>
      <w:r>
        <w:rPr>
          <w:rFonts w:hint="eastAsia" w:ascii="仿宋_GB2312" w:hAnsi="仿宋_GB2312" w:eastAsia="仿宋_GB2312" w:cs="仿宋_GB2312"/>
          <w:color w:val="000000"/>
          <w:kern w:val="0"/>
          <w:sz w:val="32"/>
          <w:szCs w:val="32"/>
          <w:shd w:val="clear" w:color="auto" w:fill="FFFFFF"/>
          <w:lang w:val="en-US" w:eastAsia="zh-CN"/>
        </w:rPr>
        <w:t>。</w:t>
      </w:r>
    </w:p>
    <w:p w14:paraId="468FC514">
      <w:pPr>
        <w:keepNext w:val="0"/>
        <w:keepLines w:val="0"/>
        <w:pageBreakBefore w:val="0"/>
        <w:widowControl w:val="0"/>
        <w:kinsoku/>
        <w:wordWrap/>
        <w:overflowPunct/>
        <w:topLinePunct w:val="0"/>
        <w:autoSpaceDE/>
        <w:autoSpaceDN/>
        <w:adjustRightInd/>
        <w:snapToGrid/>
        <w:spacing w:beforeAutospacing="0" w:afterAutospacing="0" w:line="560" w:lineRule="exact"/>
        <w:ind w:left="0" w:firstLine="640" w:firstLineChars="200"/>
        <w:contextualSpacing/>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我单位在资产管理方面整体表现较好，资产的人均分配和日常使用管理上较优，但在闲置资产的处理上还有改进余地。后续我单位将重点关注闲置资产的盘活工作，制定更有效的资产盘活计划，进一步提高资产管理的整体绩效水平</w:t>
      </w:r>
      <w:r>
        <w:rPr>
          <w:rFonts w:hint="eastAsia" w:ascii="仿宋_GB2312" w:hAnsi="仿宋_GB2312" w:eastAsia="仿宋_GB2312" w:cs="仿宋_GB2312"/>
          <w:b w:val="0"/>
          <w:bCs w:val="0"/>
          <w:color w:val="000000"/>
          <w:kern w:val="0"/>
          <w:sz w:val="32"/>
          <w:szCs w:val="32"/>
          <w:shd w:val="clear" w:color="auto" w:fill="FFFFFF"/>
          <w:lang w:val="zh-CN"/>
        </w:rPr>
        <w:t>。</w:t>
      </w:r>
    </w:p>
    <w:p w14:paraId="426C337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640" w:firstLineChars="200"/>
        <w:contextualSpacing/>
        <w:jc w:val="both"/>
        <w:textAlignment w:val="auto"/>
        <w:outlineLvl w:val="9"/>
        <w:rPr>
          <w:rFonts w:ascii="Times New Roman" w:hAnsi="Times New Roman" w:eastAsia="仿宋_GB2312" w:cs="Times New Roman"/>
          <w:color w:val="000000"/>
          <w:kern w:val="2"/>
          <w:sz w:val="32"/>
          <w:szCs w:val="32"/>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5.</w:t>
      </w:r>
      <w:r>
        <w:rPr>
          <w:rFonts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2024年度，本部门严格执行政府采购法规及内部控制要求，以“降本增效”为目标，围绕采购效率、成本节约率、集中采购率等核心指标优化采购流程，全年完成采购项目1项，采购电脑总花费1.78万元，平均采购周期为30个工作日。通过竞争性谈判、批量集采等方式，节约预算资金0.22万元，综合成本节约率11.00%</w:t>
      </w:r>
      <w:r>
        <w:rPr>
          <w:rFonts w:hint="eastAsia" w:eastAsia="仿宋_GB2312"/>
          <w:b w:val="0"/>
          <w:bCs w:val="0"/>
          <w:i w:val="0"/>
          <w:iCs w:val="0"/>
          <w:caps w:val="0"/>
          <w:smallCaps w:val="0"/>
          <w:vanish w:val="0"/>
          <w:color w:val="000000"/>
          <w:spacing w:val="0"/>
          <w:sz w:val="32"/>
          <w:szCs w:val="32"/>
          <w:shd w:val="clear" w:color="auto" w:fill="FFFFFF"/>
          <w:lang w:val="zh-CN"/>
        </w:rPr>
        <w:t>。</w:t>
      </w:r>
    </w:p>
    <w:p w14:paraId="2FF25919">
      <w:pPr>
        <w:keepNext w:val="0"/>
        <w:keepLines w:val="0"/>
        <w:pageBreakBefore w:val="0"/>
        <w:widowControl w:val="0"/>
        <w:kinsoku/>
        <w:wordWrap/>
        <w:overflowPunct/>
        <w:topLinePunct w:val="0"/>
        <w:autoSpaceDE/>
        <w:autoSpaceDN/>
        <w:bidi w:val="0"/>
        <w:adjustRightInd w:val="0"/>
        <w:snapToGrid w:val="0"/>
        <w:spacing w:line="578" w:lineRule="exact"/>
        <w:ind w:left="0" w:firstLine="643" w:firstLineChars="200"/>
        <w:contextualSpacing/>
        <w:jc w:val="both"/>
        <w:textAlignment w:val="auto"/>
        <w:outlineLvl w:val="9"/>
        <w:rPr>
          <w:rFonts w:ascii="Times New Roman" w:hAnsi="Times New Roman" w:eastAsia="仿宋_GB2312" w:cs="仿宋_GB2312"/>
          <w:color w:val="auto"/>
          <w:kern w:val="2"/>
          <w:sz w:val="32"/>
          <w:szCs w:val="32"/>
          <w:highlight w:val="none"/>
          <w:lang w:val="en-US" w:eastAsia="zh-CN" w:bidi="ar-SA"/>
        </w:rPr>
      </w:pPr>
      <w:r>
        <w:rPr>
          <w:rFonts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64CC4457">
      <w:pPr>
        <w:keepNext w:val="0"/>
        <w:keepLines w:val="0"/>
        <w:pageBreakBefore w:val="0"/>
        <w:widowControl w:val="0"/>
        <w:kinsoku/>
        <w:wordWrap/>
        <w:overflowPunct/>
        <w:topLinePunct w:val="0"/>
        <w:autoSpaceDE/>
        <w:autoSpaceDN/>
        <w:adjustRightInd/>
        <w:snapToGrid/>
        <w:spacing w:line="590" w:lineRule="exact"/>
        <w:ind w:left="0" w:firstLine="640" w:firstLineChars="200"/>
        <w:contextualSpacing/>
        <w:rPr>
          <w:rFonts w:hint="eastAsia" w:ascii="Times New Roman" w:hAnsi="Times New Roman" w:eastAsia="仿宋_GB2312" w:cs="Times New Roman"/>
          <w:color w:val="000000"/>
          <w:kern w:val="2"/>
          <w:sz w:val="32"/>
          <w:szCs w:val="32"/>
          <w:shd w:val="clear" w:color="auto" w:fill="FFFFFF"/>
          <w:lang w:val="zh-CN" w:eastAsia="zh-CN"/>
        </w:rPr>
      </w:pPr>
      <w:r>
        <w:rPr>
          <w:rFonts w:hint="eastAsia" w:ascii="Times New Roman" w:hAnsi="Times New Roman" w:eastAsia="仿宋_GB2312" w:cs="Times New Roman"/>
          <w:color w:val="000000"/>
          <w:kern w:val="2"/>
          <w:sz w:val="32"/>
          <w:szCs w:val="32"/>
          <w:shd w:val="clear" w:color="auto" w:fill="FFFFFF"/>
          <w:lang w:val="zh-CN" w:eastAsia="zh-CN"/>
        </w:rPr>
        <w:t>常年项目绩效分析。该类项目总数6个，涉及预算总金额   118.56万元，1—12月预算执行总体进度为100%，其中：预算结余率大于10%的项目共计0个。</w:t>
      </w:r>
    </w:p>
    <w:p w14:paraId="1D0C0BA4">
      <w:pPr>
        <w:keepNext w:val="0"/>
        <w:keepLines w:val="0"/>
        <w:pageBreakBefore w:val="0"/>
        <w:widowControl w:val="0"/>
        <w:kinsoku/>
        <w:wordWrap/>
        <w:overflowPunct/>
        <w:topLinePunct w:val="0"/>
        <w:autoSpaceDE/>
        <w:autoSpaceDN/>
        <w:adjustRightInd/>
        <w:snapToGrid/>
        <w:spacing w:line="590" w:lineRule="exact"/>
        <w:ind w:left="0" w:firstLine="640" w:firstLineChars="200"/>
        <w:contextualSpacing/>
        <w:rPr>
          <w:rFonts w:ascii="Times New Roman" w:hAnsi="Times New Roman" w:eastAsia="仿宋_GB2312" w:cs="Times New Roman"/>
          <w:color w:val="000000"/>
          <w:kern w:val="2"/>
          <w:sz w:val="32"/>
          <w:szCs w:val="32"/>
          <w:shd w:val="clear" w:color="auto" w:fill="FFFFFF"/>
          <w:lang w:val="zh-CN" w:eastAsia="zh-CN"/>
        </w:rPr>
      </w:pPr>
      <w:r>
        <w:rPr>
          <w:rFonts w:hint="eastAsia" w:ascii="Times New Roman" w:hAnsi="Times New Roman" w:eastAsia="仿宋_GB2312" w:cs="Times New Roman"/>
          <w:color w:val="000000"/>
          <w:kern w:val="2"/>
          <w:sz w:val="32"/>
          <w:szCs w:val="32"/>
          <w:shd w:val="clear" w:color="auto" w:fill="FFFFFF"/>
          <w:lang w:val="zh-CN" w:eastAsia="zh-CN"/>
        </w:rPr>
        <w:t>阶段（一次性）项目绩效分析。该类项目总数7个，涉及预算总金额162.69万元，1—12月预算执行总体进度为70.61%，其中：预算结余率大于10%的项目共计2个</w:t>
      </w:r>
      <w:r>
        <w:rPr>
          <w:rFonts w:ascii="Times New Roman" w:hAnsi="Times New Roman" w:eastAsia="仿宋_GB2312" w:cs="Times New Roman"/>
          <w:color w:val="000000"/>
          <w:kern w:val="2"/>
          <w:sz w:val="32"/>
          <w:szCs w:val="32"/>
          <w:shd w:val="clear" w:color="auto" w:fill="FFFFFF"/>
          <w:lang w:val="zh-CN" w:eastAsia="zh-CN"/>
        </w:rPr>
        <w:t>。</w:t>
      </w:r>
    </w:p>
    <w:p w14:paraId="0457CD0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eastAsia="仿宋_GB2312"/>
          <w:color w:val="000000"/>
          <w:kern w:val="0"/>
          <w:sz w:val="32"/>
          <w:szCs w:val="32"/>
          <w:highlight w:val="none"/>
          <w:shd w:val="clear" w:color="auto" w:fill="FFFFFF"/>
          <w:lang w:val="zh-CN" w:eastAsia="zh-CN"/>
        </w:rPr>
      </w:pPr>
      <w:r>
        <w:rPr>
          <w:rFonts w:eastAsia="仿宋_GB2312"/>
          <w:color w:val="000000"/>
          <w:kern w:val="0"/>
          <w:sz w:val="32"/>
          <w:szCs w:val="32"/>
          <w:highlight w:val="none"/>
          <w:shd w:val="clear" w:color="auto" w:fill="FFFFFF"/>
          <w:lang w:val="zh-CN" w:eastAsia="zh-CN"/>
        </w:rPr>
        <w:t>1.项目决策。严格落实“三重一大”集体决策制度，大额资金使用事先提交</w:t>
      </w:r>
      <w:r>
        <w:rPr>
          <w:rFonts w:eastAsia="仿宋_GB2312"/>
          <w:color w:val="000000"/>
          <w:kern w:val="0"/>
          <w:sz w:val="32"/>
          <w:szCs w:val="32"/>
          <w:highlight w:val="none"/>
          <w:shd w:val="clear" w:color="auto" w:fill="FFFFFF"/>
          <w:lang w:val="en-US" w:eastAsia="zh-CN"/>
        </w:rPr>
        <w:t>部务</w:t>
      </w:r>
      <w:r>
        <w:rPr>
          <w:rFonts w:eastAsia="仿宋_GB2312"/>
          <w:color w:val="000000"/>
          <w:kern w:val="0"/>
          <w:sz w:val="32"/>
          <w:szCs w:val="32"/>
          <w:highlight w:val="none"/>
          <w:shd w:val="clear" w:color="auto" w:fill="FFFFFF"/>
          <w:lang w:val="zh-CN" w:eastAsia="zh-CN"/>
        </w:rPr>
        <w:t>会审议，</w:t>
      </w:r>
      <w:r>
        <w:rPr>
          <w:rFonts w:eastAsia="仿宋_GB2312"/>
          <w:color w:val="000000"/>
          <w:kern w:val="0"/>
          <w:sz w:val="32"/>
          <w:szCs w:val="32"/>
          <w:highlight w:val="none"/>
          <w:shd w:val="clear" w:color="auto" w:fill="FFFFFF"/>
          <w:lang w:val="en-US" w:eastAsia="zh-CN"/>
        </w:rPr>
        <w:t>形成相应</w:t>
      </w:r>
      <w:r>
        <w:rPr>
          <w:rFonts w:eastAsia="仿宋_GB2312"/>
          <w:color w:val="000000"/>
          <w:kern w:val="0"/>
          <w:sz w:val="32"/>
          <w:szCs w:val="32"/>
          <w:highlight w:val="none"/>
          <w:shd w:val="clear" w:color="auto" w:fill="FFFFFF"/>
          <w:lang w:val="zh-CN" w:eastAsia="zh-CN"/>
        </w:rPr>
        <w:t>会议纪要。严格按照有关规定要求操作入库项目，且项目与部门职能高度相关。量化指标明确（如“宗教场所检查覆盖率≥98%”），符合“可量化、可考核”要求；维度较全面：涵盖产出（数量、质量）、效益（社会影响）、满意度（服务对象反馈）、成本（人均/单次成本控制），形成完整目标体系。</w:t>
      </w:r>
    </w:p>
    <w:p w14:paraId="30B6C93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eastAsia="仿宋_GB2312"/>
          <w:color w:val="000000"/>
          <w:kern w:val="0"/>
          <w:sz w:val="32"/>
          <w:szCs w:val="32"/>
          <w:highlight w:val="none"/>
          <w:shd w:val="clear" w:color="auto" w:fill="FFFFFF"/>
          <w:lang w:val="en-US" w:eastAsia="zh-CN"/>
        </w:rPr>
      </w:pPr>
      <w:r>
        <w:rPr>
          <w:rFonts w:eastAsia="仿宋_GB2312"/>
          <w:color w:val="000000"/>
          <w:kern w:val="0"/>
          <w:sz w:val="32"/>
          <w:szCs w:val="32"/>
          <w:highlight w:val="none"/>
          <w:shd w:val="clear" w:color="auto" w:fill="FFFFFF"/>
          <w:lang w:val="en-US" w:eastAsia="zh-CN"/>
        </w:rPr>
        <w:t>2.项目执行</w:t>
      </w:r>
      <w:r>
        <w:rPr>
          <w:rFonts w:eastAsia="仿宋_GB2312"/>
          <w:color w:val="000000"/>
          <w:kern w:val="0"/>
          <w:sz w:val="32"/>
          <w:szCs w:val="32"/>
          <w:highlight w:val="none"/>
          <w:shd w:val="clear" w:color="auto" w:fill="FFFFFF"/>
          <w:lang w:val="zh-CN" w:eastAsia="zh-CN"/>
        </w:rPr>
        <w:t>。</w:t>
      </w:r>
      <w:r>
        <w:rPr>
          <w:rFonts w:eastAsia="仿宋_GB2312"/>
          <w:color w:val="000000"/>
          <w:kern w:val="0"/>
          <w:sz w:val="32"/>
          <w:szCs w:val="32"/>
          <w:highlight w:val="none"/>
          <w:shd w:val="clear" w:color="auto" w:fill="FFFFFF"/>
          <w:lang w:val="en-US" w:eastAsia="zh-CN"/>
        </w:rPr>
        <w:t>项目资金用途与目标高度匹配：“工资性支出”“单位缴费”等严格用于人员薪酬和社保缴纳，未超范围使用。项目调整次数少，预算约束有力。</w:t>
      </w:r>
    </w:p>
    <w:p w14:paraId="232FCF6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eastAsia="仿宋_GB2312"/>
          <w:color w:val="000000"/>
          <w:kern w:val="0"/>
          <w:sz w:val="32"/>
          <w:szCs w:val="32"/>
          <w:highlight w:val="none"/>
          <w:shd w:val="clear" w:color="auto" w:fill="FFFFFF"/>
          <w:lang w:val="zh-CN" w:eastAsia="zh-CN"/>
        </w:rPr>
      </w:pPr>
      <w:r>
        <w:rPr>
          <w:rFonts w:eastAsia="仿宋_GB2312"/>
          <w:color w:val="000000"/>
          <w:kern w:val="0"/>
          <w:sz w:val="32"/>
          <w:szCs w:val="32"/>
          <w:highlight w:val="none"/>
          <w:shd w:val="clear" w:color="auto" w:fill="FFFFFF"/>
          <w:lang w:val="en-US" w:eastAsia="zh-CN"/>
        </w:rPr>
        <w:t>3.</w:t>
      </w:r>
      <w:r>
        <w:rPr>
          <w:rFonts w:eastAsia="仿宋_GB2312"/>
          <w:color w:val="000000"/>
          <w:kern w:val="0"/>
          <w:sz w:val="32"/>
          <w:szCs w:val="32"/>
          <w:highlight w:val="none"/>
          <w:shd w:val="clear" w:color="auto" w:fill="FFFFFF"/>
          <w:lang w:val="zh-CN" w:eastAsia="zh-CN"/>
        </w:rPr>
        <w:t>目标实现。部门核心指标项目绩效目标完成情况良好，实现了预期效果，</w:t>
      </w:r>
      <w:r>
        <w:rPr>
          <w:rFonts w:eastAsia="仿宋_GB2312"/>
          <w:color w:val="000000"/>
          <w:kern w:val="0"/>
          <w:sz w:val="32"/>
          <w:szCs w:val="32"/>
          <w:highlight w:val="none"/>
          <w:shd w:val="clear" w:color="auto" w:fill="FFFFFF"/>
          <w:lang w:val="en-US" w:eastAsia="zh-CN"/>
        </w:rPr>
        <w:t>如：统战对象慰问项目，</w:t>
      </w:r>
      <w:r>
        <w:rPr>
          <w:rFonts w:eastAsia="仿宋_GB2312"/>
          <w:color w:val="000000"/>
          <w:kern w:val="0"/>
          <w:sz w:val="32"/>
          <w:szCs w:val="32"/>
          <w:highlight w:val="none"/>
          <w:shd w:val="clear" w:color="auto" w:fill="FFFFFF"/>
          <w:lang w:val="zh-CN" w:eastAsia="zh-CN"/>
        </w:rPr>
        <w:t>按照</w:t>
      </w:r>
      <w:r>
        <w:rPr>
          <w:rFonts w:eastAsia="仿宋_GB2312"/>
          <w:color w:val="000000"/>
          <w:kern w:val="0"/>
          <w:sz w:val="32"/>
          <w:szCs w:val="32"/>
          <w:highlight w:val="none"/>
          <w:shd w:val="clear" w:color="auto" w:fill="FFFFFF"/>
          <w:lang w:val="en-US" w:eastAsia="zh-CN"/>
        </w:rPr>
        <w:t>绩效目标</w:t>
      </w:r>
      <w:r>
        <w:rPr>
          <w:rFonts w:eastAsia="仿宋_GB2312"/>
          <w:color w:val="000000"/>
          <w:kern w:val="0"/>
          <w:sz w:val="32"/>
          <w:szCs w:val="32"/>
          <w:highlight w:val="none"/>
          <w:shd w:val="clear" w:color="auto" w:fill="FFFFFF"/>
          <w:lang w:val="zh-CN" w:eastAsia="zh-CN"/>
        </w:rPr>
        <w:t>走访慰问了少数民族困难学生、宗教界代表人士等156人，群众满意度≥95%，</w:t>
      </w:r>
      <w:r>
        <w:rPr>
          <w:rFonts w:eastAsia="仿宋_GB2312"/>
          <w:color w:val="000000"/>
          <w:kern w:val="0"/>
          <w:sz w:val="32"/>
          <w:szCs w:val="32"/>
          <w:highlight w:val="none"/>
          <w:shd w:val="clear" w:color="auto" w:fill="FFFFFF"/>
          <w:lang w:val="en-US" w:eastAsia="zh-CN"/>
        </w:rPr>
        <w:t>得到了</w:t>
      </w:r>
      <w:r>
        <w:rPr>
          <w:rFonts w:eastAsia="仿宋_GB2312"/>
          <w:color w:val="000000"/>
          <w:kern w:val="0"/>
          <w:sz w:val="32"/>
          <w:szCs w:val="32"/>
          <w:highlight w:val="none"/>
          <w:shd w:val="clear" w:color="auto" w:fill="FFFFFF"/>
          <w:lang w:val="zh-CN" w:eastAsia="zh-CN"/>
        </w:rPr>
        <w:t>服务对象认可。</w:t>
      </w:r>
    </w:p>
    <w:p w14:paraId="66855B31">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zh-CN" w:eastAsia="zh-CN"/>
        </w:rPr>
        <w:t>内部应用方面，将绩效评价结果作为下一年度预算安排、项目调整的重要依据；信息公开方面，按规定及时公开部门预算、决算及绩效评价结果，接受社会监督；整改反馈方面，针对绩效评价中发现的问题，及时制定整改措施并落实，不断改进管理水平。</w:t>
      </w:r>
    </w:p>
    <w:p w14:paraId="6F1F7AD5">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ascii="Times New Roman" w:hAnsi="Times New Roman" w:eastAsia="黑体" w:cs="Times New Roman"/>
          <w:color w:val="000000"/>
          <w:kern w:val="0"/>
          <w:sz w:val="32"/>
          <w:szCs w:val="32"/>
          <w:highlight w:val="none"/>
          <w:shd w:val="clear" w:color="auto" w:fill="FFFFFF"/>
          <w:lang w:val="zh-CN"/>
        </w:rPr>
      </w:pPr>
      <w:r>
        <w:rPr>
          <w:rFonts w:ascii="Times New Roman" w:hAnsi="Times New Roman" w:eastAsia="黑体" w:cs="Times New Roman"/>
          <w:color w:val="000000"/>
          <w:kern w:val="0"/>
          <w:sz w:val="32"/>
          <w:szCs w:val="32"/>
          <w:highlight w:val="none"/>
          <w:shd w:val="clear" w:color="auto" w:fill="FFFFFF"/>
          <w:lang w:val="zh-CN" w:eastAsia="zh-CN"/>
        </w:rPr>
        <w:t>四、</w:t>
      </w:r>
      <w:r>
        <w:rPr>
          <w:rFonts w:ascii="Times New Roman" w:hAnsi="Times New Roman" w:eastAsia="黑体" w:cs="Times New Roman"/>
          <w:color w:val="000000"/>
          <w:kern w:val="0"/>
          <w:sz w:val="32"/>
          <w:szCs w:val="32"/>
          <w:highlight w:val="none"/>
          <w:shd w:val="clear" w:color="auto" w:fill="FFFFFF"/>
          <w:lang w:val="zh-CN"/>
        </w:rPr>
        <w:t>评价结论及建议</w:t>
      </w:r>
    </w:p>
    <w:p w14:paraId="416DD171">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eastAsia" w:ascii="仿宋_GB2312" w:hAnsi="仿宋_GB2312" w:eastAsia="仿宋_GB2312" w:cs="仿宋_GB2312"/>
          <w:color w:val="000000"/>
          <w:kern w:val="0"/>
          <w:sz w:val="32"/>
          <w:szCs w:val="32"/>
          <w:shd w:val="clear" w:color="auto" w:fill="FFFFFF"/>
          <w:lang w:val="zh-CN" w:eastAsia="zh-CN"/>
        </w:rPr>
      </w:pPr>
      <w:r>
        <w:rPr>
          <w:rFonts w:eastAsia="楷体_GB2312"/>
          <w:b/>
          <w:bCs/>
          <w:color w:val="000000"/>
          <w:kern w:val="0"/>
          <w:sz w:val="32"/>
          <w:szCs w:val="32"/>
          <w:highlight w:val="none"/>
          <w:shd w:val="clear" w:color="auto" w:fill="FFFFFF"/>
          <w:lang w:val="zh-CN"/>
        </w:rPr>
        <w:t>（一）评价结论。</w:t>
      </w:r>
      <w:r>
        <w:rPr>
          <w:rFonts w:eastAsia="仿宋_GB2312"/>
          <w:color w:val="000000"/>
          <w:kern w:val="0"/>
          <w:sz w:val="32"/>
          <w:szCs w:val="32"/>
          <w:shd w:val="clear" w:color="auto" w:fill="FFFFFF"/>
          <w:lang w:val="zh-CN" w:eastAsia="zh-CN"/>
        </w:rPr>
        <w:t>2024年本部门通过加强预算收支管理，不断建立健全内部管理制度，梳理内部管理流程，部门整体支出管理情况得到提升，较好的完成了年度工作目标。根据《2024年区级部门整体支出绩效评价指标体系》我单位对2024年整体支出开展绩效自评，自评得分92.8分；整体来</w:t>
      </w:r>
      <w:r>
        <w:rPr>
          <w:rFonts w:ascii="仿宋_GB2312" w:hAnsi="仿宋_GB2312" w:eastAsia="仿宋_GB2312" w:cs="仿宋_GB2312"/>
          <w:color w:val="000000"/>
          <w:kern w:val="0"/>
          <w:sz w:val="32"/>
          <w:szCs w:val="32"/>
          <w:shd w:val="clear" w:color="auto" w:fill="FFFFFF"/>
          <w:lang w:val="zh-CN" w:eastAsia="zh-CN"/>
        </w:rPr>
        <w:t>看，部门预算资金使用规范，在履行职能职责、推动统一战线事业发展方面取得了一定成效，但在预算管理、资产管理等方面仍存在一些不足</w:t>
      </w:r>
      <w:r>
        <w:rPr>
          <w:rFonts w:hint="eastAsia" w:ascii="仿宋_GB2312" w:hAnsi="仿宋_GB2312" w:eastAsia="仿宋_GB2312" w:cs="仿宋_GB2312"/>
          <w:color w:val="000000"/>
          <w:kern w:val="0"/>
          <w:sz w:val="32"/>
          <w:szCs w:val="32"/>
          <w:shd w:val="clear" w:color="auto" w:fill="FFFFFF"/>
          <w:lang w:val="zh-CN" w:eastAsia="zh-CN"/>
        </w:rPr>
        <w:t>。</w:t>
      </w:r>
    </w:p>
    <w:p w14:paraId="1F0707A3">
      <w:pPr>
        <w:keepNext w:val="0"/>
        <w:keepLines w:val="0"/>
        <w:pageBreakBefore w:val="0"/>
        <w:widowControl/>
        <w:kinsoku/>
        <w:wordWrap/>
        <w:overflowPunct/>
        <w:topLinePunct w:val="0"/>
        <w:autoSpaceDE/>
        <w:autoSpaceDN/>
        <w:bidi w:val="0"/>
        <w:adjustRightInd/>
        <w:snapToGrid/>
        <w:spacing w:line="560" w:lineRule="exact"/>
        <w:ind w:left="0" w:right="0" w:firstLine="643" w:firstLineChars="200"/>
        <w:contextualSpacing/>
        <w:jc w:val="both"/>
        <w:textAlignment w:val="auto"/>
        <w:outlineLvl w:val="9"/>
        <w:rPr>
          <w:rFonts w:ascii="Times New Roman" w:hAnsi="Times New Roman" w:eastAsia="楷体_GB2312" w:cs="Times New Roman"/>
          <w:b/>
          <w:bCs/>
          <w:color w:val="000000"/>
          <w:kern w:val="0"/>
          <w:sz w:val="32"/>
          <w:szCs w:val="32"/>
          <w:highlight w:val="none"/>
          <w:shd w:val="clear" w:color="auto" w:fill="FFFFFF"/>
          <w:lang w:val="zh-CN"/>
        </w:rPr>
      </w:pPr>
      <w:r>
        <w:rPr>
          <w:rFonts w:ascii="Times New Roman" w:hAnsi="Times New Roman" w:eastAsia="楷体_GB2312" w:cs="Times New Roman"/>
          <w:b/>
          <w:bCs/>
          <w:color w:val="000000"/>
          <w:kern w:val="0"/>
          <w:sz w:val="32"/>
          <w:szCs w:val="32"/>
          <w:highlight w:val="none"/>
          <w:shd w:val="clear" w:color="auto" w:fill="FFFFFF"/>
          <w:lang w:val="zh-CN"/>
        </w:rPr>
        <w:t>（二）存在问题。</w:t>
      </w:r>
    </w:p>
    <w:p w14:paraId="625FC42C">
      <w:pPr>
        <w:spacing w:line="540" w:lineRule="exact"/>
        <w:ind w:firstLine="720"/>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sz w:val="32"/>
          <w:szCs w:val="32"/>
          <w:shd w:val="clear" w:color="auto" w:fill="FFFFFF"/>
          <w:lang w:val="en-US" w:eastAsia="zh-CN"/>
        </w:rPr>
        <w:t>一是</w:t>
      </w:r>
      <w:r>
        <w:rPr>
          <w:rFonts w:hint="eastAsia" w:ascii="仿宋_GB2312" w:hAnsi="仿宋_GB2312" w:eastAsia="仿宋_GB2312" w:cs="仿宋_GB2312"/>
          <w:color w:val="000000"/>
          <w:sz w:val="32"/>
          <w:szCs w:val="32"/>
          <w:shd w:val="clear" w:color="auto" w:fill="FFFFFF"/>
          <w:lang w:val="zh-CN" w:eastAsia="zh-CN"/>
        </w:rPr>
        <w:t>预算编制的精准性有待提高，部分项目预算</w:t>
      </w:r>
      <w:r>
        <w:rPr>
          <w:rFonts w:hint="eastAsia" w:ascii="仿宋_GB2312" w:hAnsi="仿宋_GB2312" w:eastAsia="仿宋_GB2312" w:cs="仿宋_GB2312"/>
          <w:color w:val="000000"/>
          <w:sz w:val="32"/>
          <w:szCs w:val="32"/>
          <w:shd w:val="clear" w:color="auto" w:fill="FFFFFF"/>
          <w:lang w:val="en-US" w:eastAsia="zh-CN"/>
        </w:rPr>
        <w:t>编制</w:t>
      </w:r>
      <w:r>
        <w:rPr>
          <w:rFonts w:hint="eastAsia" w:ascii="仿宋_GB2312" w:hAnsi="仿宋_GB2312" w:eastAsia="仿宋_GB2312" w:cs="仿宋_GB2312"/>
          <w:color w:val="000000"/>
          <w:sz w:val="32"/>
          <w:szCs w:val="32"/>
          <w:shd w:val="clear" w:color="auto" w:fill="FFFFFF"/>
          <w:lang w:val="zh-CN" w:eastAsia="zh-CN"/>
        </w:rPr>
        <w:t>与实际支出存在偏差；</w:t>
      </w:r>
      <w:r>
        <w:rPr>
          <w:rFonts w:hint="eastAsia" w:ascii="仿宋_GB2312" w:hAnsi="仿宋_GB2312" w:eastAsia="仿宋_GB2312" w:cs="仿宋_GB2312"/>
          <w:color w:val="000000"/>
          <w:kern w:val="2"/>
          <w:sz w:val="32"/>
          <w:szCs w:val="32"/>
          <w:shd w:val="clear" w:color="auto" w:fill="FFFFFF"/>
          <w:lang w:val="en-US" w:eastAsia="zh-CN" w:bidi="ar-SA"/>
        </w:rPr>
        <w:t>二是部门财务从业人员在项目绩效评、固定资产管理等方面还存在不足；</w:t>
      </w:r>
      <w:r>
        <w:rPr>
          <w:rFonts w:hint="eastAsia" w:ascii="仿宋_GB2312" w:hAnsi="仿宋_GB2312" w:eastAsia="仿宋_GB2312" w:cs="仿宋_GB2312"/>
          <w:color w:val="000000"/>
          <w:kern w:val="2"/>
          <w:sz w:val="32"/>
          <w:szCs w:val="32"/>
          <w:shd w:val="clear" w:color="auto" w:fill="FFFFFF"/>
          <w:lang w:val="zh-CN" w:eastAsia="zh-CN" w:bidi="ar-SA"/>
        </w:rPr>
        <w:t>三</w:t>
      </w:r>
      <w:r>
        <w:rPr>
          <w:rFonts w:ascii="仿宋_GB2312" w:hAnsi="仿宋_GB2312" w:eastAsia="仿宋_GB2312" w:cs="仿宋_GB2312"/>
          <w:color w:val="000000"/>
          <w:kern w:val="2"/>
          <w:sz w:val="32"/>
          <w:szCs w:val="32"/>
          <w:shd w:val="clear" w:color="auto" w:fill="FFFFFF"/>
          <w:lang w:val="zh-CN" w:eastAsia="zh-CN" w:bidi="ar-SA"/>
        </w:rPr>
        <w:t>是部门</w:t>
      </w:r>
      <w:r>
        <w:rPr>
          <w:rFonts w:hint="eastAsia" w:ascii="仿宋_GB2312" w:hAnsi="仿宋_GB2312" w:eastAsia="仿宋_GB2312" w:cs="仿宋_GB2312"/>
          <w:color w:val="000000"/>
          <w:kern w:val="2"/>
          <w:sz w:val="32"/>
          <w:szCs w:val="32"/>
          <w:shd w:val="clear" w:color="auto" w:fill="FFFFFF"/>
          <w:lang w:val="en-US" w:eastAsia="zh-CN" w:bidi="ar-SA"/>
        </w:rPr>
        <w:t>资产基础管理意识薄弱、资产交接不规范，</w:t>
      </w:r>
      <w:r>
        <w:rPr>
          <w:rFonts w:hint="eastAsia" w:ascii="仿宋_GB2312" w:hAnsi="仿宋_GB2312" w:eastAsia="仿宋_GB2312" w:cs="仿宋_GB2312"/>
          <w:b w:val="0"/>
          <w:bCs w:val="0"/>
          <w:i w:val="0"/>
          <w:iCs w:val="0"/>
          <w:caps w:val="0"/>
          <w:smallCaps w:val="0"/>
          <w:vanish w:val="0"/>
          <w:color w:val="000000"/>
          <w:spacing w:val="0"/>
          <w:sz w:val="32"/>
          <w:szCs w:val="32"/>
          <w:shd w:val="clear" w:color="auto" w:fill="FFFFFF"/>
          <w:lang w:val="zh-CN"/>
        </w:rPr>
        <w:t>部分老旧资产盘活周期较长</w:t>
      </w:r>
      <w:r>
        <w:rPr>
          <w:rFonts w:hint="eastAsia" w:ascii="仿宋_GB2312" w:hAnsi="仿宋_GB2312" w:eastAsia="仿宋_GB2312" w:cs="仿宋_GB2312"/>
          <w:color w:val="000000"/>
          <w:kern w:val="0"/>
          <w:sz w:val="32"/>
          <w:szCs w:val="32"/>
          <w:shd w:val="clear" w:color="auto" w:fill="FFFFFF"/>
          <w:lang w:val="en-US" w:eastAsia="zh-CN"/>
        </w:rPr>
        <w:t>。</w:t>
      </w:r>
    </w:p>
    <w:p w14:paraId="55AF4633">
      <w:pPr>
        <w:spacing w:line="560" w:lineRule="exact"/>
        <w:ind w:firstLine="643" w:firstLineChars="200"/>
        <w:contextualSpacing/>
        <w:rPr>
          <w:rFonts w:ascii="Times New Roman" w:hAnsi="Times New Roman" w:eastAsia="楷体_GB2312" w:cs="Times New Roman"/>
          <w:b/>
          <w:bCs/>
          <w:color w:val="000000"/>
          <w:kern w:val="0"/>
          <w:sz w:val="32"/>
          <w:szCs w:val="32"/>
          <w:highlight w:val="none"/>
          <w:shd w:val="clear" w:color="auto" w:fill="FFFFFF"/>
          <w:lang w:val="zh-CN" w:eastAsia="zh-CN"/>
        </w:rPr>
      </w:pPr>
      <w:r>
        <w:rPr>
          <w:rFonts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7" w:name="_Hlk110546638"/>
    </w:p>
    <w:p w14:paraId="5C544F74">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一是细化预决算编制工作，认真做好预决算编制。进一步加强单位内部机构各股室的预算管理意识，严格按照预决算编制的相关制度和要求进行预决算编制；全面编制预算项目，优先保障固定性的、相对刚性的费用支出项目，尽量压缩变动性的、有控制空间的费用项目，进一步提高预算编制的科学性、严谨性和可控性。二是强化业务培训，对财务有关工作人员加强业务培训，持续提升其业务能力，切实提高部门预算收支管理水平。三是加强国有资产管理，完善国有资产有关台账，做好财务工作交接。</w:t>
      </w:r>
    </w:p>
    <w:bookmarkEnd w:id="67"/>
    <w:p w14:paraId="7B2C146C">
      <w:pPr>
        <w:pStyle w:val="9"/>
        <w:keepNext w:val="0"/>
        <w:keepLines w:val="0"/>
        <w:pageBreakBefore w:val="0"/>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zh-CN" w:eastAsia="zh-CN"/>
        </w:rPr>
      </w:pPr>
    </w:p>
    <w:p w14:paraId="5BBF7948">
      <w:pPr>
        <w:pStyle w:val="9"/>
        <w:keepNext w:val="0"/>
        <w:keepLines w:val="0"/>
        <w:pageBreakBefore w:val="0"/>
        <w:kinsoku/>
        <w:wordWrap/>
        <w:overflowPunct/>
        <w:topLinePunct w:val="0"/>
        <w:autoSpaceDE/>
        <w:autoSpaceDN/>
        <w:bidi w:val="0"/>
        <w:spacing w:line="560" w:lineRule="exact"/>
        <w:jc w:val="left"/>
        <w:textAlignment w:val="auto"/>
        <w:rPr>
          <w:rFonts w:ascii="Times New Roman" w:hAnsi="Times New Roman" w:eastAsia="仿宋_GB2312" w:cs="Times New Roman"/>
          <w:kern w:val="2"/>
          <w:sz w:val="32"/>
          <w:szCs w:val="32"/>
          <w:u w:val="none"/>
          <w:lang w:val="en-US" w:eastAsia="zh-CN"/>
        </w:rPr>
      </w:pPr>
      <w:r>
        <w:rPr>
          <w:rFonts w:hint="eastAsia" w:ascii="Times New Roman" w:hAnsi="Times New Roman" w:eastAsia="仿宋_GB2312" w:cs="Times New Roman"/>
          <w:kern w:val="2"/>
          <w:sz w:val="32"/>
          <w:szCs w:val="32"/>
          <w:u w:val="none"/>
          <w:lang w:val="zh-CN" w:eastAsia="zh-CN"/>
        </w:rPr>
        <w:t>附表：</w:t>
      </w:r>
      <w:r>
        <w:rPr>
          <w:rFonts w:hint="eastAsia" w:ascii="Times New Roman" w:hAnsi="Times New Roman" w:eastAsia="仿宋_GB2312" w:cs="Times New Roman"/>
          <w:kern w:val="2"/>
          <w:sz w:val="32"/>
          <w:szCs w:val="32"/>
          <w:u w:val="none"/>
          <w:lang w:val="en-US" w:eastAsia="zh-CN"/>
        </w:rPr>
        <w:t>1.部门整体支出绩效自评表</w:t>
      </w:r>
    </w:p>
    <w:p w14:paraId="6729859E">
      <w:pPr>
        <w:pStyle w:val="9"/>
        <w:keepNext w:val="0"/>
        <w:keepLines w:val="0"/>
        <w:pageBreakBefore w:val="0"/>
        <w:kinsoku/>
        <w:wordWrap/>
        <w:overflowPunct/>
        <w:topLinePunct w:val="0"/>
        <w:autoSpaceDE/>
        <w:autoSpaceDN/>
        <w:bidi w:val="0"/>
        <w:spacing w:line="560" w:lineRule="exact"/>
        <w:ind w:left="0" w:leftChars="0" w:firstLine="960" w:firstLineChars="300"/>
        <w:jc w:val="left"/>
        <w:textAlignment w:val="auto"/>
        <w:rPr>
          <w:rFonts w:hint="eastAsia" w:ascii="Times New Roman" w:hAnsi="Times New Roman" w:eastAsia="仿宋_GB2312" w:cs="Times New Roman"/>
          <w:kern w:val="2"/>
          <w:sz w:val="32"/>
          <w:szCs w:val="32"/>
          <w:u w:val="none"/>
          <w:lang w:val="en-US" w:eastAsia="zh-CN"/>
        </w:rPr>
        <w:sectPr>
          <w:footerReference r:id="rId6" w:type="default"/>
          <w:pgSz w:w="11906" w:h="16838"/>
          <w:pgMar w:top="2098" w:right="1474" w:bottom="1984" w:left="1587" w:header="851" w:footer="992" w:gutter="0"/>
          <w:pgNumType w:fmt="numberInDash" w:start="1"/>
          <w:cols w:space="425" w:num="1"/>
          <w:docGrid w:type="lines" w:linePitch="312" w:charSpace="0"/>
        </w:sectPr>
      </w:pPr>
      <w:r>
        <w:rPr>
          <w:rFonts w:hint="eastAsia" w:ascii="Times New Roman" w:hAnsi="Times New Roman" w:eastAsia="仿宋_GB2312" w:cs="Times New Roman"/>
          <w:kern w:val="2"/>
          <w:sz w:val="32"/>
          <w:szCs w:val="32"/>
          <w:u w:val="none"/>
          <w:lang w:val="en-US" w:eastAsia="zh-CN"/>
        </w:rPr>
        <w:t>2.部门预算项目支出绩效自评表（2024年度）</w:t>
      </w:r>
    </w:p>
    <w:tbl>
      <w:tblPr>
        <w:tblStyle w:val="19"/>
        <w:tblW w:w="14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1100"/>
        <w:gridCol w:w="1976"/>
        <w:gridCol w:w="1100"/>
        <w:gridCol w:w="2675"/>
        <w:gridCol w:w="4777"/>
        <w:gridCol w:w="1100"/>
        <w:gridCol w:w="792"/>
      </w:tblGrid>
      <w:tr w14:paraId="6382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6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E17E">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rPr>
              <w:t>部门整体支出绩效自评表（含下属单位）</w:t>
            </w:r>
          </w:p>
        </w:tc>
      </w:tr>
      <w:tr w14:paraId="73EC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AA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绩效指标</w:t>
            </w:r>
          </w:p>
        </w:tc>
        <w:tc>
          <w:tcPr>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EB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指标解释</w:t>
            </w:r>
          </w:p>
        </w:tc>
        <w:tc>
          <w:tcPr>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24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评分说明</w:t>
            </w:r>
          </w:p>
        </w:tc>
        <w:tc>
          <w:tcPr>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7C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自评得分</w:t>
            </w:r>
          </w:p>
        </w:tc>
        <w:tc>
          <w:tcPr>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577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备注</w:t>
            </w:r>
          </w:p>
        </w:tc>
      </w:tr>
      <w:tr w14:paraId="7698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487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一级指标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786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二级指标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888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三级指标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038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指标分值</w:t>
            </w: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E895"/>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EC95"/>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352B"/>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5CD8"/>
        </w:tc>
      </w:tr>
      <w:tr w14:paraId="2D27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5FD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总体绩效</w:t>
            </w:r>
            <w:r>
              <w:rPr>
                <w:rFonts w:hint="eastAsia" w:ascii="宋体" w:hAnsi="宋体" w:eastAsia="宋体" w:cs="宋体"/>
                <w:b/>
                <w:bCs/>
                <w:i w:val="0"/>
                <w:iCs w:val="0"/>
                <w:color w:val="auto"/>
                <w:kern w:val="0"/>
                <w:sz w:val="22"/>
                <w:szCs w:val="22"/>
                <w:u w:val="none"/>
                <w:lang w:val="en-US" w:eastAsia="zh-CN"/>
              </w:rPr>
              <w:br w:type="textWrapping"/>
            </w:r>
            <w:r>
              <w:rPr>
                <w:rFonts w:hint="eastAsia" w:ascii="宋体" w:hAnsi="宋体" w:eastAsia="宋体" w:cs="宋体"/>
                <w:b/>
                <w:bCs/>
                <w:i w:val="0"/>
                <w:iCs w:val="0"/>
                <w:color w:val="auto"/>
                <w:kern w:val="0"/>
                <w:sz w:val="22"/>
                <w:szCs w:val="22"/>
                <w:u w:val="none"/>
                <w:lang w:val="en-US" w:eastAsia="zh-CN"/>
              </w:rPr>
              <w:t>（56分）</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2E5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履职效能</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（10分）</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E7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铸牢中华民族共同体意识</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履职效果</w:t>
            </w:r>
          </w:p>
        </w:tc>
        <w:tc>
          <w:tcPr>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D8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w:t>
            </w: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4A3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部门整体绩效目标中选定4-6个核心职能目标，反映该项职能目标完成效果情况</w:t>
            </w:r>
          </w:p>
        </w:tc>
        <w:tc>
          <w:tcPr>
            <w:tcW w:w="6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C62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2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605E">
            <w:pPr>
              <w:rPr>
                <w:rFonts w:hint="eastAsia" w:ascii="宋体" w:hAnsi="宋体" w:eastAsia="宋体" w:cs="宋体"/>
                <w:i w:val="0"/>
                <w:iCs w:val="0"/>
                <w:color w:val="auto"/>
                <w:sz w:val="22"/>
                <w:szCs w:val="22"/>
                <w:u w:val="none"/>
              </w:rPr>
            </w:pPr>
          </w:p>
        </w:tc>
      </w:tr>
      <w:tr w14:paraId="680F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61C9"/>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4AB74"/>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18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党外干部工作履职效果</w:t>
            </w: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804E"/>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B730"/>
        </w:tc>
        <w:tc>
          <w:tcPr>
            <w:tcW w:w="6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0A50"/>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97BE"/>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B754">
            <w:pPr>
              <w:rPr>
                <w:rFonts w:hint="eastAsia" w:ascii="宋体" w:hAnsi="宋体" w:eastAsia="宋体" w:cs="宋体"/>
                <w:i w:val="0"/>
                <w:iCs w:val="0"/>
                <w:color w:val="auto"/>
                <w:sz w:val="22"/>
                <w:szCs w:val="22"/>
                <w:u w:val="none"/>
              </w:rPr>
            </w:pPr>
          </w:p>
        </w:tc>
      </w:tr>
      <w:tr w14:paraId="1FF9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CDD8"/>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A281"/>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10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依法管理宗教事务履职效果</w:t>
            </w: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5EF6"/>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864D"/>
        </w:tc>
        <w:tc>
          <w:tcPr>
            <w:tcW w:w="6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A5D1"/>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4793"/>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AAE0">
            <w:pPr>
              <w:rPr>
                <w:rFonts w:hint="eastAsia" w:ascii="宋体" w:hAnsi="宋体" w:eastAsia="宋体" w:cs="宋体"/>
                <w:i w:val="0"/>
                <w:iCs w:val="0"/>
                <w:color w:val="auto"/>
                <w:sz w:val="22"/>
                <w:szCs w:val="22"/>
                <w:u w:val="none"/>
              </w:rPr>
            </w:pPr>
          </w:p>
        </w:tc>
      </w:tr>
      <w:tr w14:paraId="1326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12F2"/>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3E83C"/>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11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促进非公经济“两个健康”</w:t>
            </w:r>
            <w:r>
              <w:rPr>
                <w:rFonts w:hint="eastAsia" w:ascii="宋体" w:hAnsi="宋体" w:eastAsia="宋体" w:cs="宋体"/>
                <w:i w:val="0"/>
                <w:iCs w:val="0"/>
                <w:color w:val="auto"/>
                <w:kern w:val="0"/>
                <w:sz w:val="24"/>
                <w:szCs w:val="24"/>
                <w:u w:val="none"/>
                <w:lang w:val="en-US" w:eastAsia="zh-CN"/>
              </w:rPr>
              <w:br w:type="textWrapping"/>
            </w:r>
            <w:r>
              <w:rPr>
                <w:rFonts w:hint="eastAsia" w:ascii="宋体" w:hAnsi="宋体" w:eastAsia="宋体" w:cs="宋体"/>
                <w:i w:val="0"/>
                <w:iCs w:val="0"/>
                <w:color w:val="auto"/>
                <w:kern w:val="0"/>
                <w:sz w:val="24"/>
                <w:szCs w:val="24"/>
                <w:u w:val="none"/>
                <w:lang w:val="en-US" w:eastAsia="zh-CN"/>
              </w:rPr>
              <w:t>履职效果</w:t>
            </w: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6994"/>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4D99"/>
        </w:tc>
        <w:tc>
          <w:tcPr>
            <w:tcW w:w="6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B066"/>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8CD5"/>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2122">
            <w:pPr>
              <w:rPr>
                <w:rFonts w:hint="eastAsia" w:ascii="宋体" w:hAnsi="宋体" w:eastAsia="宋体" w:cs="宋体"/>
                <w:i w:val="0"/>
                <w:iCs w:val="0"/>
                <w:color w:val="auto"/>
                <w:sz w:val="22"/>
                <w:szCs w:val="22"/>
                <w:u w:val="none"/>
              </w:rPr>
            </w:pPr>
          </w:p>
        </w:tc>
      </w:tr>
      <w:tr w14:paraId="257B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D9A87"/>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A5543"/>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BB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rPr>
              <w:t>统战团体建设履职效果</w:t>
            </w: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161E"/>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51ED"/>
        </w:tc>
        <w:tc>
          <w:tcPr>
            <w:tcW w:w="6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AC5A"/>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99BA"/>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8683">
            <w:pPr>
              <w:rPr>
                <w:rFonts w:hint="eastAsia" w:ascii="宋体" w:hAnsi="宋体" w:eastAsia="宋体" w:cs="宋体"/>
                <w:i w:val="0"/>
                <w:iCs w:val="0"/>
                <w:color w:val="auto"/>
                <w:sz w:val="22"/>
                <w:szCs w:val="22"/>
                <w:u w:val="none"/>
              </w:rPr>
            </w:pPr>
          </w:p>
        </w:tc>
      </w:tr>
      <w:tr w14:paraId="6A2C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7ACC"/>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B7B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预算管理</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（31分）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C7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预算编制质量</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D7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8</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D6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部门是否严格按要求编制年初部门预算，年初预算编制的科学性和准确性</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0C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该项指标得分=（1-财政拨款预算偏离度）×100%×8。偏离度=|预算执行数-调整预算数|÷调整预算数。</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2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7.28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F5FE">
            <w:pPr>
              <w:rPr>
                <w:rFonts w:hint="eastAsia" w:ascii="宋体" w:hAnsi="宋体" w:eastAsia="宋体" w:cs="宋体"/>
                <w:i w:val="0"/>
                <w:iCs w:val="0"/>
                <w:color w:val="auto"/>
                <w:sz w:val="22"/>
                <w:szCs w:val="22"/>
                <w:u w:val="none"/>
              </w:rPr>
            </w:pPr>
          </w:p>
        </w:tc>
      </w:tr>
      <w:tr w14:paraId="3AA2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3B0A"/>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76A93"/>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3D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支出执行进度</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F2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9</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A3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部门1至12月预算执行情况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0D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该项指标得分=中省转移支付资金1至12月实际支出数÷1-12月部门预算数*3+专项债券资金实际支出数÷1-12月部门预算数*3+专项预算项目1至12月实际支出数÷1-12月预算数*3。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89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7.67</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B433">
            <w:pPr>
              <w:rPr>
                <w:rFonts w:hint="eastAsia" w:ascii="宋体" w:hAnsi="宋体" w:eastAsia="宋体" w:cs="宋体"/>
                <w:i w:val="0"/>
                <w:iCs w:val="0"/>
                <w:color w:val="auto"/>
                <w:sz w:val="22"/>
                <w:szCs w:val="22"/>
                <w:u w:val="none"/>
              </w:rPr>
            </w:pPr>
          </w:p>
        </w:tc>
      </w:tr>
      <w:tr w14:paraId="268C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AF8CA"/>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0494"/>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5F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预算年终结余</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B3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8</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1F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部门整体年终预算结余情况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88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该项指标得分=（1-部门整体预算结余率）×100%×8部门整体预算结余率为当年年终部门预算注销金额和结转金额占部门预算总金额的比率。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F4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7.52</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4C33">
            <w:pPr>
              <w:rPr>
                <w:rFonts w:hint="eastAsia" w:ascii="宋体" w:hAnsi="宋体" w:eastAsia="宋体" w:cs="宋体"/>
                <w:i w:val="0"/>
                <w:iCs w:val="0"/>
                <w:color w:val="auto"/>
                <w:sz w:val="22"/>
                <w:szCs w:val="22"/>
                <w:u w:val="none"/>
              </w:rPr>
            </w:pPr>
          </w:p>
        </w:tc>
      </w:tr>
      <w:tr w14:paraId="4AEA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F169"/>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DA87B"/>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57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严控一般性支出</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A1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D3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部门严控“三公”经费、会议、培训、差旅、办节办展、办公设备购置、信息网络及软件购置更新、课题经费等8项一般性支出情况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63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该项指标得分=基础分值+加分值。</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1.基础分值。一般性支出财政拨款年初预算较上年实现压减得1.5分；一般性支出财政拨款预算执行较上年实现压减得1.5分。</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2.加分值。一般性支出财政拨款年初预算较上年每压减1%得0.2分，累计不超过1分；一般性支出财政拨款预算执行较上年每压减1%得0.4分，累计不超过2分。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B5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C9D7">
            <w:pPr>
              <w:rPr>
                <w:rFonts w:hint="eastAsia" w:ascii="宋体" w:hAnsi="宋体" w:eastAsia="宋体" w:cs="宋体"/>
                <w:i w:val="0"/>
                <w:iCs w:val="0"/>
                <w:color w:val="auto"/>
                <w:sz w:val="22"/>
                <w:szCs w:val="22"/>
                <w:u w:val="none"/>
              </w:rPr>
            </w:pPr>
          </w:p>
        </w:tc>
      </w:tr>
      <w:tr w14:paraId="481B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57DA"/>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F75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资产管理</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（9分）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33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人均资产变化率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5A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6E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部门人均资产变化情况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7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人均资产变化率Y=（2024年行政事业单位人均占有资产-2023年行政事业单位人均占有资产）÷2023年行政事业单位人均占有资产×100%。行政事业单位人均占有资产=（固定资产净值+无形资产净值）÷行政事业单位编制内实有人数。</w:t>
            </w:r>
            <w:r>
              <w:rPr>
                <w:rStyle w:val="47"/>
                <w:color w:val="auto"/>
                <w:lang w:val="en-US" w:eastAsia="zh-CN"/>
              </w:rPr>
              <w:t>2024年市直行政事业单位人均资产变化率平均值N为-4.63%</w:t>
            </w:r>
            <w:r>
              <w:rPr>
                <w:rFonts w:hint="eastAsia" w:ascii="宋体" w:hAnsi="宋体" w:eastAsia="宋体" w:cs="宋体"/>
                <w:i w:val="0"/>
                <w:iCs w:val="0"/>
                <w:color w:val="auto"/>
                <w:kern w:val="0"/>
                <w:sz w:val="22"/>
                <w:szCs w:val="22"/>
                <w:u w:val="none"/>
                <w:lang w:val="en-US" w:eastAsia="zh-CN"/>
              </w:rPr>
              <w:t>，Y≤N，得3分；N＜Y≤0.8N（即-3.704%），得2分；0.8N＜Y≤0.5N（即-2.32%），得1分；Y＞0.5N，得0分。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C5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8C51">
            <w:pPr>
              <w:rPr>
                <w:rFonts w:hint="eastAsia" w:ascii="宋体" w:hAnsi="宋体" w:eastAsia="宋体" w:cs="宋体"/>
                <w:i w:val="0"/>
                <w:iCs w:val="0"/>
                <w:color w:val="auto"/>
                <w:sz w:val="22"/>
                <w:szCs w:val="22"/>
                <w:u w:val="none"/>
              </w:rPr>
            </w:pPr>
          </w:p>
        </w:tc>
      </w:tr>
      <w:tr w14:paraId="01F7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E6291"/>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E075"/>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2A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资产利用率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0F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3A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部门资产超最低使用年限情况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6D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该项指标得分=（超最低使用年限的办公家具账面原值÷办公家具账面原值×100%×1.5）</w:t>
            </w:r>
            <w:r>
              <w:rPr>
                <w:rStyle w:val="47"/>
                <w:color w:val="auto"/>
                <w:lang w:val="en-US" w:eastAsia="zh-CN"/>
              </w:rPr>
              <w:t>省级平均值办公家具为N=16.77%。Y≥N，得1.5分；0.8N≤Y＜N，得1分；0.5N≤Y＜0.8N，得0.5分；Y＜0.5N，得0分。</w:t>
            </w:r>
            <w:r>
              <w:rPr>
                <w:rFonts w:hint="eastAsia" w:ascii="宋体" w:hAnsi="宋体" w:eastAsia="宋体" w:cs="宋体"/>
                <w:i w:val="0"/>
                <w:iCs w:val="0"/>
                <w:color w:val="auto"/>
                <w:kern w:val="0"/>
                <w:sz w:val="22"/>
                <w:szCs w:val="22"/>
                <w:u w:val="none"/>
                <w:lang w:val="en-US" w:eastAsia="zh-CN"/>
              </w:rPr>
              <w:t>+（超最低使用年限的办公设备账面原值÷办公设备账面原值×100%×1.5）。</w:t>
            </w:r>
            <w:r>
              <w:rPr>
                <w:rStyle w:val="47"/>
                <w:color w:val="auto"/>
                <w:lang w:val="en-US" w:eastAsia="zh-CN"/>
              </w:rPr>
              <w:t>省级平均值办公设备为N=41.20%。Y≥N，得1.5分；0.8N≤Y＜N，得1分；0.5N≤Y＜0.8N，得0.5分；Y＜0.5N，得0分。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C5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CA0F">
            <w:pPr>
              <w:rPr>
                <w:rFonts w:hint="eastAsia" w:ascii="宋体" w:hAnsi="宋体" w:eastAsia="宋体" w:cs="宋体"/>
                <w:i w:val="0"/>
                <w:iCs w:val="0"/>
                <w:color w:val="auto"/>
                <w:sz w:val="22"/>
                <w:szCs w:val="22"/>
                <w:u w:val="none"/>
              </w:rPr>
            </w:pPr>
          </w:p>
        </w:tc>
      </w:tr>
      <w:tr w14:paraId="525A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C055"/>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8F482"/>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58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资产盘活率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34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C7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部门闲置一年以上的资产盘活情况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88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82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3F5B">
            <w:pPr>
              <w:rPr>
                <w:rFonts w:hint="eastAsia" w:ascii="宋体" w:hAnsi="宋体" w:eastAsia="宋体" w:cs="宋体"/>
                <w:i w:val="0"/>
                <w:iCs w:val="0"/>
                <w:color w:val="auto"/>
                <w:sz w:val="22"/>
                <w:szCs w:val="22"/>
                <w:u w:val="none"/>
              </w:rPr>
            </w:pPr>
          </w:p>
        </w:tc>
      </w:tr>
      <w:tr w14:paraId="0467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24BA"/>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E92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采购管理</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（6分）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5C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支持中小企业发展</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97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03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部门是否严格执行政府采购促进中小企业发展相关管理办法</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4C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对适宜由中小企业提供的采购项目和采购包，预留采购份额专门面向中小企业采购，并在采购预算中单独列示，不符合要求的扣3分。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C0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8CC2">
            <w:pPr>
              <w:rPr>
                <w:rFonts w:hint="eastAsia" w:ascii="宋体" w:hAnsi="宋体" w:eastAsia="宋体" w:cs="宋体"/>
                <w:i w:val="0"/>
                <w:iCs w:val="0"/>
                <w:color w:val="auto"/>
                <w:sz w:val="22"/>
                <w:szCs w:val="22"/>
                <w:u w:val="none"/>
              </w:rPr>
            </w:pPr>
          </w:p>
        </w:tc>
      </w:tr>
      <w:tr w14:paraId="6E18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D7DE"/>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D3CD"/>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BE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采购执行率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04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6B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部门政府采购项目资金支付比例情况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6D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该项指标得分=当年政府采购实际支付总金额÷（当年政府采购总预算数-当年已完成采购项目节约金额）×100%×3。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B3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67C0">
            <w:pPr>
              <w:rPr>
                <w:rFonts w:hint="eastAsia" w:ascii="宋体" w:hAnsi="宋体" w:eastAsia="宋体" w:cs="宋体"/>
                <w:i w:val="0"/>
                <w:iCs w:val="0"/>
                <w:color w:val="auto"/>
                <w:sz w:val="22"/>
                <w:szCs w:val="22"/>
                <w:u w:val="none"/>
              </w:rPr>
            </w:pPr>
          </w:p>
        </w:tc>
      </w:tr>
      <w:tr w14:paraId="266E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F268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项目绩效</w:t>
            </w:r>
            <w:r>
              <w:rPr>
                <w:rFonts w:hint="eastAsia" w:ascii="宋体" w:hAnsi="宋体" w:eastAsia="宋体" w:cs="宋体"/>
                <w:b/>
                <w:bCs/>
                <w:i w:val="0"/>
                <w:iCs w:val="0"/>
                <w:color w:val="auto"/>
                <w:kern w:val="0"/>
                <w:sz w:val="22"/>
                <w:szCs w:val="22"/>
                <w:u w:val="none"/>
                <w:lang w:val="en-US" w:eastAsia="zh-CN"/>
              </w:rPr>
              <w:br w:type="textWrapping"/>
            </w:r>
            <w:r>
              <w:rPr>
                <w:rFonts w:hint="eastAsia" w:ascii="宋体" w:hAnsi="宋体" w:eastAsia="宋体" w:cs="宋体"/>
                <w:b/>
                <w:bCs/>
                <w:i w:val="0"/>
                <w:iCs w:val="0"/>
                <w:color w:val="auto"/>
                <w:kern w:val="0"/>
                <w:sz w:val="22"/>
                <w:szCs w:val="22"/>
                <w:u w:val="none"/>
                <w:lang w:val="en-US" w:eastAsia="zh-CN"/>
              </w:rPr>
              <w:t>（44分）</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374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项目决策</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（12分）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7B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决策程序</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A5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B2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部门预算项目设立是否按规定履行评估论证、申报程序</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3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70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041F">
            <w:pPr>
              <w:rPr>
                <w:rFonts w:hint="eastAsia" w:ascii="宋体" w:hAnsi="宋体" w:eastAsia="宋体" w:cs="宋体"/>
                <w:i w:val="0"/>
                <w:iCs w:val="0"/>
                <w:color w:val="auto"/>
                <w:sz w:val="22"/>
                <w:szCs w:val="22"/>
                <w:u w:val="none"/>
              </w:rPr>
            </w:pPr>
          </w:p>
        </w:tc>
      </w:tr>
      <w:tr w14:paraId="0AB0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4DD0A"/>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D994"/>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A9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目标设置</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CF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D6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部门预算项目绩效目标与计划期内的任务量、预算安排的资金量匹配情况，绩效目标设置是否科学合理、规范完整、量化细化、预算匹配</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74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4C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2249">
            <w:pPr>
              <w:rPr>
                <w:rFonts w:hint="eastAsia" w:ascii="宋体" w:hAnsi="宋体" w:eastAsia="宋体" w:cs="宋体"/>
                <w:i w:val="0"/>
                <w:iCs w:val="0"/>
                <w:color w:val="auto"/>
                <w:sz w:val="22"/>
                <w:szCs w:val="22"/>
                <w:u w:val="none"/>
              </w:rPr>
            </w:pPr>
          </w:p>
        </w:tc>
      </w:tr>
      <w:tr w14:paraId="02DD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FB101"/>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A47B"/>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C8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项目入库</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81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C6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部门预算项目是否在规定时间完成项目入库</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08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该项指标得分=4-规定时间未入财政库部门预算阶段项目（含一次性项目）数量÷最终安排部门预算阶段项目（含一次性项目）总数×100%×4。（默认满分）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07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D0EF">
            <w:pPr>
              <w:rPr>
                <w:rFonts w:hint="eastAsia" w:ascii="宋体" w:hAnsi="宋体" w:eastAsia="宋体" w:cs="宋体"/>
                <w:i w:val="0"/>
                <w:iCs w:val="0"/>
                <w:color w:val="auto"/>
                <w:sz w:val="22"/>
                <w:szCs w:val="22"/>
                <w:u w:val="none"/>
              </w:rPr>
            </w:pPr>
          </w:p>
        </w:tc>
      </w:tr>
      <w:tr w14:paraId="7800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B6C1"/>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AB3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项目执行</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（15分）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CB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执行同向</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B3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50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部门预算项目实际列支内容是否与绩效目标设置方向相符</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A2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该项指标得分=4-实际列支内容与绩效目标设置方向不相符的部门预算阶段项目（含一次性项目）数量÷部门预算阶段项目（含一次性项目）总数×100%×5。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40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E076">
            <w:pPr>
              <w:rPr>
                <w:rFonts w:hint="eastAsia" w:ascii="宋体" w:hAnsi="宋体" w:eastAsia="宋体" w:cs="宋体"/>
                <w:i w:val="0"/>
                <w:iCs w:val="0"/>
                <w:color w:val="auto"/>
                <w:sz w:val="22"/>
                <w:szCs w:val="22"/>
                <w:u w:val="none"/>
              </w:rPr>
            </w:pPr>
          </w:p>
        </w:tc>
      </w:tr>
      <w:tr w14:paraId="7C23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3D31"/>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6468"/>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C6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项目调整</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31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91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部门预算项目是否采取对应调整措施</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BC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该项指标得分=4-应采取未采取收回预算、调整目标等处置措施的部门预算阶段项目（含一次性项目）数量÷应采取收回预算、调整目标等处置措施的部门预算阶段项目（含一次性项目）总数×100%×6。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2B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813F">
            <w:pPr>
              <w:rPr>
                <w:rFonts w:hint="eastAsia" w:ascii="宋体" w:hAnsi="宋体" w:eastAsia="宋体" w:cs="宋体"/>
                <w:i w:val="0"/>
                <w:iCs w:val="0"/>
                <w:color w:val="auto"/>
                <w:sz w:val="22"/>
                <w:szCs w:val="22"/>
                <w:u w:val="none"/>
              </w:rPr>
            </w:pPr>
          </w:p>
        </w:tc>
      </w:tr>
      <w:tr w14:paraId="56C7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D625"/>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7F00"/>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8A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执行结果</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82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4</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03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部门预算项目预算执行情况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67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该项指标得分=预算结余率小于10%的常年项目数量÷部门预算常年项目总数×100%×2+预算结余率小于10%的一次性项目和阶段项目数量÷部门预算一次性项目和阶段项目总数×100%×2。</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AC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3.43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0F50">
            <w:pPr>
              <w:rPr>
                <w:rFonts w:hint="eastAsia" w:ascii="宋体" w:hAnsi="宋体" w:eastAsia="宋体" w:cs="宋体"/>
                <w:i w:val="0"/>
                <w:iCs w:val="0"/>
                <w:color w:val="auto"/>
                <w:sz w:val="22"/>
                <w:szCs w:val="22"/>
                <w:u w:val="none"/>
              </w:rPr>
            </w:pPr>
          </w:p>
        </w:tc>
      </w:tr>
      <w:tr w14:paraId="72B4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E7E4"/>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C23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目标实现</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（17分）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26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目标完成</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14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75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部门预算项目绩效目标数量指标完成情况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12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该项指标得分=完成绩效目标数量指标的部门预算阶段项目（含一次性项目）数量÷部门预算阶段项目（含一次性项目）总数×100%×6。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86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24D5">
            <w:pPr>
              <w:rPr>
                <w:rFonts w:hint="eastAsia" w:ascii="宋体" w:hAnsi="宋体" w:eastAsia="宋体" w:cs="宋体"/>
                <w:i w:val="0"/>
                <w:iCs w:val="0"/>
                <w:color w:val="auto"/>
                <w:sz w:val="22"/>
                <w:szCs w:val="22"/>
                <w:u w:val="none"/>
              </w:rPr>
            </w:pPr>
          </w:p>
        </w:tc>
      </w:tr>
      <w:tr w14:paraId="25B0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5979"/>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9B7EA"/>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5F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目标偏离</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A6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EB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部门预算项目绩效目标数量指标实现程度与预期目标的偏离情况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A8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C1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7F7F">
            <w:pPr>
              <w:rPr>
                <w:rFonts w:hint="eastAsia" w:ascii="宋体" w:hAnsi="宋体" w:eastAsia="宋体" w:cs="宋体"/>
                <w:i w:val="0"/>
                <w:iCs w:val="0"/>
                <w:color w:val="auto"/>
                <w:sz w:val="22"/>
                <w:szCs w:val="22"/>
                <w:u w:val="none"/>
              </w:rPr>
            </w:pPr>
          </w:p>
        </w:tc>
      </w:tr>
      <w:tr w14:paraId="55F1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B2F1B"/>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5658"/>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23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实现效果</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DE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A9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部门预算项目绩效目标效益指标实施效果</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9C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该项指标得分=完成绩效目标效益指标的部门预算阶段项目（含一次性项目）数量÷部门预算阶段项目（含一次性项目）总数×100%×5。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BA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E8F9">
            <w:pPr>
              <w:rPr>
                <w:rFonts w:hint="eastAsia" w:ascii="宋体" w:hAnsi="宋体" w:eastAsia="宋体" w:cs="宋体"/>
                <w:i w:val="0"/>
                <w:iCs w:val="0"/>
                <w:color w:val="auto"/>
                <w:sz w:val="22"/>
                <w:szCs w:val="22"/>
                <w:u w:val="none"/>
              </w:rPr>
            </w:pPr>
          </w:p>
        </w:tc>
      </w:tr>
      <w:tr w14:paraId="2CF7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0B0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扣分项</w:t>
            </w:r>
          </w:p>
        </w:tc>
        <w:tc>
          <w:tcPr>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6B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财务管理</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7F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财务管理制度</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6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70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部门财务管理制度建立情况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6C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部门未制定内部财务管理制度等制度机制的,财务管理制度未得到落实，发现一处扣1分，扣完为止。</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BA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2DEB">
            <w:pPr>
              <w:rPr>
                <w:rFonts w:hint="eastAsia" w:ascii="宋体" w:hAnsi="宋体" w:eastAsia="宋体" w:cs="宋体"/>
                <w:i w:val="0"/>
                <w:iCs w:val="0"/>
                <w:color w:val="auto"/>
                <w:sz w:val="22"/>
                <w:szCs w:val="22"/>
                <w:u w:val="none"/>
              </w:rPr>
            </w:pPr>
          </w:p>
        </w:tc>
      </w:tr>
      <w:tr w14:paraId="4AAF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26F8"/>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1761"/>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80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财务岗位设置</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E8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9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部门财务岗位设置是否符合相关财务管理制度要求</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E1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部门未合理设置财务工作岗位，职责权限不明确，未严格实行不相容岗位分离，发现一处扣1分，扣完为止。</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A1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9CC4">
            <w:pPr>
              <w:rPr>
                <w:rFonts w:hint="eastAsia" w:ascii="宋体" w:hAnsi="宋体" w:eastAsia="宋体" w:cs="宋体"/>
                <w:i w:val="0"/>
                <w:iCs w:val="0"/>
                <w:color w:val="auto"/>
                <w:sz w:val="22"/>
                <w:szCs w:val="22"/>
                <w:u w:val="none"/>
              </w:rPr>
            </w:pPr>
          </w:p>
        </w:tc>
      </w:tr>
      <w:tr w14:paraId="16DE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4C9B"/>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402B"/>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EC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资金使用规范</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D7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C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部门资金使用是否符合相关财务管理制度规定</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85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部门资金使用不符合相关财务管理制度规定的，发现一处扣1分，扣完为止。</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A8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DC10">
            <w:pPr>
              <w:rPr>
                <w:rFonts w:hint="eastAsia" w:ascii="宋体" w:hAnsi="宋体" w:eastAsia="宋体" w:cs="宋体"/>
                <w:i w:val="0"/>
                <w:iCs w:val="0"/>
                <w:color w:val="auto"/>
                <w:sz w:val="22"/>
                <w:szCs w:val="22"/>
                <w:u w:val="none"/>
              </w:rPr>
            </w:pPr>
          </w:p>
        </w:tc>
      </w:tr>
      <w:tr w14:paraId="3E15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3A6E"/>
        </w:tc>
        <w:tc>
          <w:tcPr>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C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预算绩效存在问题</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A7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95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预算管理和绩效管理工作存在问题</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0B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依据评价年度人大监督、巡视巡察、审计监督、财会监督等结果以及评价指标体系涉及的履职效果、预算管理、财务管理、资产管理、采购管理、项目绩效等方面出现的问题，每有一个问题点扣1分，扣完为止。</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8C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6B77">
            <w:pPr>
              <w:rPr>
                <w:rFonts w:hint="eastAsia" w:ascii="宋体" w:hAnsi="宋体" w:eastAsia="宋体" w:cs="宋体"/>
                <w:i w:val="0"/>
                <w:iCs w:val="0"/>
                <w:color w:val="auto"/>
                <w:sz w:val="22"/>
                <w:szCs w:val="22"/>
                <w:u w:val="none"/>
              </w:rPr>
            </w:pPr>
          </w:p>
        </w:tc>
      </w:tr>
      <w:tr w14:paraId="7430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D4E9"/>
        </w:tc>
        <w:tc>
          <w:tcPr>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B2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被评价部门配合度</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3E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-2</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FC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被评价对象工作配合情况</w:t>
            </w:r>
          </w:p>
        </w:tc>
        <w:tc>
          <w:tcPr>
            <w:tcW w:w="6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41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评价工作开展过程中，被评价对象拖延推诿、提交资料不及时等拒不配合评价工作的，每发现一次扣1分，扣完为止。</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9E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AA2E">
            <w:pPr>
              <w:rPr>
                <w:rFonts w:hint="eastAsia" w:ascii="宋体" w:hAnsi="宋体" w:eastAsia="宋体" w:cs="宋体"/>
                <w:i w:val="0"/>
                <w:iCs w:val="0"/>
                <w:color w:val="auto"/>
                <w:sz w:val="22"/>
                <w:szCs w:val="22"/>
                <w:u w:val="none"/>
              </w:rPr>
            </w:pPr>
          </w:p>
        </w:tc>
      </w:tr>
      <w:tr w14:paraId="3ECB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4E0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分值</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B643">
            <w:pPr>
              <w:rPr>
                <w:rFonts w:hint="eastAsia" w:ascii="宋体" w:hAnsi="宋体" w:eastAsia="宋体" w:cs="宋体"/>
                <w:i w:val="0"/>
                <w:iCs w:val="0"/>
                <w:color w:val="auto"/>
                <w:sz w:val="22"/>
                <w:szCs w:val="22"/>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976A">
            <w:pPr>
              <w:rPr>
                <w:rFonts w:hint="eastAsia" w:ascii="宋体" w:hAnsi="宋体" w:eastAsia="宋体" w:cs="宋体"/>
                <w:i w:val="0"/>
                <w:iCs w:val="0"/>
                <w:color w:val="auto"/>
                <w:sz w:val="22"/>
                <w:szCs w:val="22"/>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E7D8">
            <w:pPr>
              <w:rPr>
                <w:rFonts w:hint="eastAsia" w:ascii="宋体" w:hAnsi="宋体" w:eastAsia="宋体" w:cs="宋体"/>
                <w:i w:val="0"/>
                <w:iCs w:val="0"/>
                <w:color w:val="auto"/>
                <w:sz w:val="22"/>
                <w:szCs w:val="22"/>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C5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92.8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601A">
            <w:pPr>
              <w:rPr>
                <w:rFonts w:hint="eastAsia" w:ascii="宋体" w:hAnsi="宋体" w:eastAsia="宋体" w:cs="宋体"/>
                <w:i w:val="0"/>
                <w:iCs w:val="0"/>
                <w:color w:val="auto"/>
                <w:sz w:val="22"/>
                <w:szCs w:val="22"/>
                <w:u w:val="none"/>
              </w:rPr>
            </w:pPr>
          </w:p>
        </w:tc>
      </w:tr>
    </w:tbl>
    <w:p w14:paraId="592CE179">
      <w:pPr>
        <w:pStyle w:val="9"/>
        <w:keepNext w:val="0"/>
        <w:keepLines w:val="0"/>
        <w:pageBreakBefore w:val="0"/>
        <w:kinsoku/>
        <w:wordWrap/>
        <w:overflowPunct/>
        <w:topLinePunct w:val="0"/>
        <w:autoSpaceDE/>
        <w:autoSpaceDN/>
        <w:bidi w:val="0"/>
        <w:spacing w:line="560" w:lineRule="exact"/>
        <w:ind w:left="0" w:leftChars="0" w:firstLine="960" w:firstLineChars="300"/>
        <w:jc w:val="left"/>
        <w:textAlignment w:val="auto"/>
        <w:rPr>
          <w:rFonts w:hint="eastAsia" w:ascii="Times New Roman" w:hAnsi="Times New Roman" w:eastAsia="仿宋_GB2312" w:cs="Times New Roman"/>
          <w:kern w:val="2"/>
          <w:sz w:val="32"/>
          <w:szCs w:val="32"/>
          <w:u w:val="none"/>
          <w:lang w:val="en-US" w:eastAsia="zh-CN"/>
        </w:rPr>
      </w:pPr>
    </w:p>
    <w:p w14:paraId="5A48D6D6">
      <w:pPr>
        <w:pStyle w:val="9"/>
        <w:keepNext w:val="0"/>
        <w:keepLines w:val="0"/>
        <w:pageBreakBefore w:val="0"/>
        <w:kinsoku/>
        <w:wordWrap/>
        <w:overflowPunct/>
        <w:topLinePunct w:val="0"/>
        <w:autoSpaceDE/>
        <w:autoSpaceDN/>
        <w:bidi w:val="0"/>
        <w:spacing w:line="560" w:lineRule="exact"/>
        <w:ind w:left="0" w:leftChars="0" w:firstLine="960" w:firstLineChars="300"/>
        <w:jc w:val="left"/>
        <w:textAlignment w:val="auto"/>
        <w:rPr>
          <w:rFonts w:hint="eastAsia" w:ascii="Times New Roman" w:hAnsi="Times New Roman" w:eastAsia="仿宋_GB2312" w:cs="Times New Roman"/>
          <w:kern w:val="2"/>
          <w:sz w:val="32"/>
          <w:szCs w:val="32"/>
          <w:u w:val="none"/>
          <w:lang w:val="en-US" w:eastAsia="zh-CN"/>
        </w:rPr>
      </w:pPr>
    </w:p>
    <w:p w14:paraId="3E5DEBE9">
      <w:pPr>
        <w:pStyle w:val="9"/>
        <w:keepNext w:val="0"/>
        <w:keepLines w:val="0"/>
        <w:pageBreakBefore w:val="0"/>
        <w:kinsoku/>
        <w:wordWrap/>
        <w:overflowPunct/>
        <w:topLinePunct w:val="0"/>
        <w:autoSpaceDE/>
        <w:autoSpaceDN/>
        <w:bidi w:val="0"/>
        <w:spacing w:line="560" w:lineRule="exact"/>
        <w:ind w:left="0" w:leftChars="0" w:firstLine="960" w:firstLineChars="300"/>
        <w:jc w:val="left"/>
        <w:textAlignment w:val="auto"/>
        <w:rPr>
          <w:rFonts w:hint="eastAsia" w:ascii="Times New Roman" w:hAnsi="Times New Roman" w:eastAsia="仿宋_GB2312" w:cs="Times New Roman"/>
          <w:kern w:val="2"/>
          <w:sz w:val="32"/>
          <w:szCs w:val="32"/>
          <w:u w:val="none"/>
          <w:lang w:val="en-US" w:eastAsia="zh-CN"/>
        </w:rPr>
      </w:pPr>
    </w:p>
    <w:p w14:paraId="3A0B15C1">
      <w:pPr>
        <w:pStyle w:val="9"/>
        <w:keepNext w:val="0"/>
        <w:keepLines w:val="0"/>
        <w:pageBreakBefore w:val="0"/>
        <w:kinsoku/>
        <w:wordWrap/>
        <w:overflowPunct/>
        <w:topLinePunct w:val="0"/>
        <w:autoSpaceDE/>
        <w:autoSpaceDN/>
        <w:bidi w:val="0"/>
        <w:spacing w:line="560" w:lineRule="exact"/>
        <w:ind w:left="0" w:leftChars="0" w:firstLine="960" w:firstLineChars="300"/>
        <w:jc w:val="left"/>
        <w:textAlignment w:val="auto"/>
        <w:rPr>
          <w:rFonts w:hint="eastAsia" w:ascii="Times New Roman" w:hAnsi="Times New Roman" w:eastAsia="仿宋_GB2312" w:cs="Times New Roman"/>
          <w:kern w:val="2"/>
          <w:sz w:val="32"/>
          <w:szCs w:val="32"/>
          <w:u w:val="none"/>
          <w:lang w:val="en-US" w:eastAsia="zh-CN"/>
        </w:rPr>
      </w:pPr>
    </w:p>
    <w:p w14:paraId="2AB3738C">
      <w:pPr>
        <w:pStyle w:val="9"/>
        <w:keepNext w:val="0"/>
        <w:keepLines w:val="0"/>
        <w:pageBreakBefore w:val="0"/>
        <w:kinsoku/>
        <w:wordWrap/>
        <w:overflowPunct/>
        <w:topLinePunct w:val="0"/>
        <w:autoSpaceDE/>
        <w:autoSpaceDN/>
        <w:bidi w:val="0"/>
        <w:spacing w:line="560" w:lineRule="exact"/>
        <w:ind w:left="0" w:leftChars="0" w:firstLine="960" w:firstLineChars="300"/>
        <w:jc w:val="left"/>
        <w:textAlignment w:val="auto"/>
        <w:rPr>
          <w:rFonts w:hint="eastAsia" w:ascii="Times New Roman" w:hAnsi="Times New Roman" w:eastAsia="仿宋_GB2312" w:cs="Times New Roman"/>
          <w:kern w:val="2"/>
          <w:sz w:val="32"/>
          <w:szCs w:val="32"/>
          <w:u w:val="none"/>
          <w:lang w:val="en-US" w:eastAsia="zh-CN"/>
        </w:rPr>
      </w:pPr>
    </w:p>
    <w:p w14:paraId="24B0B630">
      <w:pPr>
        <w:pStyle w:val="9"/>
        <w:keepNext w:val="0"/>
        <w:keepLines w:val="0"/>
        <w:pageBreakBefore w:val="0"/>
        <w:kinsoku/>
        <w:wordWrap/>
        <w:overflowPunct/>
        <w:topLinePunct w:val="0"/>
        <w:autoSpaceDE/>
        <w:autoSpaceDN/>
        <w:bidi w:val="0"/>
        <w:spacing w:line="560" w:lineRule="exact"/>
        <w:ind w:left="0" w:leftChars="0" w:firstLine="960" w:firstLineChars="300"/>
        <w:jc w:val="left"/>
        <w:textAlignment w:val="auto"/>
        <w:rPr>
          <w:rFonts w:hint="eastAsia" w:ascii="Times New Roman" w:hAnsi="Times New Roman" w:eastAsia="仿宋_GB2312" w:cs="Times New Roman"/>
          <w:kern w:val="2"/>
          <w:sz w:val="32"/>
          <w:szCs w:val="32"/>
          <w:u w:val="none"/>
          <w:lang w:val="en-US" w:eastAsia="zh-CN"/>
        </w:rPr>
      </w:pPr>
    </w:p>
    <w:p w14:paraId="6F9E6945">
      <w:pPr>
        <w:pStyle w:val="9"/>
        <w:keepNext w:val="0"/>
        <w:keepLines w:val="0"/>
        <w:pageBreakBefore w:val="0"/>
        <w:kinsoku/>
        <w:wordWrap/>
        <w:overflowPunct/>
        <w:topLinePunct w:val="0"/>
        <w:autoSpaceDE/>
        <w:autoSpaceDN/>
        <w:bidi w:val="0"/>
        <w:spacing w:line="560" w:lineRule="exact"/>
        <w:ind w:left="0" w:leftChars="0" w:firstLine="960" w:firstLineChars="300"/>
        <w:jc w:val="left"/>
        <w:textAlignment w:val="auto"/>
        <w:rPr>
          <w:rFonts w:hint="eastAsia" w:ascii="Times New Roman" w:hAnsi="Times New Roman" w:eastAsia="仿宋_GB2312" w:cs="Times New Roman"/>
          <w:kern w:val="2"/>
          <w:sz w:val="32"/>
          <w:szCs w:val="32"/>
          <w:u w:val="none"/>
          <w:lang w:val="en-US" w:eastAsia="zh-CN"/>
        </w:rPr>
      </w:pPr>
    </w:p>
    <w:p w14:paraId="73E63219">
      <w:pPr>
        <w:keepNext w:val="0"/>
        <w:keepLines w:val="0"/>
        <w:widowControl/>
        <w:suppressLineNumbers w:val="0"/>
        <w:textAlignment w:val="center"/>
        <w:rPr>
          <w:rFonts w:hint="eastAsia" w:ascii="黑体" w:hAnsi="宋体" w:eastAsia="黑体" w:cs="黑体"/>
          <w:b/>
          <w:bCs/>
          <w:i w:val="0"/>
          <w:iCs w:val="0"/>
          <w:color w:val="000000"/>
          <w:kern w:val="0"/>
          <w:sz w:val="30"/>
          <w:szCs w:val="30"/>
          <w:u w:val="none"/>
          <w:lang w:val="en-US" w:eastAsia="zh-CN"/>
        </w:rPr>
        <w:sectPr>
          <w:footerReference r:id="rId7" w:type="default"/>
          <w:pgSz w:w="16838" w:h="11906" w:orient="landscape"/>
          <w:pgMar w:top="1800" w:right="1440" w:bottom="1800" w:left="1440" w:header="851" w:footer="992" w:gutter="0"/>
          <w:pgNumType w:fmt="numberInDash" w:start="31"/>
          <w:cols w:space="425" w:num="1"/>
          <w:docGrid w:type="lines" w:linePitch="312" w:charSpace="0"/>
        </w:sectPr>
      </w:pPr>
    </w:p>
    <w:tbl>
      <w:tblPr>
        <w:tblStyle w:val="19"/>
        <w:tblW w:w="143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6"/>
        <w:gridCol w:w="1836"/>
        <w:gridCol w:w="5256"/>
        <w:gridCol w:w="576"/>
        <w:gridCol w:w="756"/>
        <w:gridCol w:w="846"/>
        <w:gridCol w:w="846"/>
        <w:gridCol w:w="486"/>
        <w:gridCol w:w="486"/>
        <w:gridCol w:w="1573"/>
      </w:tblGrid>
      <w:tr w14:paraId="222C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5B0BA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4027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2C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2FA2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51090422T000000398768-党派经费</w:t>
            </w:r>
          </w:p>
        </w:tc>
      </w:tr>
      <w:tr w14:paraId="5B16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145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F43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188CAC0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A5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2951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CE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55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2F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BBA8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2BE3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347C"/>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2DCA"/>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165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支持各民主党派、知联会、新联会开展工作</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4AD9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及时足额保障各民主党派、知联会、新联会使各民主党派知联会、新联会顺利完成年初既定活动目标，进一步增强与各民主党派和协会的凝聚力</w:t>
            </w:r>
          </w:p>
        </w:tc>
      </w:tr>
      <w:tr w14:paraId="2E9C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69F7"/>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AC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309B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保障各民主党派、知联会、新联会使各民主党派知联会、新联会顺利完成年初既定活动目标</w:t>
            </w:r>
          </w:p>
        </w:tc>
      </w:tr>
      <w:tr w14:paraId="279B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39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7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C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7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5D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C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9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1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1429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6509"/>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1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3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6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40.99</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05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E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D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4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9E67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75D5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6DDC"/>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4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2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F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40.99</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5F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6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2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3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03CB9"/>
        </w:tc>
      </w:tr>
      <w:tr w14:paraId="3BCA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8200"/>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B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B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1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CB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B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F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D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E4150"/>
        </w:tc>
      </w:tr>
      <w:tr w14:paraId="2609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FBA82"/>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F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8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47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9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8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185A"/>
        </w:tc>
      </w:tr>
      <w:tr w14:paraId="5B15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3271"/>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9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17DB">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4C90">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6F5C1">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2CE">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F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C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44459"/>
        </w:tc>
      </w:tr>
      <w:tr w14:paraId="514E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1E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4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B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A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6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B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E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3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4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7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4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3E2D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6511"/>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ED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C7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6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知联会</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C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E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C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B47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D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B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72E4">
            <w:pPr>
              <w:jc w:val="center"/>
              <w:rPr>
                <w:rFonts w:hint="eastAsia" w:ascii="微软雅黑" w:hAnsi="微软雅黑" w:eastAsia="微软雅黑" w:cs="微软雅黑"/>
                <w:i w:val="0"/>
                <w:iCs w:val="0"/>
                <w:color w:val="000000"/>
                <w:sz w:val="16"/>
                <w:szCs w:val="16"/>
                <w:u w:val="none"/>
              </w:rPr>
            </w:pPr>
          </w:p>
        </w:tc>
      </w:tr>
      <w:tr w14:paraId="58CC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FFCF"/>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BCD8"/>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3F09"/>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1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新联会</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2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8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8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A0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4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8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4F1D">
            <w:pPr>
              <w:jc w:val="center"/>
              <w:rPr>
                <w:rFonts w:hint="eastAsia" w:ascii="微软雅黑" w:hAnsi="微软雅黑" w:eastAsia="微软雅黑" w:cs="微软雅黑"/>
                <w:i w:val="0"/>
                <w:iCs w:val="0"/>
                <w:color w:val="000000"/>
                <w:sz w:val="16"/>
                <w:szCs w:val="16"/>
                <w:u w:val="none"/>
              </w:rPr>
            </w:pPr>
          </w:p>
        </w:tc>
      </w:tr>
      <w:tr w14:paraId="26B7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02FD"/>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D670C"/>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A5555"/>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B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民主党派</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2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A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9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E0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C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B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DF1E">
            <w:pPr>
              <w:jc w:val="center"/>
              <w:rPr>
                <w:rFonts w:hint="eastAsia" w:ascii="微软雅黑" w:hAnsi="微软雅黑" w:eastAsia="微软雅黑" w:cs="微软雅黑"/>
                <w:i w:val="0"/>
                <w:iCs w:val="0"/>
                <w:color w:val="000000"/>
                <w:sz w:val="16"/>
                <w:szCs w:val="16"/>
                <w:u w:val="none"/>
              </w:rPr>
            </w:pPr>
          </w:p>
        </w:tc>
      </w:tr>
      <w:tr w14:paraId="576D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1A3D0"/>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0DE04"/>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5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6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党派资金拨付准确率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9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F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A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918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1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2B69">
            <w:pPr>
              <w:jc w:val="center"/>
              <w:rPr>
                <w:rFonts w:hint="eastAsia" w:ascii="微软雅黑" w:hAnsi="微软雅黑" w:eastAsia="微软雅黑" w:cs="微软雅黑"/>
                <w:i w:val="0"/>
                <w:iCs w:val="0"/>
                <w:color w:val="000000"/>
                <w:sz w:val="16"/>
                <w:szCs w:val="16"/>
                <w:u w:val="none"/>
              </w:rPr>
            </w:pPr>
          </w:p>
        </w:tc>
      </w:tr>
      <w:tr w14:paraId="1CDD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9E210"/>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B40A"/>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B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B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资金拨付时限</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6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E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2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99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2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5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88B2">
            <w:pPr>
              <w:jc w:val="center"/>
              <w:rPr>
                <w:rFonts w:hint="eastAsia" w:ascii="微软雅黑" w:hAnsi="微软雅黑" w:eastAsia="微软雅黑" w:cs="微软雅黑"/>
                <w:i w:val="0"/>
                <w:iCs w:val="0"/>
                <w:color w:val="000000"/>
                <w:sz w:val="16"/>
                <w:szCs w:val="16"/>
                <w:u w:val="none"/>
              </w:rPr>
            </w:pPr>
          </w:p>
        </w:tc>
      </w:tr>
      <w:tr w14:paraId="5BA4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CCF6"/>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2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C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B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进一步增强与各民主党派和协会的凝聚力</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8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590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C3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4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2669">
            <w:pPr>
              <w:jc w:val="center"/>
              <w:rPr>
                <w:rFonts w:hint="eastAsia" w:ascii="微软雅黑" w:hAnsi="微软雅黑" w:eastAsia="微软雅黑" w:cs="微软雅黑"/>
                <w:i w:val="0"/>
                <w:iCs w:val="0"/>
                <w:color w:val="000000"/>
                <w:sz w:val="16"/>
                <w:szCs w:val="16"/>
                <w:u w:val="none"/>
              </w:rPr>
            </w:pPr>
          </w:p>
        </w:tc>
      </w:tr>
      <w:tr w14:paraId="5771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B17E"/>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B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7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F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党外人士满意度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5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0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D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B28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F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E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DC8">
            <w:pPr>
              <w:jc w:val="center"/>
              <w:rPr>
                <w:rFonts w:hint="eastAsia" w:ascii="微软雅黑" w:hAnsi="微软雅黑" w:eastAsia="微软雅黑" w:cs="微软雅黑"/>
                <w:i w:val="0"/>
                <w:iCs w:val="0"/>
                <w:color w:val="000000"/>
                <w:sz w:val="16"/>
                <w:szCs w:val="16"/>
                <w:u w:val="none"/>
              </w:rPr>
            </w:pPr>
          </w:p>
        </w:tc>
      </w:tr>
      <w:tr w14:paraId="21B8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5EF5"/>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C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6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A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各党派工作经费</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5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5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A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7F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6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5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ED01">
            <w:pPr>
              <w:jc w:val="center"/>
              <w:rPr>
                <w:rFonts w:hint="eastAsia" w:ascii="微软雅黑" w:hAnsi="微软雅黑" w:eastAsia="微软雅黑" w:cs="微软雅黑"/>
                <w:i w:val="0"/>
                <w:iCs w:val="0"/>
                <w:color w:val="000000"/>
                <w:sz w:val="16"/>
                <w:szCs w:val="16"/>
                <w:u w:val="none"/>
              </w:rPr>
            </w:pPr>
          </w:p>
        </w:tc>
      </w:tr>
      <w:tr w14:paraId="3F22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4B7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0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FE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689A">
            <w:pPr>
              <w:rPr>
                <w:rFonts w:hint="eastAsia" w:ascii="宋体" w:hAnsi="宋体" w:eastAsia="宋体" w:cs="宋体"/>
                <w:i w:val="0"/>
                <w:iCs w:val="0"/>
                <w:color w:val="000000"/>
                <w:sz w:val="18"/>
                <w:szCs w:val="18"/>
                <w:u w:val="none"/>
              </w:rPr>
            </w:pPr>
          </w:p>
        </w:tc>
      </w:tr>
      <w:tr w14:paraId="21744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C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4D48E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综合评价优良，自评得分100分，通过项目实施使各民主党派知联会、新联会顺利完成年初既定活动目标，进一步增强与各民主党派和协会的凝聚力。</w:t>
            </w:r>
          </w:p>
        </w:tc>
      </w:tr>
      <w:tr w14:paraId="7112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2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09144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因党派报账不及时，年中预算有调整</w:t>
            </w:r>
          </w:p>
        </w:tc>
      </w:tr>
      <w:tr w14:paraId="189B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8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43C11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督促党派及时报账，完善财务资料，确保预算的精准性</w:t>
            </w:r>
          </w:p>
        </w:tc>
      </w:tr>
      <w:tr w14:paraId="1246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317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项目负责人：周巧梅</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6CD0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r w14:paraId="0776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26AFF4A">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2341EC76">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79ADAF41">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3BB914E0">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503295E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4B22EE6">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FC4D1DA">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F0842F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0C1C7D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3328073">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26F1172D">
            <w:pPr>
              <w:rPr>
                <w:rFonts w:hint="eastAsia" w:ascii="宋体" w:hAnsi="宋体" w:eastAsia="宋体" w:cs="宋体"/>
                <w:i w:val="0"/>
                <w:iCs w:val="0"/>
                <w:color w:val="000000"/>
                <w:sz w:val="18"/>
                <w:szCs w:val="18"/>
                <w:u w:val="none"/>
              </w:rPr>
            </w:pPr>
          </w:p>
        </w:tc>
      </w:tr>
      <w:tr w14:paraId="58C3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98BA8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652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1E9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B0C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51090422T000000398792-多党合作工作经费</w:t>
            </w:r>
          </w:p>
        </w:tc>
      </w:tr>
      <w:tr w14:paraId="7A7A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DCC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E63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553D51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20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1253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A7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2E3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C26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F45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7706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51CCE"/>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FAC5"/>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2E9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赴民主党派中央、省委、市委开展工作对接，争取多党合作项目落地安居。</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CF3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通过项目实施及时完成各党派对接及政治协商工作</w:t>
            </w:r>
          </w:p>
        </w:tc>
      </w:tr>
      <w:tr w14:paraId="7BFB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74832"/>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D0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6D80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赴民主党派中央、省委、市委开展工作对接，争取多党合作项目落地安居。</w:t>
            </w:r>
          </w:p>
        </w:tc>
      </w:tr>
      <w:tr w14:paraId="0A42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30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5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E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3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CD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A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9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0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D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504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2DA1D"/>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8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F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6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C8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1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5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B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FF011">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2B24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C19B5"/>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9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B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63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F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B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9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8248"/>
        </w:tc>
      </w:tr>
      <w:tr w14:paraId="6011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333C"/>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8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F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B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27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8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7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2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E4CF"/>
        </w:tc>
      </w:tr>
      <w:tr w14:paraId="0526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DDA5"/>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7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6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6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26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4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4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7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C213"/>
        </w:tc>
      </w:tr>
      <w:tr w14:paraId="69F4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80889"/>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E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2168">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0559">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ABAF9">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203D">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0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8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C7C3"/>
        </w:tc>
      </w:tr>
      <w:tr w14:paraId="1BE2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49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3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A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7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2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8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E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2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F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A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4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4EFE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87CA6"/>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4D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A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1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开展工作对接</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3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4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7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7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6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E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334">
            <w:pPr>
              <w:jc w:val="center"/>
              <w:rPr>
                <w:rFonts w:hint="eastAsia" w:ascii="微软雅黑" w:hAnsi="微软雅黑" w:eastAsia="微软雅黑" w:cs="微软雅黑"/>
                <w:i w:val="0"/>
                <w:iCs w:val="0"/>
                <w:color w:val="000000"/>
                <w:sz w:val="16"/>
                <w:szCs w:val="16"/>
                <w:u w:val="none"/>
              </w:rPr>
            </w:pPr>
          </w:p>
        </w:tc>
      </w:tr>
      <w:tr w14:paraId="7283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C8F0"/>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538B3"/>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E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项目资金拨付准确率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F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2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7515">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4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2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09D7">
            <w:pPr>
              <w:jc w:val="center"/>
              <w:rPr>
                <w:rFonts w:hint="eastAsia" w:ascii="微软雅黑" w:hAnsi="微软雅黑" w:eastAsia="微软雅黑" w:cs="微软雅黑"/>
                <w:i w:val="0"/>
                <w:iCs w:val="0"/>
                <w:color w:val="000000"/>
                <w:sz w:val="16"/>
                <w:szCs w:val="16"/>
                <w:u w:val="none"/>
              </w:rPr>
            </w:pPr>
          </w:p>
        </w:tc>
      </w:tr>
      <w:tr w14:paraId="22C3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8E49"/>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DC2B0"/>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3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F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项目资金支付及时率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8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9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E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D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5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5CE8">
            <w:pPr>
              <w:jc w:val="center"/>
              <w:rPr>
                <w:rFonts w:hint="eastAsia" w:ascii="微软雅黑" w:hAnsi="微软雅黑" w:eastAsia="微软雅黑" w:cs="微软雅黑"/>
                <w:i w:val="0"/>
                <w:iCs w:val="0"/>
                <w:color w:val="000000"/>
                <w:sz w:val="16"/>
                <w:szCs w:val="16"/>
                <w:u w:val="none"/>
              </w:rPr>
            </w:pPr>
          </w:p>
        </w:tc>
      </w:tr>
      <w:tr w14:paraId="71C8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C9BB8"/>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3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C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7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统筹各方力量争取各民主党派中央、省委、市委对安居发展的支持</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4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3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A72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5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8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8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F99D">
            <w:pPr>
              <w:jc w:val="center"/>
              <w:rPr>
                <w:rFonts w:hint="eastAsia" w:ascii="微软雅黑" w:hAnsi="微软雅黑" w:eastAsia="微软雅黑" w:cs="微软雅黑"/>
                <w:i w:val="0"/>
                <w:iCs w:val="0"/>
                <w:color w:val="000000"/>
                <w:sz w:val="16"/>
                <w:szCs w:val="16"/>
                <w:u w:val="none"/>
              </w:rPr>
            </w:pPr>
          </w:p>
        </w:tc>
      </w:tr>
      <w:tr w14:paraId="651D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9FAF6"/>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7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B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A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8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0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8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7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F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B556">
            <w:pPr>
              <w:jc w:val="center"/>
              <w:rPr>
                <w:rFonts w:hint="eastAsia" w:ascii="微软雅黑" w:hAnsi="微软雅黑" w:eastAsia="微软雅黑" w:cs="微软雅黑"/>
                <w:i w:val="0"/>
                <w:iCs w:val="0"/>
                <w:color w:val="000000"/>
                <w:sz w:val="16"/>
                <w:szCs w:val="16"/>
                <w:u w:val="none"/>
              </w:rPr>
            </w:pPr>
          </w:p>
        </w:tc>
      </w:tr>
      <w:tr w14:paraId="7F38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D8CC"/>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B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F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D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项目资金总额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0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0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F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1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E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A1BB">
            <w:pPr>
              <w:jc w:val="center"/>
              <w:rPr>
                <w:rFonts w:hint="eastAsia" w:ascii="微软雅黑" w:hAnsi="微软雅黑" w:eastAsia="微软雅黑" w:cs="微软雅黑"/>
                <w:i w:val="0"/>
                <w:iCs w:val="0"/>
                <w:color w:val="000000"/>
                <w:sz w:val="16"/>
                <w:szCs w:val="16"/>
                <w:u w:val="none"/>
              </w:rPr>
            </w:pPr>
          </w:p>
        </w:tc>
      </w:tr>
      <w:tr w14:paraId="174C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91A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9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E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2E71">
            <w:pPr>
              <w:rPr>
                <w:rFonts w:hint="eastAsia" w:ascii="宋体" w:hAnsi="宋体" w:eastAsia="宋体" w:cs="宋体"/>
                <w:i w:val="0"/>
                <w:iCs w:val="0"/>
                <w:color w:val="000000"/>
                <w:sz w:val="18"/>
                <w:szCs w:val="18"/>
                <w:u w:val="none"/>
              </w:rPr>
            </w:pPr>
          </w:p>
        </w:tc>
      </w:tr>
      <w:tr w14:paraId="294A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8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DA798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结合自评优良，自评100分，通过项目实施及时完成各党派对接及政治协商工作，促进合作项目落地安居。</w:t>
            </w:r>
          </w:p>
        </w:tc>
      </w:tr>
      <w:tr w14:paraId="2C67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B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04D44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4F2C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F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BA072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31C9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99D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项目负责人：周巧梅</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3894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r w14:paraId="399A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B24AE2F">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7856227A">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18725FAE">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758A7DD8">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906382E">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8BE862D">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E2B3061">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800C0D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7DE626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B41AE34">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78977BEC">
            <w:pPr>
              <w:rPr>
                <w:rFonts w:hint="eastAsia" w:ascii="宋体" w:hAnsi="宋体" w:eastAsia="宋体" w:cs="宋体"/>
                <w:i w:val="0"/>
                <w:iCs w:val="0"/>
                <w:color w:val="000000"/>
                <w:sz w:val="18"/>
                <w:szCs w:val="18"/>
                <w:u w:val="none"/>
              </w:rPr>
            </w:pPr>
          </w:p>
        </w:tc>
      </w:tr>
      <w:tr w14:paraId="38BA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191FF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D62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B51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F6E8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51090422T000000399262-少数民族机动金</w:t>
            </w:r>
          </w:p>
        </w:tc>
      </w:tr>
      <w:tr w14:paraId="5EDD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82E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55FF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78ED87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7E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600D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161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BDA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C9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3612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1D2A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CA35"/>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5399D"/>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6A5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实施散杂居少数民族地区四小工程和开展乡村振兴工作以及继续创建民族团结示范点，支持散杂居少数民族困难群众生产发展</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4F4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顺利完成散杂居少数民族地区四小工程项目和民族团结示范点创建，支持散杂居少数民族困难群众生产发展</w:t>
            </w:r>
          </w:p>
        </w:tc>
      </w:tr>
      <w:tr w14:paraId="1BD7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DF3F"/>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99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995F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实施散杂居少数民族地区四小工程和开展乡村振兴工作以及继续创建民族团结示范点</w:t>
            </w:r>
          </w:p>
        </w:tc>
      </w:tr>
      <w:tr w14:paraId="778D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B4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C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D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A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E0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1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4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0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A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5056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75C"/>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9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C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6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14.91</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74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14.91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A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7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5E4DD">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2AD9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E94DB"/>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2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7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D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14.91</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1C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14.91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7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8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3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4CBA8"/>
        </w:tc>
      </w:tr>
      <w:tr w14:paraId="760D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6E06"/>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A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0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4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98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6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7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C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81214"/>
        </w:tc>
      </w:tr>
      <w:tr w14:paraId="20FF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0042D"/>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4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8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8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FD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7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8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D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651F"/>
        </w:tc>
      </w:tr>
      <w:tr w14:paraId="1D4D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671A"/>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3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715A">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AC02">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109E5">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0FCE">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B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D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0AD51"/>
        </w:tc>
      </w:tr>
      <w:tr w14:paraId="76EA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41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A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7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3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A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4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C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F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1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D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B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3404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7E8D"/>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CD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3E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7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支持民族团结进步示范创建</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B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8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B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4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C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2D52">
            <w:pPr>
              <w:jc w:val="center"/>
              <w:rPr>
                <w:rFonts w:hint="eastAsia" w:ascii="微软雅黑" w:hAnsi="微软雅黑" w:eastAsia="微软雅黑" w:cs="微软雅黑"/>
                <w:i w:val="0"/>
                <w:iCs w:val="0"/>
                <w:color w:val="000000"/>
                <w:sz w:val="16"/>
                <w:szCs w:val="16"/>
                <w:u w:val="none"/>
              </w:rPr>
            </w:pPr>
          </w:p>
        </w:tc>
      </w:tr>
      <w:tr w14:paraId="0CC3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7DF1"/>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D477"/>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8B01"/>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5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实施散杂居少数民族项目</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A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0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F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3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5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D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FEBE">
            <w:pPr>
              <w:jc w:val="center"/>
              <w:rPr>
                <w:rFonts w:hint="eastAsia" w:ascii="微软雅黑" w:hAnsi="微软雅黑" w:eastAsia="微软雅黑" w:cs="微软雅黑"/>
                <w:i w:val="0"/>
                <w:iCs w:val="0"/>
                <w:color w:val="000000"/>
                <w:sz w:val="16"/>
                <w:szCs w:val="16"/>
                <w:u w:val="none"/>
              </w:rPr>
            </w:pPr>
          </w:p>
        </w:tc>
      </w:tr>
      <w:tr w14:paraId="2FEE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2FC6"/>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8375"/>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项目资金拨付准确率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B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C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9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D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D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4D6B">
            <w:pPr>
              <w:jc w:val="center"/>
              <w:rPr>
                <w:rFonts w:hint="eastAsia" w:ascii="微软雅黑" w:hAnsi="微软雅黑" w:eastAsia="微软雅黑" w:cs="微软雅黑"/>
                <w:i w:val="0"/>
                <w:iCs w:val="0"/>
                <w:color w:val="000000"/>
                <w:sz w:val="16"/>
                <w:szCs w:val="16"/>
                <w:u w:val="none"/>
              </w:rPr>
            </w:pPr>
          </w:p>
        </w:tc>
      </w:tr>
      <w:tr w14:paraId="6874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A898"/>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72376"/>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C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2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项目资金拨付及时率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E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E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1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0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9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9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DDC0">
            <w:pPr>
              <w:jc w:val="center"/>
              <w:rPr>
                <w:rFonts w:hint="eastAsia" w:ascii="微软雅黑" w:hAnsi="微软雅黑" w:eastAsia="微软雅黑" w:cs="微软雅黑"/>
                <w:i w:val="0"/>
                <w:iCs w:val="0"/>
                <w:color w:val="000000"/>
                <w:sz w:val="16"/>
                <w:szCs w:val="16"/>
                <w:u w:val="none"/>
              </w:rPr>
            </w:pPr>
          </w:p>
        </w:tc>
      </w:tr>
      <w:tr w14:paraId="7958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D5B74"/>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0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3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解决制约少数民族群众发展瓶颈项目和群众生产生活最急需问题。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D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1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E2C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5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2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F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E766">
            <w:pPr>
              <w:jc w:val="center"/>
              <w:rPr>
                <w:rFonts w:hint="eastAsia" w:ascii="微软雅黑" w:hAnsi="微软雅黑" w:eastAsia="微软雅黑" w:cs="微软雅黑"/>
                <w:i w:val="0"/>
                <w:iCs w:val="0"/>
                <w:color w:val="000000"/>
                <w:sz w:val="16"/>
                <w:szCs w:val="16"/>
                <w:u w:val="none"/>
              </w:rPr>
            </w:pPr>
          </w:p>
        </w:tc>
      </w:tr>
      <w:tr w14:paraId="1847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FCB4"/>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1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5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D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少数民族群众满意度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2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C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D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1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8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6EA9">
            <w:pPr>
              <w:jc w:val="center"/>
              <w:rPr>
                <w:rFonts w:hint="eastAsia" w:ascii="微软雅黑" w:hAnsi="微软雅黑" w:eastAsia="微软雅黑" w:cs="微软雅黑"/>
                <w:i w:val="0"/>
                <w:iCs w:val="0"/>
                <w:color w:val="000000"/>
                <w:sz w:val="16"/>
                <w:szCs w:val="16"/>
                <w:u w:val="none"/>
              </w:rPr>
            </w:pPr>
          </w:p>
        </w:tc>
      </w:tr>
      <w:tr w14:paraId="442F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9E94B"/>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5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C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2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项目资金总额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E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6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4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5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F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1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F4EF">
            <w:pPr>
              <w:jc w:val="center"/>
              <w:rPr>
                <w:rFonts w:hint="eastAsia" w:ascii="微软雅黑" w:hAnsi="微软雅黑" w:eastAsia="微软雅黑" w:cs="微软雅黑"/>
                <w:i w:val="0"/>
                <w:iCs w:val="0"/>
                <w:color w:val="000000"/>
                <w:sz w:val="16"/>
                <w:szCs w:val="16"/>
                <w:u w:val="none"/>
              </w:rPr>
            </w:pPr>
          </w:p>
        </w:tc>
      </w:tr>
      <w:tr w14:paraId="6EEC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514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8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B7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3F0F">
            <w:pPr>
              <w:rPr>
                <w:rFonts w:hint="eastAsia" w:ascii="宋体" w:hAnsi="宋体" w:eastAsia="宋体" w:cs="宋体"/>
                <w:i w:val="0"/>
                <w:iCs w:val="0"/>
                <w:color w:val="000000"/>
                <w:sz w:val="18"/>
                <w:szCs w:val="18"/>
                <w:u w:val="none"/>
              </w:rPr>
            </w:pPr>
          </w:p>
        </w:tc>
      </w:tr>
      <w:tr w14:paraId="17C4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E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4E7B1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结合自评优良，自评得分95分，通过项目实施顺利完成散杂居少数民族地区四小工程项目和民族团结示范点创建，支持散杂居少数民族困难群众生产发展。</w:t>
            </w:r>
          </w:p>
        </w:tc>
      </w:tr>
      <w:tr w14:paraId="302C1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C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FF4B3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预算测算有待进一步提高</w:t>
            </w:r>
          </w:p>
        </w:tc>
      </w:tr>
      <w:tr w14:paraId="1118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0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69426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加强项目前期研判，提高预算准确率</w:t>
            </w:r>
          </w:p>
        </w:tc>
      </w:tr>
      <w:tr w14:paraId="4FAB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EB1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项目负责人：邓辉</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84B4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r w14:paraId="0CF7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B99F43F">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3C4B768F">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06FE91AC">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49A4ADAC">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477B130">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E0EA91C">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692B86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49F63B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D2FF32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95874CD">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35A31D8F">
            <w:pPr>
              <w:rPr>
                <w:rFonts w:hint="eastAsia" w:ascii="宋体" w:hAnsi="宋体" w:eastAsia="宋体" w:cs="宋体"/>
                <w:i w:val="0"/>
                <w:iCs w:val="0"/>
                <w:color w:val="000000"/>
                <w:sz w:val="18"/>
                <w:szCs w:val="18"/>
                <w:u w:val="none"/>
              </w:rPr>
            </w:pPr>
          </w:p>
        </w:tc>
      </w:tr>
      <w:tr w14:paraId="2F60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488D3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0D3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387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75E5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51090422T000000399279-统战对象慰问金</w:t>
            </w:r>
          </w:p>
        </w:tc>
      </w:tr>
      <w:tr w14:paraId="5F41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36A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761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4AEC46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EE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3D7F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00B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429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75E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7BA1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7CD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9829"/>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CC4E5"/>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DF7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对我区少数民族贫困户、“9+3”藏区学生、宗教界人士、民主党派、无党派代表人士和台属侨眷中困难人士开展慰问</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D6C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通过项目的实施及时足额保障了少数民族贫困户、“9+3”藏区学生、宗教界人士、民主党派、无党派代表人士和台属侨眷中困难人士慰问，确保了民族团结统一</w:t>
            </w:r>
          </w:p>
        </w:tc>
      </w:tr>
      <w:tr w14:paraId="7F83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FCB02"/>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D6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D88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对我区少数民族贫困户、“9+3”藏区学生、宗教界人士、民主党派、无党派代表人士和台属侨眷中困难人士开展慰问</w:t>
            </w:r>
          </w:p>
        </w:tc>
      </w:tr>
      <w:tr w14:paraId="1B05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F8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A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7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7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1E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B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E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B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5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6860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9319"/>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C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9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9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9D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D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E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E7C1F">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7230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11D69"/>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1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7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4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5B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0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A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4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CB76"/>
        </w:tc>
      </w:tr>
      <w:tr w14:paraId="38E0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18657"/>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5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F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3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57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9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1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6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F661"/>
        </w:tc>
      </w:tr>
      <w:tr w14:paraId="4DDA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F914"/>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3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E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5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73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9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B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0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8F950"/>
        </w:tc>
      </w:tr>
      <w:tr w14:paraId="3F92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EB51"/>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0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C8E1">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6C01">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29230">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BB88">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A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EC3C2"/>
        </w:tc>
      </w:tr>
      <w:tr w14:paraId="55CA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1A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8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D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1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A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F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9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B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A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5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B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1085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337F"/>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12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EF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9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少数民族贫困群众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4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7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2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B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8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49B3">
            <w:pPr>
              <w:jc w:val="center"/>
              <w:rPr>
                <w:rFonts w:hint="eastAsia" w:ascii="微软雅黑" w:hAnsi="微软雅黑" w:eastAsia="微软雅黑" w:cs="微软雅黑"/>
                <w:i w:val="0"/>
                <w:iCs w:val="0"/>
                <w:color w:val="000000"/>
                <w:sz w:val="16"/>
                <w:szCs w:val="16"/>
                <w:u w:val="none"/>
              </w:rPr>
            </w:pPr>
          </w:p>
        </w:tc>
      </w:tr>
      <w:tr w14:paraId="75DB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9D95"/>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5338"/>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CB0F"/>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E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9+3藏区学生</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2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9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B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7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6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4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69BE">
            <w:pPr>
              <w:jc w:val="center"/>
              <w:rPr>
                <w:rFonts w:hint="eastAsia" w:ascii="微软雅黑" w:hAnsi="微软雅黑" w:eastAsia="微软雅黑" w:cs="微软雅黑"/>
                <w:i w:val="0"/>
                <w:iCs w:val="0"/>
                <w:color w:val="000000"/>
                <w:sz w:val="16"/>
                <w:szCs w:val="16"/>
                <w:u w:val="none"/>
              </w:rPr>
            </w:pPr>
          </w:p>
        </w:tc>
      </w:tr>
      <w:tr w14:paraId="0229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1466"/>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A148E"/>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7F072"/>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7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其他统战对象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B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0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5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5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5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7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A0F3">
            <w:pPr>
              <w:jc w:val="center"/>
              <w:rPr>
                <w:rFonts w:hint="eastAsia" w:ascii="微软雅黑" w:hAnsi="微软雅黑" w:eastAsia="微软雅黑" w:cs="微软雅黑"/>
                <w:i w:val="0"/>
                <w:iCs w:val="0"/>
                <w:color w:val="000000"/>
                <w:sz w:val="16"/>
                <w:szCs w:val="16"/>
                <w:u w:val="none"/>
              </w:rPr>
            </w:pPr>
          </w:p>
        </w:tc>
      </w:tr>
      <w:tr w14:paraId="6462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951ED"/>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1E0B"/>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B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D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慰问金发放准确率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6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A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2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A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B720">
            <w:pPr>
              <w:jc w:val="center"/>
              <w:rPr>
                <w:rFonts w:hint="eastAsia" w:ascii="微软雅黑" w:hAnsi="微软雅黑" w:eastAsia="微软雅黑" w:cs="微软雅黑"/>
                <w:i w:val="0"/>
                <w:iCs w:val="0"/>
                <w:color w:val="000000"/>
                <w:sz w:val="16"/>
                <w:szCs w:val="16"/>
                <w:u w:val="none"/>
              </w:rPr>
            </w:pPr>
          </w:p>
        </w:tc>
      </w:tr>
      <w:tr w14:paraId="4655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2771"/>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3B15A"/>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F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8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慰问金发放时间</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8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D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E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2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0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4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3652">
            <w:pPr>
              <w:jc w:val="center"/>
              <w:rPr>
                <w:rFonts w:hint="eastAsia" w:ascii="微软雅黑" w:hAnsi="微软雅黑" w:eastAsia="微软雅黑" w:cs="微软雅黑"/>
                <w:i w:val="0"/>
                <w:iCs w:val="0"/>
                <w:color w:val="000000"/>
                <w:sz w:val="16"/>
                <w:szCs w:val="16"/>
                <w:u w:val="none"/>
              </w:rPr>
            </w:pPr>
          </w:p>
        </w:tc>
      </w:tr>
      <w:tr w14:paraId="1D31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D66D"/>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0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D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D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对全区统战对象困难人士开展走访慰问，体现党委政府关心关怀，与统战对象加强交流、加深感情。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3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8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1C7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A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8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9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0655">
            <w:pPr>
              <w:jc w:val="center"/>
              <w:rPr>
                <w:rFonts w:hint="eastAsia" w:ascii="微软雅黑" w:hAnsi="微软雅黑" w:eastAsia="微软雅黑" w:cs="微软雅黑"/>
                <w:i w:val="0"/>
                <w:iCs w:val="0"/>
                <w:color w:val="000000"/>
                <w:sz w:val="16"/>
                <w:szCs w:val="16"/>
                <w:u w:val="none"/>
              </w:rPr>
            </w:pPr>
          </w:p>
        </w:tc>
      </w:tr>
      <w:tr w14:paraId="7E4E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3D44"/>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4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6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统战对象满意度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1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F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C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4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A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1D4E">
            <w:pPr>
              <w:jc w:val="center"/>
              <w:rPr>
                <w:rFonts w:hint="eastAsia" w:ascii="微软雅黑" w:hAnsi="微软雅黑" w:eastAsia="微软雅黑" w:cs="微软雅黑"/>
                <w:i w:val="0"/>
                <w:iCs w:val="0"/>
                <w:color w:val="000000"/>
                <w:sz w:val="16"/>
                <w:szCs w:val="16"/>
                <w:u w:val="none"/>
              </w:rPr>
            </w:pPr>
          </w:p>
        </w:tc>
      </w:tr>
      <w:tr w14:paraId="23AE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1570"/>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8F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42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3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其他统战对象慰问标准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E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7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E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D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9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2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5A09">
            <w:pPr>
              <w:jc w:val="center"/>
              <w:rPr>
                <w:rFonts w:hint="eastAsia" w:ascii="微软雅黑" w:hAnsi="微软雅黑" w:eastAsia="微软雅黑" w:cs="微软雅黑"/>
                <w:i w:val="0"/>
                <w:iCs w:val="0"/>
                <w:color w:val="000000"/>
                <w:sz w:val="16"/>
                <w:szCs w:val="16"/>
                <w:u w:val="none"/>
              </w:rPr>
            </w:pPr>
          </w:p>
        </w:tc>
      </w:tr>
      <w:tr w14:paraId="480B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5758"/>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FD7F"/>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73A4"/>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5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9+3藏区学生慰问标准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B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3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A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5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6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12B8">
            <w:pPr>
              <w:jc w:val="center"/>
              <w:rPr>
                <w:rFonts w:hint="eastAsia" w:ascii="微软雅黑" w:hAnsi="微软雅黑" w:eastAsia="微软雅黑" w:cs="微软雅黑"/>
                <w:i w:val="0"/>
                <w:iCs w:val="0"/>
                <w:color w:val="000000"/>
                <w:sz w:val="16"/>
                <w:szCs w:val="16"/>
                <w:u w:val="none"/>
              </w:rPr>
            </w:pPr>
          </w:p>
        </w:tc>
      </w:tr>
      <w:tr w14:paraId="3BE9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9643"/>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0D4AE"/>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657CE"/>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2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少数民族贫困群众慰问标准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A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7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8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1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6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2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A89D">
            <w:pPr>
              <w:jc w:val="center"/>
              <w:rPr>
                <w:rFonts w:hint="eastAsia" w:ascii="微软雅黑" w:hAnsi="微软雅黑" w:eastAsia="微软雅黑" w:cs="微软雅黑"/>
                <w:i w:val="0"/>
                <w:iCs w:val="0"/>
                <w:color w:val="000000"/>
                <w:sz w:val="16"/>
                <w:szCs w:val="16"/>
                <w:u w:val="none"/>
              </w:rPr>
            </w:pPr>
          </w:p>
        </w:tc>
      </w:tr>
      <w:tr w14:paraId="5FDA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3EC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6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29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6316">
            <w:pPr>
              <w:rPr>
                <w:rFonts w:hint="eastAsia" w:ascii="宋体" w:hAnsi="宋体" w:eastAsia="宋体" w:cs="宋体"/>
                <w:i w:val="0"/>
                <w:iCs w:val="0"/>
                <w:color w:val="000000"/>
                <w:sz w:val="18"/>
                <w:szCs w:val="18"/>
                <w:u w:val="none"/>
              </w:rPr>
            </w:pPr>
          </w:p>
        </w:tc>
      </w:tr>
      <w:tr w14:paraId="7B60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F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F2AD2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结合自评优良，自评得分95分，通过项目的实施及时足额保障了少数民族贫困户、“9+3”藏区学生、宗教界人士、民主党派、无党派代表人士和台属侨眷中困难人士慰问，确保了民族团结统一。</w:t>
            </w:r>
          </w:p>
        </w:tc>
      </w:tr>
      <w:tr w14:paraId="38B1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4E072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预算测算有待进一步提高</w:t>
            </w:r>
          </w:p>
        </w:tc>
      </w:tr>
      <w:tr w14:paraId="01A3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0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63E21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加强前期慰问人员的摸排工作，及时研判慰问对象及标准，提高预算准确率</w:t>
            </w:r>
          </w:p>
        </w:tc>
      </w:tr>
      <w:tr w14:paraId="6957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5B6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项目负责人：陈坤</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4756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r w14:paraId="3B3A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6C81244">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6B61EAA4">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1148D479">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0DFA9DDD">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0367361C">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30662A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C22888A">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544F41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AE149C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5FD337C">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347268F8">
            <w:pPr>
              <w:rPr>
                <w:rFonts w:hint="eastAsia" w:ascii="宋体" w:hAnsi="宋体" w:eastAsia="宋体" w:cs="宋体"/>
                <w:i w:val="0"/>
                <w:iCs w:val="0"/>
                <w:color w:val="000000"/>
                <w:sz w:val="18"/>
                <w:szCs w:val="18"/>
                <w:u w:val="none"/>
              </w:rPr>
            </w:pPr>
          </w:p>
        </w:tc>
      </w:tr>
      <w:tr w14:paraId="4C05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BADE2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1D2A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5F7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943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51090422T000000399323-宗教、台侨事务、民营经济统战等工作经费</w:t>
            </w:r>
          </w:p>
        </w:tc>
      </w:tr>
      <w:tr w14:paraId="1E0A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288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C98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4AD1ED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85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16D9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73F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B14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F0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A2747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685C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6FFEF"/>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069C4"/>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65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完成宗教领域日常监管工作；完成台侨走访、民营企业调研走访等；完成各类考察学习活动。</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2F3A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依法对全区开放场所、民间信仰场所加强日常监督管理；开展宗教中国化示范创建；开展台侨座谈会2次、台侨工作调研指导20次，加强民营经济人士政治引领，开展理想信念教育3次；深入民营企业开展调研30次，协调解决相关问题，全面推动民营经济健康发展。</w:t>
            </w:r>
          </w:p>
        </w:tc>
      </w:tr>
      <w:tr w14:paraId="7547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AF5D"/>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E8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401E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依法对全区开放场所、民间信仰场所加强日常监督管理；开展宗教中国化示范创建；开展台侨座谈会2次、台侨工作调研指导20次，加强民营经济人士政治引领，开展理想信念教育3次；深入民营企业开展调研30次。</w:t>
            </w:r>
          </w:p>
        </w:tc>
      </w:tr>
      <w:tr w14:paraId="24E1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5A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8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B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C0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A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A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D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8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0D8B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A7D5"/>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4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9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7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49.99</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91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6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8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2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22B37">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7FE9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DC0F"/>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6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5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7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49.99</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93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F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2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0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FB3A"/>
        </w:tc>
      </w:tr>
      <w:tr w14:paraId="17D6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5E2D8"/>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1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6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6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2C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5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7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7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7F46"/>
        </w:tc>
      </w:tr>
      <w:tr w14:paraId="7E5B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4BA7"/>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D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7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0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EF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A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E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D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0657"/>
        </w:tc>
      </w:tr>
      <w:tr w14:paraId="16C5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55F1"/>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3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AB9E">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80DB">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01F5C">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A57">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6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B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B02E1"/>
        </w:tc>
      </w:tr>
      <w:tr w14:paraId="3C37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31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F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0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6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9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2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B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4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1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C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7B8A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C97D3"/>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B6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CE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2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开展台侨工作调研、指导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3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6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F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6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1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F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FC27">
            <w:pPr>
              <w:jc w:val="center"/>
              <w:rPr>
                <w:rFonts w:hint="eastAsia" w:ascii="微软雅黑" w:hAnsi="微软雅黑" w:eastAsia="微软雅黑" w:cs="微软雅黑"/>
                <w:i w:val="0"/>
                <w:iCs w:val="0"/>
                <w:color w:val="000000"/>
                <w:sz w:val="16"/>
                <w:szCs w:val="16"/>
                <w:u w:val="none"/>
              </w:rPr>
            </w:pPr>
          </w:p>
        </w:tc>
      </w:tr>
      <w:tr w14:paraId="42E1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76B2F"/>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22E5"/>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B308"/>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对宗教场所开展检查指导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3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3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C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1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1D36">
            <w:pPr>
              <w:jc w:val="center"/>
              <w:rPr>
                <w:rFonts w:hint="eastAsia" w:ascii="微软雅黑" w:hAnsi="微软雅黑" w:eastAsia="微软雅黑" w:cs="微软雅黑"/>
                <w:i w:val="0"/>
                <w:iCs w:val="0"/>
                <w:color w:val="000000"/>
                <w:sz w:val="16"/>
                <w:szCs w:val="16"/>
                <w:u w:val="none"/>
              </w:rPr>
            </w:pPr>
          </w:p>
        </w:tc>
      </w:tr>
      <w:tr w14:paraId="5E0E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3D15"/>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FC48F"/>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C25A"/>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0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开展宗教法治宣传</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A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0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7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5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E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59F3">
            <w:pPr>
              <w:jc w:val="center"/>
              <w:rPr>
                <w:rFonts w:hint="eastAsia" w:ascii="微软雅黑" w:hAnsi="微软雅黑" w:eastAsia="微软雅黑" w:cs="微软雅黑"/>
                <w:i w:val="0"/>
                <w:iCs w:val="0"/>
                <w:color w:val="000000"/>
                <w:sz w:val="16"/>
                <w:szCs w:val="16"/>
                <w:u w:val="none"/>
              </w:rPr>
            </w:pPr>
          </w:p>
        </w:tc>
      </w:tr>
      <w:tr w14:paraId="30A6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1AA0"/>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49D69"/>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B991"/>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F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深入民营企业开展调研</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D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A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5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1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D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2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07B2">
            <w:pPr>
              <w:jc w:val="center"/>
              <w:rPr>
                <w:rFonts w:hint="eastAsia" w:ascii="微软雅黑" w:hAnsi="微软雅黑" w:eastAsia="微软雅黑" w:cs="微软雅黑"/>
                <w:i w:val="0"/>
                <w:iCs w:val="0"/>
                <w:color w:val="000000"/>
                <w:sz w:val="16"/>
                <w:szCs w:val="16"/>
                <w:u w:val="none"/>
              </w:rPr>
            </w:pPr>
          </w:p>
        </w:tc>
      </w:tr>
      <w:tr w14:paraId="71DC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D338"/>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BFCC"/>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5486"/>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7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开展台侨座谈会</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A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0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4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F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E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CAA6">
            <w:pPr>
              <w:jc w:val="center"/>
              <w:rPr>
                <w:rFonts w:hint="eastAsia" w:ascii="微软雅黑" w:hAnsi="微软雅黑" w:eastAsia="微软雅黑" w:cs="微软雅黑"/>
                <w:i w:val="0"/>
                <w:iCs w:val="0"/>
                <w:color w:val="000000"/>
                <w:sz w:val="16"/>
                <w:szCs w:val="16"/>
                <w:u w:val="none"/>
              </w:rPr>
            </w:pPr>
          </w:p>
        </w:tc>
      </w:tr>
      <w:tr w14:paraId="4B32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5641"/>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25F3"/>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4A60"/>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D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开展宗教领域日常监管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7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4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B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处</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9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D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9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62FB">
            <w:pPr>
              <w:jc w:val="center"/>
              <w:rPr>
                <w:rFonts w:hint="eastAsia" w:ascii="微软雅黑" w:hAnsi="微软雅黑" w:eastAsia="微软雅黑" w:cs="微软雅黑"/>
                <w:i w:val="0"/>
                <w:iCs w:val="0"/>
                <w:color w:val="000000"/>
                <w:sz w:val="16"/>
                <w:szCs w:val="16"/>
                <w:u w:val="none"/>
              </w:rPr>
            </w:pPr>
          </w:p>
        </w:tc>
      </w:tr>
      <w:tr w14:paraId="1FFA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BA67"/>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C009"/>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4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5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指导、调研走访完成率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F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D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5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1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3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0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87C0">
            <w:pPr>
              <w:jc w:val="center"/>
              <w:rPr>
                <w:rFonts w:hint="eastAsia" w:ascii="微软雅黑" w:hAnsi="微软雅黑" w:eastAsia="微软雅黑" w:cs="微软雅黑"/>
                <w:i w:val="0"/>
                <w:iCs w:val="0"/>
                <w:color w:val="000000"/>
                <w:sz w:val="16"/>
                <w:szCs w:val="16"/>
                <w:u w:val="none"/>
              </w:rPr>
            </w:pPr>
          </w:p>
        </w:tc>
      </w:tr>
      <w:tr w14:paraId="2BD5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982C"/>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2830"/>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2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8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开展各类检查指导工作频率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C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A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7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A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B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4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9565">
            <w:pPr>
              <w:jc w:val="center"/>
              <w:rPr>
                <w:rFonts w:hint="eastAsia" w:ascii="微软雅黑" w:hAnsi="微软雅黑" w:eastAsia="微软雅黑" w:cs="微软雅黑"/>
                <w:i w:val="0"/>
                <w:iCs w:val="0"/>
                <w:color w:val="000000"/>
                <w:sz w:val="16"/>
                <w:szCs w:val="16"/>
                <w:u w:val="none"/>
              </w:rPr>
            </w:pPr>
          </w:p>
        </w:tc>
      </w:tr>
      <w:tr w14:paraId="0D78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7130"/>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D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F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加强指导管理，维护宗教领域和谐稳定</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A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D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5D0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3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E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1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2D90">
            <w:pPr>
              <w:jc w:val="center"/>
              <w:rPr>
                <w:rFonts w:hint="eastAsia" w:ascii="微软雅黑" w:hAnsi="微软雅黑" w:eastAsia="微软雅黑" w:cs="微软雅黑"/>
                <w:i w:val="0"/>
                <w:iCs w:val="0"/>
                <w:color w:val="000000"/>
                <w:sz w:val="16"/>
                <w:szCs w:val="16"/>
                <w:u w:val="none"/>
              </w:rPr>
            </w:pPr>
          </w:p>
        </w:tc>
      </w:tr>
      <w:tr w14:paraId="0F8C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05FE"/>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1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9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D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B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C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D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4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C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366A">
            <w:pPr>
              <w:jc w:val="center"/>
              <w:rPr>
                <w:rFonts w:hint="eastAsia" w:ascii="微软雅黑" w:hAnsi="微软雅黑" w:eastAsia="微软雅黑" w:cs="微软雅黑"/>
                <w:i w:val="0"/>
                <w:iCs w:val="0"/>
                <w:color w:val="000000"/>
                <w:sz w:val="16"/>
                <w:szCs w:val="16"/>
                <w:u w:val="none"/>
              </w:rPr>
            </w:pPr>
          </w:p>
        </w:tc>
      </w:tr>
      <w:tr w14:paraId="7288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DF213"/>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6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2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3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项目资金总额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D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A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D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9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7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0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AFF4">
            <w:pPr>
              <w:jc w:val="center"/>
              <w:rPr>
                <w:rFonts w:hint="eastAsia" w:ascii="微软雅黑" w:hAnsi="微软雅黑" w:eastAsia="微软雅黑" w:cs="微软雅黑"/>
                <w:i w:val="0"/>
                <w:iCs w:val="0"/>
                <w:color w:val="000000"/>
                <w:sz w:val="16"/>
                <w:szCs w:val="16"/>
                <w:u w:val="none"/>
              </w:rPr>
            </w:pPr>
          </w:p>
        </w:tc>
      </w:tr>
      <w:tr w14:paraId="037B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0BE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4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3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320E">
            <w:pPr>
              <w:rPr>
                <w:rFonts w:hint="eastAsia" w:ascii="宋体" w:hAnsi="宋体" w:eastAsia="宋体" w:cs="宋体"/>
                <w:i w:val="0"/>
                <w:iCs w:val="0"/>
                <w:color w:val="000000"/>
                <w:sz w:val="18"/>
                <w:szCs w:val="18"/>
                <w:u w:val="none"/>
              </w:rPr>
            </w:pPr>
          </w:p>
        </w:tc>
      </w:tr>
      <w:tr w14:paraId="5E7D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3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0529C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该项目自评总分100分，说明本项目实施取得了良好成效。</w:t>
            </w:r>
          </w:p>
        </w:tc>
      </w:tr>
      <w:tr w14:paraId="44AD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8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66A49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因工作覆盖面广、涉及的对象庞杂等原因，确有工作没能开展到位的情况，社会满意度有待提高。</w:t>
            </w:r>
          </w:p>
        </w:tc>
      </w:tr>
      <w:tr w14:paraId="196C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4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08F91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细化统战工作及分工，同时做好财务预算上的更加精细的划分。</w:t>
            </w:r>
          </w:p>
        </w:tc>
      </w:tr>
      <w:tr w14:paraId="6B24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0FB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项目负责人：陈坤</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343B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r w14:paraId="1DA7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7539C34">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2E61D02F">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500DBEEC">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2EA57082">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56E314A5">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09B69FED">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B5C1E7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BE7B61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79711B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A0733EF">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03331505">
            <w:pPr>
              <w:rPr>
                <w:rFonts w:hint="eastAsia" w:ascii="宋体" w:hAnsi="宋体" w:eastAsia="宋体" w:cs="宋体"/>
                <w:i w:val="0"/>
                <w:iCs w:val="0"/>
                <w:color w:val="000000"/>
                <w:sz w:val="18"/>
                <w:szCs w:val="18"/>
                <w:u w:val="none"/>
              </w:rPr>
            </w:pPr>
          </w:p>
        </w:tc>
      </w:tr>
      <w:tr w14:paraId="37B4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1C6F2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54A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BD5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DDC4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51090422T000000399338-宗教团体等（四项）经费</w:t>
            </w:r>
          </w:p>
        </w:tc>
      </w:tr>
      <w:tr w14:paraId="2850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3AC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B0D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2A0141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F5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69B5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605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FE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FA2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7E70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12FF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2FAB"/>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3E35B"/>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E3D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加强和改进宗教团体的指导和管理工作。</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BCC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指导完成区佛教协会换届工作1次、召开培训、学习活动2次、指导区佛教协会开展检查指导4次</w:t>
            </w:r>
          </w:p>
        </w:tc>
      </w:tr>
      <w:tr w14:paraId="084C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142C"/>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46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B74C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指导完成区佛教协会换届工作1次、召开培训、学习活动2次、指导区佛教协会开展检查指导4次</w:t>
            </w:r>
          </w:p>
        </w:tc>
      </w:tr>
      <w:tr w14:paraId="263F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FA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9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4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DF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7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2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D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C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7343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9B446"/>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7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D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9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2.77</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E3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4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F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D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813EC">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0319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531D"/>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4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A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F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2.77</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65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1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0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3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4DA5"/>
        </w:tc>
      </w:tr>
      <w:tr w14:paraId="545E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6E3A"/>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0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8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0E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9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F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2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4474A"/>
        </w:tc>
      </w:tr>
      <w:tr w14:paraId="6FEB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B393"/>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5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C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D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90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1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B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8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645F"/>
        </w:tc>
      </w:tr>
      <w:tr w14:paraId="7D24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A946E"/>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B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FF33">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37EB">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62FB9">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B531">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4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9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E57F"/>
        </w:tc>
      </w:tr>
      <w:tr w14:paraId="6889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12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4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7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D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0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D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C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E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F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199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FAD88"/>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2B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9E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B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指导区佛教协会开展检查指导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3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D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A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5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4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A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2EB9">
            <w:pPr>
              <w:jc w:val="center"/>
              <w:rPr>
                <w:rFonts w:hint="eastAsia" w:ascii="微软雅黑" w:hAnsi="微软雅黑" w:eastAsia="微软雅黑" w:cs="微软雅黑"/>
                <w:i w:val="0"/>
                <w:iCs w:val="0"/>
                <w:color w:val="000000"/>
                <w:sz w:val="16"/>
                <w:szCs w:val="16"/>
                <w:u w:val="none"/>
              </w:rPr>
            </w:pPr>
          </w:p>
        </w:tc>
      </w:tr>
      <w:tr w14:paraId="32B2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8171"/>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F390"/>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3E45"/>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5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组织宗教界培训</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8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F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1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5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D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1E98">
            <w:pPr>
              <w:jc w:val="center"/>
              <w:rPr>
                <w:rFonts w:hint="eastAsia" w:ascii="微软雅黑" w:hAnsi="微软雅黑" w:eastAsia="微软雅黑" w:cs="微软雅黑"/>
                <w:i w:val="0"/>
                <w:iCs w:val="0"/>
                <w:color w:val="000000"/>
                <w:sz w:val="16"/>
                <w:szCs w:val="16"/>
                <w:u w:val="none"/>
              </w:rPr>
            </w:pPr>
          </w:p>
        </w:tc>
      </w:tr>
      <w:tr w14:paraId="375D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C8F79"/>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722B"/>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F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5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督促整改效果</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F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BE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9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E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A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36BA">
            <w:pPr>
              <w:jc w:val="center"/>
              <w:rPr>
                <w:rFonts w:hint="eastAsia" w:ascii="微软雅黑" w:hAnsi="微软雅黑" w:eastAsia="微软雅黑" w:cs="微软雅黑"/>
                <w:i w:val="0"/>
                <w:iCs w:val="0"/>
                <w:color w:val="000000"/>
                <w:sz w:val="16"/>
                <w:szCs w:val="16"/>
                <w:u w:val="none"/>
              </w:rPr>
            </w:pPr>
          </w:p>
        </w:tc>
      </w:tr>
      <w:tr w14:paraId="1635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CCC4"/>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F3E8"/>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D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B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项目资金拨付及时率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F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C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3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B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3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C775">
            <w:pPr>
              <w:jc w:val="center"/>
              <w:rPr>
                <w:rFonts w:hint="eastAsia" w:ascii="微软雅黑" w:hAnsi="微软雅黑" w:eastAsia="微软雅黑" w:cs="微软雅黑"/>
                <w:i w:val="0"/>
                <w:iCs w:val="0"/>
                <w:color w:val="000000"/>
                <w:sz w:val="16"/>
                <w:szCs w:val="16"/>
                <w:u w:val="none"/>
              </w:rPr>
            </w:pPr>
          </w:p>
        </w:tc>
      </w:tr>
      <w:tr w14:paraId="279F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5922"/>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8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8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C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全区宗教领域和谐和顺、知法守法、管理规范从而更好的服务社会</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0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E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DA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D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D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0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92E3">
            <w:pPr>
              <w:jc w:val="center"/>
              <w:rPr>
                <w:rFonts w:hint="eastAsia" w:ascii="微软雅黑" w:hAnsi="微软雅黑" w:eastAsia="微软雅黑" w:cs="微软雅黑"/>
                <w:i w:val="0"/>
                <w:iCs w:val="0"/>
                <w:color w:val="000000"/>
                <w:sz w:val="16"/>
                <w:szCs w:val="16"/>
                <w:u w:val="none"/>
              </w:rPr>
            </w:pPr>
          </w:p>
        </w:tc>
      </w:tr>
      <w:tr w14:paraId="07D6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DB45"/>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E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F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7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宗教人士满意度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6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7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7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A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D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1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37A6">
            <w:pPr>
              <w:jc w:val="center"/>
              <w:rPr>
                <w:rFonts w:hint="eastAsia" w:ascii="微软雅黑" w:hAnsi="微软雅黑" w:eastAsia="微软雅黑" w:cs="微软雅黑"/>
                <w:i w:val="0"/>
                <w:iCs w:val="0"/>
                <w:color w:val="000000"/>
                <w:sz w:val="16"/>
                <w:szCs w:val="16"/>
                <w:u w:val="none"/>
              </w:rPr>
            </w:pPr>
          </w:p>
        </w:tc>
      </w:tr>
      <w:tr w14:paraId="1D34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67848"/>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3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C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8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项目资金总额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8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F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A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4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8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7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0DE4">
            <w:pPr>
              <w:jc w:val="center"/>
              <w:rPr>
                <w:rFonts w:hint="eastAsia" w:ascii="微软雅黑" w:hAnsi="微软雅黑" w:eastAsia="微软雅黑" w:cs="微软雅黑"/>
                <w:i w:val="0"/>
                <w:iCs w:val="0"/>
                <w:color w:val="000000"/>
                <w:sz w:val="16"/>
                <w:szCs w:val="16"/>
                <w:u w:val="none"/>
              </w:rPr>
            </w:pPr>
          </w:p>
        </w:tc>
      </w:tr>
      <w:tr w14:paraId="0FAC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3C4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5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A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12FA">
            <w:pPr>
              <w:rPr>
                <w:rFonts w:hint="eastAsia" w:ascii="宋体" w:hAnsi="宋体" w:eastAsia="宋体" w:cs="宋体"/>
                <w:i w:val="0"/>
                <w:iCs w:val="0"/>
                <w:color w:val="000000"/>
                <w:sz w:val="18"/>
                <w:szCs w:val="18"/>
                <w:u w:val="none"/>
              </w:rPr>
            </w:pPr>
          </w:p>
        </w:tc>
      </w:tr>
      <w:tr w14:paraId="76F3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7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BA0A0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该项目自评总分100分，说明该项目经费在实施时取得了良好的成效及成果</w:t>
            </w:r>
          </w:p>
        </w:tc>
      </w:tr>
      <w:tr w14:paraId="2825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D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C41FB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因宗教界人士不熟悉报账流程等原因，导致项目资金拨付及时率有待提高</w:t>
            </w:r>
          </w:p>
        </w:tc>
      </w:tr>
      <w:tr w14:paraId="2D82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F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AD12A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加强对宗教界人士的指导和培训。</w:t>
            </w:r>
          </w:p>
        </w:tc>
      </w:tr>
      <w:tr w14:paraId="4305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CFB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项目负责人：邓辉</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B742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罗丽华</w:t>
            </w:r>
          </w:p>
        </w:tc>
      </w:tr>
      <w:tr w14:paraId="2982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05276C8">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4E056BA3">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5AC1A2DA">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2B812AFC">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4E61E003">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52567A1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1124F2A">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4BACCF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95BD43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6BB4F90">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1E679A7B">
            <w:pPr>
              <w:rPr>
                <w:rFonts w:hint="eastAsia" w:ascii="宋体" w:hAnsi="宋体" w:eastAsia="宋体" w:cs="宋体"/>
                <w:i w:val="0"/>
                <w:iCs w:val="0"/>
                <w:color w:val="000000"/>
                <w:sz w:val="18"/>
                <w:szCs w:val="18"/>
                <w:u w:val="none"/>
              </w:rPr>
            </w:pPr>
          </w:p>
        </w:tc>
      </w:tr>
      <w:tr w14:paraId="5DFC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7B0EB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04A6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5E2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D87F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51090423T000007899668-干部教育培训专项资金</w:t>
            </w:r>
          </w:p>
        </w:tc>
      </w:tr>
      <w:tr w14:paraId="40EB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3FD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D6D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1817CC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F2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4D52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C2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FB8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B0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03E5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3EB3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5B383"/>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DAB3"/>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AD37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根据年度培训计划开展相关培训</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6DC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顺利完成统一战线代表人士培训。</w:t>
            </w:r>
          </w:p>
        </w:tc>
      </w:tr>
      <w:tr w14:paraId="5C0E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4D57"/>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CC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2FE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组织全区统一战线人士开展相关政治理论学习</w:t>
            </w:r>
          </w:p>
        </w:tc>
      </w:tr>
      <w:tr w14:paraId="7296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B9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E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4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72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F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1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6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F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504E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6AE22"/>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0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1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F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57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4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1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6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DA09A">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2AC7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7B2E"/>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5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4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F5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F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6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6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AF37"/>
        </w:tc>
      </w:tr>
      <w:tr w14:paraId="72B0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2C7D"/>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D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1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E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47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7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C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A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9EC9"/>
        </w:tc>
      </w:tr>
      <w:tr w14:paraId="28BF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254E8"/>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F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6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3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BA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A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C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8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C0AD"/>
        </w:tc>
      </w:tr>
      <w:tr w14:paraId="5F44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F8A10"/>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D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CD7C">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D561">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0723A">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6F48">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5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4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616F"/>
        </w:tc>
      </w:tr>
      <w:tr w14:paraId="1848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7F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9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3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6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6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9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E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6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4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73FE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ABD5"/>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ED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4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A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参加培训人数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C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5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5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B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1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C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4CA9">
            <w:pPr>
              <w:jc w:val="center"/>
              <w:rPr>
                <w:rFonts w:hint="eastAsia" w:ascii="宋体" w:hAnsi="宋体" w:eastAsia="宋体" w:cs="宋体"/>
                <w:i w:val="0"/>
                <w:iCs w:val="0"/>
                <w:color w:val="000000"/>
                <w:sz w:val="18"/>
                <w:szCs w:val="18"/>
                <w:u w:val="none"/>
              </w:rPr>
            </w:pPr>
          </w:p>
        </w:tc>
      </w:tr>
      <w:tr w14:paraId="752F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07F4F"/>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A9CD9"/>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4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D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参加培训效果</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D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6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AAF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B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A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2177">
            <w:pPr>
              <w:jc w:val="center"/>
              <w:rPr>
                <w:rFonts w:hint="eastAsia" w:ascii="宋体" w:hAnsi="宋体" w:eastAsia="宋体" w:cs="宋体"/>
                <w:i w:val="0"/>
                <w:iCs w:val="0"/>
                <w:color w:val="000000"/>
                <w:sz w:val="18"/>
                <w:szCs w:val="18"/>
                <w:u w:val="none"/>
              </w:rPr>
            </w:pPr>
          </w:p>
        </w:tc>
      </w:tr>
      <w:tr w14:paraId="2634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20662"/>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45B9"/>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3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4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资金拨付时间</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2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9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6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8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9FD7">
            <w:pPr>
              <w:jc w:val="center"/>
              <w:rPr>
                <w:rFonts w:hint="eastAsia" w:ascii="宋体" w:hAnsi="宋体" w:eastAsia="宋体" w:cs="宋体"/>
                <w:i w:val="0"/>
                <w:iCs w:val="0"/>
                <w:color w:val="000000"/>
                <w:sz w:val="18"/>
                <w:szCs w:val="18"/>
                <w:u w:val="none"/>
              </w:rPr>
            </w:pPr>
          </w:p>
        </w:tc>
      </w:tr>
      <w:tr w14:paraId="6A9C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3881"/>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3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4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A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宗教界人士、民主党派人士、党外人士服务大局、凝聚共识意识提升，促进社会和谐，推动了社会发展</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2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F5A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9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B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F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8E76">
            <w:pPr>
              <w:jc w:val="center"/>
              <w:rPr>
                <w:rFonts w:hint="eastAsia" w:ascii="宋体" w:hAnsi="宋体" w:eastAsia="宋体" w:cs="宋体"/>
                <w:i w:val="0"/>
                <w:iCs w:val="0"/>
                <w:color w:val="000000"/>
                <w:sz w:val="18"/>
                <w:szCs w:val="18"/>
                <w:u w:val="none"/>
              </w:rPr>
            </w:pPr>
          </w:p>
        </w:tc>
      </w:tr>
      <w:tr w14:paraId="39E1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A171"/>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9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E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5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参训人士满意度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C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F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F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9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0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F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B4FF">
            <w:pPr>
              <w:jc w:val="center"/>
              <w:rPr>
                <w:rFonts w:hint="eastAsia" w:ascii="宋体" w:hAnsi="宋体" w:eastAsia="宋体" w:cs="宋体"/>
                <w:i w:val="0"/>
                <w:iCs w:val="0"/>
                <w:color w:val="000000"/>
                <w:sz w:val="18"/>
                <w:szCs w:val="18"/>
                <w:u w:val="none"/>
              </w:rPr>
            </w:pPr>
          </w:p>
        </w:tc>
      </w:tr>
      <w:tr w14:paraId="7D2C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EC3FA"/>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3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7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项目资金总额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7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C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3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5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F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0749">
            <w:pPr>
              <w:jc w:val="center"/>
              <w:rPr>
                <w:rFonts w:hint="eastAsia" w:ascii="宋体" w:hAnsi="宋体" w:eastAsia="宋体" w:cs="宋体"/>
                <w:i w:val="0"/>
                <w:iCs w:val="0"/>
                <w:color w:val="000000"/>
                <w:sz w:val="18"/>
                <w:szCs w:val="18"/>
                <w:u w:val="none"/>
              </w:rPr>
            </w:pPr>
          </w:p>
        </w:tc>
      </w:tr>
      <w:tr w14:paraId="3219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EBA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7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DD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8E9F">
            <w:pPr>
              <w:rPr>
                <w:rFonts w:hint="eastAsia" w:ascii="宋体" w:hAnsi="宋体" w:eastAsia="宋体" w:cs="宋体"/>
                <w:i w:val="0"/>
                <w:iCs w:val="0"/>
                <w:color w:val="000000"/>
                <w:sz w:val="18"/>
                <w:szCs w:val="18"/>
                <w:u w:val="none"/>
              </w:rPr>
            </w:pPr>
          </w:p>
        </w:tc>
      </w:tr>
      <w:tr w14:paraId="1197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6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05E4E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结合自评优良，自评100分，通过项目实施确保统一战线代表人士培训顺利完成，强化了政治引领。</w:t>
            </w:r>
          </w:p>
        </w:tc>
      </w:tr>
      <w:tr w14:paraId="4825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3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6567B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3B2F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0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B5B40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5FF9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82E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项目负责人：陈坤</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1678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r w14:paraId="35BB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9B47CAB">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5DAF7584">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2FF23F58">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44CCEBAA">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0F081C8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6E3A192A">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07F41F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6E14D8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169D59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FCC6955">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0F089305">
            <w:pPr>
              <w:rPr>
                <w:rFonts w:hint="eastAsia" w:ascii="宋体" w:hAnsi="宋体" w:eastAsia="宋体" w:cs="宋体"/>
                <w:i w:val="0"/>
                <w:iCs w:val="0"/>
                <w:color w:val="000000"/>
                <w:sz w:val="18"/>
                <w:szCs w:val="18"/>
                <w:u w:val="none"/>
              </w:rPr>
            </w:pPr>
          </w:p>
        </w:tc>
      </w:tr>
      <w:tr w14:paraId="34D7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2577F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7393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63A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75B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51090423T000008739009-少数民族机动金2023</w:t>
            </w:r>
          </w:p>
        </w:tc>
      </w:tr>
      <w:tr w14:paraId="3667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A7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FBF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455E90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B1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55CF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A14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A48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D7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F7254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02AE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87CD"/>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F7E15"/>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7C3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根据年度项目计划帮扶少数民族群众生活及发展</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457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通过项目的实施解决了确保了少数民族工作顺利开展，进一步铸牢中华民族共同体意识</w:t>
            </w:r>
          </w:p>
        </w:tc>
      </w:tr>
      <w:tr w14:paraId="3703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996C"/>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8E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1E21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根据年度项目计划帮扶少数民族群众生活及发展</w:t>
            </w:r>
          </w:p>
        </w:tc>
      </w:tr>
      <w:tr w14:paraId="3ABE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51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B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D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C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02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B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5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2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A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32EF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0765"/>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A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A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6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95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E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4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4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0FB14">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28F0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FBC0C"/>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2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6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D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5E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4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4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A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DBB2"/>
        </w:tc>
      </w:tr>
      <w:tr w14:paraId="52A9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68DF"/>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B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E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9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2B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0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7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4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3072"/>
        </w:tc>
      </w:tr>
      <w:tr w14:paraId="2C0E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75AE"/>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1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C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1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40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C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C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E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C7686"/>
        </w:tc>
      </w:tr>
      <w:tr w14:paraId="567D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C6DD4"/>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F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7AC3">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87AA">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5F037">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8C1">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B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4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D4C82"/>
        </w:tc>
      </w:tr>
      <w:tr w14:paraId="252F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E4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2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1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B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D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1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1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3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A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B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5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7756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23CC"/>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E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B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E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实施四小工程玉丰镇伙同村</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D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90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3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处</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4353">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4A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9C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655">
            <w:pPr>
              <w:jc w:val="center"/>
              <w:rPr>
                <w:rFonts w:hint="eastAsia" w:ascii="宋体" w:hAnsi="宋体" w:eastAsia="宋体" w:cs="宋体"/>
                <w:i w:val="0"/>
                <w:iCs w:val="0"/>
                <w:color w:val="000000"/>
                <w:sz w:val="18"/>
                <w:szCs w:val="18"/>
                <w:u w:val="none"/>
              </w:rPr>
            </w:pPr>
          </w:p>
        </w:tc>
      </w:tr>
      <w:tr w14:paraId="7DB4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2A0F4"/>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EE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6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1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“四小工程”实施进度和建设质量</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5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4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优良差</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2963">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E94D">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9E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71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B58D">
            <w:pPr>
              <w:jc w:val="center"/>
              <w:rPr>
                <w:rFonts w:hint="eastAsia" w:ascii="宋体" w:hAnsi="宋体" w:eastAsia="宋体" w:cs="宋体"/>
                <w:i w:val="0"/>
                <w:iCs w:val="0"/>
                <w:color w:val="000000"/>
                <w:sz w:val="18"/>
                <w:szCs w:val="18"/>
                <w:u w:val="none"/>
              </w:rPr>
            </w:pPr>
          </w:p>
        </w:tc>
      </w:tr>
      <w:tr w14:paraId="3C94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2745"/>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9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A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F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按进度实施“四小工程”</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D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3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3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D14F">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D8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02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FB2B">
            <w:pPr>
              <w:jc w:val="center"/>
              <w:rPr>
                <w:rFonts w:hint="eastAsia" w:ascii="宋体" w:hAnsi="宋体" w:eastAsia="宋体" w:cs="宋体"/>
                <w:i w:val="0"/>
                <w:iCs w:val="0"/>
                <w:color w:val="000000"/>
                <w:sz w:val="18"/>
                <w:szCs w:val="18"/>
                <w:u w:val="none"/>
              </w:rPr>
            </w:pPr>
          </w:p>
        </w:tc>
      </w:tr>
      <w:tr w14:paraId="716A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8A09D"/>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7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B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8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解决制约少数民族群众发展瓶颈项目和群众生产生活最急需问题</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E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C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优良差</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1F38">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BFA9">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10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5E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B9E8">
            <w:pPr>
              <w:jc w:val="center"/>
              <w:rPr>
                <w:rFonts w:hint="eastAsia" w:ascii="宋体" w:hAnsi="宋体" w:eastAsia="宋体" w:cs="宋体"/>
                <w:i w:val="0"/>
                <w:iCs w:val="0"/>
                <w:color w:val="000000"/>
                <w:sz w:val="18"/>
                <w:szCs w:val="18"/>
                <w:u w:val="none"/>
              </w:rPr>
            </w:pPr>
          </w:p>
        </w:tc>
      </w:tr>
      <w:tr w14:paraId="081A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F9D5"/>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9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7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C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少数民族群众满意度</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A4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F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6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4997">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F2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D5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C790">
            <w:pPr>
              <w:jc w:val="center"/>
              <w:rPr>
                <w:rFonts w:hint="eastAsia" w:ascii="宋体" w:hAnsi="宋体" w:eastAsia="宋体" w:cs="宋体"/>
                <w:i w:val="0"/>
                <w:iCs w:val="0"/>
                <w:color w:val="000000"/>
                <w:sz w:val="18"/>
                <w:szCs w:val="18"/>
                <w:u w:val="none"/>
              </w:rPr>
            </w:pPr>
          </w:p>
        </w:tc>
      </w:tr>
      <w:tr w14:paraId="286E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D79C"/>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A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8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A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“四小工程”、示范点建设经费</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8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C6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9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万元/个</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ADEA">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17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6C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FB98">
            <w:pPr>
              <w:jc w:val="center"/>
              <w:rPr>
                <w:rFonts w:hint="eastAsia" w:ascii="宋体" w:hAnsi="宋体" w:eastAsia="宋体" w:cs="宋体"/>
                <w:i w:val="0"/>
                <w:iCs w:val="0"/>
                <w:color w:val="000000"/>
                <w:sz w:val="18"/>
                <w:szCs w:val="18"/>
                <w:u w:val="none"/>
              </w:rPr>
            </w:pPr>
          </w:p>
        </w:tc>
      </w:tr>
      <w:tr w14:paraId="2CD9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79DE0"/>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81BA">
            <w:pPr>
              <w:jc w:val="center"/>
              <w:rPr>
                <w:rFonts w:hint="eastAsia" w:ascii="宋体" w:hAnsi="宋体" w:eastAsia="宋体" w:cs="宋体"/>
                <w:i w:val="0"/>
                <w:iCs w:val="0"/>
                <w:color w:val="000000"/>
                <w:sz w:val="18"/>
                <w:szCs w:val="18"/>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B35A">
            <w:pPr>
              <w:jc w:val="center"/>
              <w:rPr>
                <w:rFonts w:hint="eastAsia" w:ascii="宋体" w:hAnsi="宋体" w:eastAsia="宋体" w:cs="宋体"/>
                <w:i w:val="0"/>
                <w:iCs w:val="0"/>
                <w:color w:val="000000"/>
                <w:sz w:val="18"/>
                <w:szCs w:val="18"/>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C2A7">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828D">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A7F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528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9E08">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CFBF">
            <w:pPr>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3E73">
            <w:pPr>
              <w:jc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F17F">
            <w:pPr>
              <w:jc w:val="center"/>
              <w:rPr>
                <w:rFonts w:hint="eastAsia" w:ascii="微软雅黑" w:hAnsi="微软雅黑" w:eastAsia="微软雅黑" w:cs="微软雅黑"/>
                <w:i w:val="0"/>
                <w:iCs w:val="0"/>
                <w:color w:val="000000"/>
                <w:sz w:val="16"/>
                <w:szCs w:val="16"/>
                <w:u w:val="none"/>
              </w:rPr>
            </w:pPr>
          </w:p>
        </w:tc>
      </w:tr>
      <w:tr w14:paraId="710D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182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D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D0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3780">
            <w:pPr>
              <w:rPr>
                <w:rFonts w:hint="eastAsia" w:ascii="宋体" w:hAnsi="宋体" w:eastAsia="宋体" w:cs="宋体"/>
                <w:i w:val="0"/>
                <w:iCs w:val="0"/>
                <w:color w:val="000000"/>
                <w:sz w:val="18"/>
                <w:szCs w:val="18"/>
                <w:u w:val="none"/>
              </w:rPr>
            </w:pPr>
          </w:p>
        </w:tc>
      </w:tr>
      <w:tr w14:paraId="5B94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1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EF6DC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结合自评良好，自评得分100分，通过项目的实施解决了确保了少数民族工作顺利开展，进一步铸牢中华民族共同体意识</w:t>
            </w:r>
          </w:p>
        </w:tc>
      </w:tr>
      <w:tr w14:paraId="7272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F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EE7A9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79FB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C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6435A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1690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0FF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项目负责人：邓辉</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EEEF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r w14:paraId="2ECB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3E787D0">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3F90B2B2">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64C1BB23">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6544B275">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5238115C">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7CA09F8B">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6FC2830">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1ACEA4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222901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29D5D1B">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2A82279B">
            <w:pPr>
              <w:rPr>
                <w:rFonts w:hint="eastAsia" w:ascii="宋体" w:hAnsi="宋体" w:eastAsia="宋体" w:cs="宋体"/>
                <w:i w:val="0"/>
                <w:iCs w:val="0"/>
                <w:color w:val="000000"/>
                <w:sz w:val="18"/>
                <w:szCs w:val="18"/>
                <w:u w:val="none"/>
              </w:rPr>
            </w:pPr>
          </w:p>
        </w:tc>
      </w:tr>
      <w:tr w14:paraId="06E0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57061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6A55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8E8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5BBD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51090423T000009117914-少数民族发展资金</w:t>
            </w:r>
          </w:p>
        </w:tc>
      </w:tr>
      <w:tr w14:paraId="7DC2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D3F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94C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2EED1C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81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15E0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4B0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2C7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98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0F6D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6CBE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E1DB9"/>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94E3"/>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FF9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改善闲散少数民族居住地、促进当地经济发展</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6AF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通过项目实施，闲散少数民族居住地的基础实施得以改善、产业项目得以发展，促进了这些地区的经济与发展</w:t>
            </w:r>
          </w:p>
        </w:tc>
      </w:tr>
      <w:tr w14:paraId="009D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91FA2"/>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87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5FD9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改善闲散少数民族居住地、促进当地经济发展</w:t>
            </w:r>
          </w:p>
        </w:tc>
      </w:tr>
      <w:tr w14:paraId="7F1F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1C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A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2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1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03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3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B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5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A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2862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19C9"/>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2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F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7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5F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C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5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A245">
            <w:pPr>
              <w:jc w:val="center"/>
              <w:rPr>
                <w:rFonts w:hint="eastAsia" w:ascii="宋体" w:hAnsi="宋体" w:eastAsia="宋体" w:cs="宋体"/>
                <w:i w:val="0"/>
                <w:iCs w:val="0"/>
                <w:color w:val="000000"/>
                <w:sz w:val="18"/>
                <w:szCs w:val="18"/>
                <w:u w:val="none"/>
              </w:rPr>
            </w:pP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FC177">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1B60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82D06"/>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D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B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3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F9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0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7AD5"/>
        </w:tc>
      </w:tr>
      <w:tr w14:paraId="11413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873C"/>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9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D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6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27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0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21EE"/>
        </w:tc>
      </w:tr>
      <w:tr w14:paraId="3959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4152"/>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E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C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54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2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2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2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EA95"/>
        </w:tc>
      </w:tr>
      <w:tr w14:paraId="0DD2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ACF4"/>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6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9892">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41CF">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34BEC">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DA82">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3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5C1D"/>
        </w:tc>
      </w:tr>
      <w:tr w14:paraId="19ED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C0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4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3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B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6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D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F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9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1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8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7A41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F0D0F"/>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1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E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8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资金支付时限</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2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05BE">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23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8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A7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63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501A">
            <w:pPr>
              <w:jc w:val="center"/>
              <w:rPr>
                <w:rFonts w:hint="eastAsia" w:ascii="宋体" w:hAnsi="宋体" w:eastAsia="宋体" w:cs="宋体"/>
                <w:i w:val="0"/>
                <w:iCs w:val="0"/>
                <w:color w:val="000000"/>
                <w:sz w:val="18"/>
                <w:szCs w:val="18"/>
                <w:u w:val="none"/>
              </w:rPr>
            </w:pPr>
          </w:p>
        </w:tc>
      </w:tr>
      <w:tr w14:paraId="2A10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9A6FA"/>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9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C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0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资金支付及时率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2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AD7D">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F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5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DA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3B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47B6">
            <w:pPr>
              <w:jc w:val="center"/>
              <w:rPr>
                <w:rFonts w:hint="eastAsia" w:ascii="宋体" w:hAnsi="宋体" w:eastAsia="宋体" w:cs="宋体"/>
                <w:i w:val="0"/>
                <w:iCs w:val="0"/>
                <w:color w:val="000000"/>
                <w:sz w:val="18"/>
                <w:szCs w:val="18"/>
                <w:u w:val="none"/>
              </w:rPr>
            </w:pPr>
          </w:p>
        </w:tc>
      </w:tr>
      <w:tr w14:paraId="2E5C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B1F96"/>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E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E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8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提升少数民族幸福感、获得感</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E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73AB">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8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优良差</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9474">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56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0D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965D">
            <w:pPr>
              <w:jc w:val="center"/>
              <w:rPr>
                <w:rFonts w:hint="eastAsia" w:ascii="宋体" w:hAnsi="宋体" w:eastAsia="宋体" w:cs="宋体"/>
                <w:i w:val="0"/>
                <w:iCs w:val="0"/>
                <w:color w:val="000000"/>
                <w:sz w:val="18"/>
                <w:szCs w:val="18"/>
                <w:u w:val="none"/>
              </w:rPr>
            </w:pPr>
          </w:p>
        </w:tc>
      </w:tr>
      <w:tr w14:paraId="14F4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0A76"/>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FC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5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1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少数民族满意度</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2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1250">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5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1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CC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4B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103F">
            <w:pPr>
              <w:jc w:val="center"/>
              <w:rPr>
                <w:rFonts w:hint="eastAsia" w:ascii="宋体" w:hAnsi="宋体" w:eastAsia="宋体" w:cs="宋体"/>
                <w:i w:val="0"/>
                <w:iCs w:val="0"/>
                <w:color w:val="000000"/>
                <w:sz w:val="18"/>
                <w:szCs w:val="18"/>
                <w:u w:val="none"/>
              </w:rPr>
            </w:pPr>
          </w:p>
        </w:tc>
      </w:tr>
      <w:tr w14:paraId="781C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211D"/>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9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B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0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支出金额</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2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2D82">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42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0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万元</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54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18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4242">
            <w:pPr>
              <w:jc w:val="center"/>
              <w:rPr>
                <w:rFonts w:hint="eastAsia" w:ascii="宋体" w:hAnsi="宋体" w:eastAsia="宋体" w:cs="宋体"/>
                <w:i w:val="0"/>
                <w:iCs w:val="0"/>
                <w:color w:val="000000"/>
                <w:sz w:val="18"/>
                <w:szCs w:val="18"/>
                <w:u w:val="none"/>
              </w:rPr>
            </w:pPr>
          </w:p>
        </w:tc>
      </w:tr>
      <w:tr w14:paraId="64FB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270E3"/>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2C7F">
            <w:pPr>
              <w:jc w:val="center"/>
              <w:rPr>
                <w:rFonts w:hint="eastAsia" w:ascii="宋体" w:hAnsi="宋体" w:eastAsia="宋体" w:cs="宋体"/>
                <w:i w:val="0"/>
                <w:iCs w:val="0"/>
                <w:color w:val="000000"/>
                <w:sz w:val="18"/>
                <w:szCs w:val="18"/>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3CB4">
            <w:pPr>
              <w:jc w:val="center"/>
              <w:rPr>
                <w:rFonts w:hint="eastAsia" w:ascii="宋体" w:hAnsi="宋体" w:eastAsia="宋体" w:cs="宋体"/>
                <w:i w:val="0"/>
                <w:iCs w:val="0"/>
                <w:color w:val="000000"/>
                <w:sz w:val="18"/>
                <w:szCs w:val="18"/>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8627">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9C7D">
            <w:pPr>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4AC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9FF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0987">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B977">
            <w:pPr>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2505">
            <w:pPr>
              <w:jc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3095">
            <w:pPr>
              <w:jc w:val="center"/>
              <w:rPr>
                <w:rFonts w:hint="eastAsia" w:ascii="微软雅黑" w:hAnsi="微软雅黑" w:eastAsia="微软雅黑" w:cs="微软雅黑"/>
                <w:i w:val="0"/>
                <w:iCs w:val="0"/>
                <w:color w:val="000000"/>
                <w:sz w:val="16"/>
                <w:szCs w:val="16"/>
                <w:u w:val="none"/>
              </w:rPr>
            </w:pPr>
          </w:p>
        </w:tc>
      </w:tr>
      <w:tr w14:paraId="11DE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C8D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80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FE86">
            <w:pPr>
              <w:rPr>
                <w:rFonts w:hint="eastAsia" w:ascii="宋体" w:hAnsi="宋体" w:eastAsia="宋体" w:cs="宋体"/>
                <w:i w:val="0"/>
                <w:iCs w:val="0"/>
                <w:color w:val="000000"/>
                <w:sz w:val="18"/>
                <w:szCs w:val="18"/>
                <w:u w:val="none"/>
              </w:rPr>
            </w:pPr>
          </w:p>
        </w:tc>
      </w:tr>
      <w:tr w14:paraId="3AEC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8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D0F04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结合自评情况优良，自评得分100分，通过项目实施，闲散少数民族居住地的基础实施得以改善、产业项目得以发展，促进了这些地区的经济与发展</w:t>
            </w:r>
          </w:p>
        </w:tc>
      </w:tr>
      <w:tr w14:paraId="216D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6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93A9F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7D2E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0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33067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5698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891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项目负责人：邓辉</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B7F5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r w14:paraId="6F62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7AF62D3">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12848772">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5ED5E38B">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3213D433">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01F05EB8">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F0F469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6660D8F">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BDDC4E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53B3B1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22D318F">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685EEE57">
            <w:pPr>
              <w:rPr>
                <w:rFonts w:hint="eastAsia" w:ascii="宋体" w:hAnsi="宋体" w:eastAsia="宋体" w:cs="宋体"/>
                <w:i w:val="0"/>
                <w:iCs w:val="0"/>
                <w:color w:val="000000"/>
                <w:sz w:val="18"/>
                <w:szCs w:val="18"/>
                <w:u w:val="none"/>
              </w:rPr>
            </w:pPr>
          </w:p>
        </w:tc>
      </w:tr>
      <w:tr w14:paraId="0BB5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16055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15B5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877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2B0D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51090424T000010371817-少数民族发展专项资金</w:t>
            </w:r>
          </w:p>
        </w:tc>
      </w:tr>
      <w:tr w14:paraId="52A6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C8D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F0D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472BBE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7A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2EFD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D51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D1A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4B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FF28E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7C8A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06A6"/>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C547"/>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6E4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支持少数民族地区发展，其中10万元用于东禅镇黄茅沟道路建设，20万元用于常理镇海龙村民族团结进步提质增效项目</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5D6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完成东禅镇黄茅沟村道路建设</w:t>
            </w:r>
          </w:p>
        </w:tc>
      </w:tr>
      <w:tr w14:paraId="4266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CA7D8"/>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5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BA51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用于东禅镇黄茅沟道路建设、常理镇海龙村民族团结进步提质增效等项目</w:t>
            </w:r>
          </w:p>
        </w:tc>
      </w:tr>
      <w:tr w14:paraId="6BE7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08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A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8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7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01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A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7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A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F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06D7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874B"/>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D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7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2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56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6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C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8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91FA4">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255A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E27B5"/>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8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7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B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18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5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8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9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D9C8"/>
        </w:tc>
      </w:tr>
      <w:tr w14:paraId="7120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820B4"/>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A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B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CA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2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1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8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89A76"/>
        </w:tc>
      </w:tr>
      <w:tr w14:paraId="5C6E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F5BA4"/>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4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D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0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47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0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9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0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33448"/>
        </w:tc>
      </w:tr>
      <w:tr w14:paraId="7B4E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747C"/>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2D5F">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23C9">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3DB78">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DDF3">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6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22615"/>
        </w:tc>
      </w:tr>
      <w:tr w14:paraId="334F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66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5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3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3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5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9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0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F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D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4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0AAA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FA1BA"/>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A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9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0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资金支付时限</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D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E487">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88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9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82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8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5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其中未支付20万元（遂财行</w:t>
            </w:r>
            <w:r>
              <w:rPr>
                <w:rFonts w:ascii="楷体_GB2312" w:hAnsi="宋体" w:eastAsia="楷体_GB2312" w:cs="楷体_GB2312"/>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2024</w:t>
            </w:r>
            <w:r>
              <w:rPr>
                <w:rFonts w:ascii="楷体_GB2312" w:hAnsi="宋体" w:eastAsia="楷体_GB2312" w:cs="楷体_GB2312"/>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112号）项目为24年7月申报项目，项目周期跨越到25年正式实施，资金实际拨付时间为25年。</w:t>
            </w:r>
          </w:p>
        </w:tc>
      </w:tr>
      <w:tr w14:paraId="2FA7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CBDC"/>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8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8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2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资金支付及时率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0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26E2">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1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3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CB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FD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31D3">
            <w:pPr>
              <w:jc w:val="center"/>
              <w:rPr>
                <w:rFonts w:hint="eastAsia" w:ascii="宋体" w:hAnsi="宋体" w:eastAsia="宋体" w:cs="宋体"/>
                <w:i w:val="0"/>
                <w:iCs w:val="0"/>
                <w:color w:val="000000"/>
                <w:sz w:val="18"/>
                <w:szCs w:val="18"/>
                <w:u w:val="none"/>
              </w:rPr>
            </w:pPr>
          </w:p>
        </w:tc>
      </w:tr>
      <w:tr w14:paraId="34F1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A1EC"/>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6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D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C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提升少数民族幸福感、获得感</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7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8B68">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5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优良差</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7FBF">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03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E1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F0D6">
            <w:pPr>
              <w:jc w:val="center"/>
              <w:rPr>
                <w:rFonts w:hint="eastAsia" w:ascii="宋体" w:hAnsi="宋体" w:eastAsia="宋体" w:cs="宋体"/>
                <w:i w:val="0"/>
                <w:iCs w:val="0"/>
                <w:color w:val="000000"/>
                <w:sz w:val="18"/>
                <w:szCs w:val="18"/>
                <w:u w:val="none"/>
              </w:rPr>
            </w:pPr>
          </w:p>
        </w:tc>
      </w:tr>
      <w:tr w14:paraId="1AEA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7D57"/>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7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E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9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少数民族满意度</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C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5B9A">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F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6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1F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69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7650">
            <w:pPr>
              <w:jc w:val="center"/>
              <w:rPr>
                <w:rFonts w:hint="eastAsia" w:ascii="宋体" w:hAnsi="宋体" w:eastAsia="宋体" w:cs="宋体"/>
                <w:i w:val="0"/>
                <w:iCs w:val="0"/>
                <w:color w:val="000000"/>
                <w:sz w:val="18"/>
                <w:szCs w:val="18"/>
                <w:u w:val="none"/>
              </w:rPr>
            </w:pPr>
          </w:p>
        </w:tc>
      </w:tr>
      <w:tr w14:paraId="1226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61824"/>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3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E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E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支出金额</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4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B5FD">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9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2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万元</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84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4F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2D7D">
            <w:pPr>
              <w:jc w:val="center"/>
              <w:rPr>
                <w:rFonts w:hint="eastAsia" w:ascii="微软雅黑" w:hAnsi="微软雅黑" w:eastAsia="微软雅黑" w:cs="微软雅黑"/>
                <w:i w:val="0"/>
                <w:iCs w:val="0"/>
                <w:color w:val="000000"/>
                <w:sz w:val="16"/>
                <w:szCs w:val="16"/>
                <w:u w:val="none"/>
              </w:rPr>
            </w:pPr>
          </w:p>
        </w:tc>
      </w:tr>
      <w:tr w14:paraId="2763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74A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B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A0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5D03">
            <w:pPr>
              <w:rPr>
                <w:rFonts w:hint="eastAsia" w:ascii="宋体" w:hAnsi="宋体" w:eastAsia="宋体" w:cs="宋体"/>
                <w:i w:val="0"/>
                <w:iCs w:val="0"/>
                <w:color w:val="000000"/>
                <w:sz w:val="18"/>
                <w:szCs w:val="18"/>
                <w:u w:val="none"/>
              </w:rPr>
            </w:pPr>
          </w:p>
        </w:tc>
      </w:tr>
      <w:tr w14:paraId="0832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D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1D0A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结合自评良好，自评得分80分，主要原因是常理镇海龙村民族团结进步提质增效项目为24年争取项目资金，实际实施拨付年份为次年，通过项目的实施解决了涉及村基础设施建设项目，为社会经济发展提供必不可少的基础保障。</w:t>
            </w:r>
          </w:p>
        </w:tc>
      </w:tr>
      <w:tr w14:paraId="0D04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D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B71C2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存在的主要问题是项目申报周期和资金下达时间存在误差，造成项目还未实施资金已经下达，资金拨付不能及时实现</w:t>
            </w:r>
          </w:p>
        </w:tc>
      </w:tr>
      <w:tr w14:paraId="32F2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3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7767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调整项目绩效指标，缩短项目申报周期，加快项目实施，确保资金及时拨付。</w:t>
            </w:r>
          </w:p>
        </w:tc>
      </w:tr>
      <w:tr w14:paraId="5DA7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683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项目负责人：邓辉</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71C0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r w14:paraId="60EE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ADAF854">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746751C2">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524A8DBC">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27A8583C">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0DFCA21">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409E238B">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215A65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2DA2E1F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38B323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879F3C0">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1B5DA1AC">
            <w:pPr>
              <w:rPr>
                <w:rFonts w:hint="eastAsia" w:ascii="宋体" w:hAnsi="宋体" w:eastAsia="宋体" w:cs="宋体"/>
                <w:i w:val="0"/>
                <w:iCs w:val="0"/>
                <w:color w:val="000000"/>
                <w:sz w:val="18"/>
                <w:szCs w:val="18"/>
                <w:u w:val="none"/>
              </w:rPr>
            </w:pPr>
          </w:p>
        </w:tc>
      </w:tr>
      <w:tr w14:paraId="67DE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3D534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20EB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9E1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2685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51090424T000011821129-信创项目资金</w:t>
            </w:r>
          </w:p>
        </w:tc>
      </w:tr>
      <w:tr w14:paraId="3821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D3E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88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18AFF2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B1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7980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12D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638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38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4008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2F51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FE555"/>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79D55"/>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939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完成3台国产电脑采购任务</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A31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完成项目采购工作</w:t>
            </w:r>
          </w:p>
        </w:tc>
      </w:tr>
      <w:tr w14:paraId="7A79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689E"/>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17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8B73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通过必选完成国产电脑更换工作</w:t>
            </w:r>
          </w:p>
        </w:tc>
      </w:tr>
      <w:tr w14:paraId="174E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B2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4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4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E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67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5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4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E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E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2DA5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BD6D"/>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C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D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C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32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6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B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80546">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092E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E970"/>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F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F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BB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F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A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83B1D"/>
        </w:tc>
      </w:tr>
      <w:tr w14:paraId="6984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27403"/>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8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7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3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76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0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6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F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B8D8"/>
        </w:tc>
      </w:tr>
      <w:tr w14:paraId="72BB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C88B"/>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2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B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1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05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1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B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E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6105"/>
        </w:tc>
      </w:tr>
      <w:tr w14:paraId="6F75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9A28"/>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F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D0C4">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37E9">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407DE">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5898">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D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3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E1AF"/>
        </w:tc>
      </w:tr>
      <w:tr w14:paraId="630B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D5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0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4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8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6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F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5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C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D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54AC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C1C38"/>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7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4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5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电脑运行留流畅</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1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5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优良差</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A25B">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9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07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94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BC5F">
            <w:pPr>
              <w:jc w:val="center"/>
              <w:rPr>
                <w:rFonts w:hint="eastAsia" w:ascii="宋体" w:hAnsi="宋体" w:eastAsia="宋体" w:cs="宋体"/>
                <w:i w:val="0"/>
                <w:iCs w:val="0"/>
                <w:color w:val="000000"/>
                <w:sz w:val="18"/>
                <w:szCs w:val="18"/>
                <w:u w:val="none"/>
              </w:rPr>
            </w:pPr>
          </w:p>
        </w:tc>
      </w:tr>
      <w:tr w14:paraId="263E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41D1"/>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0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7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8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付款时限</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E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5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B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天</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B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AF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4E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383F">
            <w:pPr>
              <w:jc w:val="center"/>
              <w:rPr>
                <w:rFonts w:hint="eastAsia" w:ascii="宋体" w:hAnsi="宋体" w:eastAsia="宋体" w:cs="宋体"/>
                <w:i w:val="0"/>
                <w:iCs w:val="0"/>
                <w:color w:val="000000"/>
                <w:sz w:val="18"/>
                <w:szCs w:val="18"/>
                <w:u w:val="none"/>
              </w:rPr>
            </w:pPr>
          </w:p>
        </w:tc>
      </w:tr>
      <w:tr w14:paraId="6930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D432"/>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A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3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8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电脑配置数量</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E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C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1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台</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F9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BD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9F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2DCA">
            <w:pPr>
              <w:jc w:val="center"/>
              <w:rPr>
                <w:rFonts w:hint="eastAsia" w:ascii="宋体" w:hAnsi="宋体" w:eastAsia="宋体" w:cs="宋体"/>
                <w:i w:val="0"/>
                <w:iCs w:val="0"/>
                <w:color w:val="000000"/>
                <w:sz w:val="18"/>
                <w:szCs w:val="18"/>
                <w:u w:val="none"/>
              </w:rPr>
            </w:pPr>
          </w:p>
        </w:tc>
      </w:tr>
      <w:tr w14:paraId="59AD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CD5F"/>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9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8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5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助推高质量办公</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D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F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优良差</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114A">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B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16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79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81C3">
            <w:pPr>
              <w:jc w:val="center"/>
              <w:rPr>
                <w:rFonts w:hint="eastAsia" w:ascii="宋体" w:hAnsi="宋体" w:eastAsia="宋体" w:cs="宋体"/>
                <w:i w:val="0"/>
                <w:iCs w:val="0"/>
                <w:color w:val="000000"/>
                <w:sz w:val="18"/>
                <w:szCs w:val="18"/>
                <w:u w:val="none"/>
              </w:rPr>
            </w:pPr>
          </w:p>
        </w:tc>
      </w:tr>
      <w:tr w14:paraId="7A6B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9CE8"/>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B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8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电脑使用人员满意度</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A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D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3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FD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C6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06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150B">
            <w:pPr>
              <w:jc w:val="center"/>
              <w:rPr>
                <w:rFonts w:hint="eastAsia" w:ascii="宋体" w:hAnsi="宋体" w:eastAsia="宋体" w:cs="宋体"/>
                <w:i w:val="0"/>
                <w:iCs w:val="0"/>
                <w:color w:val="000000"/>
                <w:sz w:val="18"/>
                <w:szCs w:val="18"/>
                <w:u w:val="none"/>
              </w:rPr>
            </w:pPr>
          </w:p>
        </w:tc>
      </w:tr>
      <w:tr w14:paraId="5F93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1484"/>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B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2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3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每台电脑费用</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1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4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6000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F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元</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4E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6000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D0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E8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5197">
            <w:pPr>
              <w:jc w:val="center"/>
              <w:rPr>
                <w:rFonts w:hint="eastAsia" w:ascii="宋体" w:hAnsi="宋体" w:eastAsia="宋体" w:cs="宋体"/>
                <w:i w:val="0"/>
                <w:iCs w:val="0"/>
                <w:color w:val="000000"/>
                <w:sz w:val="18"/>
                <w:szCs w:val="18"/>
                <w:u w:val="none"/>
              </w:rPr>
            </w:pPr>
          </w:p>
        </w:tc>
      </w:tr>
      <w:tr w14:paraId="7FF5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127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2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5F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2012">
            <w:pPr>
              <w:rPr>
                <w:rFonts w:hint="eastAsia" w:ascii="宋体" w:hAnsi="宋体" w:eastAsia="宋体" w:cs="宋体"/>
                <w:i w:val="0"/>
                <w:iCs w:val="0"/>
                <w:color w:val="000000"/>
                <w:sz w:val="18"/>
                <w:szCs w:val="18"/>
                <w:u w:val="none"/>
              </w:rPr>
            </w:pPr>
          </w:p>
        </w:tc>
      </w:tr>
      <w:tr w14:paraId="504F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C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A16E8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综合评价优良，项目自评得分100。通过项目实施确保采购项目顺利完成。</w:t>
            </w:r>
          </w:p>
        </w:tc>
      </w:tr>
      <w:tr w14:paraId="5724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44CA0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预算测算有待进一步提高</w:t>
            </w:r>
          </w:p>
        </w:tc>
      </w:tr>
      <w:tr w14:paraId="0E80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D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9B9FF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严格按照上级预算部门要求完成预算编制，预算测算数据时尽量精准减少调整率</w:t>
            </w:r>
          </w:p>
        </w:tc>
      </w:tr>
      <w:tr w14:paraId="5C60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3E28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项目负责人：陈坤</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EC3A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r w14:paraId="169F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B9C32BC">
            <w:pPr>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auto"/>
            <w:vAlign w:val="center"/>
          </w:tcPr>
          <w:p w14:paraId="0F70579C">
            <w:pPr>
              <w:rPr>
                <w:rFonts w:hint="eastAsia" w:ascii="宋体" w:hAnsi="宋体" w:eastAsia="宋体" w:cs="宋体"/>
                <w:i w:val="0"/>
                <w:iCs w:val="0"/>
                <w:color w:val="000000"/>
                <w:sz w:val="18"/>
                <w:szCs w:val="18"/>
                <w:u w:val="none"/>
              </w:rPr>
            </w:pPr>
          </w:p>
        </w:tc>
        <w:tc>
          <w:tcPr>
            <w:tcW w:w="1836" w:type="dxa"/>
            <w:tcBorders>
              <w:top w:val="nil"/>
              <w:left w:val="nil"/>
              <w:bottom w:val="nil"/>
              <w:right w:val="nil"/>
            </w:tcBorders>
            <w:shd w:val="clear" w:color="auto" w:fill="auto"/>
            <w:vAlign w:val="center"/>
          </w:tcPr>
          <w:p w14:paraId="3F1F4B0F">
            <w:pPr>
              <w:rPr>
                <w:rFonts w:hint="eastAsia" w:ascii="宋体" w:hAnsi="宋体" w:eastAsia="宋体" w:cs="宋体"/>
                <w:i w:val="0"/>
                <w:iCs w:val="0"/>
                <w:color w:val="000000"/>
                <w:sz w:val="18"/>
                <w:szCs w:val="18"/>
                <w:u w:val="none"/>
              </w:rPr>
            </w:pPr>
          </w:p>
        </w:tc>
        <w:tc>
          <w:tcPr>
            <w:tcW w:w="5256" w:type="dxa"/>
            <w:tcBorders>
              <w:top w:val="nil"/>
              <w:left w:val="nil"/>
              <w:bottom w:val="nil"/>
              <w:right w:val="nil"/>
            </w:tcBorders>
            <w:shd w:val="clear" w:color="auto" w:fill="auto"/>
            <w:vAlign w:val="center"/>
          </w:tcPr>
          <w:p w14:paraId="012F3430">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14:paraId="6B3677DA">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14:paraId="145205F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80D73B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50C22B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7F7327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D05069A">
            <w:pPr>
              <w:rPr>
                <w:rFonts w:hint="eastAsia" w:ascii="宋体" w:hAnsi="宋体" w:eastAsia="宋体" w:cs="宋体"/>
                <w:i w:val="0"/>
                <w:iCs w:val="0"/>
                <w:color w:val="000000"/>
                <w:sz w:val="18"/>
                <w:szCs w:val="18"/>
                <w:u w:val="none"/>
              </w:rPr>
            </w:pPr>
          </w:p>
        </w:tc>
        <w:tc>
          <w:tcPr>
            <w:tcW w:w="1573" w:type="dxa"/>
            <w:tcBorders>
              <w:top w:val="nil"/>
              <w:left w:val="nil"/>
              <w:bottom w:val="nil"/>
              <w:right w:val="nil"/>
            </w:tcBorders>
            <w:shd w:val="clear" w:color="auto" w:fill="auto"/>
            <w:vAlign w:val="center"/>
          </w:tcPr>
          <w:p w14:paraId="1E17DD34">
            <w:pPr>
              <w:rPr>
                <w:rFonts w:hint="eastAsia" w:ascii="宋体" w:hAnsi="宋体" w:eastAsia="宋体" w:cs="宋体"/>
                <w:i w:val="0"/>
                <w:iCs w:val="0"/>
                <w:color w:val="000000"/>
                <w:sz w:val="18"/>
                <w:szCs w:val="18"/>
                <w:u w:val="none"/>
              </w:rPr>
            </w:pPr>
          </w:p>
        </w:tc>
      </w:tr>
      <w:tr w14:paraId="5517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3F659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1A0E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65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9421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51090425T000012305003-2024海峡两岸同名"横山"遂宁行活动资金</w:t>
            </w:r>
          </w:p>
        </w:tc>
      </w:tr>
      <w:tr w14:paraId="0FFB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FB8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AF5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中共遂宁市安居区委统一战线工作部部门</w:t>
            </w:r>
          </w:p>
        </w:tc>
        <w:tc>
          <w:tcPr>
            <w:tcW w:w="846" w:type="dxa"/>
            <w:tcBorders>
              <w:top w:val="nil"/>
              <w:left w:val="nil"/>
              <w:bottom w:val="nil"/>
              <w:right w:val="nil"/>
            </w:tcBorders>
            <w:shd w:val="clear" w:color="auto" w:fill="auto"/>
            <w:vAlign w:val="center"/>
          </w:tcPr>
          <w:p w14:paraId="27354C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6D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中共遂宁市安居区委统一战线工作部</w:t>
            </w:r>
          </w:p>
        </w:tc>
      </w:tr>
      <w:tr w14:paraId="5FC1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EE5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9E9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39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A15BC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015A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858A"/>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F429"/>
        </w:tc>
        <w:tc>
          <w:tcPr>
            <w:tcW w:w="9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86B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完成2024海峡两岸同名"横山"活动</w:t>
            </w:r>
          </w:p>
        </w:tc>
        <w:tc>
          <w:tcPr>
            <w:tcW w:w="3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360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顺利完成2024海峡两岸同名"横山"遂宁行活动</w:t>
            </w:r>
          </w:p>
        </w:tc>
      </w:tr>
      <w:tr w14:paraId="0E4C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E326"/>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3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126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22EC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通过多方位联络、多层次开展的形式完美的完成2024海峡两岸同名"横山"活动。</w:t>
            </w:r>
          </w:p>
        </w:tc>
      </w:tr>
      <w:tr w14:paraId="2F07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7B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2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0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17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0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B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4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3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160F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70FCB"/>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1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C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A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19.91</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DC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6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E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7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8743E">
            <w:pPr>
              <w:keepNext w:val="0"/>
              <w:keepLines w:val="0"/>
              <w:widowControl/>
              <w:suppressLineNumbers w:val="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14:paraId="468C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A17F"/>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B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19.91</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2F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19.91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A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B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D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DC77"/>
        </w:tc>
      </w:tr>
      <w:tr w14:paraId="5EB8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BA71"/>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A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E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9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44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7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C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B5B2"/>
        </w:tc>
      </w:tr>
      <w:tr w14:paraId="0C93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8A4F"/>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7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6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7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52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E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0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5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340D"/>
        </w:tc>
      </w:tr>
      <w:tr w14:paraId="2B8D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5D0F0"/>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3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823">
            <w:pPr>
              <w:jc w:val="center"/>
              <w:rPr>
                <w:rFonts w:hint="eastAsia" w:ascii="微软雅黑" w:hAnsi="微软雅黑" w:eastAsia="微软雅黑" w:cs="微软雅黑"/>
                <w:i w:val="0"/>
                <w:iCs w:val="0"/>
                <w:color w:val="000000"/>
                <w:sz w:val="16"/>
                <w:szCs w:val="16"/>
                <w:u w:val="none"/>
              </w:rPr>
            </w:pP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1207">
            <w:pPr>
              <w:jc w:val="center"/>
              <w:rPr>
                <w:rFonts w:hint="eastAsia" w:ascii="微软雅黑" w:hAnsi="微软雅黑" w:eastAsia="微软雅黑" w:cs="微软雅黑"/>
                <w:i w:val="0"/>
                <w:iCs w:val="0"/>
                <w:color w:val="000000"/>
                <w:sz w:val="16"/>
                <w:szCs w:val="16"/>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3DA2C">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D31">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F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3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9C7C"/>
        </w:tc>
      </w:tr>
      <w:tr w14:paraId="558E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94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8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1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7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4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1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9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3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0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6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458A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197D"/>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8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F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8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参加活动人数</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0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BACA">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1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79</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B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人数</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6A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E2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2315">
            <w:pPr>
              <w:jc w:val="center"/>
              <w:rPr>
                <w:rFonts w:hint="eastAsia" w:ascii="宋体" w:hAnsi="宋体" w:eastAsia="宋体" w:cs="宋体"/>
                <w:i w:val="0"/>
                <w:iCs w:val="0"/>
                <w:color w:val="000000"/>
                <w:sz w:val="18"/>
                <w:szCs w:val="18"/>
                <w:u w:val="none"/>
              </w:rPr>
            </w:pPr>
          </w:p>
        </w:tc>
      </w:tr>
      <w:tr w14:paraId="3DF5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76A8"/>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2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9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3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接待手册、展板制作</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E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35D9">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E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1E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批</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1E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F1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B4FF">
            <w:pPr>
              <w:jc w:val="center"/>
              <w:rPr>
                <w:rFonts w:hint="eastAsia" w:ascii="宋体" w:hAnsi="宋体" w:eastAsia="宋体" w:cs="宋体"/>
                <w:i w:val="0"/>
                <w:iCs w:val="0"/>
                <w:color w:val="000000"/>
                <w:sz w:val="18"/>
                <w:szCs w:val="18"/>
                <w:u w:val="none"/>
              </w:rPr>
            </w:pPr>
          </w:p>
        </w:tc>
      </w:tr>
      <w:tr w14:paraId="4C77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22A7"/>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C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9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0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完成同名横山遂宁行活动任务</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4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A4FC">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8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9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23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BF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381A">
            <w:pPr>
              <w:jc w:val="center"/>
              <w:rPr>
                <w:rFonts w:hint="eastAsia" w:ascii="宋体" w:hAnsi="宋体" w:eastAsia="宋体" w:cs="宋体"/>
                <w:i w:val="0"/>
                <w:iCs w:val="0"/>
                <w:color w:val="000000"/>
                <w:sz w:val="18"/>
                <w:szCs w:val="18"/>
                <w:u w:val="none"/>
              </w:rPr>
            </w:pPr>
          </w:p>
        </w:tc>
      </w:tr>
      <w:tr w14:paraId="78A5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A746"/>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5E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完成时间</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D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F408">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8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3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CC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8F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21A5">
            <w:pPr>
              <w:jc w:val="center"/>
              <w:rPr>
                <w:rFonts w:hint="eastAsia" w:ascii="宋体" w:hAnsi="宋体" w:eastAsia="宋体" w:cs="宋体"/>
                <w:i w:val="0"/>
                <w:iCs w:val="0"/>
                <w:color w:val="000000"/>
                <w:sz w:val="18"/>
                <w:szCs w:val="18"/>
                <w:u w:val="none"/>
              </w:rPr>
            </w:pPr>
          </w:p>
        </w:tc>
      </w:tr>
      <w:tr w14:paraId="3CB2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33A90"/>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3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0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0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有效推动海峡两岸同名横山镇/区的经济交流与合作</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1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6882">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E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6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09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B7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BC47">
            <w:pPr>
              <w:jc w:val="center"/>
              <w:rPr>
                <w:rFonts w:hint="eastAsia" w:ascii="宋体" w:hAnsi="宋体" w:eastAsia="宋体" w:cs="宋体"/>
                <w:i w:val="0"/>
                <w:iCs w:val="0"/>
                <w:color w:val="000000"/>
                <w:sz w:val="18"/>
                <w:szCs w:val="18"/>
                <w:u w:val="none"/>
              </w:rPr>
            </w:pPr>
          </w:p>
        </w:tc>
      </w:tr>
      <w:tr w14:paraId="1AFF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9358B"/>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7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2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可持续影响指标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D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通过活动促进文化交流，民族团结，有效推动地方经济发展</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5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FC39">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5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64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40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D7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8EA5">
            <w:pPr>
              <w:jc w:val="center"/>
              <w:rPr>
                <w:rFonts w:hint="eastAsia" w:ascii="宋体" w:hAnsi="宋体" w:eastAsia="宋体" w:cs="宋体"/>
                <w:i w:val="0"/>
                <w:iCs w:val="0"/>
                <w:color w:val="000000"/>
                <w:sz w:val="18"/>
                <w:szCs w:val="18"/>
                <w:u w:val="none"/>
              </w:rPr>
            </w:pPr>
          </w:p>
        </w:tc>
      </w:tr>
      <w:tr w14:paraId="7937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57CB4"/>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A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C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D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促进两地文化交流，共筑和谐中国</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8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1F4C">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1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A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AD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2D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F08E">
            <w:pPr>
              <w:jc w:val="center"/>
              <w:rPr>
                <w:rFonts w:hint="eastAsia" w:ascii="宋体" w:hAnsi="宋体" w:eastAsia="宋体" w:cs="宋体"/>
                <w:i w:val="0"/>
                <w:iCs w:val="0"/>
                <w:color w:val="000000"/>
                <w:sz w:val="18"/>
                <w:szCs w:val="18"/>
                <w:u w:val="none"/>
              </w:rPr>
            </w:pPr>
          </w:p>
        </w:tc>
      </w:tr>
      <w:tr w14:paraId="26C6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952E"/>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3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7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D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同名乡镇嘉宾及台胞嘉宾满意度</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E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4E6A">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C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6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7E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BF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39A4">
            <w:pPr>
              <w:jc w:val="center"/>
              <w:rPr>
                <w:rFonts w:hint="eastAsia" w:ascii="宋体" w:hAnsi="宋体" w:eastAsia="宋体" w:cs="宋体"/>
                <w:i w:val="0"/>
                <w:iCs w:val="0"/>
                <w:color w:val="000000"/>
                <w:sz w:val="18"/>
                <w:szCs w:val="18"/>
                <w:u w:val="none"/>
              </w:rPr>
            </w:pPr>
          </w:p>
        </w:tc>
      </w:tr>
      <w:tr w14:paraId="2E8E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0947"/>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2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C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7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活动完成成本指标</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5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1AF7">
            <w:pPr>
              <w:rPr>
                <w:rFonts w:hint="eastAsia" w:ascii="宋体" w:hAnsi="宋体" w:eastAsia="宋体" w:cs="宋体"/>
                <w:i w:val="0"/>
                <w:iCs w:val="0"/>
                <w:color w:val="000000"/>
                <w:sz w:val="18"/>
                <w:szCs w:val="18"/>
                <w:u w:val="none"/>
              </w:rPr>
            </w:pP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B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6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万元</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23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01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6F02">
            <w:pPr>
              <w:jc w:val="center"/>
              <w:rPr>
                <w:rFonts w:hint="eastAsia" w:ascii="宋体" w:hAnsi="宋体" w:eastAsia="宋体" w:cs="宋体"/>
                <w:i w:val="0"/>
                <w:iCs w:val="0"/>
                <w:color w:val="000000"/>
                <w:sz w:val="18"/>
                <w:szCs w:val="18"/>
                <w:u w:val="none"/>
              </w:rPr>
            </w:pPr>
          </w:p>
        </w:tc>
      </w:tr>
      <w:tr w14:paraId="40B5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432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1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27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62B3">
            <w:pPr>
              <w:rPr>
                <w:rFonts w:hint="eastAsia" w:ascii="宋体" w:hAnsi="宋体" w:eastAsia="宋体" w:cs="宋体"/>
                <w:i w:val="0"/>
                <w:iCs w:val="0"/>
                <w:color w:val="000000"/>
                <w:sz w:val="18"/>
                <w:szCs w:val="18"/>
                <w:u w:val="none"/>
              </w:rPr>
            </w:pPr>
          </w:p>
        </w:tc>
      </w:tr>
      <w:tr w14:paraId="1259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F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30651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通过海峡两岸同名"横山"遂宁行活动，增进了海峡两岸的沟通与交流，综合评价良好，自评得分100分</w:t>
            </w:r>
          </w:p>
        </w:tc>
      </w:tr>
      <w:tr w14:paraId="167C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3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C153E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活动前期的筹备及预算还有待加强</w:t>
            </w:r>
          </w:p>
        </w:tc>
      </w:tr>
      <w:tr w14:paraId="35D8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6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137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841C9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严格把关，加大前期筹备项目力度，确保预算准确完整。</w:t>
            </w:r>
          </w:p>
        </w:tc>
      </w:tr>
      <w:tr w14:paraId="12ED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CA1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项目负责人：周巧梅</w:t>
            </w:r>
          </w:p>
        </w:tc>
        <w:tc>
          <w:tcPr>
            <w:tcW w:w="4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A296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财务负责人：罗丽华</w:t>
            </w:r>
          </w:p>
        </w:tc>
      </w:tr>
    </w:tbl>
    <w:p w14:paraId="3F6D646F">
      <w:pPr>
        <w:pStyle w:val="9"/>
        <w:keepNext w:val="0"/>
        <w:keepLines w:val="0"/>
        <w:pageBreakBefore w:val="0"/>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en-US" w:eastAsia="zh-CN"/>
        </w:rPr>
      </w:pPr>
    </w:p>
    <w:p w14:paraId="66D2A6F6">
      <w:pPr>
        <w:pStyle w:val="9"/>
        <w:keepNext w:val="0"/>
        <w:keepLines w:val="0"/>
        <w:pageBreakBefore w:val="0"/>
        <w:kinsoku/>
        <w:wordWrap/>
        <w:overflowPunct/>
        <w:topLinePunct w:val="0"/>
        <w:autoSpaceDE/>
        <w:autoSpaceDN/>
        <w:bidi w:val="0"/>
        <w:spacing w:line="560" w:lineRule="exact"/>
        <w:ind w:left="0" w:leftChars="0" w:firstLine="960" w:firstLineChars="300"/>
        <w:jc w:val="left"/>
        <w:textAlignment w:val="auto"/>
        <w:rPr>
          <w:rFonts w:hint="eastAsia" w:ascii="Times New Roman" w:hAnsi="Times New Roman" w:eastAsia="仿宋_GB2312" w:cs="Times New Roman"/>
          <w:kern w:val="2"/>
          <w:sz w:val="32"/>
          <w:szCs w:val="32"/>
          <w:u w:val="none"/>
          <w:lang w:val="en-US" w:eastAsia="zh-CN"/>
        </w:rPr>
        <w:sectPr>
          <w:footerReference r:id="rId8" w:type="default"/>
          <w:pgSz w:w="16838" w:h="11906" w:orient="landscape"/>
          <w:pgMar w:top="1800" w:right="1440" w:bottom="1800" w:left="1440" w:header="851" w:footer="992" w:gutter="0"/>
          <w:pgNumType w:fmt="numberInDash" w:start="37"/>
          <w:cols w:space="425" w:num="1"/>
          <w:docGrid w:type="lines" w:linePitch="312" w:charSpace="0"/>
        </w:sectPr>
      </w:pPr>
    </w:p>
    <w:p w14:paraId="0EA6C886">
      <w:pPr>
        <w:widowControl/>
        <w:jc w:val="center"/>
        <w:outlineLvl w:val="0"/>
        <w:rPr>
          <w:rFonts w:hint="eastAsia" w:ascii="Times New Roman" w:hAnsi="Times New Roman" w:eastAsia="仿宋"/>
          <w:b w:val="0"/>
          <w:color w:val="auto"/>
          <w:highlight w:val="none"/>
        </w:rPr>
      </w:pPr>
      <w:bookmarkStart w:id="68" w:name="_Toc14216"/>
      <w:bookmarkStart w:id="69" w:name="_Toc15396618"/>
      <w:r>
        <w:rPr>
          <w:rFonts w:hint="eastAsia" w:ascii="Times New Roman" w:hAnsi="Times New Roman" w:eastAsia="黑体"/>
          <w:color w:val="auto"/>
          <w:sz w:val="44"/>
          <w:szCs w:val="44"/>
          <w:highlight w:val="none"/>
        </w:rPr>
        <w:t>第</w:t>
      </w:r>
      <w:r>
        <w:rPr>
          <w:rStyle w:val="23"/>
          <w:rFonts w:hint="eastAsia" w:ascii="Times New Roman" w:hAnsi="Times New Roman" w:eastAsia="黑体"/>
          <w:b w:val="0"/>
          <w:color w:val="auto"/>
          <w:highlight w:val="none"/>
        </w:rPr>
        <w:t>五部分 附表</w:t>
      </w:r>
      <w:bookmarkEnd w:id="66"/>
      <w:bookmarkEnd w:id="68"/>
      <w:bookmarkEnd w:id="69"/>
      <w:bookmarkStart w:id="70" w:name="_Toc15396619"/>
    </w:p>
    <w:p w14:paraId="2D512DB9">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BB8743C">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0"/>
    </w:p>
    <w:p w14:paraId="23777F00">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0"/>
      <w:r>
        <w:rPr>
          <w:rFonts w:hint="eastAsia" w:ascii="Times New Roman" w:hAnsi="Times New Roman" w:eastAsia="仿宋_GB2312" w:cs="仿宋_GB2312"/>
          <w:color w:val="auto"/>
          <w:sz w:val="32"/>
          <w:szCs w:val="32"/>
          <w:highlight w:val="none"/>
        </w:rPr>
        <w:t>二、收入决算表</w:t>
      </w:r>
      <w:bookmarkEnd w:id="71"/>
    </w:p>
    <w:p w14:paraId="6FCFA69D">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1"/>
      <w:r>
        <w:rPr>
          <w:rFonts w:hint="eastAsia" w:ascii="Times New Roman" w:hAnsi="Times New Roman" w:eastAsia="仿宋_GB2312" w:cs="仿宋_GB2312"/>
          <w:color w:val="auto"/>
          <w:sz w:val="32"/>
          <w:szCs w:val="32"/>
          <w:highlight w:val="none"/>
        </w:rPr>
        <w:t>三、支出决算表</w:t>
      </w:r>
      <w:bookmarkEnd w:id="72"/>
    </w:p>
    <w:p w14:paraId="2F46A80F">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2"/>
      <w:r>
        <w:rPr>
          <w:rFonts w:hint="eastAsia" w:ascii="Times New Roman" w:hAnsi="Times New Roman" w:eastAsia="仿宋_GB2312" w:cs="仿宋_GB2312"/>
          <w:color w:val="auto"/>
          <w:sz w:val="32"/>
          <w:szCs w:val="32"/>
          <w:highlight w:val="none"/>
        </w:rPr>
        <w:t>四、财政拨款收入支出决算总表</w:t>
      </w:r>
      <w:bookmarkEnd w:id="73"/>
    </w:p>
    <w:p w14:paraId="4047785C">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3"/>
      <w:r>
        <w:rPr>
          <w:rFonts w:hint="eastAsia" w:ascii="Times New Roman" w:hAnsi="Times New Roman" w:eastAsia="仿宋_GB2312" w:cs="仿宋_GB2312"/>
          <w:color w:val="auto"/>
          <w:sz w:val="32"/>
          <w:szCs w:val="32"/>
          <w:highlight w:val="none"/>
        </w:rPr>
        <w:t>五、财政拨款支出决算明细表</w:t>
      </w:r>
      <w:bookmarkEnd w:id="74"/>
      <w:bookmarkStart w:id="75" w:name="_Toc15396624"/>
    </w:p>
    <w:p w14:paraId="37C886B6">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5"/>
    </w:p>
    <w:p w14:paraId="74AEC4A9">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5"/>
      <w:r>
        <w:rPr>
          <w:rFonts w:hint="eastAsia" w:ascii="Times New Roman" w:hAnsi="Times New Roman" w:eastAsia="仿宋_GB2312" w:cs="仿宋_GB2312"/>
          <w:color w:val="auto"/>
          <w:sz w:val="32"/>
          <w:szCs w:val="32"/>
          <w:highlight w:val="none"/>
        </w:rPr>
        <w:t>七、一般公共预算财政拨款支出决算明细表</w:t>
      </w:r>
      <w:bookmarkEnd w:id="76"/>
    </w:p>
    <w:p w14:paraId="2ADFA535">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6"/>
      <w:r>
        <w:rPr>
          <w:rFonts w:hint="eastAsia" w:ascii="Times New Roman" w:hAnsi="Times New Roman" w:eastAsia="仿宋_GB2312" w:cs="仿宋_GB2312"/>
          <w:color w:val="auto"/>
          <w:sz w:val="32"/>
          <w:szCs w:val="32"/>
          <w:highlight w:val="none"/>
        </w:rPr>
        <w:t>八、一般公共预算财政拨款基本支出决算表</w:t>
      </w:r>
      <w:bookmarkEnd w:id="77"/>
    </w:p>
    <w:p w14:paraId="673320BC">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7"/>
      <w:r>
        <w:rPr>
          <w:rFonts w:hint="eastAsia" w:ascii="Times New Roman" w:hAnsi="Times New Roman" w:eastAsia="仿宋_GB2312" w:cs="仿宋_GB2312"/>
          <w:color w:val="auto"/>
          <w:sz w:val="32"/>
          <w:szCs w:val="32"/>
          <w:highlight w:val="none"/>
        </w:rPr>
        <w:t>九、一般公共预算财政拨款项目支出决算表</w:t>
      </w:r>
      <w:bookmarkEnd w:id="78"/>
    </w:p>
    <w:p w14:paraId="47131251">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8"/>
      <w:r>
        <w:rPr>
          <w:rFonts w:hint="eastAsia" w:ascii="Times New Roman" w:hAnsi="Times New Roman" w:eastAsia="仿宋_GB2312" w:cs="仿宋_GB2312"/>
          <w:color w:val="auto"/>
          <w:sz w:val="32"/>
          <w:szCs w:val="32"/>
          <w:highlight w:val="none"/>
        </w:rPr>
        <w:t>十、</w:t>
      </w:r>
      <w:bookmarkEnd w:id="79"/>
      <w:r>
        <w:rPr>
          <w:rFonts w:hint="eastAsia" w:ascii="Times New Roman" w:hAnsi="Times New Roman" w:eastAsia="仿宋_GB2312" w:cs="仿宋_GB2312"/>
          <w:color w:val="auto"/>
          <w:sz w:val="32"/>
          <w:szCs w:val="32"/>
          <w:highlight w:val="none"/>
        </w:rPr>
        <w:t>政府性基金预算财政拨款收入支出决算表</w:t>
      </w:r>
    </w:p>
    <w:p w14:paraId="0FE92E13">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9"/>
      <w:r>
        <w:rPr>
          <w:rFonts w:hint="eastAsia" w:ascii="Times New Roman" w:hAnsi="Times New Roman" w:eastAsia="仿宋_GB2312" w:cs="仿宋_GB2312"/>
          <w:color w:val="auto"/>
          <w:sz w:val="32"/>
          <w:szCs w:val="32"/>
          <w:highlight w:val="none"/>
        </w:rPr>
        <w:t>十一、</w:t>
      </w:r>
      <w:bookmarkEnd w:id="8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C890D2B">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30"/>
      <w:r>
        <w:rPr>
          <w:rFonts w:hint="eastAsia" w:ascii="Times New Roman" w:hAnsi="Times New Roman" w:eastAsia="仿宋_GB2312" w:cs="仿宋_GB2312"/>
          <w:color w:val="auto"/>
          <w:sz w:val="32"/>
          <w:szCs w:val="32"/>
          <w:highlight w:val="none"/>
        </w:rPr>
        <w:t>十二、</w:t>
      </w:r>
      <w:bookmarkEnd w:id="81"/>
      <w:r>
        <w:rPr>
          <w:rFonts w:hint="eastAsia" w:ascii="Times New Roman" w:hAnsi="Times New Roman" w:eastAsia="仿宋_GB2312" w:cs="仿宋_GB2312"/>
          <w:color w:val="auto"/>
          <w:sz w:val="32"/>
          <w:szCs w:val="32"/>
          <w:highlight w:val="none"/>
          <w:lang w:eastAsia="zh-CN"/>
        </w:rPr>
        <w:t>国有资本经营预算财政拨款支出决算表</w:t>
      </w:r>
    </w:p>
    <w:p w14:paraId="36DAC4EB">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2" w:name="_Toc15396631"/>
      <w:r>
        <w:rPr>
          <w:rFonts w:hint="eastAsia" w:ascii="Times New Roman" w:hAnsi="Times New Roman" w:eastAsia="仿宋_GB2312" w:cs="仿宋_GB2312"/>
          <w:color w:val="auto"/>
          <w:sz w:val="32"/>
          <w:szCs w:val="32"/>
          <w:highlight w:val="none"/>
        </w:rPr>
        <w:t>十三、</w:t>
      </w:r>
      <w:bookmarkEnd w:id="82"/>
      <w:r>
        <w:rPr>
          <w:rFonts w:hint="eastAsia" w:ascii="Times New Roman" w:hAnsi="Times New Roman" w:eastAsia="仿宋_GB2312" w:cs="仿宋_GB2312"/>
          <w:color w:val="auto"/>
          <w:sz w:val="32"/>
          <w:szCs w:val="32"/>
          <w:highlight w:val="none"/>
          <w:lang w:eastAsia="zh-CN"/>
        </w:rPr>
        <w:t>财政拨款“三公”经费支出决算表</w:t>
      </w:r>
    </w:p>
    <w:p w14:paraId="54E6E53D">
      <w:pPr>
        <w:rPr>
          <w:rFonts w:hint="eastAsia" w:ascii="Times New Roman" w:hAnsi="Times New Roman"/>
          <w:lang w:eastAsia="zh-CN"/>
        </w:rPr>
      </w:pPr>
    </w:p>
    <w:sectPr>
      <w:footerReference r:id="rId9" w:type="default"/>
      <w:pgSz w:w="11906" w:h="16838"/>
      <w:pgMar w:top="1440" w:right="1800" w:bottom="1440" w:left="1800" w:header="851" w:footer="992" w:gutter="0"/>
      <w:pgNumType w:fmt="numberInDash" w:start="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Calibri">
    <w:panose1 w:val="020F0502020204030204"/>
    <w:charset w:val="01"/>
    <w:family w:val="auto"/>
    <w:pitch w:val="default"/>
    <w:sig w:usb0="E10002FF" w:usb1="4000ACFF" w:usb2="00000009" w:usb3="00000000" w:csb0="2000019F" w:csb1="00000000"/>
  </w:font>
  <w:font w:name="Lucida Sans">
    <w:altName w:val="Lucida Sans Unicode"/>
    <w:panose1 w:val="00000000000000000000"/>
    <w:charset w:val="01"/>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5ACF">
    <w:pPr>
      <w:pStyle w:val="14"/>
      <w:jc w:val="center"/>
    </w:pPr>
  </w:p>
  <w:p w14:paraId="155E06B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B21E5">
    <w:pPr>
      <w:pStyle w:val="14"/>
      <w:jc w:val="center"/>
    </w:pPr>
  </w:p>
  <w:p w14:paraId="44651D7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25EA">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7490" cy="139700"/>
              <wp:effectExtent l="0" t="0" r="0" b="0"/>
              <wp:wrapNone/>
              <wp:docPr id="10" name="文本框 10"/>
              <wp:cNvGraphicFramePr/>
              <a:graphic xmlns:a="http://schemas.openxmlformats.org/drawingml/2006/main">
                <a:graphicData uri="http://schemas.microsoft.com/office/word/2010/wordprocessingShape">
                  <wps:wsp>
                    <wps:cNvSpPr/>
                    <wps:spPr>
                      <a:xfrm>
                        <a:off x="0" y="0"/>
                        <a:ext cx="237529" cy="139526"/>
                      </a:xfrm>
                      <a:prstGeom prst="rect">
                        <a:avLst/>
                      </a:prstGeom>
                      <a:noFill/>
                      <a:ln w="6350" cap="flat" cmpd="sng">
                        <a:noFill/>
                        <a:prstDash val="solid"/>
                        <a:round/>
                      </a:ln>
                    </wps:spPr>
                    <wps:txbx>
                      <w:txbxContent>
                        <w:p w14:paraId="32E809DD">
                          <w:pPr>
                            <w:pStyle w:val="14"/>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rect id="文本框 10" o:spid="_x0000_s1026" o:spt="1" style="position:absolute;left:0pt;margin-top:0pt;height:11pt;width:18.7pt;mso-position-horizontal:center;mso-position-horizontal-relative:margin;mso-wrap-style:none;z-index:25165926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Z6PefXAAAAAwEAAA8AAAAAAAAAAQAgAAAAIgAAAGRycy9k&#10;b3ducmV2LnhtbFBLAQIUABQAAAAIAIdO4kDvocyMAwIAAPYDAAAOAAAAAAAAAAEAIAAAACYBAABk&#10;cnMvZTJvRG9jLnhtbFBLBQYAAAAABgAGAFkBAACbBQAAAAA=&#10;">
              <v:fill on="f" focussize="0,0"/>
              <v:stroke on="f" weight="0.5pt" joinstyle="round"/>
              <v:imagedata o:title=""/>
              <o:lock v:ext="edit" aspectratio="f"/>
              <v:textbox inset="0mm,0mm,0mm,0mm" style="mso-fit-shape-to-text:t;">
                <w:txbxContent>
                  <w:p w14:paraId="32E809DD">
                    <w:pPr>
                      <w:pStyle w:val="14"/>
                    </w:pPr>
                    <w:r>
                      <w:fldChar w:fldCharType="begin"/>
                    </w:r>
                    <w:r>
                      <w:instrText xml:space="preserve"> PAGE  \* MERGEFORMAT </w:instrText>
                    </w:r>
                    <w:r>
                      <w:fldChar w:fldCharType="separate"/>
                    </w:r>
                    <w:r>
                      <w:t>- 1 -</w:t>
                    </w:r>
                    <w:r>
                      <w:fldChar w:fldCharType="end"/>
                    </w:r>
                  </w:p>
                </w:txbxContent>
              </v:textbox>
            </v:rect>
          </w:pict>
        </mc:Fallback>
      </mc:AlternateContent>
    </w:r>
  </w:p>
  <w:p w14:paraId="1FEC6FE4">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32DF">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7490" cy="139700"/>
              <wp:effectExtent l="0" t="0" r="0" b="0"/>
              <wp:wrapNone/>
              <wp:docPr id="8" name="文本框 8"/>
              <wp:cNvGraphicFramePr/>
              <a:graphic xmlns:a="http://schemas.openxmlformats.org/drawingml/2006/main">
                <a:graphicData uri="http://schemas.microsoft.com/office/word/2010/wordprocessingShape">
                  <wps:wsp>
                    <wps:cNvSpPr/>
                    <wps:spPr>
                      <a:xfrm>
                        <a:off x="0" y="0"/>
                        <a:ext cx="237529" cy="139526"/>
                      </a:xfrm>
                      <a:prstGeom prst="rect">
                        <a:avLst/>
                      </a:prstGeom>
                      <a:noFill/>
                      <a:ln w="6350" cap="flat" cmpd="sng">
                        <a:noFill/>
                        <a:prstDash val="solid"/>
                        <a:round/>
                      </a:ln>
                    </wps:spPr>
                    <wps:txbx>
                      <w:txbxContent>
                        <w:p w14:paraId="1DED7814">
                          <w:pPr>
                            <w:pStyle w:val="14"/>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1pt;width:18.7pt;mso-position-horizontal:center;mso-position-horizontal-relative:margin;mso-wrap-style:none;z-index:25165926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j3n1wAAAAMBAAAPAAAAAAAAAAEAIAAAACIAAABkcnMv&#10;ZG93bnJldi54bWxQSwECFAAUAAAACACHTuJA+kQqFQQCAAD0AwAADgAAAAAAAAABACAAAAAmAQAA&#10;ZHJzL2Uyb0RvYy54bWxQSwUGAAAAAAYABgBZAQAAnAUAAAAA&#10;">
              <v:fill on="f" focussize="0,0"/>
              <v:stroke on="f" weight="0.5pt" joinstyle="round"/>
              <v:imagedata o:title=""/>
              <o:lock v:ext="edit" aspectratio="f"/>
              <v:textbox inset="0mm,0mm,0mm,0mm" style="mso-fit-shape-to-text:t;">
                <w:txbxContent>
                  <w:p w14:paraId="1DED7814">
                    <w:pPr>
                      <w:pStyle w:val="14"/>
                    </w:pPr>
                    <w:r>
                      <w:fldChar w:fldCharType="begin"/>
                    </w:r>
                    <w:r>
                      <w:instrText xml:space="preserve"> PAGE  \* MERGEFORMAT </w:instrText>
                    </w:r>
                    <w:r>
                      <w:fldChar w:fldCharType="separate"/>
                    </w:r>
                    <w:r>
                      <w:t>- 1 -</w:t>
                    </w:r>
                    <w:r>
                      <w:fldChar w:fldCharType="end"/>
                    </w:r>
                  </w:p>
                </w:txbxContent>
              </v:textbox>
            </v:rect>
          </w:pict>
        </mc:Fallback>
      </mc:AlternateContent>
    </w:r>
  </w:p>
  <w:p w14:paraId="09350484">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2B6B">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7490" cy="139700"/>
              <wp:effectExtent l="0" t="0" r="0" b="0"/>
              <wp:wrapNone/>
              <wp:docPr id="13" name="文本框 13"/>
              <wp:cNvGraphicFramePr/>
              <a:graphic xmlns:a="http://schemas.openxmlformats.org/drawingml/2006/main">
                <a:graphicData uri="http://schemas.microsoft.com/office/word/2010/wordprocessingShape">
                  <wps:wsp>
                    <wps:cNvSpPr/>
                    <wps:spPr>
                      <a:xfrm>
                        <a:off x="0" y="0"/>
                        <a:ext cx="237529" cy="139526"/>
                      </a:xfrm>
                      <a:prstGeom prst="rect">
                        <a:avLst/>
                      </a:prstGeom>
                      <a:noFill/>
                      <a:ln w="6350" cap="flat" cmpd="sng">
                        <a:noFill/>
                        <a:prstDash val="solid"/>
                        <a:round/>
                      </a:ln>
                    </wps:spPr>
                    <wps:txbx>
                      <w:txbxContent>
                        <w:p w14:paraId="41A87D21">
                          <w:pPr>
                            <w:pStyle w:val="14"/>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rect id="文本框 13" o:spid="_x0000_s1026" o:spt="1" style="position:absolute;left:0pt;margin-top:0pt;height:11pt;width:18.7pt;mso-position-horizontal:center;mso-position-horizontal-relative:margin;mso-wrap-style:none;z-index:25165926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j3n1wAAAAMBAAAPAAAAAAAAAAEAIAAAACIAAABkcnMv&#10;ZG93bnJldi54bWxQSwECFAAUAAAACACHTuJAcjpIsgQCAAD2AwAADgAAAAAAAAABACAAAAAmAQAA&#10;ZHJzL2Uyb0RvYy54bWxQSwUGAAAAAAYABgBZAQAAnAUAAAAA&#10;">
              <v:fill on="f" focussize="0,0"/>
              <v:stroke on="f" weight="0.5pt" joinstyle="round"/>
              <v:imagedata o:title=""/>
              <o:lock v:ext="edit" aspectratio="f"/>
              <v:textbox inset="0mm,0mm,0mm,0mm" style="mso-fit-shape-to-text:t;">
                <w:txbxContent>
                  <w:p w14:paraId="41A87D21">
                    <w:pPr>
                      <w:pStyle w:val="14"/>
                    </w:pPr>
                    <w:r>
                      <w:fldChar w:fldCharType="begin"/>
                    </w:r>
                    <w:r>
                      <w:instrText xml:space="preserve"> PAGE  \* MERGEFORMAT </w:instrText>
                    </w:r>
                    <w:r>
                      <w:fldChar w:fldCharType="separate"/>
                    </w:r>
                    <w:r>
                      <w:t>- 1 -</w:t>
                    </w:r>
                    <w:r>
                      <w:fldChar w:fldCharType="end"/>
                    </w:r>
                  </w:p>
                </w:txbxContent>
              </v:textbox>
            </v:rect>
          </w:pict>
        </mc:Fallback>
      </mc:AlternateContent>
    </w:r>
  </w:p>
  <w:p w14:paraId="7221B5A5">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2AF5">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7490" cy="139700"/>
              <wp:effectExtent l="0" t="0" r="0" b="0"/>
              <wp:wrapNone/>
              <wp:docPr id="9" name="文本框 9"/>
              <wp:cNvGraphicFramePr/>
              <a:graphic xmlns:a="http://schemas.openxmlformats.org/drawingml/2006/main">
                <a:graphicData uri="http://schemas.microsoft.com/office/word/2010/wordprocessingShape">
                  <wps:wsp>
                    <wps:cNvSpPr/>
                    <wps:spPr>
                      <a:xfrm>
                        <a:off x="0" y="0"/>
                        <a:ext cx="237529" cy="139526"/>
                      </a:xfrm>
                      <a:prstGeom prst="rect">
                        <a:avLst/>
                      </a:prstGeom>
                      <a:noFill/>
                      <a:ln w="6350" cap="flat" cmpd="sng">
                        <a:noFill/>
                        <a:prstDash val="solid"/>
                        <a:round/>
                      </a:ln>
                    </wps:spPr>
                    <wps:txbx>
                      <w:txbxContent>
                        <w:p w14:paraId="3E4656F0">
                          <w:pPr>
                            <w:pStyle w:val="14"/>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1pt;width:18.7pt;mso-position-horizontal:center;mso-position-horizontal-relative:margin;mso-wrap-style:none;z-index:251659264;mso-width-relative:page;mso-height-relative:page;" filled="f" stroked="f" coordsize="21600,21600" o:gfxdata="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Z6PefXAAAAAwEAAA8AAAAAAAAAAQAgAAAAIgAAAGRycy9k&#10;b3ducmV2LnhtbFBLAQIUABQAAAAIAIdO4kDI3g4KAwIAAPQDAAAOAAAAAAAAAAEAIAAAACYBAABk&#10;cnMvZTJvRG9jLnhtbFBLBQYAAAAABgAGAFkBAACbBQAAAAA=&#10;">
              <v:fill on="f" focussize="0,0"/>
              <v:stroke on="f" weight="0.5pt" joinstyle="round"/>
              <v:imagedata o:title=""/>
              <o:lock v:ext="edit" aspectratio="f"/>
              <v:textbox inset="0mm,0mm,0mm,0mm" style="mso-fit-shape-to-text:t;">
                <w:txbxContent>
                  <w:p w14:paraId="3E4656F0">
                    <w:pPr>
                      <w:pStyle w:val="14"/>
                    </w:pPr>
                    <w:r>
                      <w:fldChar w:fldCharType="begin"/>
                    </w:r>
                    <w:r>
                      <w:instrText xml:space="preserve"> PAGE  \* MERGEFORMAT </w:instrText>
                    </w:r>
                    <w:r>
                      <w:fldChar w:fldCharType="separate"/>
                    </w:r>
                    <w:r>
                      <w:t>- 1 -</w:t>
                    </w:r>
                    <w:r>
                      <w:fldChar w:fldCharType="end"/>
                    </w:r>
                  </w:p>
                </w:txbxContent>
              </v:textbox>
            </v:rect>
          </w:pict>
        </mc:Fallback>
      </mc:AlternateContent>
    </w:r>
  </w:p>
  <w:p w14:paraId="37885DF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93EB">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rsids>
    <w:rsidRoot w:val="00000000"/>
    <w:rsid w:val="07115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spacing w:before="260" w:after="260" w:line="415" w:lineRule="auto"/>
      <w:outlineLvl w:val="1"/>
    </w:pPr>
    <w:rPr>
      <w:rFonts w:ascii="Cambria" w:hAnsi="Cambria" w:eastAsia="宋体" w:cs="Times New Roman"/>
      <w:b/>
      <w:bCs/>
      <w:sz w:val="32"/>
      <w:szCs w:val="32"/>
    </w:rPr>
  </w:style>
  <w:style w:type="paragraph" w:styleId="5">
    <w:name w:val="heading 3"/>
    <w:basedOn w:val="1"/>
    <w:next w:val="1"/>
    <w:link w:val="25"/>
    <w:qFormat/>
    <w:uiPriority w:val="0"/>
    <w:pPr>
      <w:keepNext/>
      <w:keepLines/>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style>
  <w:style w:type="paragraph" w:styleId="6">
    <w:name w:val="annotation text"/>
    <w:basedOn w:val="1"/>
    <w:qFormat/>
    <w:uiPriority w:val="0"/>
    <w:pPr>
      <w:jc w:val="left"/>
    </w:p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hAnsi="仿宋_GB2312"/>
      <w:szCs w:val="32"/>
    </w:rPr>
  </w:style>
  <w:style w:type="paragraph" w:styleId="9">
    <w:name w:val="Body Text First Indent 2"/>
    <w:basedOn w:val="8"/>
    <w:qFormat/>
    <w:uiPriority w:val="0"/>
    <w:pPr>
      <w:ind w:firstLine="200" w:firstLineChars="200"/>
    </w:pPr>
  </w:style>
  <w:style w:type="paragraph" w:styleId="10">
    <w:name w:val="toc 5"/>
    <w:basedOn w:val="1"/>
    <w:next w:val="1"/>
    <w:qFormat/>
    <w:uiPriority w:val="0"/>
    <w:pPr>
      <w:ind w:left="1680"/>
    </w:pPr>
    <w:rPr>
      <w:rFonts w:ascii="Times New Roman" w:hAnsi="Times New Roman" w:eastAsia="宋体" w:cs="Times New Roman"/>
      <w:szCs w:val="24"/>
    </w:rPr>
  </w:style>
  <w:style w:type="paragraph" w:styleId="11">
    <w:name w:val="toc 3"/>
    <w:basedOn w:val="1"/>
    <w:next w:val="1"/>
    <w:qFormat/>
    <w:uiPriority w:val="0"/>
    <w:pPr>
      <w:tabs>
        <w:tab w:val="right" w:leader="dot" w:pos="8296"/>
      </w:tabs>
      <w:ind w:left="400" w:leftChars="400"/>
    </w:pPr>
  </w:style>
  <w:style w:type="paragraph" w:styleId="12">
    <w:name w:val="Plain Text"/>
    <w:basedOn w:val="1"/>
    <w:next w:val="10"/>
    <w:qFormat/>
    <w:uiPriority w:val="0"/>
    <w:rPr>
      <w:rFonts w:ascii="宋体" w:hAnsi="Courier New" w:cs="Courier New"/>
      <w:szCs w:val="21"/>
    </w:rPr>
  </w:style>
  <w:style w:type="paragraph" w:styleId="13">
    <w:name w:val="Balloon Text"/>
    <w:basedOn w:val="1"/>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rFonts w:ascii="Calibri" w:hAnsi="Calibri"/>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7">
    <w:name w:val="footnote text"/>
    <w:basedOn w:val="1"/>
    <w:next w:val="9"/>
    <w:qFormat/>
    <w:uiPriority w:val="0"/>
    <w:pPr>
      <w:snapToGrid w:val="0"/>
      <w:jc w:val="left"/>
    </w:pPr>
    <w:rPr>
      <w:sz w:val="18"/>
      <w:szCs w:val="18"/>
    </w:rPr>
  </w:style>
  <w:style w:type="paragraph" w:styleId="18">
    <w:name w:val="toc 2"/>
    <w:basedOn w:val="1"/>
    <w:next w:val="1"/>
    <w:qFormat/>
    <w:uiPriority w:val="0"/>
    <w:pPr>
      <w:tabs>
        <w:tab w:val="right" w:leader="dot" w:pos="8296"/>
      </w:tabs>
      <w:ind w:left="200" w:leftChars="200"/>
    </w:p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customStyle="1" w:styleId="23">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4"/>
    <w:qFormat/>
    <w:uiPriority w:val="0"/>
    <w:rPr>
      <w:rFonts w:ascii="Cambria" w:hAnsi="Cambria" w:eastAsia="宋体" w:cs="Times New Roman"/>
      <w:b/>
      <w:bCs/>
      <w:kern w:val="2"/>
      <w:sz w:val="32"/>
      <w:szCs w:val="32"/>
      <w:lang w:val="en-US" w:eastAsia="zh-CN" w:bidi="ar-SA"/>
    </w:rPr>
  </w:style>
  <w:style w:type="character" w:customStyle="1" w:styleId="25">
    <w:name w:val="heading 3 Char"/>
    <w:basedOn w:val="20"/>
    <w:link w:val="5"/>
    <w:qFormat/>
    <w:uiPriority w:val="0"/>
    <w:rPr>
      <w:rFonts w:ascii="Times New Roman" w:hAnsi="Times New Roman" w:eastAsia="宋体" w:cs="Times New Roman"/>
      <w:b/>
      <w:bCs/>
      <w:kern w:val="2"/>
      <w:sz w:val="32"/>
      <w:szCs w:val="32"/>
      <w:lang w:val="en-US" w:eastAsia="zh-CN" w:bidi="ar-SA"/>
    </w:rPr>
  </w:style>
  <w:style w:type="paragraph" w:customStyle="1" w:styleId="26">
    <w:name w:val="正文1"/>
    <w:qFormat/>
    <w:uiPriority w:val="0"/>
    <w:pPr>
      <w:jc w:val="both"/>
    </w:pPr>
    <w:rPr>
      <w:rFonts w:ascii="Calibri" w:hAnsi="Calibri" w:eastAsia="宋体" w:cs="Times New Roman"/>
      <w:sz w:val="21"/>
      <w:szCs w:val="24"/>
      <w:lang w:val="en-US" w:eastAsia="zh-CN" w:bidi="ar-SA"/>
    </w:rPr>
  </w:style>
  <w:style w:type="paragraph" w:customStyle="1" w:styleId="27">
    <w:name w:val="章标题"/>
    <w:basedOn w:val="26"/>
    <w:next w:val="28"/>
    <w:qFormat/>
    <w:uiPriority w:val="0"/>
    <w:pPr>
      <w:widowControl/>
      <w:spacing w:before="158" w:after="153" w:line="323" w:lineRule="atLeast"/>
      <w:ind w:right="-120"/>
      <w:jc w:val="center"/>
      <w:textAlignment w:val="baseline"/>
    </w:pPr>
    <w:rPr>
      <w:rFonts w:ascii="Times New Roman" w:hAnsi="Times New Roman" w:eastAsia="宋体"/>
      <w:color w:val="FF0000"/>
      <w:sz w:val="18"/>
    </w:rPr>
  </w:style>
  <w:style w:type="paragraph" w:customStyle="1" w:styleId="28">
    <w:name w:val="节标题"/>
    <w:basedOn w:val="1"/>
    <w:next w:val="1"/>
    <w:qFormat/>
    <w:uiPriority w:val="0"/>
    <w:pPr>
      <w:widowControl/>
      <w:spacing w:line="289" w:lineRule="atLeast"/>
      <w:jc w:val="center"/>
      <w:textAlignment w:val="baseline"/>
    </w:pPr>
    <w:rPr>
      <w:color w:val="000000"/>
      <w:sz w:val="28"/>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0">
    <w:name w:val="正文-公1"/>
    <w:basedOn w:val="29"/>
    <w:qFormat/>
    <w:uiPriority w:val="0"/>
    <w:pPr>
      <w:ind w:firstLine="200" w:firstLineChars="200"/>
    </w:pPr>
    <w:rPr>
      <w:rFonts w:eastAsia="宋体"/>
      <w:sz w:val="21"/>
      <w:szCs w:val="20"/>
    </w:rPr>
  </w:style>
  <w:style w:type="paragraph" w:customStyle="1" w:styleId="31">
    <w:name w:val="标题 5（有编号）（绿盟科技）"/>
    <w:next w:val="1"/>
    <w:qFormat/>
    <w:uiPriority w:val="0"/>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32">
    <w:name w:val="Header Char"/>
    <w:basedOn w:val="20"/>
    <w:qFormat/>
    <w:uiPriority w:val="0"/>
    <w:rPr>
      <w:rFonts w:ascii="Times New Roman" w:hAnsi="Times New Roman"/>
      <w:sz w:val="18"/>
      <w:szCs w:val="18"/>
    </w:rPr>
  </w:style>
  <w:style w:type="character" w:customStyle="1" w:styleId="33">
    <w:name w:val="Footer Char"/>
    <w:basedOn w:val="20"/>
    <w:qFormat/>
    <w:uiPriority w:val="0"/>
    <w:rPr>
      <w:rFonts w:ascii="Times New Roman" w:hAnsi="Times New Roman"/>
      <w:sz w:val="18"/>
      <w:szCs w:val="18"/>
    </w:rPr>
  </w:style>
  <w:style w:type="character" w:customStyle="1" w:styleId="34">
    <w:name w:val="Body Text Char"/>
    <w:basedOn w:val="20"/>
    <w:qFormat/>
    <w:uiPriority w:val="0"/>
    <w:rPr>
      <w:rFonts w:ascii="Times New Roman" w:hAnsi="Times New Roman"/>
      <w:szCs w:val="24"/>
    </w:rPr>
  </w:style>
  <w:style w:type="paragraph" w:customStyle="1" w:styleId="35">
    <w:name w:val="Default"/>
    <w:next w:val="15"/>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6">
    <w:name w:val="List Paragraph"/>
    <w:basedOn w:val="1"/>
    <w:qFormat/>
    <w:uiPriority w:val="0"/>
    <w:pPr>
      <w:ind w:firstLine="200" w:firstLineChars="200"/>
    </w:pPr>
  </w:style>
  <w:style w:type="paragraph" w:customStyle="1" w:styleId="37">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8">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WPSOffice手动目录 1"/>
    <w:qFormat/>
    <w:uiPriority w:val="0"/>
    <w:rPr>
      <w:rFonts w:ascii="Calibri" w:hAnsi="Calibri" w:eastAsia="宋体" w:cs="Arial"/>
      <w:sz w:val="20"/>
      <w:szCs w:val="20"/>
      <w:lang w:val="en-US" w:eastAsia="zh-CN" w:bidi="ar-SA"/>
    </w:rPr>
  </w:style>
  <w:style w:type="paragraph" w:customStyle="1" w:styleId="41">
    <w:name w:val="WPSOffice手动目录 2"/>
    <w:qFormat/>
    <w:uiPriority w:val="0"/>
    <w:pPr>
      <w:ind w:left="200" w:leftChars="200"/>
    </w:pPr>
    <w:rPr>
      <w:rFonts w:ascii="Calibri" w:hAnsi="Calibri" w:eastAsia="宋体" w:cs="Arial"/>
      <w:sz w:val="20"/>
      <w:szCs w:val="20"/>
      <w:lang w:val="en-US" w:eastAsia="zh-CN" w:bidi="ar-SA"/>
    </w:rPr>
  </w:style>
  <w:style w:type="paragraph" w:customStyle="1" w:styleId="42">
    <w:name w:val="质联正文"/>
    <w:basedOn w:val="1"/>
    <w:qFormat/>
    <w:uiPriority w:val="0"/>
    <w:pPr>
      <w:spacing w:line="600" w:lineRule="exact"/>
      <w:ind w:firstLine="200" w:firstLineChars="200"/>
    </w:pPr>
    <w:rPr>
      <w:kern w:val="0"/>
      <w:szCs w:val="28"/>
      <w:lang w:val="zh-CN"/>
    </w:rPr>
  </w:style>
  <w:style w:type="character" w:customStyle="1" w:styleId="43">
    <w:name w:val="font21"/>
    <w:basedOn w:val="20"/>
    <w:qFormat/>
    <w:uiPriority w:val="0"/>
    <w:rPr>
      <w:rFonts w:ascii="黑体" w:hAnsi="宋体" w:eastAsia="黑体" w:cs="黑体"/>
      <w:b/>
      <w:bCs/>
      <w:color w:val="000000"/>
      <w:sz w:val="30"/>
      <w:szCs w:val="30"/>
      <w:u w:val="none"/>
    </w:rPr>
  </w:style>
  <w:style w:type="character" w:customStyle="1" w:styleId="44">
    <w:name w:val="font81"/>
    <w:basedOn w:val="20"/>
    <w:qFormat/>
    <w:uiPriority w:val="0"/>
    <w:rPr>
      <w:rFonts w:ascii="黑体" w:hAnsi="宋体" w:eastAsia="黑体" w:cs="黑体"/>
      <w:b/>
      <w:bCs/>
      <w:color w:val="000000"/>
      <w:sz w:val="30"/>
      <w:szCs w:val="30"/>
      <w:u w:val="none"/>
    </w:rPr>
  </w:style>
  <w:style w:type="character" w:customStyle="1" w:styleId="45">
    <w:name w:val="font01"/>
    <w:basedOn w:val="20"/>
    <w:qFormat/>
    <w:uiPriority w:val="0"/>
    <w:rPr>
      <w:rFonts w:ascii="宋体" w:hAnsi="宋体" w:eastAsia="宋体" w:cs="宋体"/>
      <w:color w:val="000000"/>
      <w:sz w:val="22"/>
      <w:szCs w:val="22"/>
      <w:u w:val="none"/>
    </w:rPr>
  </w:style>
  <w:style w:type="character" w:customStyle="1" w:styleId="46">
    <w:name w:val="font71"/>
    <w:basedOn w:val="20"/>
    <w:qFormat/>
    <w:uiPriority w:val="0"/>
    <w:rPr>
      <w:rFonts w:ascii="楷体_GB2312" w:eastAsia="楷体_GB2312" w:cs="楷体_GB2312"/>
      <w:color w:val="000000"/>
      <w:sz w:val="18"/>
      <w:szCs w:val="18"/>
      <w:u w:val="none"/>
    </w:rPr>
  </w:style>
  <w:style w:type="character" w:customStyle="1" w:styleId="47">
    <w:name w:val="font41"/>
    <w:basedOn w:val="20"/>
    <w:qFormat/>
    <w:uiPriority w:val="0"/>
    <w:rPr>
      <w:rFonts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rgbClr val="4F81BD"/>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收入</c:v>
                </c:pt>
                <c:pt idx="1">
                  <c:v>支出</c:v>
                </c:pt>
              </c:strCache>
            </c:strRef>
          </c:cat>
          <c:val>
            <c:numRef>
              <c:f>'Sheet1'!$B$2:$B$3</c:f>
              <c:numCache>
                <c:formatCode>General</c:formatCode>
                <c:ptCount val="2"/>
                <c:pt idx="0">
                  <c:v>363.54</c:v>
                </c:pt>
                <c:pt idx="1">
                  <c:v>363.54</c:v>
                </c:pt>
              </c:numCache>
            </c:numRef>
          </c:val>
        </c:ser>
        <c:ser>
          <c:idx val="1"/>
          <c:order val="1"/>
          <c:tx>
            <c:strRef>
              <c:f>'Sheet1'!$C$1</c:f>
              <c:strCache>
                <c:ptCount val="1"/>
                <c:pt idx="0">
                  <c:v>2024年</c:v>
                </c:pt>
              </c:strCache>
            </c:strRef>
          </c:tx>
          <c:spPr>
            <a:solidFill>
              <a:srgbClr val="C0504D"/>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收入</c:v>
                </c:pt>
                <c:pt idx="1">
                  <c:v>支出</c:v>
                </c:pt>
              </c:strCache>
            </c:strRef>
          </c:cat>
          <c:val>
            <c:numRef>
              <c:f>'Sheet1'!$C$2:$C$3</c:f>
              <c:numCache>
                <c:formatCode>General</c:formatCode>
                <c:ptCount val="2"/>
                <c:pt idx="0">
                  <c:v>460.88</c:v>
                </c:pt>
                <c:pt idx="1">
                  <c:v>460.88</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12700" cap="flat" cmpd="sng">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12700" cap="flat" cmpd="sng">
              <a:solidFill>
                <a:srgbClr val="D9D9D9"/>
              </a:solidFill>
              <a:prstDash val="solid"/>
              <a:round/>
            </a:ln>
          </c:spPr>
        </c:majorGridlines>
        <c:numFmt formatCode="General" sourceLinked="1"/>
        <c:majorTickMark val="none"/>
        <c:minorTickMark val="none"/>
        <c:tickLblPos val="nextTo"/>
        <c:spPr>
          <a:ln w="9525" cap="flat" cmpd="sng">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crossAx val="0"/>
        <c:crosses val="autoZero"/>
        <c:crossBetween val="between"/>
        <c:majorUnit val="50"/>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legend>
    <c:plotVisOnly val="1"/>
    <c:dispBlanksAs val="gap"/>
    <c:showDLblsOverMax val="0"/>
    <c:extLst>
      <c:ext uri="{0b15fc19-7d7d-44ad-8c2d-2c3a37ce22c3}">
        <chartProps xmlns="https://web.wps.cn/et/2018/main" chartId="{497dd552-979a-4e35-b535-76c82621821b}"/>
      </c:ext>
    </c:extLst>
  </c:chart>
  <c:spPr>
    <a:solidFill>
      <a:srgbClr val="FFFFFF"/>
    </a:solidFill>
    <a:ln w="12700" cap="flat" cmpd="sng">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595959"/>
                </a:solidFill>
                <a:latin typeface="Calibri" panose="020F0502020204030204"/>
                <a:ea typeface="宋体" panose="02010600030101010101" charset="-122"/>
                <a:cs typeface="Lucida Sans"/>
              </a:defRPr>
            </a:pPr>
            <a:r>
              <a:rPr lang="zh-CN"/>
              <a:t>占比(%)</a:t>
            </a:r>
            <a:endParaRPr lang="zh-CN"/>
          </a:p>
        </c:rich>
      </c:tx>
      <c:layout/>
      <c:overlay val="0"/>
      <c:spPr>
        <a:noFill/>
        <a:ln>
          <a:noFill/>
        </a:ln>
      </c:spPr>
    </c:title>
    <c:autoTitleDeleted val="0"/>
    <c:plotArea>
      <c:layout/>
      <c:pieChart>
        <c:varyColors val="1"/>
        <c:ser>
          <c:idx val="0"/>
          <c:order val="0"/>
          <c:tx>
            <c:strRef>
              <c:f>'Sheet1'!$B$1</c:f>
              <c:strCache>
                <c:ptCount val="1"/>
                <c:pt idx="0">
                  <c:v>占比(%)</c:v>
                </c:pt>
              </c:strCache>
            </c:strRef>
          </c:tx>
          <c:spPr>
            <a:ln>
              <a:noFill/>
            </a:ln>
          </c:spPr>
          <c:explosion val="0"/>
          <c:dPt>
            <c:idx val="0"/>
            <c:bubble3D val="0"/>
            <c:spPr>
              <a:solidFill>
                <a:srgbClr val="4F81BD"/>
              </a:solidFill>
              <a:ln>
                <a:noFill/>
              </a:ln>
            </c:spPr>
          </c:dPt>
          <c:dLbls>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legend>
    <c:plotVisOnly val="1"/>
    <c:dispBlanksAs val="gap"/>
    <c:showDLblsOverMax val="0"/>
    <c:extLst>
      <c:ext uri="{0b15fc19-7d7d-44ad-8c2d-2c3a37ce22c3}">
        <chartProps xmlns="https://web.wps.cn/et/2018/main" chartId="{b0c2db03-8bef-43ea-ad96-890b9d0a724d}"/>
      </c:ext>
    </c:extLst>
  </c:chart>
  <c:spPr>
    <a:solidFill>
      <a:srgbClr val="FFFFFF"/>
    </a:solidFill>
    <a:ln w="12700" cap="flat" cmpd="sng">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sz="1400" b="0" i="0" u="none" strike="noStrike" baseline="0">
                <a:solidFill>
                  <a:srgbClr val="595959"/>
                </a:solidFill>
                <a:latin typeface="Calibri" panose="020F0502020204030204"/>
                <a:ea typeface="宋体" panose="02010600030101010101" charset="-122"/>
                <a:cs typeface="Lucida Sans"/>
              </a:rPr>
              <a:t>占比（%）</a:t>
            </a:r>
            <a:endParaRPr lang="zh-CN" sz="1400" b="0" i="0" u="none" strike="noStrike" baseline="0">
              <a:solidFill>
                <a:srgbClr val="595959"/>
              </a:solidFill>
              <a:latin typeface="Calibri" panose="020F0502020204030204"/>
              <a:ea typeface="宋体" panose="02010600030101010101" charset="-122"/>
              <a:cs typeface="Lucida Sans"/>
            </a:endParaRPr>
          </a:p>
        </c:rich>
      </c:tx>
      <c:layout/>
      <c:overlay val="0"/>
      <c:spPr>
        <a:noFill/>
        <a:ln>
          <a:noFill/>
        </a:ln>
      </c:spPr>
    </c:title>
    <c:autoTitleDeleted val="0"/>
    <c:view3D>
      <c:rotX val="30"/>
      <c:rotY val="0"/>
      <c:depthPercent val="100"/>
      <c:rAngAx val="0"/>
      <c:hPercent val="100"/>
      <c:perspective val="0"/>
    </c:view3D>
    <c:floor>
      <c:thickness val="0"/>
      <c:spPr>
        <a:ln>
          <a:noFill/>
        </a:ln>
      </c:spPr>
    </c:floor>
    <c:sideWall>
      <c:thickness val="0"/>
      <c:spPr>
        <a:ln>
          <a:noFill/>
        </a:ln>
      </c:spPr>
    </c:sideWall>
    <c:backWall>
      <c:thickness val="0"/>
      <c:spPr>
        <a:noFill/>
        <a:ln>
          <a:noFill/>
        </a:ln>
      </c:spPr>
    </c:backWall>
    <c:plotArea>
      <c:layout/>
      <c:pie3DChart>
        <c:varyColors val="1"/>
        <c:ser>
          <c:idx val="0"/>
          <c:order val="0"/>
          <c:tx>
            <c:strRef>
              <c:f>'Sheet1'!$B$1</c:f>
              <c:strCache>
                <c:ptCount val="1"/>
                <c:pt idx="0">
                  <c:v>销售额</c:v>
                </c:pt>
              </c:strCache>
            </c:strRef>
          </c:tx>
          <c:explosion val="0"/>
          <c:dPt>
            <c:idx val="0"/>
            <c:bubble3D val="0"/>
            <c:spPr>
              <a:solidFill>
                <a:srgbClr val="4F81BD"/>
              </a:solidFill>
              <a:ln w="25400">
                <a:solidFill>
                  <a:srgbClr val="FFFFFF"/>
                </a:solidFill>
                <a:prstDash val="solid"/>
              </a:ln>
            </c:spPr>
          </c:dPt>
          <c:dPt>
            <c:idx val="1"/>
            <c:bubble3D val="0"/>
            <c:spPr>
              <a:solidFill>
                <a:srgbClr val="C0504D"/>
              </a:solidFill>
              <a:ln w="25400">
                <a:solidFill>
                  <a:srgbClr val="FFFFFF"/>
                </a:solidFill>
                <a:prstDash val="solid"/>
              </a:ln>
            </c:spPr>
          </c:dPt>
          <c:dLbls>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49.35</c:v>
                </c:pt>
                <c:pt idx="1">
                  <c:v>50.65</c:v>
                </c:pt>
              </c:numCache>
            </c:numRef>
          </c:val>
        </c:ser>
        <c:dLbls>
          <c:showLegendKey val="0"/>
          <c:showVal val="1"/>
          <c:showCatName val="0"/>
          <c:showSerName val="0"/>
          <c:showPercent val="0"/>
          <c:showBubbleSize val="0"/>
        </c:dLbls>
      </c:pie3D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legend>
    <c:plotVisOnly val="1"/>
    <c:dispBlanksAs val="gap"/>
    <c:showDLblsOverMax val="0"/>
    <c:extLst>
      <c:ext uri="{0b15fc19-7d7d-44ad-8c2d-2c3a37ce22c3}">
        <chartProps xmlns="https://web.wps.cn/et/2018/main" chartId="{de380aa3-a871-422a-b30a-7e3bb34fb437}"/>
      </c:ext>
    </c:extLst>
  </c:chart>
  <c:spPr>
    <a:solidFill>
      <a:srgbClr val="FFFFFF"/>
    </a:solidFill>
    <a:ln w="12700" cap="flat" cmpd="sng">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 </a:t>
            </a:r>
            <a:endParaRPr lang="zh-CN"/>
          </a:p>
        </c:rich>
      </c:tx>
      <c:layout>
        <c:manualLayout>
          <c:xMode val="edge"/>
          <c:yMode val="edge"/>
          <c:x val="0.421625"/>
          <c:y val="0.02"/>
        </c:manualLayout>
      </c:layout>
      <c:overlay val="0"/>
      <c:spPr>
        <a:noFill/>
        <a:ln>
          <a:noFill/>
        </a:ln>
      </c:spPr>
    </c:title>
    <c:autoTitleDeleted val="0"/>
    <c:plotArea>
      <c:layout/>
      <c:barChart>
        <c:barDir val="col"/>
        <c:grouping val="clustered"/>
        <c:varyColors val="0"/>
        <c:ser>
          <c:idx val="0"/>
          <c:order val="0"/>
          <c:tx>
            <c:strRef>
              <c:f>'Sheet1'!$B$1</c:f>
              <c:strCache>
                <c:ptCount val="1"/>
                <c:pt idx="0">
                  <c:v>2023年</c:v>
                </c:pt>
              </c:strCache>
            </c:strRef>
          </c:tx>
          <c:spPr>
            <a:solidFill>
              <a:srgbClr val="4F81BD"/>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财政拨款收入</c:v>
                </c:pt>
                <c:pt idx="1">
                  <c:v>财政拨款支出</c:v>
                </c:pt>
              </c:strCache>
            </c:strRef>
          </c:cat>
          <c:val>
            <c:numRef>
              <c:f>'Sheet1'!$B$2:$B$3</c:f>
              <c:numCache>
                <c:formatCode>General</c:formatCode>
                <c:ptCount val="2"/>
                <c:pt idx="0">
                  <c:v>363.54</c:v>
                </c:pt>
                <c:pt idx="1">
                  <c:v>363.54</c:v>
                </c:pt>
              </c:numCache>
            </c:numRef>
          </c:val>
        </c:ser>
        <c:ser>
          <c:idx val="1"/>
          <c:order val="1"/>
          <c:tx>
            <c:strRef>
              <c:f>'Sheet1'!$C$1</c:f>
              <c:strCache>
                <c:ptCount val="1"/>
                <c:pt idx="0">
                  <c:v>2024年</c:v>
                </c:pt>
              </c:strCache>
            </c:strRef>
          </c:tx>
          <c:spPr>
            <a:solidFill>
              <a:srgbClr val="C0504D"/>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财政拨款收入</c:v>
                </c:pt>
                <c:pt idx="1">
                  <c:v>财政拨款支出</c:v>
                </c:pt>
              </c:strCache>
            </c:strRef>
          </c:cat>
          <c:val>
            <c:numRef>
              <c:f>'Sheet1'!$C$2:$C$3</c:f>
              <c:numCache>
                <c:formatCode>General</c:formatCode>
                <c:ptCount val="2"/>
                <c:pt idx="0">
                  <c:v>460.88</c:v>
                </c:pt>
                <c:pt idx="1">
                  <c:v>460.88</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12700" cap="flat" cmpd="sng">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12700" cap="flat" cmpd="sng">
              <a:solidFill>
                <a:srgbClr val="D9D9D9"/>
              </a:solidFill>
              <a:prstDash val="solid"/>
              <a:round/>
            </a:ln>
          </c:spPr>
        </c:majorGridlines>
        <c:numFmt formatCode="General" sourceLinked="1"/>
        <c:majorTickMark val="none"/>
        <c:minorTickMark val="none"/>
        <c:tickLblPos val="nextTo"/>
        <c:spPr>
          <a:ln w="9525" cap="flat" cmpd="sng">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crossAx val="0"/>
        <c:crosses val="autoZero"/>
        <c:crossBetween val="between"/>
        <c:majorUnit val="30"/>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legend>
    <c:plotVisOnly val="1"/>
    <c:dispBlanksAs val="gap"/>
    <c:showDLblsOverMax val="0"/>
    <c:extLst>
      <c:ext uri="{0b15fc19-7d7d-44ad-8c2d-2c3a37ce22c3}">
        <chartProps xmlns="https://web.wps.cn/et/2018/main" chartId="{914c66e1-6a79-4fce-8ef9-432230f08f97}"/>
      </c:ext>
    </c:extLst>
  </c:chart>
  <c:spPr>
    <a:solidFill>
      <a:srgbClr val="FFFFFF"/>
    </a:solidFill>
    <a:ln w="12700" cap="flat" cmpd="sng">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 </a:t>
            </a:r>
            <a:endParaRPr lang="zh-CN"/>
          </a:p>
        </c:rich>
      </c:tx>
      <c:layout>
        <c:manualLayout>
          <c:xMode val="edge"/>
          <c:yMode val="edge"/>
          <c:x val="0.436"/>
          <c:y val="0.047"/>
        </c:manualLayout>
      </c:layout>
      <c:overlay val="0"/>
      <c:spPr>
        <a:noFill/>
        <a:ln>
          <a:noFill/>
        </a:ln>
      </c:spPr>
    </c:title>
    <c:autoTitleDeleted val="0"/>
    <c:plotArea>
      <c:layout/>
      <c:barChart>
        <c:barDir val="col"/>
        <c:grouping val="clustered"/>
        <c:varyColors val="0"/>
        <c:ser>
          <c:idx val="0"/>
          <c:order val="0"/>
          <c:tx>
            <c:strRef>
              <c:f>'Sheet1'!$B$1</c:f>
              <c:strCache>
                <c:ptCount val="1"/>
                <c:pt idx="0">
                  <c:v>2023年</c:v>
                </c:pt>
              </c:strCache>
            </c:strRef>
          </c:tx>
          <c:spPr>
            <a:solidFill>
              <a:srgbClr val="4F81BD"/>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c:v>
                </c:pt>
              </c:strCache>
            </c:strRef>
          </c:cat>
          <c:val>
            <c:numRef>
              <c:f>'Sheet1'!$B$2</c:f>
              <c:numCache>
                <c:formatCode>General</c:formatCode>
                <c:ptCount val="1"/>
                <c:pt idx="0">
                  <c:v>363.54</c:v>
                </c:pt>
              </c:numCache>
            </c:numRef>
          </c:val>
        </c:ser>
        <c:ser>
          <c:idx val="1"/>
          <c:order val="1"/>
          <c:tx>
            <c:strRef>
              <c:f>'Sheet1'!$C$1</c:f>
              <c:strCache>
                <c:ptCount val="1"/>
                <c:pt idx="0">
                  <c:v>2024年</c:v>
                </c:pt>
              </c:strCache>
            </c:strRef>
          </c:tx>
          <c:spPr>
            <a:solidFill>
              <a:srgbClr val="C0504D"/>
            </a:solidFill>
            <a:ln>
              <a:noFill/>
            </a:ln>
          </c:spPr>
          <c:invertIfNegative val="0"/>
          <c:dLbls>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c:v>
                </c:pt>
              </c:strCache>
            </c:strRef>
          </c:cat>
          <c:val>
            <c:numRef>
              <c:f>'Sheet1'!$C$2</c:f>
              <c:numCache>
                <c:formatCode>General</c:formatCode>
                <c:ptCount val="1"/>
                <c:pt idx="0">
                  <c:v>460.88</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12700" cap="flat" cmpd="sng">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12700" cap="flat" cmpd="sng">
              <a:solidFill>
                <a:srgbClr val="D9D9D9"/>
              </a:solidFill>
              <a:prstDash val="solid"/>
              <a:round/>
            </a:ln>
          </c:spPr>
        </c:majorGridlines>
        <c:numFmt formatCode="General" sourceLinked="1"/>
        <c:majorTickMark val="none"/>
        <c:minorTickMark val="none"/>
        <c:tickLblPos val="nextTo"/>
        <c:spPr>
          <a:ln w="9525" cap="flat" cmpd="sng">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crossAx val="0"/>
        <c:crosses val="autoZero"/>
        <c:crossBetween val="between"/>
        <c:majorUnit val="50"/>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legend>
    <c:plotVisOnly val="1"/>
    <c:dispBlanksAs val="gap"/>
    <c:showDLblsOverMax val="0"/>
    <c:extLst>
      <c:ext uri="{0b15fc19-7d7d-44ad-8c2d-2c3a37ce22c3}">
        <chartProps xmlns="https://web.wps.cn/et/2018/main" chartId="{52a750fe-cc2b-4e01-b641-cfac6f60e1d4}"/>
      </c:ext>
    </c:extLst>
  </c:chart>
  <c:spPr>
    <a:solidFill>
      <a:srgbClr val="FFFFFF"/>
    </a:solidFill>
    <a:ln w="12700" cap="flat" cmpd="sng">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595959"/>
                </a:solidFill>
                <a:latin typeface="Calibri" panose="020F0502020204030204"/>
                <a:ea typeface="宋体" panose="02010600030101010101" charset="-122"/>
                <a:cs typeface="Lucida Sans"/>
              </a:defRPr>
            </a:pPr>
            <a:r>
              <a:rPr lang="zh-CN"/>
              <a:t>占比（%）</a:t>
            </a:r>
            <a:endParaRPr lang="zh-CN"/>
          </a:p>
        </c:rich>
      </c:tx>
      <c:layout/>
      <c:overlay val="0"/>
      <c:spPr>
        <a:noFill/>
        <a:ln>
          <a:noFill/>
        </a:ln>
      </c:spPr>
    </c:title>
    <c:autoTitleDeleted val="0"/>
    <c:plotArea>
      <c:layout/>
      <c:pieChart>
        <c:varyColors val="1"/>
        <c:ser>
          <c:idx val="0"/>
          <c:order val="0"/>
          <c:tx>
            <c:strRef>
              <c:f>'Sheet1'!$B$1</c:f>
              <c:strCache>
                <c:ptCount val="1"/>
                <c:pt idx="0">
                  <c:v>占比（%）</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Pt>
            <c:idx val="4"/>
            <c:bubble3D val="0"/>
            <c:spPr>
              <a:solidFill>
                <a:srgbClr val="4BACC6"/>
              </a:solidFill>
              <a:ln w="19050">
                <a:solidFill>
                  <a:srgbClr val="FFFFFF"/>
                </a:solidFill>
                <a:prstDash val="solid"/>
              </a:ln>
            </c:spPr>
          </c:dPt>
          <c:dLbls>
            <c:dLbl>
              <c:idx val="2"/>
              <c:layout>
                <c:manualLayout>
                  <c:x val="0.08902246"/>
                  <c:y val="-0.060077175"/>
                </c:manualLayout>
              </c:layout>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79.57</c:v>
                </c:pt>
                <c:pt idx="1">
                  <c:v>7.25</c:v>
                </c:pt>
                <c:pt idx="2">
                  <c:v>2.51</c:v>
                </c:pt>
                <c:pt idx="3">
                  <c:v>7.42</c:v>
                </c:pt>
                <c:pt idx="4">
                  <c:v>3.25</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legend>
    <c:plotVisOnly val="1"/>
    <c:dispBlanksAs val="gap"/>
    <c:showDLblsOverMax val="0"/>
    <c:extLst>
      <c:ext uri="{0b15fc19-7d7d-44ad-8c2d-2c3a37ce22c3}">
        <chartProps xmlns="https://web.wps.cn/et/2018/main" chartId="{8b3da0fc-9b58-4f71-8f95-926b88096f57}"/>
      </c:ext>
    </c:extLst>
  </c:chart>
  <c:spPr>
    <a:solidFill>
      <a:srgbClr val="FFFFFF"/>
    </a:solidFill>
    <a:ln w="12700" cap="flat" cmpd="sng">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595959"/>
                </a:solidFill>
                <a:latin typeface="Calibri" panose="020F0502020204030204"/>
                <a:ea typeface="宋体" panose="02010600030101010101" charset="-122"/>
                <a:cs typeface="Lucida Sans"/>
              </a:defRPr>
            </a:pPr>
            <a:r>
              <a:rPr lang="zh-CN"/>
              <a:t>占比（%）</a:t>
            </a:r>
            <a:endParaRPr lang="zh-CN"/>
          </a:p>
        </c:rich>
      </c:tx>
      <c:layout/>
      <c:overlay val="0"/>
      <c:spPr>
        <a:noFill/>
        <a:ln>
          <a:noFill/>
        </a:ln>
      </c:spPr>
    </c:title>
    <c:autoTitleDeleted val="0"/>
    <c:view3D>
      <c:rotX val="30"/>
      <c:rotY val="0"/>
      <c:depthPercent val="100"/>
      <c:rAngAx val="0"/>
      <c:hPercent val="100"/>
      <c:perspective val="0"/>
    </c:view3D>
    <c:floor>
      <c:thickness val="0"/>
      <c:spPr>
        <a:ln>
          <a:noFill/>
        </a:ln>
      </c:spPr>
    </c:floor>
    <c:sideWall>
      <c:thickness val="0"/>
      <c:spPr>
        <a:ln>
          <a:noFill/>
        </a:ln>
      </c:spPr>
    </c:sideWall>
    <c:backWall>
      <c:thickness val="0"/>
      <c:spPr>
        <a:noFill/>
        <a:ln>
          <a:noFill/>
        </a:ln>
      </c:spPr>
    </c:backWall>
    <c:plotArea>
      <c:layout/>
      <c:pie3DChart>
        <c:varyColors val="1"/>
        <c:ser>
          <c:idx val="0"/>
          <c:order val="0"/>
          <c:tx>
            <c:strRef>
              <c:f>'Sheet1'!$B$1</c:f>
              <c:strCache>
                <c:ptCount val="1"/>
                <c:pt idx="0">
                  <c:v>占比（%）</c:v>
                </c:pt>
              </c:strCache>
            </c:strRef>
          </c:tx>
          <c:explosion val="0"/>
          <c:dPt>
            <c:idx val="0"/>
            <c:bubble3D val="0"/>
            <c:spPr>
              <a:solidFill>
                <a:srgbClr val="4F81BD"/>
              </a:solidFill>
              <a:ln w="25400">
                <a:solidFill>
                  <a:srgbClr val="FFFFFF"/>
                </a:solidFill>
                <a:prstDash val="solid"/>
              </a:ln>
            </c:spPr>
          </c:dPt>
          <c:dPt>
            <c:idx val="1"/>
            <c:bubble3D val="0"/>
            <c:spPr>
              <a:solidFill>
                <a:srgbClr val="C0504D"/>
              </a:solidFill>
              <a:ln w="25400">
                <a:solidFill>
                  <a:srgbClr val="FFFFFF"/>
                </a:solidFill>
                <a:prstDash val="solid"/>
              </a:ln>
            </c:spPr>
          </c:dPt>
          <c:dPt>
            <c:idx val="2"/>
            <c:bubble3D val="0"/>
            <c:spPr>
              <a:solidFill>
                <a:srgbClr val="9BBB59"/>
              </a:solidFill>
              <a:ln w="25400">
                <a:solidFill>
                  <a:srgbClr val="FFFFFF"/>
                </a:solidFill>
                <a:prstDash val="solid"/>
              </a:ln>
            </c:spPr>
          </c:dPt>
          <c:dLbls>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404040"/>
                    </a:solidFill>
                    <a:latin typeface="Calibri" panose="020F05020202040302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100</c:v>
                </c:pt>
              </c:numCache>
            </c:numRef>
          </c:val>
        </c:ser>
        <c:dLbls>
          <c:showLegendKey val="0"/>
          <c:showVal val="1"/>
          <c:showCatName val="0"/>
          <c:showSerName val="0"/>
          <c:showPercent val="0"/>
          <c:showBubbleSize val="0"/>
        </c:dLbls>
      </c:pie3D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Calibri" panose="020F0502020204030204"/>
              <a:ea typeface="宋体" panose="02010600030101010101" charset="-122"/>
              <a:cs typeface="Lucida Sans"/>
            </a:defRPr>
          </a:pPr>
        </a:p>
      </c:txPr>
    </c:legend>
    <c:plotVisOnly val="1"/>
    <c:dispBlanksAs val="gap"/>
    <c:showDLblsOverMax val="0"/>
    <c:extLst>
      <c:ext uri="{0b15fc19-7d7d-44ad-8c2d-2c3a37ce22c3}">
        <chartProps xmlns="https://web.wps.cn/et/2018/main" chartId="{6d67c544-43c7-4336-80ce-255c75fb8ab2}"/>
      </c:ext>
    </c:extLst>
  </c:chart>
  <c:spPr>
    <a:solidFill>
      <a:srgbClr val="FFFFFF"/>
    </a:solidFill>
    <a:ln w="12700" cap="flat" cmpd="sng">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04B3D-D604-439D-9B51-BBA47FC3CD2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63</Pages>
  <Words>4769</Words>
  <Characters>5214</Characters>
  <Lines>0</Lines>
  <Paragraphs>288</Paragraphs>
  <TotalTime>421</TotalTime>
  <ScaleCrop>false</ScaleCrop>
  <LinksUpToDate>false</LinksUpToDate>
  <CharactersWithSpaces>5375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2025-08-28T03:40:25Z</dcterms:modified>
  <dc:title>四川省***</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eyJoZGlkIjoiZGM4NjUzNDA1NDkyY2MxZmJmZThlN2U3ZTFkMjcwOGYifQ==</vt:lpwstr>
  </property>
</Properties>
</file>