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bookmarkStart w:id="0" w:name="_Toc15396597"/>
      <w:bookmarkStart w:id="1" w:name="_Toc15396475"/>
      <w:bookmarkStart w:id="2" w:name="_Toc15377425"/>
      <w:bookmarkStart w:id="3" w:name="_Toc15377193"/>
      <w:bookmarkStart w:id="4" w:name="_Toc15378441"/>
      <w:bookmarkStart w:id="5" w:name="_Toc15306267"/>
    </w:p>
    <w:p>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pPr>
        <w:pStyle w:val="8"/>
        <w:jc w:val="center"/>
        <w:rPr>
          <w:rFonts w:hint="eastAsia" w:ascii="Times New Roman" w:eastAsia="方正小标宋简体" w:cs="Times New Roman"/>
          <w:color w:val="auto"/>
          <w:kern w:val="2"/>
          <w:sz w:val="44"/>
          <w:szCs w:val="44"/>
          <w:highlight w:val="none"/>
          <w:lang w:val="en-US" w:eastAsia="zh-CN" w:bidi="ar-SA"/>
        </w:rPr>
      </w:pPr>
      <w:bookmarkStart w:id="6" w:name="_Toc15378442"/>
      <w:bookmarkStart w:id="7" w:name="_Toc15377194"/>
      <w:bookmarkStart w:id="8" w:name="_Toc15396598"/>
      <w:bookmarkStart w:id="9" w:name="_Toc15377426"/>
      <w:bookmarkStart w:id="10" w:name="_Toc15396476"/>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遂宁市安居区聚贤镇中心幼儿园</w:t>
      </w:r>
    </w:p>
    <w:p>
      <w:pPr>
        <w:pStyle w:val="8"/>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08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29</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 xml:space="preserve"> </w:t>
      </w:r>
      <w:r>
        <w:rPr>
          <w:rFonts w:hint="eastAsia" w:ascii="Times New Roman" w:hAnsi="Times New Roman" w:eastAsia="黑体" w:cs="黑体"/>
          <w:color w:val="auto"/>
          <w:sz w:val="24"/>
          <w:szCs w:val="24"/>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24"/>
          <w:szCs w:val="24"/>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一、收入支出决算总体情况说明</w:t>
      </w:r>
      <w:r>
        <w:rPr>
          <w:rFonts w:hint="eastAsia" w:ascii="Times New Roman" w:hAnsi="Times New Roman"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r>
        <w:rPr>
          <w:rFonts w:hint="eastAsia" w:ascii="Times New Roman" w:hAnsi="Times New Roman"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r>
        <w:rPr>
          <w:rFonts w:hint="eastAsia" w:ascii="Times New Roman" w:hAnsi="Times New Roman"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ascii="Times New Roman" w:hAnsi="Times New Roman"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Times New Roman" w:hAnsi="Times New Roman"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12</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13</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24"/>
          <w:szCs w:val="24"/>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16</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24"/>
          <w:szCs w:val="24"/>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24"/>
          <w:szCs w:val="24"/>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28</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pPr>
        <w:pStyle w:val="5"/>
        <w:jc w:val="center"/>
        <w:rPr>
          <w:rStyle w:val="2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12"/>
      <w:bookmarkEnd w:id="13"/>
    </w:p>
    <w:p>
      <w:pPr>
        <w:widowControl/>
        <w:jc w:val="left"/>
        <w:rPr>
          <w:rFonts w:ascii="Times New Roman" w:hAnsi="Times New Roman" w:eastAsia="黑体"/>
          <w:color w:val="auto"/>
          <w:sz w:val="32"/>
          <w:szCs w:val="32"/>
          <w:highlight w:val="none"/>
        </w:rPr>
      </w:pPr>
    </w:p>
    <w:p>
      <w:pPr>
        <w:pStyle w:val="6"/>
        <w:rPr>
          <w:rFonts w:hint="eastAsia" w:ascii="Times New Roman" w:hAnsi="Times New Roman" w:eastAsia="黑体"/>
          <w:b w:val="0"/>
          <w:color w:val="auto"/>
          <w:highlight w:val="none"/>
          <w:lang w:eastAsia="zh-CN"/>
        </w:rPr>
      </w:pPr>
      <w:bookmarkStart w:id="14" w:name="_Toc15396600"/>
      <w:bookmarkStart w:id="15" w:name="_Toc15377197"/>
      <w:r>
        <w:rPr>
          <w:rFonts w:hint="eastAsia" w:ascii="Times New Roman" w:hAnsi="Times New Roman" w:eastAsia="黑体"/>
          <w:b w:val="0"/>
          <w:color w:val="auto"/>
          <w:highlight w:val="none"/>
        </w:rPr>
        <w:t>一、</w:t>
      </w:r>
      <w:bookmarkEnd w:id="14"/>
      <w:bookmarkEnd w:id="15"/>
      <w:r>
        <w:rPr>
          <w:rFonts w:hint="eastAsia" w:ascii="Times New Roman" w:hAnsi="Times New Roman" w:eastAsia="黑体"/>
          <w:b w:val="0"/>
          <w:color w:val="auto"/>
          <w:highlight w:val="none"/>
          <w:lang w:eastAsia="zh-CN"/>
        </w:rPr>
        <w:t>部门职责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lang w:eastAsia="zh-CN"/>
        </w:rPr>
      </w:pPr>
      <w:r>
        <w:rPr>
          <w:rFonts w:hint="eastAsia" w:ascii="仿宋_GB2312" w:hAnsi="仿宋" w:eastAsia="仿宋_GB2312"/>
          <w:sz w:val="32"/>
          <w:szCs w:val="32"/>
          <w:lang w:eastAsia="zh-CN"/>
        </w:rPr>
        <w:t>四川省遂宁市安居区聚贤镇中心幼儿园地处遂宁市安居区聚贤镇，占地面积5000多平方米，我校主要服务区域为四川省遂宁市安居区聚贤镇所辖行政区及附近区域。我校正确贯彻执行党和国家的教育方针、政策、法规；积极实施学前教育，促进学前教育发展，负责学前教育及相关社会服务；维护学校的教学秩序，为学生创造良好的学习环境；积极稳妥地推进教育改革，按教育规律办事，不断提高教育质量；坚持教书育人，服务育人，环境育人方针，加强对学生的思想品德教育，使学生的德智体美劳全面发展。做好安全防范，保证学生的人身安全。</w:t>
      </w:r>
    </w:p>
    <w:p>
      <w:pPr>
        <w:pStyle w:val="6"/>
        <w:rPr>
          <w:rStyle w:val="30"/>
          <w:rFonts w:ascii="Times New Roman" w:hAnsi="Times New Roman"/>
          <w:b w:val="0"/>
          <w:bCs w:val="0"/>
          <w:color w:val="auto"/>
          <w:highlight w:val="none"/>
        </w:rPr>
      </w:pPr>
      <w:bookmarkStart w:id="16" w:name="_Toc15377200"/>
      <w:bookmarkStart w:id="17" w:name="_Toc15396601"/>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6"/>
      <w:bookmarkEnd w:id="17"/>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我校为独立编制机构1个，独立核算机构1个。</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我校现有在编教师17人，退休教师3人。学生</w:t>
      </w:r>
      <w:r>
        <w:rPr>
          <w:rFonts w:hint="eastAsia" w:ascii="仿宋_GB2312" w:hAnsi="仿宋" w:eastAsia="仿宋_GB2312"/>
          <w:sz w:val="32"/>
          <w:szCs w:val="32"/>
          <w:lang w:val="en-US" w:eastAsia="zh-CN"/>
        </w:rPr>
        <w:t>45</w:t>
      </w:r>
      <w:r>
        <w:rPr>
          <w:rFonts w:hint="eastAsia" w:ascii="仿宋_GB2312" w:hAnsi="仿宋" w:eastAsia="仿宋_GB2312"/>
          <w:sz w:val="32"/>
          <w:szCs w:val="32"/>
        </w:rPr>
        <w:t>人。学校现设有行政办、德育处、教导处、后勤处等部门</w:t>
      </w:r>
      <w:r>
        <w:rPr>
          <w:rFonts w:hint="eastAsia" w:ascii="仿宋_GB2312" w:hAnsi="仿宋" w:eastAsia="仿宋_GB2312"/>
          <w:sz w:val="32"/>
          <w:szCs w:val="32"/>
          <w:lang w:eastAsia="zh-CN"/>
        </w:rPr>
        <w:t>。</w:t>
      </w:r>
    </w:p>
    <w:p>
      <w:pPr>
        <w:widowControl/>
        <w:jc w:val="left"/>
        <w:rPr>
          <w:rFonts w:ascii="Times New Roman" w:hAnsi="Times New Roman" w:eastAsia="仿宋_GB2312"/>
          <w:color w:val="auto"/>
          <w:kern w:val="0"/>
          <w:sz w:val="32"/>
          <w:szCs w:val="32"/>
          <w:highlight w:val="none"/>
        </w:rPr>
      </w:pPr>
      <w:r>
        <w:rPr>
          <w:rFonts w:ascii="Times New Roman" w:hAnsi="Times New Roman" w:eastAsia="仿宋_GB2312"/>
          <w:color w:val="auto"/>
          <w:sz w:val="32"/>
          <w:szCs w:val="32"/>
          <w:highlight w:val="none"/>
        </w:rPr>
        <w:br w:type="page"/>
      </w:r>
    </w:p>
    <w:p>
      <w:pPr>
        <w:pStyle w:val="5"/>
        <w:jc w:val="center"/>
        <w:rPr>
          <w:rFonts w:hint="eastAsia" w:ascii="Times New Roman" w:hAnsi="Times New Roman" w:eastAsia="方正小标宋简体" w:cs="方正小标宋简体"/>
          <w:b w:val="0"/>
          <w:color w:val="auto"/>
          <w:highlight w:val="none"/>
        </w:rPr>
      </w:pPr>
      <w:bookmarkStart w:id="18" w:name="_Toc15396602"/>
      <w:bookmarkStart w:id="19"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8"/>
      <w:bookmarkEnd w:id="19"/>
    </w:p>
    <w:p>
      <w:pPr>
        <w:rPr>
          <w:rFonts w:ascii="Times New Roman" w:hAnsi="Times New Roman"/>
          <w:color w:val="auto"/>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0" w:name="_Toc15377205"/>
      <w:bookmarkStart w:id="21"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20"/>
      <w:bookmarkEnd w:id="21"/>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391.97</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35.18</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8.24</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上年度有政府性基金预算财政拨款收入支出</w:t>
      </w:r>
      <w:r>
        <w:rPr>
          <w:rFonts w:hint="eastAsia" w:eastAsia="仿宋_GB2312" w:cs="仿宋_GB2312"/>
          <w:color w:val="auto"/>
          <w:sz w:val="32"/>
          <w:szCs w:val="32"/>
          <w:highlight w:val="none"/>
          <w:lang w:val="en-US" w:eastAsia="zh-CN"/>
        </w:rPr>
        <w:t>35万元，本年度因项目完成，没有此项收支，另因本年度学生及教职员工人数减少，导致工资及五险两金等人员经费减少、财政匹配公用经费减少等原因导致。</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eastAsia="仿宋_GB2312" w:cs="仿宋_GB2312"/>
          <w:color w:val="auto"/>
          <w:sz w:val="32"/>
          <w:szCs w:val="32"/>
          <w:highlight w:val="none"/>
          <w:lang w:val="en-US" w:eastAsia="zh-CN"/>
        </w:rPr>
      </w:pPr>
      <w:r>
        <w:drawing>
          <wp:inline distT="0" distB="0" distL="114300" distR="114300">
            <wp:extent cx="4817745" cy="2572385"/>
            <wp:effectExtent l="4445" t="4445" r="16510"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96604"/>
      <w:bookmarkStart w:id="23" w:name="_Toc15377206"/>
      <w:r>
        <w:rPr>
          <w:rFonts w:hint="eastAsia" w:ascii="Times New Roman" w:hAnsi="Times New Roman" w:eastAsia="黑体"/>
          <w:color w:val="auto"/>
          <w:sz w:val="32"/>
          <w:szCs w:val="32"/>
          <w:highlight w:val="none"/>
          <w:lang w:eastAsia="zh-CN"/>
        </w:rPr>
        <w:t>二、收入决算情况说明</w:t>
      </w:r>
      <w:bookmarkEnd w:id="22"/>
      <w:bookmarkEnd w:id="23"/>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391.97万元，其中：一般公共预算财政拨款收入382.55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97.</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9.42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w:t>
      </w:r>
    </w:p>
    <w:p>
      <w:pPr>
        <w:ind w:left="0" w:leftChars="0" w:firstLine="0" w:firstLineChars="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5270500" cy="3653790"/>
            <wp:effectExtent l="4445" t="4445" r="20955" b="184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left="0" w:leftChars="0" w:firstLine="0" w:firstLineChars="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pPr>
        <w:pStyle w:val="2"/>
        <w:rPr>
          <w:rFonts w:hint="eastAsia"/>
          <w:lang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4" w:name="_Toc15377207"/>
      <w:bookmarkStart w:id="25"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4"/>
      <w:bookmarkEnd w:id="25"/>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391.97</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320.3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81.72</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71.6</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18.2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color w:val="auto"/>
          <w:sz w:val="32"/>
          <w:szCs w:val="32"/>
          <w:highlight w:val="none"/>
          <w:lang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center"/>
        <w:textAlignment w:val="auto"/>
        <w:outlineLvl w:val="1"/>
        <w:rPr>
          <w:rFonts w:hint="eastAsia" w:ascii="仿宋_GB2312" w:hAnsi="仿宋_GB2312" w:eastAsia="仿宋_GB2312" w:cs="仿宋_GB2312"/>
          <w:color w:val="auto"/>
          <w:sz w:val="32"/>
          <w:szCs w:val="32"/>
          <w:highlight w:val="none"/>
          <w:lang w:eastAsia="zh-CN"/>
        </w:rPr>
      </w:pPr>
      <w:r>
        <w:drawing>
          <wp:inline distT="0" distB="0" distL="114300" distR="114300">
            <wp:extent cx="3629660" cy="3905250"/>
            <wp:effectExtent l="4445" t="4445" r="23495" b="14605"/>
            <wp:docPr id="115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pPr>
        <w:pStyle w:val="2"/>
        <w:rPr>
          <w:rFonts w:hint="eastAsia"/>
          <w:lang w:eastAsia="zh-CN"/>
        </w:rPr>
      </w:pPr>
    </w:p>
    <w:p>
      <w:pPr>
        <w:spacing w:line="600" w:lineRule="exact"/>
        <w:ind w:firstLine="640" w:firstLineChars="200"/>
        <w:outlineLvl w:val="1"/>
        <w:rPr>
          <w:rStyle w:val="30"/>
          <w:rFonts w:ascii="Times New Roman" w:hAnsi="Times New Roman" w:eastAsia="黑体"/>
          <w:b w:val="0"/>
          <w:color w:val="auto"/>
          <w:highlight w:val="none"/>
        </w:rPr>
      </w:pPr>
      <w:bookmarkStart w:id="26" w:name="_Toc15396606"/>
      <w:bookmarkStart w:id="27" w:name="_Toc15377208"/>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6"/>
      <w:bookmarkEnd w:id="2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382.55</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44.6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10.44</w:t>
      </w:r>
      <w:r>
        <w:rPr>
          <w:rFonts w:hint="eastAsia" w:ascii="Times New Roman" w:hAnsi="Times New Roman" w:eastAsia="仿宋_GB2312" w:cs="仿宋_GB2312"/>
          <w:color w:val="auto"/>
          <w:kern w:val="2"/>
          <w:sz w:val="32"/>
          <w:szCs w:val="32"/>
          <w:highlight w:val="none"/>
          <w:lang w:val="en-US" w:eastAsia="zh-CN" w:bidi="ar-SA"/>
        </w:rPr>
        <w:t>%。主要变动原因是上年度有政府性基金预算财政拨款收入支出35万元，本年度因项目完成，没有此项收支，另因本年度学生及教职员工人数减少，导致工资及五险</w:t>
      </w:r>
      <w:r>
        <w:rPr>
          <w:rFonts w:hint="eastAsia" w:eastAsia="仿宋_GB2312" w:cs="仿宋_GB2312"/>
          <w:color w:val="auto"/>
          <w:kern w:val="2"/>
          <w:sz w:val="32"/>
          <w:szCs w:val="32"/>
          <w:highlight w:val="none"/>
          <w:lang w:val="en-US" w:eastAsia="zh-CN" w:bidi="ar-SA"/>
        </w:rPr>
        <w:t>两</w:t>
      </w:r>
      <w:r>
        <w:rPr>
          <w:rFonts w:hint="eastAsia" w:ascii="Times New Roman" w:hAnsi="Times New Roman" w:eastAsia="仿宋_GB2312" w:cs="仿宋_GB2312"/>
          <w:color w:val="auto"/>
          <w:kern w:val="2"/>
          <w:sz w:val="32"/>
          <w:szCs w:val="32"/>
          <w:highlight w:val="none"/>
          <w:lang w:val="en-US" w:eastAsia="zh-CN" w:bidi="ar-SA"/>
        </w:rPr>
        <w:t>金等人员经费减少</w:t>
      </w:r>
      <w:r>
        <w:rPr>
          <w:rFonts w:hint="eastAsia" w:eastAsia="仿宋_GB2312" w:cs="仿宋_GB2312"/>
          <w:color w:val="auto"/>
          <w:kern w:val="2"/>
          <w:sz w:val="32"/>
          <w:szCs w:val="32"/>
          <w:highlight w:val="none"/>
          <w:lang w:val="en-US" w:eastAsia="zh-CN" w:bidi="ar-SA"/>
        </w:rPr>
        <w:t>、财政匹配公用经费减少</w:t>
      </w:r>
      <w:r>
        <w:rPr>
          <w:rFonts w:hint="eastAsia" w:ascii="Times New Roman" w:hAnsi="Times New Roman" w:eastAsia="仿宋_GB2312" w:cs="仿宋_GB2312"/>
          <w:color w:val="auto"/>
          <w:kern w:val="2"/>
          <w:sz w:val="32"/>
          <w:szCs w:val="32"/>
          <w:highlight w:val="none"/>
          <w:lang w:val="en-US" w:eastAsia="zh-CN" w:bidi="ar-SA"/>
        </w:rPr>
        <w:t>等原因导致。</w:t>
      </w:r>
    </w:p>
    <w:p>
      <w:pPr>
        <w:pStyle w:val="2"/>
        <w:jc w:val="center"/>
        <w:rPr>
          <w:rFonts w:hint="eastAsia"/>
          <w:lang w:val="en-US" w:eastAsia="zh-CN"/>
        </w:rPr>
      </w:pPr>
      <w:r>
        <w:drawing>
          <wp:inline distT="0" distB="0" distL="114300" distR="114300">
            <wp:extent cx="4572000" cy="2743200"/>
            <wp:effectExtent l="4445" t="4445" r="1460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outlineLvl w:val="1"/>
        <w:rPr>
          <w:rStyle w:val="30"/>
          <w:rFonts w:ascii="Times New Roman" w:hAnsi="Times New Roman" w:eastAsia="黑体"/>
          <w:b w:val="0"/>
          <w:color w:val="auto"/>
          <w:highlight w:val="none"/>
        </w:rPr>
      </w:pPr>
      <w:bookmarkStart w:id="28" w:name="_Toc15377209"/>
      <w:bookmarkStart w:id="29"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8"/>
      <w:bookmarkEnd w:id="29"/>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382.55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97.59</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%。与2023年度相比，一般公共预算财政拨款支出减少9.6万元，下降2.45%。主要变动原因是</w:t>
      </w:r>
      <w:r>
        <w:rPr>
          <w:rFonts w:hint="eastAsia" w:ascii="Times New Roman" w:hAnsi="Times New Roman" w:eastAsia="仿宋_GB2312" w:cs="仿宋_GB2312"/>
          <w:color w:val="auto"/>
          <w:kern w:val="2"/>
          <w:sz w:val="32"/>
          <w:szCs w:val="32"/>
          <w:highlight w:val="none"/>
          <w:lang w:val="en-US" w:eastAsia="zh-CN" w:bidi="ar-SA"/>
        </w:rPr>
        <w:t>本年度教职员工人数减少，导致工资及五险</w:t>
      </w:r>
      <w:r>
        <w:rPr>
          <w:rFonts w:hint="eastAsia" w:eastAsia="仿宋_GB2312" w:cs="仿宋_GB2312"/>
          <w:color w:val="auto"/>
          <w:kern w:val="2"/>
          <w:sz w:val="32"/>
          <w:szCs w:val="32"/>
          <w:highlight w:val="none"/>
          <w:lang w:val="en-US" w:eastAsia="zh-CN" w:bidi="ar-SA"/>
        </w:rPr>
        <w:t>两</w:t>
      </w:r>
      <w:r>
        <w:rPr>
          <w:rFonts w:hint="eastAsia" w:ascii="Times New Roman" w:hAnsi="Times New Roman" w:eastAsia="仿宋_GB2312" w:cs="仿宋_GB2312"/>
          <w:color w:val="auto"/>
          <w:kern w:val="2"/>
          <w:sz w:val="32"/>
          <w:szCs w:val="32"/>
          <w:highlight w:val="none"/>
          <w:lang w:val="en-US" w:eastAsia="zh-CN" w:bidi="ar-SA"/>
        </w:rPr>
        <w:t>金等人员经费减少；在校学生人数减少，匹配的公用经费等减少等原因导致。</w:t>
      </w:r>
    </w:p>
    <w:p>
      <w:pPr>
        <w:shd w:val="clear"/>
        <w:spacing w:line="240" w:lineRule="auto"/>
        <w:ind w:left="0" w:leftChars="0" w:firstLine="0" w:firstLineChars="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927600" cy="3201670"/>
            <wp:effectExtent l="4445" t="4445" r="20955" b="1333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left="0" w:leftChars="0" w:firstLine="0" w:firstLineChars="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pPr>
        <w:pStyle w:val="2"/>
        <w:jc w:val="center"/>
        <w:rPr>
          <w:rFonts w:hint="eastAsia"/>
          <w:lang w:val="en-US" w:eastAsia="zh-CN"/>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1"/>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382.55</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303.81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79.42</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40.29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10.53</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14.15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3.7</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24.31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6.35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pStyle w:val="2"/>
        <w:jc w:val="center"/>
        <w:rPr>
          <w:rFonts w:hint="eastAsia"/>
          <w:lang w:val="en-US" w:eastAsia="zh-CN"/>
        </w:rPr>
      </w:pPr>
      <w:r>
        <w:drawing>
          <wp:inline distT="0" distB="0" distL="114300" distR="114300">
            <wp:extent cx="4654550" cy="3754120"/>
            <wp:effectExtent l="4445" t="4445" r="8255" b="1333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3" w:name="_Toc15378460"/>
      <w:bookmarkStart w:id="34" w:name="_Toc15377444"/>
      <w:bookmarkStart w:id="35"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382.55</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3"/>
      <w:bookmarkEnd w:id="34"/>
      <w:bookmarkEnd w:id="35"/>
    </w:p>
    <w:p>
      <w:pPr>
        <w:numPr>
          <w:ilvl w:val="0"/>
          <w:numId w:val="1"/>
        </w:num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教育支出205(类)普通教育02(款)学前教育01(款)：支出决算为302.8万元，完成预算100%。</w:t>
      </w:r>
    </w:p>
    <w:p>
      <w:pPr>
        <w:numPr>
          <w:ilvl w:val="0"/>
          <w:numId w:val="1"/>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教育支出205(类)普通教育02(款)其他普通教育支出99(款)：支出决算为1.00万元，完成预算100%。</w:t>
      </w:r>
    </w:p>
    <w:p>
      <w:pPr>
        <w:numPr>
          <w:ilvl w:val="0"/>
          <w:numId w:val="1"/>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社会保障和就业支出208(类)行政事业单位养老支出05(款)事业单位离退休02(款)：支出决算为4.95万元，完成预算100%。</w:t>
      </w:r>
    </w:p>
    <w:p>
      <w:pPr>
        <w:numPr>
          <w:ilvl w:val="0"/>
          <w:numId w:val="1"/>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社会保障和就业支出208(类)行政事业单位养老支出05(款)机关事业单位基本养老保险缴费支出05(款)：支出决算为32.32万元，完成预算100%。</w:t>
      </w:r>
    </w:p>
    <w:p>
      <w:pPr>
        <w:numPr>
          <w:ilvl w:val="0"/>
          <w:numId w:val="1"/>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社会保障和就业支出208(类)其他社会保障和就业支出99(款)其他社会保障和就业支出99(款)：支出决算为3.02万元，完成预算100%。</w:t>
      </w:r>
    </w:p>
    <w:p>
      <w:pPr>
        <w:numPr>
          <w:ilvl w:val="0"/>
          <w:numId w:val="1"/>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卫生健康支出210(类)行政事业单位医疗11(款)事业单位医疗02(款)：支出决算为14.15万元，完成预算100%。</w:t>
      </w:r>
    </w:p>
    <w:p>
      <w:pPr>
        <w:numPr>
          <w:ilvl w:val="0"/>
          <w:numId w:val="1"/>
        </w:numPr>
        <w:spacing w:line="600" w:lineRule="exact"/>
        <w:ind w:left="0" w:leftChars="0" w:firstLine="640" w:firstLineChars="0"/>
        <w:rPr>
          <w:rFonts w:hint="eastAsia" w:ascii="Times New Roman" w:hAnsi="Times New Roman" w:eastAsia="仿宋_GB2312" w:cs="仿宋_GB2312"/>
          <w:b/>
          <w:bCs/>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住房保障支出221(类)住房改革支出02(款)住房公积金01(款)：支出决算为24.31万元，完成预算100%。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tabs>
          <w:tab w:val="right" w:pos="8306"/>
        </w:tabs>
        <w:spacing w:line="600" w:lineRule="exact"/>
        <w:ind w:firstLine="640"/>
        <w:outlineLvl w:val="1"/>
        <w:rPr>
          <w:rStyle w:val="30"/>
          <w:rFonts w:ascii="Times New Roman" w:hAnsi="Times New Roman"/>
          <w:color w:val="auto"/>
          <w:highlight w:val="none"/>
        </w:rPr>
      </w:pPr>
      <w:bookmarkStart w:id="36" w:name="_Toc15396608"/>
      <w:bookmarkStart w:id="37"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6"/>
      <w:bookmarkEnd w:id="37"/>
      <w:r>
        <w:rPr>
          <w:rStyle w:val="30"/>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320.3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288.75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公用经费</w:t>
      </w:r>
      <w:r>
        <w:rPr>
          <w:rFonts w:hint="eastAsia" w:ascii="仿宋_GB2312" w:hAnsi="仿宋_GB2312" w:eastAsia="仿宋_GB2312" w:cs="仿宋_GB2312"/>
          <w:sz w:val="32"/>
          <w:szCs w:val="32"/>
        </w:rPr>
        <w:t>31.57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outlineLvl w:val="1"/>
        <w:rPr>
          <w:rStyle w:val="30"/>
          <w:rFonts w:ascii="Times New Roman" w:hAnsi="Times New Roman" w:eastAsia="黑体"/>
          <w:b w:val="0"/>
          <w:color w:val="auto"/>
          <w:highlight w:val="none"/>
        </w:rPr>
      </w:pPr>
      <w:bookmarkStart w:id="38" w:name="_Toc15396609"/>
      <w:bookmarkStart w:id="39" w:name="_Toc153772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8"/>
      <w:bookmarkEnd w:id="39"/>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万元，完成预算10</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2" w:name="_Toc15396610"/>
      <w:bookmarkStart w:id="43" w:name="_Toc15377218"/>
    </w:p>
    <w:p>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42"/>
      <w:bookmarkEnd w:id="43"/>
    </w:p>
    <w:p>
      <w:pPr>
        <w:spacing w:line="600" w:lineRule="exact"/>
        <w:ind w:firstLine="640"/>
        <w:rPr>
          <w:rFonts w:hint="default"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与2023年度持平。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44" w:name="_Toc15396611"/>
      <w:bookmarkStart w:id="45"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44"/>
      <w:bookmarkEnd w:id="45"/>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与2023年度持平。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46" w:name="_Toc15377221"/>
      <w:bookmarkStart w:id="47" w:name="_Toc15396612"/>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6"/>
      <w:bookmarkEnd w:id="47"/>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2"/>
      <w:r>
        <w:rPr>
          <w:rFonts w:hint="eastAsia" w:ascii="Times New Roman" w:hAnsi="Times New Roman" w:eastAsia="楷体_GB2312" w:cs="楷体_GB2312"/>
          <w:b/>
          <w:color w:val="auto"/>
          <w:sz w:val="32"/>
          <w:szCs w:val="32"/>
          <w:highlight w:val="none"/>
        </w:rPr>
        <w:t>（一）机关运行经费支出情况</w:t>
      </w:r>
      <w:bookmarkEnd w:id="48"/>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遂宁市安居区聚贤镇中心幼儿园</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kern w:val="2"/>
          <w:sz w:val="32"/>
          <w:szCs w:val="32"/>
          <w:highlight w:val="none"/>
          <w:lang w:val="en-US" w:eastAsia="zh-CN" w:bidi="ar-SA"/>
        </w:rPr>
        <w:t>与2023年度决算数持平。</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3"/>
      <w:r>
        <w:rPr>
          <w:rFonts w:hint="eastAsia" w:ascii="Times New Roman" w:hAnsi="Times New Roman" w:eastAsia="楷体_GB2312" w:cs="楷体_GB2312"/>
          <w:b/>
          <w:color w:val="auto"/>
          <w:sz w:val="32"/>
          <w:szCs w:val="32"/>
          <w:highlight w:val="none"/>
        </w:rPr>
        <w:t>（二）政府采购支出情况</w:t>
      </w:r>
      <w:bookmarkEnd w:id="4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遂宁市安居区聚贤镇中心幼儿园</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4"/>
      <w:r>
        <w:rPr>
          <w:rFonts w:hint="eastAsia" w:ascii="Times New Roman" w:hAnsi="Times New Roman" w:eastAsia="楷体_GB2312" w:cs="楷体_GB2312"/>
          <w:b/>
          <w:color w:val="auto"/>
          <w:sz w:val="32"/>
          <w:szCs w:val="32"/>
          <w:highlight w:val="none"/>
        </w:rPr>
        <w:t>（三）国有资产占有使用情况</w:t>
      </w:r>
      <w:bookmarkEnd w:id="5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遂宁市安居区聚贤镇中心幼儿园</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根据预算绩效管理要求，本单位在2024年度预算编制阶段，组织对幼儿保教费、幼儿资助及幼儿发展资金、幼儿资助及幼儿发展资金等</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2024年我单位部门整体（含部门预算项目）绩效自评报告，幼儿保教费、幼儿资助及幼儿发展资金、幼儿资助及幼儿发展资金等预算项目绩效自评报告。其中，2024年我单位部门整体（含部门预算项目）绩效自评得分为9</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分，绩效自评综述绩效自评综述严格执行相关政策，保障工资及时发放、足额发放，预算编制科学合理，减少结余资金，广泛听取意见，认真总结分析,搜集完善各类资料。进一步深化课程改革，提高教育质量，努力改善办学条件，促进教育均衡发展。幼儿保教费预算项目绩效自评得分为100分，绩效自评综述保障了学校家庭经济困难学生正常入学，减轻其家庭经济负担。幼儿资助及幼儿发展资金预算项目绩效自评得分为100分，绩效自评综述保障了学校家庭经济困难学生正常入学，减轻其家庭经济负担，促进学校健康发展。幼儿资助及幼儿发展资金预算项目绩效自评得分为100分，绩效自评综述保障了学校家庭经济困难学生正常入学，减轻其家庭经济负担，促进学校健康发展。</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绩效自评表详见第四部分附件。</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1" w:name="_Toc15377225"/>
      <w:bookmarkStart w:id="52" w:name="_Toc15396613"/>
      <w:r>
        <w:rPr>
          <w:rFonts w:hint="eastAsia" w:ascii="Times New Roman" w:hAnsi="Times New Roman" w:eastAsia="黑体"/>
          <w:color w:val="auto"/>
          <w:sz w:val="44"/>
          <w:szCs w:val="44"/>
          <w:highlight w:val="none"/>
        </w:rPr>
        <w:br w:type="page"/>
      </w:r>
    </w:p>
    <w:p>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1"/>
      <w:bookmarkEnd w:id="52"/>
    </w:p>
    <w:p>
      <w:pPr>
        <w:spacing w:line="600" w:lineRule="exact"/>
        <w:jc w:val="left"/>
        <w:rPr>
          <w:rFonts w:ascii="Times New Roman" w:hAnsi="Times New Roman"/>
          <w:b/>
          <w:color w:val="auto"/>
          <w:sz w:val="44"/>
          <w:szCs w:val="44"/>
          <w:highlight w:val="none"/>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2.事业收入：指事业单位开展专业业务活动及辅助活动取得的收入。如学前教育保教费收入等。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4.其他收入：指单位取得的除上述收入以外的各项收入。主要是利息收入、捐赠收入等。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9.教育（205类）教育管理事务（01款）行政运行（01项）: 反映行政单位（包括实行公务员管理的事业单位）的基本支出。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10.教育（205类）教育管理事务（01款）一般行政管理事务（02项）: 反映行政单位（包括实行公务员管理的事业单位）未单独设置项级科目的其他项目支出。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11.教育（205类）教育管理事务（01款）其他教育管理事务支出（99项）: 反映除上述项目以外其他用于教育管理事务方面的支出。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12.教育（205类）普通教育（02款）学前教育（01项）: 反映各部门举办的学前教育支出。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13.教育（205类）普通教育（02款）小学教育（02项）: 反映各部门举办的小学教育支出。政府各部门对社会中介组织等举办的小学的资助，如各类捐赠、补贴等，也在本科目中反映。</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14.教育（205类）普通教育（02款）其他普通教育支出（99项）: 反映除上述项目以外其他用于普通教育方面的支出。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15.教育（205类）其他教育支出（09款）其他教育支出（99项）: 反映除上述项目以外其他教育费附加安排的支出。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16.教育（205类）其他教育支出（99款）其他教育支出（99项）: 反映除上述项目以外其他教育方面的支出。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17.社会保障和就业（208类）行政事业单位养老支出（05款）事业单位离退休（02项）: 反映机关事业单位实施事业单位离退</w:t>
      </w:r>
      <w:r>
        <w:rPr>
          <w:rFonts w:hint="eastAsia" w:eastAsia="仿宋_GB2312" w:cs="仿宋_GB2312"/>
          <w:color w:val="auto"/>
          <w:kern w:val="2"/>
          <w:sz w:val="32"/>
          <w:szCs w:val="32"/>
          <w:highlight w:val="none"/>
          <w:lang w:val="en-US" w:eastAsia="zh-CN" w:bidi="ar-SA"/>
        </w:rPr>
        <w:t>休</w:t>
      </w:r>
      <w:r>
        <w:rPr>
          <w:rFonts w:hint="eastAsia" w:ascii="Times New Roman" w:hAnsi="Times New Roman" w:eastAsia="仿宋_GB2312" w:cs="仿宋_GB2312"/>
          <w:color w:val="auto"/>
          <w:kern w:val="2"/>
          <w:sz w:val="32"/>
          <w:szCs w:val="32"/>
          <w:highlight w:val="none"/>
          <w:lang w:val="en-US" w:eastAsia="zh-CN" w:bidi="ar-SA"/>
        </w:rPr>
        <w:t>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18.社会保障和就业（208类）行政事业单位养老支出（05款）机关事业单位基本养老保险缴费支出（05项）: 反映机关事业单位实施养老保险制度由单位缴纳的基本养老保险费支出。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19.社会保障和就业（208类）行政事业单位养老支出（05款）其他行政事业单位养老支出（99项）: 反映机关事业单位实施养老保险制度其他行政事业单位养老支出支出。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20.社会保障和就业（208类）其他社会保障和就业支出（99款）其他社会保障和就业支出（99项）: 反映上述项目以外其他用于社会保障和就业方面的支出。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21.卫生健康支出（210类）行政事业单位医疗（11款）事业单位医疗（02项）:反映财政部门集中安排的事业单位基本医疗保险缴费经费，未参加医疗保险的事业单位的公费医疗经费，按国家规定享受离休人员待遇的医疗经费。</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22.住房保障支出（221类）住房改革支出（02款）住房公积金（01项）:反映行政事业单位按人力资源和社会保障部、财政部规定的基本工资和津贴补贴以及</w:t>
      </w:r>
      <w:r>
        <w:rPr>
          <w:rFonts w:hint="eastAsia" w:eastAsia="仿宋_GB2312" w:cs="仿宋_GB2312"/>
          <w:color w:val="auto"/>
          <w:kern w:val="2"/>
          <w:sz w:val="32"/>
          <w:szCs w:val="32"/>
          <w:highlight w:val="none"/>
          <w:lang w:val="en-US" w:eastAsia="zh-CN" w:bidi="ar-SA"/>
        </w:rPr>
        <w:t>按</w:t>
      </w:r>
      <w:r>
        <w:rPr>
          <w:rFonts w:hint="eastAsia" w:ascii="Times New Roman" w:hAnsi="Times New Roman" w:eastAsia="仿宋_GB2312" w:cs="仿宋_GB2312"/>
          <w:color w:val="auto"/>
          <w:kern w:val="2"/>
          <w:sz w:val="32"/>
          <w:szCs w:val="32"/>
          <w:highlight w:val="none"/>
          <w:lang w:val="en-US" w:eastAsia="zh-CN" w:bidi="ar-SA"/>
        </w:rPr>
        <w:t>规定比例为职工缴纳的住房公积金。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23.基本支出：指为保障机构正常运转、完成日常工作任务而发生的人员支出和公用支出。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24.项目支出：指在基本支出之外为完成特定行政任务和事业发展目标所发生的支出。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25.经营支出：指事业单位在专业业务活动及其辅助活动之外开展非独立核算经营活动发生的支出。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27.工资福利：反映单位开支的在职职工和编制外长期聘用人员的各类劳动报酬，以及为上述人员缴纳的各项社会保险费等。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28.商品和服务：反映单位购买商品和服务的支出，不包括用于购置固定资产、战略性和应急性物资储备等资本支出。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29.对个人和家庭的补助：反映政府用于对个人和家庭的补助支出。</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30.资本性支出：反映各单位安排的资本性支出。</w:t>
      </w:r>
      <w:bookmarkStart w:id="72" w:name="_GoBack"/>
      <w:bookmarkEnd w:id="72"/>
      <w:r>
        <w:rPr>
          <w:rFonts w:hint="eastAsia" w:ascii="Times New Roman" w:hAnsi="Times New Roman" w:eastAsia="仿宋_GB2312" w:cs="仿宋_GB2312"/>
          <w:color w:val="auto"/>
          <w:kern w:val="2"/>
          <w:sz w:val="32"/>
          <w:szCs w:val="32"/>
          <w:highlight w:val="none"/>
          <w:lang w:val="en-US" w:eastAsia="zh-CN" w:bidi="ar-SA"/>
        </w:rPr>
        <w:t>由发展改革部门安排的基本建设支出不在此科目反映。</w:t>
      </w:r>
    </w:p>
    <w:p>
      <w:pPr>
        <w:spacing w:line="600" w:lineRule="exact"/>
        <w:jc w:val="center"/>
        <w:rPr>
          <w:rFonts w:hint="eastAsia" w:ascii="Times New Roman" w:hAnsi="Times New Roman" w:eastAsia="黑体"/>
          <w:color w:val="auto"/>
          <w:sz w:val="44"/>
          <w:szCs w:val="44"/>
          <w:highlight w:val="none"/>
        </w:rPr>
      </w:pPr>
      <w:bookmarkStart w:id="53"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4"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4"/>
    </w:p>
    <w:p>
      <w:pPr>
        <w:spacing w:line="600" w:lineRule="exact"/>
        <w:outlineLvl w:val="0"/>
        <w:rPr>
          <w:rFonts w:ascii="仿宋" w:hAnsi="仿宋" w:eastAsia="仿宋_GB2312"/>
          <w:bCs/>
          <w:sz w:val="36"/>
          <w:szCs w:val="36"/>
        </w:rPr>
      </w:pPr>
      <w:bookmarkStart w:id="55" w:name="OLE_LINK2"/>
      <w:bookmarkStart w:id="56" w:name="OLE_LINK1"/>
      <w:r>
        <w:rPr>
          <w:rFonts w:hint="eastAsia"/>
          <w:bCs/>
          <w:sz w:val="32"/>
          <w:szCs w:val="32"/>
        </w:rPr>
        <w:t>附件1</w:t>
      </w:r>
      <w:r>
        <w:rPr>
          <w:rFonts w:ascii="仿宋" w:hAnsi="仿宋" w:eastAsia="仿宋_GB2312"/>
          <w:bCs/>
          <w:sz w:val="36"/>
          <w:szCs w:val="36"/>
        </w:rPr>
        <w:t>：</w:t>
      </w:r>
      <w:r>
        <w:rPr>
          <w:rFonts w:ascii="仿宋" w:hAnsi="仿宋" w:eastAsia="仿宋_GB2312"/>
          <w:bCs/>
          <w:sz w:val="36"/>
          <w:szCs w:val="36"/>
        </w:rPr>
        <w:fldChar w:fldCharType="begin"/>
      </w:r>
      <w:r>
        <w:rPr>
          <w:rFonts w:ascii="仿宋" w:hAnsi="仿宋" w:eastAsia="仿宋_GB2312"/>
          <w:bCs/>
          <w:sz w:val="36"/>
          <w:szCs w:val="36"/>
        </w:rPr>
        <w:instrText xml:space="preserve"> </w:instrText>
      </w:r>
      <w:r>
        <w:rPr>
          <w:rFonts w:hint="eastAsia" w:ascii="仿宋" w:hAnsi="仿宋" w:eastAsia="仿宋_GB2312"/>
          <w:bCs/>
          <w:sz w:val="36"/>
          <w:szCs w:val="36"/>
        </w:rPr>
        <w:instrText xml:space="preserve">LINK </w:instrText>
      </w:r>
      <w:r>
        <w:rPr>
          <w:rFonts w:ascii="仿宋" w:hAnsi="仿宋" w:eastAsia="仿宋_GB2312"/>
          <w:bCs/>
          <w:sz w:val="36"/>
          <w:szCs w:val="36"/>
        </w:rPr>
        <w:instrText xml:space="preserve">Excel.Sheet.8</w:instrText>
      </w:r>
      <w:r>
        <w:rPr>
          <w:rFonts w:hint="eastAsia" w:ascii="仿宋" w:hAnsi="仿宋" w:eastAsia="仿宋_GB2312"/>
          <w:bCs/>
          <w:sz w:val="36"/>
          <w:szCs w:val="36"/>
        </w:rPr>
        <w:instrText xml:space="preserve"> "E:\\磨幼2023\\2022年决算\\2022年决算公开\\绩效自评表\\（公开5项）磨幼2022绩效自评表 -5.xls" 自评表!R2C1:R102C11 \a \f 4 \h</w:instrText>
      </w:r>
      <w:r>
        <w:rPr>
          <w:rFonts w:ascii="仿宋" w:hAnsi="仿宋" w:eastAsia="仿宋_GB2312"/>
          <w:bCs/>
          <w:sz w:val="36"/>
          <w:szCs w:val="36"/>
        </w:rPr>
        <w:instrText xml:space="preserve">  \* MERGEFORMAT </w:instrText>
      </w:r>
      <w:bookmarkStart w:id="57" w:name="_1753987489"/>
      <w:bookmarkEnd w:id="57"/>
      <w:r>
        <w:rPr>
          <w:rFonts w:ascii="仿宋" w:hAnsi="仿宋" w:eastAsia="仿宋_GB2312"/>
          <w:bCs/>
          <w:sz w:val="36"/>
          <w:szCs w:val="36"/>
        </w:rPr>
        <w:fldChar w:fldCharType="separate"/>
      </w:r>
    </w:p>
    <w:p>
      <w:pPr>
        <w:keepNext w:val="0"/>
        <w:keepLines w:val="0"/>
        <w:pageBreakBefore w:val="0"/>
        <w:widowControl w:val="0"/>
        <w:kinsoku/>
        <w:wordWrap/>
        <w:overflowPunct/>
        <w:topLinePunct w:val="0"/>
        <w:autoSpaceDE/>
        <w:autoSpaceDN/>
        <w:bidi w:val="0"/>
        <w:adjustRightInd/>
        <w:snapToGrid/>
        <w:spacing w:line="240" w:lineRule="auto"/>
        <w:ind w:firstLine="709"/>
        <w:jc w:val="center"/>
        <w:textAlignment w:val="auto"/>
        <w:rPr>
          <w:rFonts w:hint="eastAsia" w:ascii="方正小标宋简体" w:hAnsi="方正小标宋简体" w:eastAsia="方正小标宋简体" w:cs="方正小标宋简体"/>
          <w:color w:val="auto"/>
          <w:kern w:val="2"/>
          <w:sz w:val="36"/>
          <w:szCs w:val="36"/>
          <w:highlight w:val="none"/>
          <w:lang w:val="en-US" w:eastAsia="zh-CN" w:bidi="ar-SA"/>
        </w:rPr>
      </w:pPr>
      <w:r>
        <w:rPr>
          <w:rFonts w:ascii="仿宋" w:hAnsi="仿宋" w:eastAsia="仿宋_GB2312"/>
          <w:b/>
          <w:bCs/>
          <w:sz w:val="36"/>
          <w:szCs w:val="36"/>
        </w:rPr>
        <w:fldChar w:fldCharType="end"/>
      </w:r>
      <w:bookmarkEnd w:id="55"/>
      <w:bookmarkEnd w:id="56"/>
      <w:r>
        <w:rPr>
          <w:rFonts w:hint="eastAsia" w:ascii="方正小标宋简体" w:hAnsi="方正小标宋简体" w:eastAsia="方正小标宋简体" w:cs="方正小标宋简体"/>
          <w:color w:val="auto"/>
          <w:kern w:val="2"/>
          <w:sz w:val="36"/>
          <w:szCs w:val="36"/>
          <w:highlight w:val="none"/>
          <w:lang w:val="en-US" w:eastAsia="zh-CN" w:bidi="ar-SA"/>
        </w:rPr>
        <w:t>2024年整体支出绩效评价报告</w:t>
      </w:r>
    </w:p>
    <w:p>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zh-CN"/>
        </w:rPr>
      </w:pPr>
      <w:r>
        <w:rPr>
          <w:rFonts w:hint="eastAsia" w:ascii="宋体" w:hAnsi="宋体" w:eastAsia="黑体" w:cs="Times New Roman"/>
          <w:color w:val="000000"/>
          <w:sz w:val="32"/>
          <w:szCs w:val="32"/>
          <w:shd w:val="clear" w:color="auto" w:fill="FFFFFF"/>
          <w:lang w:val="en-US" w:eastAsia="zh-CN"/>
        </w:rPr>
        <w:t>一、</w:t>
      </w:r>
      <w:r>
        <w:rPr>
          <w:rFonts w:hint="eastAsia" w:ascii="宋体" w:hAnsi="宋体" w:eastAsia="黑体" w:cs="Times New Roman"/>
          <w:color w:val="000000"/>
          <w:sz w:val="32"/>
          <w:szCs w:val="32"/>
          <w:shd w:val="clear" w:color="auto" w:fill="FFFFFF"/>
          <w:lang w:val="zh-CN"/>
        </w:rPr>
        <w:t>部门基本情况</w:t>
      </w:r>
    </w:p>
    <w:p>
      <w:pPr>
        <w:spacing w:line="540" w:lineRule="exact"/>
        <w:ind w:firstLine="640" w:firstLineChars="200"/>
        <w:rPr>
          <w:rFonts w:hint="eastAsia" w:ascii="仿宋" w:hAnsi="仿宋" w:eastAsia="仿宋_GB2312"/>
          <w:sz w:val="32"/>
          <w:szCs w:val="32"/>
        </w:rPr>
      </w:pPr>
      <w:r>
        <w:rPr>
          <w:rFonts w:hint="eastAsia" w:ascii="仿宋" w:hAnsi="仿宋" w:eastAsia="仿宋_GB2312"/>
          <w:sz w:val="32"/>
          <w:szCs w:val="32"/>
          <w:lang w:val="en-US" w:eastAsia="zh-CN"/>
        </w:rPr>
        <w:t>遂宁市安居区聚贤镇中心幼儿园</w:t>
      </w:r>
      <w:r>
        <w:rPr>
          <w:rFonts w:hint="eastAsia" w:ascii="仿宋" w:hAnsi="仿宋" w:eastAsia="仿宋_GB2312"/>
          <w:sz w:val="32"/>
          <w:szCs w:val="32"/>
        </w:rPr>
        <w:t>是遂宁市安居区农村公办</w:t>
      </w:r>
      <w:r>
        <w:rPr>
          <w:rFonts w:hint="eastAsia" w:ascii="仿宋" w:hAnsi="仿宋" w:eastAsia="仿宋_GB2312"/>
          <w:sz w:val="32"/>
          <w:szCs w:val="32"/>
          <w:lang w:val="en-US" w:eastAsia="zh-CN"/>
        </w:rPr>
        <w:t>幼儿园</w:t>
      </w:r>
      <w:r>
        <w:rPr>
          <w:rFonts w:hint="eastAsia" w:ascii="仿宋" w:hAnsi="仿宋" w:eastAsia="仿宋_GB2312"/>
          <w:sz w:val="32"/>
          <w:szCs w:val="32"/>
        </w:rPr>
        <w:t>，负责辖区内</w:t>
      </w:r>
      <w:r>
        <w:rPr>
          <w:rFonts w:hint="eastAsia" w:ascii="仿宋" w:hAnsi="仿宋" w:eastAsia="仿宋_GB2312"/>
          <w:sz w:val="32"/>
          <w:szCs w:val="32"/>
          <w:lang w:val="en-US" w:eastAsia="zh-CN"/>
        </w:rPr>
        <w:t>3-6</w:t>
      </w:r>
      <w:r>
        <w:rPr>
          <w:rFonts w:hint="eastAsia" w:ascii="仿宋" w:hAnsi="仿宋" w:eastAsia="仿宋_GB2312"/>
          <w:sz w:val="32"/>
          <w:szCs w:val="32"/>
        </w:rPr>
        <w:t>岁</w:t>
      </w:r>
      <w:r>
        <w:rPr>
          <w:rFonts w:hint="eastAsia" w:ascii="仿宋" w:hAnsi="仿宋" w:eastAsia="仿宋_GB2312"/>
          <w:sz w:val="32"/>
          <w:szCs w:val="32"/>
          <w:lang w:val="en-US" w:eastAsia="zh-CN"/>
        </w:rPr>
        <w:t>儿童的学前教育</w:t>
      </w:r>
      <w:r>
        <w:rPr>
          <w:rFonts w:hint="eastAsia" w:ascii="仿宋" w:hAnsi="仿宋" w:eastAsia="仿宋_GB2312"/>
          <w:sz w:val="32"/>
          <w:szCs w:val="32"/>
        </w:rPr>
        <w:t>。</w:t>
      </w:r>
    </w:p>
    <w:p>
      <w:pPr>
        <w:spacing w:line="540" w:lineRule="exact"/>
        <w:ind w:firstLine="640" w:firstLineChars="200"/>
        <w:rPr>
          <w:rFonts w:hint="eastAsia" w:ascii="仿宋" w:hAnsi="仿宋" w:eastAsia="仿宋_GB2312"/>
          <w:sz w:val="32"/>
          <w:szCs w:val="32"/>
        </w:rPr>
      </w:pPr>
      <w:r>
        <w:rPr>
          <w:rFonts w:ascii="仿宋" w:hAnsi="仿宋" w:eastAsia="仿宋_GB2312"/>
          <w:sz w:val="32"/>
          <w:szCs w:val="32"/>
        </w:rPr>
        <w:t>1</w:t>
      </w:r>
      <w:r>
        <w:rPr>
          <w:rFonts w:hint="eastAsia" w:ascii="仿宋" w:hAnsi="仿宋" w:eastAsia="仿宋_GB2312"/>
          <w:sz w:val="32"/>
          <w:szCs w:val="32"/>
        </w:rPr>
        <w:t>、机构组成</w:t>
      </w:r>
    </w:p>
    <w:p>
      <w:pPr>
        <w:spacing w:line="540" w:lineRule="exact"/>
        <w:ind w:firstLine="640" w:firstLineChars="200"/>
        <w:rPr>
          <w:rFonts w:hint="eastAsia" w:ascii="仿宋" w:hAnsi="仿宋" w:eastAsia="仿宋_GB2312"/>
          <w:sz w:val="32"/>
          <w:szCs w:val="32"/>
        </w:rPr>
      </w:pPr>
      <w:r>
        <w:rPr>
          <w:rFonts w:hint="eastAsia" w:ascii="仿宋" w:hAnsi="仿宋" w:eastAsia="仿宋_GB2312"/>
          <w:sz w:val="32"/>
          <w:szCs w:val="32"/>
        </w:rPr>
        <w:t>我</w:t>
      </w:r>
      <w:r>
        <w:rPr>
          <w:rFonts w:hint="eastAsia" w:ascii="仿宋" w:hAnsi="仿宋" w:eastAsia="仿宋_GB2312"/>
          <w:sz w:val="32"/>
          <w:szCs w:val="32"/>
          <w:lang w:val="en-US" w:eastAsia="zh-CN"/>
        </w:rPr>
        <w:t>园</w:t>
      </w:r>
      <w:r>
        <w:rPr>
          <w:rFonts w:hint="eastAsia" w:ascii="仿宋" w:hAnsi="仿宋" w:eastAsia="仿宋_GB2312"/>
          <w:sz w:val="32"/>
          <w:szCs w:val="32"/>
        </w:rPr>
        <w:t>属遂宁市安居区教育和体育局下属二级事业单位，纳入202</w:t>
      </w:r>
      <w:r>
        <w:rPr>
          <w:rFonts w:hint="eastAsia" w:ascii="仿宋" w:hAnsi="仿宋" w:eastAsia="仿宋_GB2312"/>
          <w:sz w:val="32"/>
          <w:szCs w:val="32"/>
          <w:lang w:val="en-US" w:eastAsia="zh-CN"/>
        </w:rPr>
        <w:t>4</w:t>
      </w:r>
      <w:r>
        <w:rPr>
          <w:rFonts w:hint="eastAsia" w:ascii="仿宋" w:hAnsi="仿宋" w:eastAsia="仿宋_GB2312"/>
          <w:sz w:val="32"/>
          <w:szCs w:val="32"/>
        </w:rPr>
        <w:t>年部门决算编报。</w:t>
      </w:r>
    </w:p>
    <w:p>
      <w:pPr>
        <w:spacing w:line="540" w:lineRule="exact"/>
        <w:ind w:firstLine="640" w:firstLineChars="200"/>
        <w:rPr>
          <w:rFonts w:hint="eastAsia" w:ascii="仿宋" w:hAnsi="仿宋" w:eastAsia="仿宋_GB2312"/>
          <w:sz w:val="32"/>
          <w:szCs w:val="32"/>
        </w:rPr>
      </w:pPr>
      <w:r>
        <w:rPr>
          <w:rFonts w:hint="eastAsia" w:ascii="仿宋" w:hAnsi="仿宋" w:eastAsia="仿宋_GB2312"/>
          <w:sz w:val="32"/>
          <w:szCs w:val="32"/>
        </w:rPr>
        <w:t>2、机构职能</w:t>
      </w:r>
    </w:p>
    <w:p>
      <w:pPr>
        <w:spacing w:line="540" w:lineRule="exact"/>
        <w:ind w:firstLine="640" w:firstLineChars="200"/>
        <w:rPr>
          <w:rFonts w:hint="default"/>
          <w:lang w:val="en-US"/>
        </w:rPr>
      </w:pPr>
      <w:r>
        <w:rPr>
          <w:rFonts w:hint="eastAsia" w:ascii="仿宋" w:hAnsi="仿宋" w:eastAsia="仿宋_GB2312"/>
          <w:sz w:val="32"/>
          <w:szCs w:val="32"/>
        </w:rPr>
        <w:t>在尊重</w:t>
      </w:r>
      <w:r>
        <w:rPr>
          <w:rFonts w:hint="eastAsia" w:ascii="仿宋" w:hAnsi="仿宋" w:eastAsia="仿宋_GB2312"/>
          <w:sz w:val="32"/>
          <w:szCs w:val="32"/>
          <w:lang w:val="en-US" w:eastAsia="zh-CN"/>
        </w:rPr>
        <w:t>学生</w:t>
      </w:r>
      <w:r>
        <w:rPr>
          <w:rFonts w:hint="eastAsia" w:ascii="仿宋" w:hAnsi="仿宋" w:eastAsia="仿宋_GB2312"/>
          <w:sz w:val="32"/>
          <w:szCs w:val="32"/>
        </w:rPr>
        <w:t>身心健康发展的基础上，对</w:t>
      </w:r>
      <w:r>
        <w:rPr>
          <w:rFonts w:hint="eastAsia" w:ascii="仿宋" w:hAnsi="仿宋" w:eastAsia="仿宋_GB2312"/>
          <w:sz w:val="32"/>
          <w:szCs w:val="32"/>
          <w:lang w:val="en-US" w:eastAsia="zh-CN"/>
        </w:rPr>
        <w:t>学生</w:t>
      </w:r>
      <w:r>
        <w:rPr>
          <w:rFonts w:hint="eastAsia" w:ascii="仿宋" w:hAnsi="仿宋" w:eastAsia="仿宋_GB2312"/>
          <w:sz w:val="32"/>
          <w:szCs w:val="32"/>
        </w:rPr>
        <w:t>进行五大领域的教育。培养</w:t>
      </w:r>
      <w:r>
        <w:rPr>
          <w:rFonts w:hint="eastAsia" w:ascii="仿宋" w:hAnsi="仿宋" w:eastAsia="仿宋_GB2312"/>
          <w:sz w:val="32"/>
          <w:szCs w:val="32"/>
          <w:lang w:val="en-US" w:eastAsia="zh-CN"/>
        </w:rPr>
        <w:t>学生</w:t>
      </w:r>
      <w:r>
        <w:rPr>
          <w:rFonts w:hint="eastAsia" w:ascii="仿宋" w:hAnsi="仿宋" w:eastAsia="仿宋_GB2312"/>
          <w:sz w:val="32"/>
          <w:szCs w:val="32"/>
        </w:rPr>
        <w:t>良好的行为习惯和个性品质，促进</w:t>
      </w:r>
      <w:r>
        <w:rPr>
          <w:rFonts w:hint="eastAsia" w:ascii="仿宋" w:hAnsi="仿宋" w:eastAsia="仿宋_GB2312"/>
          <w:sz w:val="32"/>
          <w:szCs w:val="32"/>
          <w:lang w:val="en-US" w:eastAsia="zh-CN"/>
        </w:rPr>
        <w:t>学生</w:t>
      </w:r>
      <w:r>
        <w:rPr>
          <w:rFonts w:hint="eastAsia" w:ascii="仿宋" w:hAnsi="仿宋" w:eastAsia="仿宋_GB2312"/>
          <w:sz w:val="32"/>
          <w:szCs w:val="32"/>
        </w:rPr>
        <w:t xml:space="preserve">身心健康和谐的发展。 </w:t>
      </w:r>
      <w:r>
        <w:rPr>
          <w:rFonts w:hint="eastAsia" w:ascii="仿宋" w:hAnsi="仿宋" w:eastAsia="仿宋_GB2312"/>
          <w:sz w:val="32"/>
          <w:szCs w:val="32"/>
          <w:lang w:val="en-US" w:eastAsia="zh-CN"/>
        </w:rPr>
        <w:t>学校</w:t>
      </w:r>
      <w:r>
        <w:rPr>
          <w:rFonts w:hint="eastAsia" w:ascii="仿宋" w:hAnsi="仿宋" w:eastAsia="仿宋_GB2312"/>
          <w:sz w:val="32"/>
          <w:szCs w:val="32"/>
        </w:rPr>
        <w:t>的教育</w:t>
      </w:r>
      <w:r>
        <w:rPr>
          <w:rFonts w:hint="eastAsia" w:ascii="仿宋" w:hAnsi="仿宋" w:eastAsia="仿宋_GB2312"/>
          <w:sz w:val="32"/>
          <w:szCs w:val="32"/>
          <w:lang w:val="en-US" w:eastAsia="zh-CN"/>
        </w:rPr>
        <w:t>全面促进学生德智体全面发展，提升学生能力、知识、技能等全方面发展，适应高速社会发展的需求，为党和人民培养社会主义人才而努力。</w:t>
      </w:r>
    </w:p>
    <w:p>
      <w:pPr>
        <w:spacing w:line="540" w:lineRule="exact"/>
        <w:ind w:firstLine="709"/>
        <w:rPr>
          <w:rFonts w:hint="eastAsia" w:ascii="仿宋" w:hAnsi="仿宋" w:eastAsia="仿宋_GB2312"/>
          <w:sz w:val="32"/>
          <w:szCs w:val="32"/>
        </w:rPr>
      </w:pPr>
      <w:r>
        <w:rPr>
          <w:rFonts w:hint="eastAsia" w:ascii="仿宋" w:hAnsi="仿宋" w:eastAsia="仿宋_GB2312"/>
          <w:sz w:val="32"/>
          <w:szCs w:val="32"/>
        </w:rPr>
        <w:t>3、人员概况</w:t>
      </w:r>
    </w:p>
    <w:p>
      <w:pPr>
        <w:spacing w:line="540" w:lineRule="exact"/>
        <w:ind w:firstLine="640" w:firstLineChars="200"/>
        <w:rPr>
          <w:rFonts w:hint="eastAsia" w:ascii="仿宋" w:hAnsi="仿宋" w:eastAsia="仿宋_GB2312"/>
          <w:sz w:val="32"/>
          <w:szCs w:val="32"/>
        </w:rPr>
      </w:pPr>
      <w:r>
        <w:rPr>
          <w:rFonts w:eastAsia="仿宋_GB2312"/>
          <w:sz w:val="32"/>
          <w:szCs w:val="32"/>
        </w:rPr>
        <w:t>截至</w:t>
      </w:r>
      <w:r>
        <w:rPr>
          <w:rFonts w:hint="eastAsia" w:eastAsia="仿宋_GB2312"/>
          <w:sz w:val="32"/>
          <w:szCs w:val="32"/>
        </w:rPr>
        <w:t>2</w:t>
      </w:r>
      <w:r>
        <w:rPr>
          <w:rFonts w:eastAsia="仿宋_GB2312"/>
          <w:sz w:val="32"/>
          <w:szCs w:val="32"/>
        </w:rPr>
        <w:t>024年末，本</w:t>
      </w:r>
      <w:r>
        <w:rPr>
          <w:rFonts w:hint="eastAsia" w:ascii="仿宋" w:hAnsi="仿宋" w:eastAsia="仿宋_GB2312"/>
          <w:sz w:val="32"/>
          <w:szCs w:val="32"/>
        </w:rPr>
        <w:t>单位编制人数</w:t>
      </w:r>
      <w:r>
        <w:rPr>
          <w:rFonts w:hint="eastAsia" w:ascii="仿宋" w:hAnsi="仿宋" w:eastAsia="仿宋_GB2312"/>
          <w:sz w:val="32"/>
          <w:szCs w:val="32"/>
          <w:lang w:val="en-US" w:eastAsia="zh-CN"/>
        </w:rPr>
        <w:t>17</w:t>
      </w:r>
      <w:r>
        <w:rPr>
          <w:rFonts w:hint="eastAsia" w:ascii="仿宋" w:hAnsi="仿宋" w:eastAsia="仿宋_GB2312"/>
          <w:sz w:val="32"/>
          <w:szCs w:val="32"/>
        </w:rPr>
        <w:t>人，退休教师</w:t>
      </w:r>
      <w:r>
        <w:rPr>
          <w:rFonts w:hint="eastAsia" w:ascii="仿宋" w:hAnsi="仿宋" w:eastAsia="仿宋_GB2312"/>
          <w:sz w:val="32"/>
          <w:szCs w:val="32"/>
          <w:lang w:val="en-US" w:eastAsia="zh-CN"/>
        </w:rPr>
        <w:t>3</w:t>
      </w:r>
      <w:r>
        <w:rPr>
          <w:rFonts w:hint="eastAsia" w:ascii="仿宋" w:hAnsi="仿宋" w:eastAsia="仿宋_GB2312"/>
          <w:sz w:val="32"/>
          <w:szCs w:val="32"/>
        </w:rPr>
        <w:t>人</w:t>
      </w:r>
      <w:r>
        <w:rPr>
          <w:rFonts w:hint="eastAsia" w:ascii="仿宋" w:hAnsi="仿宋" w:eastAsia="仿宋_GB2312"/>
          <w:sz w:val="32"/>
          <w:szCs w:val="32"/>
          <w:lang w:eastAsia="zh-CN"/>
        </w:rPr>
        <w:t>，</w:t>
      </w:r>
      <w:r>
        <w:rPr>
          <w:rFonts w:hint="eastAsia" w:ascii="仿宋" w:hAnsi="仿宋" w:eastAsia="仿宋_GB2312"/>
          <w:sz w:val="32"/>
          <w:szCs w:val="32"/>
          <w:lang w:val="en-US" w:eastAsia="zh-CN"/>
        </w:rPr>
        <w:t>在校学生45人</w:t>
      </w:r>
      <w:r>
        <w:rPr>
          <w:rFonts w:hint="eastAsia" w:ascii="仿宋" w:hAnsi="仿宋" w:eastAsia="仿宋_GB2312"/>
          <w:sz w:val="32"/>
          <w:szCs w:val="32"/>
        </w:rPr>
        <w:t>。</w:t>
      </w:r>
    </w:p>
    <w:p>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en-US" w:eastAsia="zh-CN"/>
        </w:rPr>
      </w:pPr>
      <w:r>
        <w:rPr>
          <w:rFonts w:hint="eastAsia" w:ascii="宋体" w:hAnsi="宋体" w:eastAsia="黑体" w:cs="Times New Roman"/>
          <w:color w:val="000000"/>
          <w:sz w:val="32"/>
          <w:szCs w:val="32"/>
          <w:shd w:val="clear" w:color="auto" w:fill="FFFFFF"/>
          <w:lang w:val="en-US" w:eastAsia="zh-CN"/>
        </w:rPr>
        <w:t>二、部门资金收支情况</w:t>
      </w:r>
    </w:p>
    <w:p>
      <w:pPr>
        <w:numPr>
          <w:ilvl w:val="0"/>
          <w:numId w:val="2"/>
        </w:numPr>
        <w:spacing w:line="540" w:lineRule="exact"/>
        <w:rPr>
          <w:rFonts w:hint="eastAsia" w:ascii="仿宋" w:hAnsi="仿宋" w:eastAsia="仿宋_GB2312"/>
          <w:sz w:val="32"/>
          <w:szCs w:val="32"/>
        </w:rPr>
      </w:pPr>
      <w:r>
        <w:rPr>
          <w:rFonts w:hint="eastAsia" w:ascii="仿宋" w:hAnsi="仿宋" w:eastAsia="仿宋_GB2312"/>
          <w:sz w:val="32"/>
          <w:szCs w:val="32"/>
        </w:rPr>
        <w:t>收入情况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_GB2312"/>
          <w:sz w:val="32"/>
          <w:szCs w:val="32"/>
        </w:rPr>
      </w:pPr>
      <w:r>
        <w:rPr>
          <w:rFonts w:ascii="仿宋" w:hAnsi="仿宋" w:eastAsia="仿宋_GB2312"/>
          <w:sz w:val="32"/>
          <w:szCs w:val="32"/>
        </w:rPr>
        <w:t>2</w:t>
      </w:r>
      <w:r>
        <w:rPr>
          <w:rFonts w:hint="eastAsia" w:ascii="仿宋" w:hAnsi="仿宋" w:eastAsia="仿宋_GB2312"/>
          <w:sz w:val="32"/>
          <w:szCs w:val="32"/>
        </w:rPr>
        <w:t>02</w:t>
      </w:r>
      <w:r>
        <w:rPr>
          <w:rFonts w:ascii="仿宋" w:hAnsi="仿宋" w:eastAsia="仿宋_GB2312"/>
          <w:sz w:val="32"/>
          <w:szCs w:val="32"/>
        </w:rPr>
        <w:t>4</w:t>
      </w:r>
      <w:r>
        <w:rPr>
          <w:rFonts w:hint="eastAsia" w:ascii="仿宋" w:hAnsi="仿宋" w:eastAsia="仿宋_GB2312"/>
          <w:sz w:val="32"/>
          <w:szCs w:val="32"/>
        </w:rPr>
        <w:t>年</w:t>
      </w:r>
      <w:r>
        <w:rPr>
          <w:rFonts w:ascii="仿宋" w:hAnsi="仿宋" w:eastAsia="仿宋_GB2312"/>
          <w:sz w:val="32"/>
          <w:szCs w:val="32"/>
        </w:rPr>
        <w:t>决算报表</w:t>
      </w:r>
      <w:r>
        <w:rPr>
          <w:rFonts w:hint="eastAsia" w:ascii="仿宋" w:hAnsi="仿宋" w:eastAsia="仿宋_GB2312"/>
          <w:sz w:val="32"/>
          <w:szCs w:val="32"/>
        </w:rPr>
        <w:t>收入</w:t>
      </w:r>
      <w:r>
        <w:rPr>
          <w:rFonts w:hint="eastAsia" w:ascii="仿宋" w:hAnsi="仿宋" w:eastAsia="仿宋_GB2312"/>
          <w:sz w:val="32"/>
          <w:szCs w:val="32"/>
          <w:lang w:val="en-US" w:eastAsia="zh-CN"/>
        </w:rPr>
        <w:t>391.97</w:t>
      </w:r>
      <w:r>
        <w:rPr>
          <w:rFonts w:ascii="仿宋" w:hAnsi="仿宋" w:eastAsia="仿宋_GB2312"/>
          <w:sz w:val="32"/>
          <w:szCs w:val="32"/>
        </w:rPr>
        <w:t>万元，其中：</w:t>
      </w:r>
      <w:r>
        <w:rPr>
          <w:rFonts w:hint="eastAsia" w:ascii="仿宋" w:hAnsi="仿宋" w:eastAsia="仿宋_GB2312"/>
          <w:sz w:val="32"/>
          <w:szCs w:val="32"/>
        </w:rPr>
        <w:t>一般公共预算财政拨款收入</w:t>
      </w:r>
      <w:r>
        <w:rPr>
          <w:rFonts w:hint="eastAsia" w:ascii="仿宋" w:hAnsi="仿宋" w:eastAsia="仿宋_GB2312"/>
          <w:sz w:val="32"/>
          <w:szCs w:val="32"/>
          <w:lang w:val="en-US" w:eastAsia="zh-CN"/>
        </w:rPr>
        <w:t>382.55</w:t>
      </w:r>
      <w:r>
        <w:rPr>
          <w:rFonts w:ascii="仿宋" w:hAnsi="仿宋" w:eastAsia="仿宋_GB2312"/>
          <w:sz w:val="32"/>
          <w:szCs w:val="32"/>
        </w:rPr>
        <w:t>万</w:t>
      </w:r>
      <w:r>
        <w:rPr>
          <w:rFonts w:hint="eastAsia" w:ascii="仿宋" w:hAnsi="仿宋" w:eastAsia="仿宋_GB2312"/>
          <w:sz w:val="32"/>
          <w:szCs w:val="32"/>
        </w:rPr>
        <w:t>元，</w:t>
      </w:r>
      <w:r>
        <w:rPr>
          <w:rFonts w:hint="eastAsia" w:ascii="仿宋" w:hAnsi="仿宋" w:eastAsia="仿宋_GB2312"/>
          <w:sz w:val="32"/>
          <w:szCs w:val="32"/>
          <w:lang w:val="en-US" w:eastAsia="zh-CN"/>
        </w:rPr>
        <w:t>其他收入</w:t>
      </w:r>
      <w:r>
        <w:rPr>
          <w:rFonts w:hint="eastAsia" w:ascii="仿宋_GB2312" w:eastAsia="仿宋_GB2312"/>
          <w:sz w:val="32"/>
          <w:szCs w:val="32"/>
          <w:lang w:val="en-US" w:eastAsia="zh-CN"/>
        </w:rPr>
        <w:t>9.42</w:t>
      </w:r>
      <w:r>
        <w:rPr>
          <w:rFonts w:ascii="仿宋_GB2312" w:eastAsia="仿宋_GB2312"/>
          <w:sz w:val="32"/>
          <w:szCs w:val="32"/>
        </w:rPr>
        <w:t>万元。</w:t>
      </w:r>
    </w:p>
    <w:p>
      <w:pPr>
        <w:numPr>
          <w:ilvl w:val="0"/>
          <w:numId w:val="2"/>
        </w:numPr>
        <w:spacing w:line="600" w:lineRule="exact"/>
        <w:rPr>
          <w:rFonts w:hint="eastAsia" w:ascii="仿宋" w:hAnsi="仿宋" w:eastAsia="仿宋_GB2312"/>
          <w:sz w:val="32"/>
          <w:szCs w:val="32"/>
        </w:rPr>
      </w:pPr>
      <w:r>
        <w:rPr>
          <w:rFonts w:hint="eastAsia" w:ascii="仿宋" w:hAnsi="仿宋" w:eastAsia="仿宋_GB2312"/>
          <w:sz w:val="32"/>
          <w:szCs w:val="32"/>
        </w:rPr>
        <w:t>支出情况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_GB2312"/>
          <w:sz w:val="32"/>
          <w:szCs w:val="32"/>
        </w:rPr>
      </w:pPr>
      <w:r>
        <w:rPr>
          <w:rFonts w:ascii="仿宋" w:hAnsi="仿宋" w:eastAsia="仿宋_GB2312"/>
          <w:sz w:val="32"/>
          <w:szCs w:val="32"/>
        </w:rPr>
        <w:t>2</w:t>
      </w:r>
      <w:r>
        <w:rPr>
          <w:rFonts w:hint="eastAsia" w:ascii="仿宋" w:hAnsi="仿宋" w:eastAsia="仿宋_GB2312"/>
          <w:sz w:val="32"/>
          <w:szCs w:val="32"/>
        </w:rPr>
        <w:t>02</w:t>
      </w:r>
      <w:r>
        <w:rPr>
          <w:rFonts w:ascii="仿宋" w:hAnsi="仿宋" w:eastAsia="仿宋_GB2312"/>
          <w:sz w:val="32"/>
          <w:szCs w:val="32"/>
        </w:rPr>
        <w:t>4</w:t>
      </w:r>
      <w:r>
        <w:rPr>
          <w:rFonts w:hint="eastAsia" w:ascii="仿宋" w:hAnsi="仿宋" w:eastAsia="仿宋_GB2312"/>
          <w:sz w:val="32"/>
          <w:szCs w:val="32"/>
        </w:rPr>
        <w:t>年</w:t>
      </w:r>
      <w:r>
        <w:rPr>
          <w:rFonts w:ascii="仿宋" w:hAnsi="仿宋" w:eastAsia="仿宋_GB2312"/>
          <w:sz w:val="32"/>
          <w:szCs w:val="32"/>
        </w:rPr>
        <w:t>决算报表</w:t>
      </w:r>
      <w:r>
        <w:rPr>
          <w:rFonts w:hint="eastAsia" w:ascii="仿宋" w:hAnsi="仿宋" w:eastAsia="仿宋_GB2312"/>
          <w:sz w:val="32"/>
          <w:szCs w:val="32"/>
        </w:rPr>
        <w:t>支出</w:t>
      </w:r>
      <w:r>
        <w:rPr>
          <w:rFonts w:hint="eastAsia" w:ascii="仿宋" w:hAnsi="仿宋" w:eastAsia="仿宋_GB2312"/>
          <w:sz w:val="32"/>
          <w:szCs w:val="32"/>
          <w:lang w:val="en-US" w:eastAsia="zh-CN"/>
        </w:rPr>
        <w:t>391.97</w:t>
      </w:r>
      <w:r>
        <w:rPr>
          <w:rFonts w:ascii="仿宋" w:hAnsi="仿宋" w:eastAsia="仿宋_GB2312"/>
          <w:sz w:val="32"/>
          <w:szCs w:val="32"/>
        </w:rPr>
        <w:t>万</w:t>
      </w:r>
      <w:r>
        <w:rPr>
          <w:rFonts w:hint="eastAsia" w:ascii="仿宋" w:hAnsi="仿宋" w:eastAsia="仿宋_GB2312"/>
          <w:sz w:val="32"/>
          <w:szCs w:val="32"/>
        </w:rPr>
        <w:t>元，其中：基本支出</w:t>
      </w:r>
      <w:r>
        <w:rPr>
          <w:rFonts w:hint="eastAsia" w:ascii="仿宋" w:hAnsi="仿宋" w:eastAsia="仿宋_GB2312"/>
          <w:sz w:val="32"/>
          <w:szCs w:val="32"/>
          <w:lang w:val="en-US" w:eastAsia="zh-CN"/>
        </w:rPr>
        <w:t>320.32</w:t>
      </w:r>
      <w:r>
        <w:rPr>
          <w:rFonts w:hint="eastAsia" w:ascii="仿宋" w:hAnsi="仿宋" w:eastAsia="仿宋_GB2312"/>
          <w:sz w:val="32"/>
          <w:szCs w:val="32"/>
        </w:rPr>
        <w:t>万元，占</w:t>
      </w:r>
      <w:r>
        <w:rPr>
          <w:rFonts w:hint="eastAsia" w:ascii="仿宋" w:hAnsi="仿宋" w:eastAsia="仿宋_GB2312"/>
          <w:sz w:val="32"/>
          <w:szCs w:val="32"/>
          <w:lang w:val="en-US" w:eastAsia="zh-CN"/>
        </w:rPr>
        <w:t>81.72</w:t>
      </w:r>
      <w:r>
        <w:rPr>
          <w:rFonts w:hint="eastAsia" w:ascii="仿宋" w:hAnsi="仿宋" w:eastAsia="仿宋_GB2312"/>
          <w:sz w:val="32"/>
          <w:szCs w:val="32"/>
        </w:rPr>
        <w:t>%；项目支出</w:t>
      </w:r>
      <w:r>
        <w:rPr>
          <w:rFonts w:hint="eastAsia" w:ascii="仿宋" w:hAnsi="仿宋" w:eastAsia="仿宋_GB2312"/>
          <w:sz w:val="32"/>
          <w:szCs w:val="32"/>
          <w:lang w:val="en-US" w:eastAsia="zh-CN"/>
        </w:rPr>
        <w:t>71.65</w:t>
      </w:r>
      <w:r>
        <w:rPr>
          <w:rFonts w:hint="eastAsia" w:ascii="仿宋" w:hAnsi="仿宋" w:eastAsia="仿宋_GB2312"/>
          <w:sz w:val="32"/>
          <w:szCs w:val="32"/>
        </w:rPr>
        <w:t>万元，占</w:t>
      </w:r>
      <w:r>
        <w:rPr>
          <w:rFonts w:hint="eastAsia" w:ascii="仿宋" w:hAnsi="仿宋" w:eastAsia="仿宋_GB2312"/>
          <w:sz w:val="32"/>
          <w:szCs w:val="32"/>
          <w:lang w:val="en-US" w:eastAsia="zh-CN"/>
        </w:rPr>
        <w:t>18.28</w:t>
      </w:r>
      <w:r>
        <w:rPr>
          <w:rFonts w:hint="eastAsia" w:ascii="仿宋" w:hAnsi="仿宋" w:eastAsia="仿宋_GB2312"/>
          <w:sz w:val="32"/>
          <w:szCs w:val="32"/>
        </w:rPr>
        <w:t>%。。</w:t>
      </w:r>
    </w:p>
    <w:p>
      <w:pPr>
        <w:numPr>
          <w:ilvl w:val="0"/>
          <w:numId w:val="2"/>
        </w:numPr>
        <w:spacing w:line="600" w:lineRule="exact"/>
        <w:rPr>
          <w:rFonts w:ascii="仿宋" w:hAnsi="仿宋" w:eastAsia="仿宋_GB2312"/>
          <w:sz w:val="32"/>
          <w:szCs w:val="32"/>
        </w:rPr>
      </w:pPr>
      <w:r>
        <w:rPr>
          <w:rFonts w:ascii="仿宋" w:hAnsi="仿宋" w:eastAsia="仿宋_GB2312"/>
          <w:sz w:val="32"/>
          <w:szCs w:val="32"/>
        </w:rPr>
        <w:t>结余分配和结转结余情况</w:t>
      </w:r>
    </w:p>
    <w:p>
      <w:pPr>
        <w:widowControl/>
        <w:adjustRightInd w:val="0"/>
        <w:snapToGrid w:val="0"/>
        <w:spacing w:line="578" w:lineRule="exact"/>
        <w:ind w:left="709"/>
        <w:contextualSpacing/>
        <w:jc w:val="left"/>
        <w:rPr>
          <w:rFonts w:hint="eastAsia" w:eastAsia="仿宋_GB2312"/>
          <w:color w:val="000000"/>
          <w:kern w:val="0"/>
          <w:szCs w:val="32"/>
          <w:shd w:val="clear" w:color="auto" w:fill="FFFFFF"/>
          <w:lang w:val="zh-CN"/>
        </w:rPr>
      </w:pPr>
      <w:r>
        <w:rPr>
          <w:rFonts w:hint="eastAsia" w:eastAsia="仿宋_GB2312"/>
          <w:sz w:val="32"/>
          <w:szCs w:val="32"/>
        </w:rPr>
        <w:t>2024年决算报表无</w:t>
      </w:r>
      <w:r>
        <w:rPr>
          <w:rFonts w:eastAsia="仿宋_GB2312"/>
          <w:sz w:val="32"/>
          <w:szCs w:val="32"/>
        </w:rPr>
        <w:t>结转结余。</w:t>
      </w:r>
    </w:p>
    <w:p>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en-US" w:eastAsia="zh-CN"/>
        </w:rPr>
      </w:pPr>
      <w:r>
        <w:rPr>
          <w:rFonts w:hint="eastAsia" w:ascii="宋体" w:hAnsi="宋体" w:eastAsia="黑体" w:cs="Times New Roman"/>
          <w:color w:val="000000"/>
          <w:sz w:val="32"/>
          <w:szCs w:val="32"/>
          <w:shd w:val="clear" w:color="auto" w:fill="FFFFFF"/>
          <w:lang w:val="en-US" w:eastAsia="zh-CN"/>
        </w:rPr>
        <w:t xml:space="preserve">三、部门预算绩效分析 </w:t>
      </w:r>
    </w:p>
    <w:p>
      <w:pPr>
        <w:spacing w:line="578" w:lineRule="exact"/>
        <w:ind w:firstLine="643" w:firstLineChars="200"/>
        <w:contextualSpacing/>
        <w:rPr>
          <w:rFonts w:hint="eastAsia" w:ascii="宋体" w:hAnsi="宋体" w:eastAsia="仿宋_GB2312"/>
          <w:b/>
          <w:bCs/>
          <w:color w:val="000000"/>
          <w:sz w:val="32"/>
          <w:szCs w:val="32"/>
          <w:shd w:val="clear" w:color="auto" w:fill="FFFFFF"/>
          <w:lang w:val="zh-CN"/>
        </w:rPr>
      </w:pPr>
      <w:r>
        <w:rPr>
          <w:rFonts w:ascii="宋体" w:hAnsi="宋体" w:eastAsia="楷体_GB2312"/>
          <w:b/>
          <w:bCs/>
          <w:color w:val="000000"/>
          <w:sz w:val="32"/>
          <w:szCs w:val="32"/>
          <w:shd w:val="clear" w:color="auto" w:fill="FFFFFF"/>
          <w:lang w:val="zh-CN"/>
        </w:rPr>
        <w:t>（一）部门预算总体绩效分析。</w:t>
      </w:r>
    </w:p>
    <w:p>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ascii="宋体" w:hAnsi="宋体" w:eastAsia="楷体_GB2312"/>
          <w:color w:val="000000"/>
          <w:sz w:val="32"/>
          <w:szCs w:val="32"/>
          <w:shd w:val="clear" w:color="auto" w:fill="FFFFFF"/>
        </w:rPr>
        <w:t>1.</w:t>
      </w:r>
      <w:r>
        <w:rPr>
          <w:rFonts w:ascii="宋体" w:hAnsi="宋体" w:eastAsia="楷体_GB2312"/>
          <w:color w:val="000000"/>
          <w:sz w:val="32"/>
          <w:szCs w:val="32"/>
          <w:shd w:val="clear" w:color="auto" w:fill="FFFFFF"/>
          <w:lang w:val="zh-CN"/>
        </w:rPr>
        <w:t>履职效能。</w:t>
      </w:r>
    </w:p>
    <w:p>
      <w:pPr>
        <w:pStyle w:val="15"/>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2024年，我校在各级领导重视与全体教职员工努力下，</w:t>
      </w:r>
      <w:r>
        <w:rPr>
          <w:rFonts w:hint="eastAsia" w:eastAsia="仿宋_GB2312"/>
          <w:color w:val="000000"/>
          <w:sz w:val="32"/>
          <w:szCs w:val="32"/>
          <w:shd w:val="clear" w:color="auto" w:fill="FFFFFF"/>
          <w:lang w:val="zh-CN"/>
        </w:rPr>
        <w:t>抓实党风廉政建设，营造风清气正氛围，强化意识形态教育监督，坚持依法依规办事，开展丰富多彩的校园活动，全面加强教学科研体系建设、后勤保障体系建设</w:t>
      </w:r>
      <w:r>
        <w:rPr>
          <w:rFonts w:hint="eastAsia" w:eastAsia="仿宋_GB2312"/>
          <w:color w:val="000000"/>
          <w:sz w:val="32"/>
          <w:szCs w:val="32"/>
          <w:shd w:val="clear" w:color="auto" w:fill="FFFFFF"/>
          <w:lang w:val="en-US" w:eastAsia="zh-CN"/>
        </w:rPr>
        <w:t>等</w:t>
      </w:r>
      <w:r>
        <w:rPr>
          <w:rFonts w:hint="eastAsia" w:eastAsia="仿宋_GB2312"/>
          <w:color w:val="000000"/>
          <w:sz w:val="32"/>
          <w:szCs w:val="32"/>
          <w:shd w:val="clear" w:color="auto" w:fill="FFFFFF"/>
          <w:lang w:val="zh-CN"/>
        </w:rPr>
        <w:t>。</w:t>
      </w:r>
      <w:r>
        <w:rPr>
          <w:rFonts w:eastAsia="仿宋_GB2312"/>
          <w:color w:val="000000"/>
          <w:sz w:val="32"/>
          <w:szCs w:val="32"/>
          <w:shd w:val="clear" w:color="auto" w:fill="FFFFFF"/>
          <w:lang w:val="zh-CN"/>
        </w:rPr>
        <w:t>办学条件得以改善，各项工作稳步提升。</w:t>
      </w:r>
      <w:r>
        <w:rPr>
          <w:rFonts w:hint="default" w:ascii="Arial" w:hAnsi="Arial" w:eastAsia="仿宋_GB2312" w:cs="Arial"/>
          <w:color w:val="000000"/>
          <w:sz w:val="32"/>
          <w:szCs w:val="32"/>
          <w:shd w:val="clear" w:color="auto" w:fill="FFFFFF"/>
          <w:lang w:val="zh-CN"/>
        </w:rPr>
        <w:t>​</w:t>
      </w:r>
    </w:p>
    <w:p>
      <w:pPr>
        <w:pStyle w:val="15"/>
        <w:widowControl/>
        <w:spacing w:line="560" w:lineRule="exact"/>
        <w:ind w:firstLine="640" w:firstLineChars="200"/>
        <w:rPr>
          <w:rFonts w:eastAsia="仿宋_GB2312"/>
          <w:color w:val="000000"/>
          <w:sz w:val="32"/>
          <w:szCs w:val="32"/>
          <w:shd w:val="clear" w:color="auto" w:fill="FFFFFF"/>
          <w:lang w:val="zh-CN"/>
        </w:rPr>
      </w:pPr>
      <w:r>
        <w:rPr>
          <w:rFonts w:eastAsia="楷体_GB2312"/>
          <w:color w:val="000000"/>
          <w:sz w:val="32"/>
          <w:szCs w:val="32"/>
          <w:shd w:val="clear" w:color="auto" w:fill="FFFFFF"/>
        </w:rPr>
        <w:t>2.</w:t>
      </w:r>
      <w:r>
        <w:rPr>
          <w:rFonts w:eastAsia="楷体_GB2312"/>
          <w:color w:val="000000"/>
          <w:sz w:val="32"/>
          <w:szCs w:val="32"/>
          <w:shd w:val="clear" w:color="auto" w:fill="FFFFFF"/>
          <w:lang w:val="zh-CN"/>
        </w:rPr>
        <w:t>预算管理。</w:t>
      </w:r>
    </w:p>
    <w:p>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hint="eastAsia" w:ascii="宋体" w:hAnsi="宋体" w:eastAsia="仿宋_GB2312"/>
          <w:color w:val="000000"/>
          <w:sz w:val="32"/>
          <w:szCs w:val="32"/>
          <w:shd w:val="clear" w:color="auto" w:fill="FFFFFF"/>
          <w:lang w:val="zh-CN"/>
        </w:rPr>
        <w:t>本年度单位预算工作成效显著：预算编制科学精准，强化全口径收入统筹；狠抓支出执行进度，资金使用效益显著提升；严控年终结余规模，建立动态调整机制；严格落实过紧日子要求，统筹资金优先保障重点领域。下一步将持续优化预算管理机制，提升财政资源配置效率。</w:t>
      </w:r>
    </w:p>
    <w:p>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3.</w:t>
      </w:r>
      <w:r>
        <w:rPr>
          <w:rFonts w:ascii="宋体" w:hAnsi="宋体" w:eastAsia="楷体_GB2312"/>
          <w:color w:val="000000"/>
          <w:sz w:val="32"/>
          <w:szCs w:val="32"/>
          <w:shd w:val="clear" w:color="auto" w:fill="FFFFFF"/>
          <w:lang w:val="zh-CN"/>
        </w:rPr>
        <w:t>财务管理。</w:t>
      </w:r>
    </w:p>
    <w:p>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hint="eastAsia" w:ascii="宋体" w:hAnsi="宋体" w:eastAsia="仿宋_GB2312"/>
          <w:color w:val="000000"/>
          <w:sz w:val="32"/>
          <w:szCs w:val="32"/>
          <w:shd w:val="clear" w:color="auto" w:fill="FFFFFF"/>
          <w:lang w:val="zh-CN"/>
        </w:rPr>
        <w:t>本单位持续完善财务管理制度体系，严格执行收支两条线管理，规范预算编制、费用报销及资产处置流程，健全风险防控机制。按照不相容岗位分离原则设立会计、出纳、审核等专职岗位，明确岗位权责清单。强化资金使用全流程管控，落实分级审批和大额支付集体决策制度，实行专户管理、专款专用，定期开展资金盘点与流向分析。通过标准化建设切实提升财务管理效能，有效防范资金风险，为业务发展提供稳健财务保障。</w:t>
      </w:r>
    </w:p>
    <w:p>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4.</w:t>
      </w:r>
      <w:r>
        <w:rPr>
          <w:rFonts w:ascii="宋体" w:hAnsi="宋体" w:eastAsia="楷体_GB2312"/>
          <w:color w:val="000000"/>
          <w:sz w:val="32"/>
          <w:szCs w:val="32"/>
          <w:shd w:val="clear" w:color="auto" w:fill="FFFFFF"/>
          <w:lang w:val="zh-CN"/>
        </w:rPr>
        <w:t>资产管理。</w:t>
      </w:r>
    </w:p>
    <w:p>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hint="eastAsia" w:ascii="宋体" w:hAnsi="宋体" w:eastAsia="仿宋_GB2312"/>
          <w:color w:val="000000"/>
          <w:sz w:val="32"/>
          <w:szCs w:val="32"/>
          <w:shd w:val="clear" w:color="auto" w:fill="FFFFFF"/>
        </w:rPr>
        <w:t>本单位</w:t>
      </w:r>
      <w:r>
        <w:rPr>
          <w:rFonts w:hint="eastAsia" w:ascii="宋体" w:hAnsi="宋体" w:eastAsia="仿宋_GB2312"/>
          <w:color w:val="000000"/>
          <w:sz w:val="32"/>
          <w:szCs w:val="32"/>
          <w:shd w:val="clear" w:color="auto" w:fill="FFFFFF"/>
          <w:lang w:val="zh-CN"/>
        </w:rPr>
        <w:t>深化资产管理改革成效显著。通过优化配置结构，人均资产变化率合理增长。资产动态监测与共享共用机制有效运行，利用率进一步提升。在闲置资产盘活方面，创新模式使得资产盘活率保持较高水平。同时，资产全生命周期管理有序推进，各项资产在购置、使用、维护及处置等环节都更加规范，有效提升了资源效能，助力街道办实现降本增效。</w:t>
      </w:r>
    </w:p>
    <w:p>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5.</w:t>
      </w:r>
      <w:r>
        <w:rPr>
          <w:rFonts w:ascii="宋体" w:hAnsi="宋体" w:eastAsia="楷体_GB2312"/>
          <w:color w:val="000000"/>
          <w:sz w:val="32"/>
          <w:szCs w:val="32"/>
          <w:shd w:val="clear" w:color="auto" w:fill="FFFFFF"/>
          <w:lang w:val="zh-CN"/>
        </w:rPr>
        <w:t>采购管理。</w:t>
      </w:r>
    </w:p>
    <w:p>
      <w:pPr>
        <w:spacing w:line="540" w:lineRule="exact"/>
        <w:ind w:firstLine="709"/>
        <w:rPr>
          <w:rFonts w:hint="eastAsia" w:ascii="仿宋" w:hAnsi="仿宋" w:eastAsia="仿宋_GB2312"/>
          <w:sz w:val="32"/>
          <w:szCs w:val="32"/>
        </w:rPr>
      </w:pPr>
      <w:r>
        <w:rPr>
          <w:rFonts w:hint="eastAsia" w:ascii="宋体" w:hAnsi="宋体" w:eastAsia="仿宋_GB2312"/>
          <w:color w:val="000000"/>
          <w:sz w:val="32"/>
          <w:szCs w:val="32"/>
          <w:shd w:val="clear" w:color="auto" w:fill="FFFFFF"/>
          <w:lang w:val="zh-CN"/>
        </w:rPr>
        <w:t>本单位严格执行政府采购相关规定。坚持“无预算、不采购”，加强预算编审，确保采购计划合理。积极参与电子化交易，提高采购效率，降低成本。同时，注重采购流程规范，通过培训等方式提升相关人员业务水平，强化内控制度，防范采购风险，致力于营造公平公正的采购环境，提高财政资金使用效益。</w:t>
      </w:r>
      <w:r>
        <w:rPr>
          <w:rFonts w:hint="eastAsia" w:ascii="仿宋" w:hAnsi="仿宋" w:eastAsia="仿宋_GB2312"/>
          <w:sz w:val="32"/>
          <w:szCs w:val="32"/>
        </w:rPr>
        <w:t xml:space="preserve"> </w:t>
      </w:r>
    </w:p>
    <w:p>
      <w:pPr>
        <w:spacing w:line="578" w:lineRule="exact"/>
        <w:ind w:firstLine="643" w:firstLineChars="200"/>
        <w:contextualSpacing/>
        <w:rPr>
          <w:rFonts w:hint="eastAsia" w:ascii="宋体" w:hAnsi="宋体" w:eastAsia="楷体_GB2312" w:cs="Times New Roman"/>
          <w:b/>
          <w:bCs/>
          <w:color w:val="000000"/>
          <w:sz w:val="32"/>
          <w:szCs w:val="32"/>
          <w:shd w:val="clear" w:color="auto" w:fill="FFFFFF"/>
          <w:lang w:val="zh-CN"/>
        </w:rPr>
      </w:pPr>
      <w:r>
        <w:rPr>
          <w:rFonts w:ascii="宋体" w:hAnsi="宋体" w:eastAsia="楷体_GB2312" w:cs="Times New Roman"/>
          <w:b/>
          <w:bCs/>
          <w:color w:val="000000"/>
          <w:sz w:val="32"/>
          <w:szCs w:val="32"/>
          <w:shd w:val="clear" w:color="auto" w:fill="FFFFFF"/>
          <w:lang w:val="zh-CN"/>
        </w:rPr>
        <w:t>（</w:t>
      </w:r>
      <w:r>
        <w:rPr>
          <w:rFonts w:hint="eastAsia" w:ascii="宋体" w:hAnsi="宋体" w:eastAsia="楷体_GB2312" w:cs="Times New Roman"/>
          <w:b/>
          <w:bCs/>
          <w:color w:val="000000"/>
          <w:sz w:val="32"/>
          <w:szCs w:val="32"/>
          <w:shd w:val="clear" w:color="auto" w:fill="FFFFFF"/>
          <w:lang w:val="en-US" w:eastAsia="zh-CN"/>
        </w:rPr>
        <w:t>二</w:t>
      </w:r>
      <w:r>
        <w:rPr>
          <w:rFonts w:ascii="宋体" w:hAnsi="宋体" w:eastAsia="楷体_GB2312" w:cs="Times New Roman"/>
          <w:b/>
          <w:bCs/>
          <w:color w:val="000000"/>
          <w:sz w:val="32"/>
          <w:szCs w:val="32"/>
          <w:shd w:val="clear" w:color="auto" w:fill="FFFFFF"/>
          <w:lang w:val="zh-CN"/>
        </w:rPr>
        <w:t>）绩效结果应用情况</w:t>
      </w:r>
      <w:r>
        <w:rPr>
          <w:rFonts w:hint="eastAsia" w:ascii="宋体" w:hAnsi="宋体" w:eastAsia="楷体_GB2312" w:cs="Times New Roman"/>
          <w:b/>
          <w:bCs/>
          <w:color w:val="000000"/>
          <w:sz w:val="32"/>
          <w:szCs w:val="32"/>
          <w:shd w:val="clear" w:color="auto" w:fill="FFFFFF"/>
          <w:lang w:val="zh-CN"/>
        </w:rPr>
        <w:t>。</w:t>
      </w:r>
    </w:p>
    <w:p>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sz w:val="32"/>
          <w:szCs w:val="32"/>
        </w:rPr>
        <w:t>一是建立评价结果反馈与整改相结合的制度；二是建立评价结果与通报相结合的制度；</w:t>
      </w:r>
      <w:r>
        <w:rPr>
          <w:rFonts w:hint="eastAsia" w:ascii="仿宋_GB2312" w:hAnsi="仿宋" w:eastAsia="仿宋_GB2312" w:cs="Times New Roman"/>
          <w:sz w:val="32"/>
          <w:szCs w:val="32"/>
        </w:rPr>
        <w:t>三是建立评价结果与预算安排相结合的制度；四是建立评价结果公开制度。</w:t>
      </w:r>
    </w:p>
    <w:p>
      <w:pPr>
        <w:widowControl/>
        <w:adjustRightInd w:val="0"/>
        <w:snapToGrid w:val="0"/>
        <w:spacing w:line="560" w:lineRule="exact"/>
        <w:ind w:firstLine="640" w:firstLineChars="200"/>
        <w:contextualSpacing/>
        <w:jc w:val="left"/>
        <w:rPr>
          <w:rFonts w:hint="default" w:eastAsia="仿宋_GB2312"/>
          <w:lang w:val="en-US" w:eastAsia="zh-CN"/>
        </w:rPr>
      </w:pPr>
      <w:r>
        <w:rPr>
          <w:rFonts w:hint="eastAsia" w:ascii="仿宋_GB2312" w:hAnsi="仿宋" w:eastAsia="仿宋_GB2312" w:cs="Times New Roman"/>
          <w:sz w:val="32"/>
          <w:szCs w:val="32"/>
          <w:lang w:val="en-US" w:eastAsia="zh-CN"/>
        </w:rPr>
        <w:t>我单位</w:t>
      </w:r>
      <w:r>
        <w:rPr>
          <w:rFonts w:hint="eastAsia" w:ascii="仿宋_GB2312" w:hAnsi="仿宋" w:eastAsia="仿宋_GB2312" w:cs="Times New Roman"/>
          <w:sz w:val="32"/>
          <w:szCs w:val="32"/>
        </w:rPr>
        <w:t>认真履职尽责，认真完成项目任务，所有项目均开展绩效评价，评价效果良好，对于财政预算资金多次接受省、市、区的检查，所有资金的支出，接受财政部门的监督管理，圆满完成2024年的目标任务。</w:t>
      </w:r>
    </w:p>
    <w:p>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en-US" w:eastAsia="zh-CN"/>
        </w:rPr>
      </w:pPr>
      <w:r>
        <w:rPr>
          <w:rFonts w:hint="eastAsia" w:ascii="宋体" w:hAnsi="宋体" w:eastAsia="黑体" w:cs="Times New Roman"/>
          <w:color w:val="000000"/>
          <w:sz w:val="32"/>
          <w:szCs w:val="32"/>
          <w:shd w:val="clear" w:color="auto" w:fill="FFFFFF"/>
          <w:lang w:val="en-US" w:eastAsia="zh-CN"/>
        </w:rPr>
        <w:t>四、评价结论及建议</w:t>
      </w:r>
    </w:p>
    <w:p>
      <w:pPr>
        <w:widowControl/>
        <w:adjustRightInd w:val="0"/>
        <w:snapToGrid w:val="0"/>
        <w:spacing w:line="560" w:lineRule="exact"/>
        <w:ind w:firstLine="643" w:firstLineChars="200"/>
        <w:contextualSpacing/>
        <w:jc w:val="left"/>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（一）评价结论。</w:t>
      </w:r>
    </w:p>
    <w:p>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w:t>
      </w:r>
      <w:r>
        <w:rPr>
          <w:rFonts w:hint="eastAsia" w:ascii="仿宋_GB2312" w:hAnsi="仿宋" w:eastAsia="仿宋_GB2312" w:cs="Times New Roman"/>
          <w:sz w:val="32"/>
          <w:szCs w:val="32"/>
          <w:lang w:val="en-US" w:eastAsia="zh-CN"/>
        </w:rPr>
        <w:t>96</w:t>
      </w:r>
      <w:r>
        <w:rPr>
          <w:rFonts w:hint="eastAsia" w:ascii="仿宋_GB2312" w:hAnsi="仿宋" w:eastAsia="仿宋_GB2312" w:cs="Times New Roman"/>
          <w:sz w:val="32"/>
          <w:szCs w:val="32"/>
        </w:rPr>
        <w:t>分 。</w:t>
      </w:r>
    </w:p>
    <w:p>
      <w:pPr>
        <w:widowControl/>
        <w:adjustRightInd w:val="0"/>
        <w:snapToGrid w:val="0"/>
        <w:spacing w:line="560" w:lineRule="exact"/>
        <w:ind w:firstLine="643" w:firstLineChars="200"/>
        <w:contextualSpacing/>
        <w:jc w:val="left"/>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lang w:eastAsia="zh-CN"/>
        </w:rPr>
        <w:t>（</w:t>
      </w:r>
      <w:r>
        <w:rPr>
          <w:rFonts w:hint="eastAsia" w:ascii="仿宋_GB2312" w:hAnsi="仿宋" w:eastAsia="仿宋_GB2312" w:cs="Times New Roman"/>
          <w:b/>
          <w:bCs/>
          <w:sz w:val="32"/>
          <w:szCs w:val="32"/>
          <w:lang w:val="en-US" w:eastAsia="zh-CN"/>
        </w:rPr>
        <w:t>二）</w:t>
      </w:r>
      <w:r>
        <w:rPr>
          <w:rFonts w:hint="eastAsia" w:ascii="仿宋_GB2312" w:hAnsi="仿宋" w:eastAsia="仿宋_GB2312" w:cs="Times New Roman"/>
          <w:b/>
          <w:bCs/>
          <w:sz w:val="32"/>
          <w:szCs w:val="32"/>
        </w:rPr>
        <w:t>存在问题。</w:t>
      </w:r>
    </w:p>
    <w:p>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1、因</w:t>
      </w:r>
      <w:r>
        <w:rPr>
          <w:rFonts w:hint="eastAsia" w:ascii="仿宋_GB2312" w:hAnsi="仿宋" w:eastAsia="仿宋_GB2312" w:cs="Times New Roman"/>
          <w:sz w:val="32"/>
          <w:szCs w:val="32"/>
        </w:rPr>
        <w:t>人口下降，出生率降低，</w:t>
      </w:r>
      <w:r>
        <w:rPr>
          <w:rFonts w:hint="eastAsia" w:ascii="仿宋_GB2312" w:hAnsi="仿宋" w:eastAsia="仿宋_GB2312" w:cs="Times New Roman"/>
          <w:sz w:val="32"/>
          <w:szCs w:val="32"/>
          <w:lang w:val="en-US" w:eastAsia="zh-CN"/>
        </w:rPr>
        <w:t>招收的学生逐年减少</w:t>
      </w:r>
      <w:r>
        <w:rPr>
          <w:rFonts w:hint="eastAsia" w:ascii="仿宋_GB2312" w:hAnsi="仿宋" w:eastAsia="仿宋_GB2312" w:cs="Times New Roman"/>
          <w:sz w:val="32"/>
          <w:szCs w:val="32"/>
        </w:rPr>
        <w:t>。</w:t>
      </w:r>
    </w:p>
    <w:p>
      <w:pPr>
        <w:widowControl/>
        <w:adjustRightInd w:val="0"/>
        <w:snapToGrid w:val="0"/>
        <w:spacing w:line="560" w:lineRule="exact"/>
        <w:ind w:firstLine="640" w:firstLineChars="200"/>
        <w:contextualSpacing/>
        <w:jc w:val="left"/>
        <w:rPr>
          <w:rFonts w:hint="eastAsia"/>
        </w:rPr>
      </w:pPr>
      <w:r>
        <w:rPr>
          <w:rFonts w:hint="eastAsia" w:ascii="仿宋_GB2312" w:hAnsi="仿宋" w:eastAsia="仿宋_GB2312" w:cs="Times New Roman"/>
          <w:sz w:val="32"/>
          <w:szCs w:val="32"/>
          <w:lang w:val="en-US" w:eastAsia="zh-CN"/>
        </w:rPr>
        <w:t>2、绩效目标编制需进一步规范、完善；绩效监督与评价体系需进一步健全</w:t>
      </w:r>
      <w:r>
        <w:rPr>
          <w:rFonts w:hint="eastAsia" w:ascii="仿宋_GB2312" w:hAnsi="仿宋" w:eastAsia="仿宋_GB2312" w:cs="Times New Roman"/>
          <w:sz w:val="32"/>
          <w:szCs w:val="32"/>
        </w:rPr>
        <w:t>。</w:t>
      </w:r>
    </w:p>
    <w:p>
      <w:pPr>
        <w:widowControl/>
        <w:adjustRightInd w:val="0"/>
        <w:snapToGrid w:val="0"/>
        <w:spacing w:line="560" w:lineRule="exact"/>
        <w:ind w:firstLine="643" w:firstLineChars="200"/>
        <w:contextualSpacing/>
        <w:jc w:val="left"/>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w:t>
      </w:r>
      <w:r>
        <w:rPr>
          <w:rFonts w:hint="eastAsia" w:ascii="仿宋_GB2312" w:hAnsi="仿宋" w:eastAsia="仿宋_GB2312" w:cs="Times New Roman"/>
          <w:b/>
          <w:bCs/>
          <w:sz w:val="32"/>
          <w:szCs w:val="32"/>
          <w:lang w:val="en-US" w:eastAsia="zh-CN"/>
        </w:rPr>
        <w:t>三</w:t>
      </w:r>
      <w:r>
        <w:rPr>
          <w:rFonts w:hint="eastAsia" w:ascii="仿宋_GB2312" w:hAnsi="仿宋" w:eastAsia="仿宋_GB2312" w:cs="Times New Roman"/>
          <w:b/>
          <w:bCs/>
          <w:sz w:val="32"/>
          <w:szCs w:val="32"/>
        </w:rPr>
        <w:t>）改进建议。</w:t>
      </w:r>
    </w:p>
    <w:p>
      <w:pPr>
        <w:spacing w:line="540" w:lineRule="exact"/>
        <w:ind w:firstLine="640" w:firstLineChars="200"/>
        <w:rPr>
          <w:rFonts w:hint="eastAsia" w:ascii="仿宋_GB2312" w:hAnsi="仿宋" w:eastAsia="仿宋_GB2312" w:cs="Times New Roman"/>
          <w:sz w:val="32"/>
          <w:szCs w:val="32"/>
        </w:rPr>
      </w:pPr>
      <w:r>
        <w:rPr>
          <w:rFonts w:hint="eastAsia" w:ascii="仿宋" w:hAnsi="仿宋" w:eastAsia="仿宋_GB2312"/>
          <w:sz w:val="32"/>
          <w:szCs w:val="32"/>
        </w:rPr>
        <w:t>1、</w:t>
      </w:r>
      <w:r>
        <w:rPr>
          <w:rFonts w:hint="eastAsia" w:ascii="仿宋_GB2312" w:hAnsi="仿宋" w:eastAsia="仿宋_GB2312" w:cs="Times New Roman"/>
          <w:sz w:val="32"/>
          <w:szCs w:val="32"/>
        </w:rPr>
        <w:t>向主管部门汇报情况，争取上级或本级资金，加快校园建设，完善教学基础设施，更新教学理念。提高学生的竞争能力，保住生源。</w:t>
      </w:r>
    </w:p>
    <w:p>
      <w:pPr>
        <w:spacing w:line="540" w:lineRule="exact"/>
        <w:ind w:firstLine="640" w:firstLineChars="200"/>
        <w:rPr>
          <w:rFonts w:ascii="仿宋" w:hAnsi="仿宋" w:eastAsia="仿宋_GB2312"/>
          <w:sz w:val="32"/>
          <w:szCs w:val="32"/>
        </w:rPr>
      </w:pPr>
      <w:r>
        <w:rPr>
          <w:rFonts w:hint="eastAsia" w:ascii="仿宋_GB2312" w:hAnsi="仿宋" w:eastAsia="仿宋_GB2312" w:cs="Times New Roman"/>
          <w:sz w:val="32"/>
          <w:szCs w:val="32"/>
          <w:lang w:val="en-US" w:eastAsia="zh-CN"/>
        </w:rPr>
        <w:t>2、</w:t>
      </w:r>
      <w:r>
        <w:rPr>
          <w:rFonts w:hint="eastAsia" w:ascii="仿宋" w:hAnsi="仿宋" w:eastAsia="仿宋_GB2312"/>
          <w:sz w:val="32"/>
          <w:szCs w:val="32"/>
        </w:rPr>
        <w:t xml:space="preserve">加强绩效评价管理制度和流程的建设。进一步深化、完善绩效管理体系，建立全过程的预算绩效管理机制。 规范绩效评价管理资料的收集整理。确保相关信息完整、可靠，客观公正地反映项目资金实际使用和产生的绩效状况。  </w:t>
      </w:r>
      <w:r>
        <w:rPr>
          <w:rFonts w:ascii="仿宋" w:hAnsi="仿宋" w:eastAsia="仿宋_GB2312"/>
          <w:sz w:val="32"/>
          <w:szCs w:val="32"/>
        </w:rPr>
        <w:t xml:space="preserve">  </w:t>
      </w:r>
    </w:p>
    <w:p>
      <w:pPr>
        <w:spacing w:line="540" w:lineRule="exact"/>
        <w:ind w:firstLine="640" w:firstLineChars="200"/>
        <w:rPr>
          <w:rFonts w:ascii="仿宋" w:hAnsi="仿宋" w:eastAsia="仿宋_GB2312"/>
          <w:sz w:val="32"/>
          <w:szCs w:val="32"/>
        </w:rPr>
      </w:pPr>
      <w:r>
        <w:rPr>
          <w:rFonts w:ascii="仿宋" w:hAnsi="仿宋" w:eastAsia="仿宋_GB2312"/>
          <w:sz w:val="32"/>
          <w:szCs w:val="32"/>
        </w:rPr>
        <w:t>附表：</w:t>
      </w:r>
      <w:r>
        <w:rPr>
          <w:rFonts w:hint="eastAsia" w:ascii="仿宋" w:hAnsi="仿宋" w:eastAsia="仿宋_GB2312"/>
          <w:sz w:val="32"/>
          <w:szCs w:val="32"/>
        </w:rPr>
        <w:t>1、部门整体支出绩效自评表</w:t>
      </w:r>
    </w:p>
    <w:p>
      <w:pPr>
        <w:keepNext w:val="0"/>
        <w:keepLines w:val="0"/>
        <w:pageBreakBefore w:val="0"/>
        <w:kinsoku/>
        <w:wordWrap/>
        <w:overflowPunct/>
        <w:topLinePunct w:val="0"/>
        <w:autoSpaceDE/>
        <w:autoSpaceDN/>
        <w:bidi w:val="0"/>
        <w:spacing w:line="572" w:lineRule="exact"/>
        <w:ind w:firstLine="1600" w:firstLineChars="500"/>
        <w:jc w:val="left"/>
        <w:textAlignment w:val="auto"/>
        <w:outlineLvl w:val="9"/>
        <w:rPr>
          <w:rFonts w:hint="eastAsia" w:eastAsia="黑体" w:cs="黑体"/>
          <w:color w:val="auto"/>
          <w:sz w:val="32"/>
          <w:szCs w:val="32"/>
          <w:highlight w:val="none"/>
          <w:lang w:val="en-US" w:eastAsia="zh-CN"/>
        </w:rPr>
      </w:pPr>
      <w:r>
        <w:rPr>
          <w:rFonts w:hint="eastAsia" w:ascii="仿宋" w:hAnsi="仿宋" w:eastAsia="仿宋_GB2312"/>
          <w:sz w:val="32"/>
          <w:szCs w:val="32"/>
        </w:rPr>
        <w:t>2、部门预算项目支出绩效自评表（2</w:t>
      </w:r>
      <w:r>
        <w:rPr>
          <w:rFonts w:ascii="仿宋" w:hAnsi="仿宋" w:eastAsia="仿宋_GB2312"/>
          <w:sz w:val="32"/>
          <w:szCs w:val="32"/>
        </w:rPr>
        <w:t>024年）</w:t>
      </w:r>
    </w:p>
    <w:p>
      <w:pPr>
        <w:rPr>
          <w:rFonts w:hint="eastAsia" w:eastAsia="黑体" w:cs="黑体"/>
          <w:color w:val="auto"/>
          <w:sz w:val="32"/>
          <w:szCs w:val="32"/>
          <w:highlight w:val="none"/>
          <w:lang w:val="en-US" w:eastAsia="zh-CN"/>
        </w:rPr>
      </w:pPr>
      <w:r>
        <w:rPr>
          <w:rFonts w:hint="eastAsia" w:eastAsia="黑体" w:cs="黑体"/>
          <w:color w:val="auto"/>
          <w:sz w:val="32"/>
          <w:szCs w:val="32"/>
          <w:highlight w:val="none"/>
          <w:lang w:val="en-US" w:eastAsia="zh-CN"/>
        </w:rPr>
        <w:br w:type="page"/>
      </w:r>
    </w:p>
    <w:p>
      <w:pPr>
        <w:pStyle w:val="2"/>
        <w:rPr>
          <w:rFonts w:hint="default" w:eastAsia="黑体" w:cs="黑体"/>
          <w:color w:val="auto"/>
          <w:sz w:val="32"/>
          <w:szCs w:val="32"/>
          <w:highlight w:val="none"/>
          <w:lang w:val="en-US" w:eastAsia="zh-CN"/>
        </w:rPr>
      </w:pPr>
      <w:r>
        <w:rPr>
          <w:rFonts w:hint="eastAsia" w:eastAsia="黑体" w:cs="黑体"/>
          <w:color w:val="auto"/>
          <w:sz w:val="32"/>
          <w:szCs w:val="32"/>
          <w:highlight w:val="none"/>
          <w:lang w:val="en-US" w:eastAsia="zh-CN"/>
        </w:rPr>
        <w:t>附表1：</w:t>
      </w:r>
    </w:p>
    <w:tbl>
      <w:tblPr>
        <w:tblStyle w:val="16"/>
        <w:tblW w:w="10243" w:type="dxa"/>
        <w:jc w:val="center"/>
        <w:tblLayout w:type="autofit"/>
        <w:tblCellMar>
          <w:top w:w="0" w:type="dxa"/>
          <w:left w:w="108" w:type="dxa"/>
          <w:bottom w:w="0" w:type="dxa"/>
          <w:right w:w="108" w:type="dxa"/>
        </w:tblCellMar>
      </w:tblPr>
      <w:tblGrid>
        <w:gridCol w:w="699"/>
        <w:gridCol w:w="861"/>
        <w:gridCol w:w="1819"/>
        <w:gridCol w:w="748"/>
        <w:gridCol w:w="2552"/>
        <w:gridCol w:w="2268"/>
        <w:gridCol w:w="729"/>
        <w:gridCol w:w="567"/>
      </w:tblGrid>
      <w:tr>
        <w:tblPrEx>
          <w:tblCellMar>
            <w:top w:w="0" w:type="dxa"/>
            <w:left w:w="108" w:type="dxa"/>
            <w:bottom w:w="0" w:type="dxa"/>
            <w:right w:w="108" w:type="dxa"/>
          </w:tblCellMar>
        </w:tblPrEx>
        <w:trPr>
          <w:trHeight w:val="519" w:hRule="atLeast"/>
          <w:jc w:val="center"/>
        </w:trPr>
        <w:tc>
          <w:tcPr>
            <w:tcW w:w="4127"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绩效指标</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指标解释</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评分说明</w:t>
            </w:r>
          </w:p>
        </w:tc>
        <w:tc>
          <w:tcPr>
            <w:tcW w:w="72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自评  得分</w:t>
            </w:r>
          </w:p>
        </w:tc>
        <w:tc>
          <w:tcPr>
            <w:tcW w:w="567"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_GB2312" w:cs="宋体"/>
                <w:kern w:val="0"/>
                <w:szCs w:val="21"/>
              </w:rPr>
              <w:t>备注</w:t>
            </w:r>
          </w:p>
        </w:tc>
      </w:tr>
      <w:tr>
        <w:tblPrEx>
          <w:tblCellMar>
            <w:top w:w="0" w:type="dxa"/>
            <w:left w:w="108" w:type="dxa"/>
            <w:bottom w:w="0" w:type="dxa"/>
            <w:right w:w="108" w:type="dxa"/>
          </w:tblCellMar>
        </w:tblPrEx>
        <w:trPr>
          <w:trHeight w:val="498" w:hRule="atLeast"/>
          <w:jc w:val="center"/>
        </w:trPr>
        <w:tc>
          <w:tcPr>
            <w:tcW w:w="699" w:type="dxa"/>
            <w:tcBorders>
              <w:top w:val="nil"/>
              <w:left w:val="single" w:color="auto" w:sz="4" w:space="0"/>
              <w:bottom w:val="single" w:color="auto" w:sz="4" w:space="0"/>
              <w:right w:val="nil"/>
            </w:tcBorders>
            <w:noWrap w:val="0"/>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一级指标</w:t>
            </w:r>
          </w:p>
        </w:tc>
        <w:tc>
          <w:tcPr>
            <w:tcW w:w="86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二级 指标</w:t>
            </w:r>
          </w:p>
        </w:tc>
        <w:tc>
          <w:tcPr>
            <w:tcW w:w="1819"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三级指标</w:t>
            </w:r>
          </w:p>
        </w:tc>
        <w:tc>
          <w:tcPr>
            <w:tcW w:w="748"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指标分值</w:t>
            </w: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Cs w:val="21"/>
              </w:rPr>
            </w:pP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Cs w:val="21"/>
              </w:rPr>
            </w:pPr>
          </w:p>
        </w:tc>
        <w:tc>
          <w:tcPr>
            <w:tcW w:w="729"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Cs w:val="21"/>
              </w:rPr>
            </w:pPr>
          </w:p>
        </w:tc>
        <w:tc>
          <w:tcPr>
            <w:tcW w:w="567"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477" w:hRule="atLeast"/>
          <w:jc w:val="center"/>
        </w:trPr>
        <w:tc>
          <w:tcPr>
            <w:tcW w:w="699" w:type="dxa"/>
            <w:vMerge w:val="restart"/>
            <w:tcBorders>
              <w:top w:val="nil"/>
              <w:left w:val="single" w:color="auto" w:sz="4" w:space="0"/>
              <w:right w:val="nil"/>
            </w:tcBorders>
            <w:noWrap w:val="0"/>
            <w:vAlign w:val="center"/>
          </w:tcPr>
          <w:p>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总体绩效</w:t>
            </w:r>
            <w:r>
              <w:rPr>
                <w:rFonts w:hint="eastAsia" w:asciiTheme="minorEastAsia" w:hAnsiTheme="minorEastAsia" w:eastAsiaTheme="minorEastAsia" w:cstheme="minorEastAsia"/>
                <w:b/>
                <w:bCs/>
                <w:kern w:val="0"/>
                <w:sz w:val="15"/>
                <w:szCs w:val="15"/>
              </w:rPr>
              <w:t>（65分）</w:t>
            </w:r>
          </w:p>
        </w:tc>
        <w:tc>
          <w:tcPr>
            <w:tcW w:w="861" w:type="dxa"/>
            <w:vMerge w:val="restart"/>
            <w:tcBorders>
              <w:top w:val="nil"/>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bCs/>
                <w:kern w:val="0"/>
                <w:szCs w:val="21"/>
              </w:rPr>
              <w:t>履职 效能</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 w:val="15"/>
                <w:szCs w:val="15"/>
              </w:rPr>
              <w:t>（20分）</w:t>
            </w:r>
          </w:p>
        </w:tc>
        <w:tc>
          <w:tcPr>
            <w:tcW w:w="1819"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color w:val="000000"/>
                <w:kern w:val="0"/>
                <w:szCs w:val="21"/>
              </w:rPr>
              <w:t>绩效目标合理性</w:t>
            </w:r>
          </w:p>
        </w:tc>
        <w:tc>
          <w:tcPr>
            <w:tcW w:w="748" w:type="dxa"/>
            <w:vMerge w:val="restart"/>
            <w:tcBorders>
              <w:top w:val="nil"/>
              <w:left w:val="nil"/>
              <w:right w:val="single" w:color="auto" w:sz="4" w:space="0"/>
            </w:tcBorders>
            <w:noWrap w:val="0"/>
            <w:vAlign w:val="center"/>
          </w:tcPr>
          <w:p>
            <w:pPr>
              <w:widowControl/>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20</w:t>
            </w:r>
          </w:p>
        </w:tc>
        <w:tc>
          <w:tcPr>
            <w:tcW w:w="2552" w:type="dxa"/>
            <w:vMerge w:val="restart"/>
            <w:tcBorders>
              <w:top w:val="single" w:color="auto" w:sz="4" w:space="0"/>
              <w:left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是否符合发展规划</w:t>
            </w:r>
          </w:p>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是否清晰可衡量可考核</w:t>
            </w:r>
          </w:p>
        </w:tc>
        <w:tc>
          <w:tcPr>
            <w:tcW w:w="2268" w:type="dxa"/>
            <w:vMerge w:val="restart"/>
            <w:tcBorders>
              <w:top w:val="single" w:color="auto" w:sz="4" w:space="0"/>
              <w:left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kern w:val="0"/>
                <w:szCs w:val="21"/>
              </w:rPr>
              <w:t>目标明确、合理</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lang w:val="en-US" w:eastAsia="zh-CN"/>
              </w:rPr>
              <w:t>教学效果好，社会满意度高，校园无安全事故。</w:t>
            </w:r>
          </w:p>
        </w:tc>
        <w:tc>
          <w:tcPr>
            <w:tcW w:w="729"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20</w:t>
            </w:r>
          </w:p>
        </w:tc>
        <w:tc>
          <w:tcPr>
            <w:tcW w:w="567" w:type="dxa"/>
            <w:vMerge w:val="restart"/>
            <w:tcBorders>
              <w:top w:val="single" w:color="auto" w:sz="4" w:space="0"/>
              <w:left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123" w:hRule="atLeast"/>
          <w:jc w:val="center"/>
        </w:trPr>
        <w:tc>
          <w:tcPr>
            <w:tcW w:w="699" w:type="dxa"/>
            <w:vMerge w:val="continue"/>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kern w:val="0"/>
                <w:szCs w:val="21"/>
              </w:rPr>
            </w:pPr>
          </w:p>
        </w:tc>
        <w:tc>
          <w:tcPr>
            <w:tcW w:w="861" w:type="dxa"/>
            <w:vMerge w:val="continue"/>
            <w:tcBorders>
              <w:left w:val="single" w:color="auto" w:sz="4" w:space="0"/>
              <w:bottom w:val="nil"/>
              <w:right w:val="single" w:color="auto" w:sz="4" w:space="0"/>
            </w:tcBorders>
            <w:noWrap w:val="0"/>
            <w:vAlign w:val="center"/>
          </w:tcPr>
          <w:p>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教学质量达标</w:t>
            </w:r>
          </w:p>
        </w:tc>
        <w:tc>
          <w:tcPr>
            <w:tcW w:w="748" w:type="dxa"/>
            <w:vMerge w:val="continue"/>
            <w:tcBorders>
              <w:left w:val="nil"/>
              <w:bottom w:val="nil"/>
              <w:right w:val="single" w:color="auto" w:sz="4" w:space="0"/>
            </w:tcBorders>
            <w:noWrap w:val="0"/>
            <w:vAlign w:val="center"/>
          </w:tcPr>
          <w:p>
            <w:pPr>
              <w:widowControl/>
              <w:jc w:val="center"/>
              <w:rPr>
                <w:rFonts w:hint="eastAsia" w:asciiTheme="minorEastAsia" w:hAnsiTheme="minorEastAsia" w:eastAsiaTheme="minorEastAsia" w:cstheme="minorEastAsia"/>
                <w:kern w:val="0"/>
                <w:szCs w:val="21"/>
              </w:rPr>
            </w:pPr>
          </w:p>
        </w:tc>
        <w:tc>
          <w:tcPr>
            <w:tcW w:w="2552" w:type="dxa"/>
            <w:vMerge w:val="continue"/>
            <w:tcBorders>
              <w:left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p>
        </w:tc>
        <w:tc>
          <w:tcPr>
            <w:tcW w:w="2268" w:type="dxa"/>
            <w:vMerge w:val="continue"/>
            <w:tcBorders>
              <w:left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p>
        </w:tc>
        <w:tc>
          <w:tcPr>
            <w:tcW w:w="729" w:type="dxa"/>
            <w:vMerge w:val="continue"/>
            <w:tcBorders>
              <w:left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p>
        </w:tc>
        <w:tc>
          <w:tcPr>
            <w:tcW w:w="567" w:type="dxa"/>
            <w:vMerge w:val="continue"/>
            <w:tcBorders>
              <w:left w:val="single" w:color="auto" w:sz="4" w:space="0"/>
              <w:bottom w:val="nil"/>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355" w:hRule="atLeast"/>
          <w:jc w:val="center"/>
        </w:trPr>
        <w:tc>
          <w:tcPr>
            <w:tcW w:w="699" w:type="dxa"/>
            <w:vMerge w:val="continue"/>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kern w:val="0"/>
                <w:szCs w:val="21"/>
              </w:rPr>
            </w:pPr>
          </w:p>
        </w:tc>
        <w:tc>
          <w:tcPr>
            <w:tcW w:w="861" w:type="dxa"/>
            <w:vMerge w:val="continue"/>
            <w:tcBorders>
              <w:left w:val="single" w:color="auto" w:sz="4" w:space="0"/>
              <w:bottom w:val="nil"/>
              <w:right w:val="single" w:color="auto" w:sz="4" w:space="0"/>
            </w:tcBorders>
            <w:noWrap w:val="0"/>
            <w:vAlign w:val="center"/>
          </w:tcPr>
          <w:p>
            <w:pPr>
              <w:widowControl/>
              <w:jc w:val="left"/>
              <w:rPr>
                <w:rFonts w:hint="eastAsia" w:asciiTheme="minorEastAsia" w:hAnsiTheme="minorEastAsia" w:eastAsiaTheme="minorEastAsia" w:cstheme="minorEastAsia"/>
                <w:b/>
                <w:bCs/>
                <w:kern w:val="0"/>
                <w:szCs w:val="21"/>
              </w:rPr>
            </w:pPr>
          </w:p>
        </w:tc>
        <w:tc>
          <w:tcPr>
            <w:tcW w:w="1819" w:type="dxa"/>
            <w:tcBorders>
              <w:top w:val="single" w:color="auto" w:sz="4" w:space="0"/>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校园安全无事故</w:t>
            </w:r>
          </w:p>
        </w:tc>
        <w:tc>
          <w:tcPr>
            <w:tcW w:w="748" w:type="dxa"/>
            <w:vMerge w:val="continue"/>
            <w:tcBorders>
              <w:left w:val="nil"/>
              <w:bottom w:val="nil"/>
              <w:right w:val="single" w:color="auto" w:sz="4" w:space="0"/>
            </w:tcBorders>
            <w:noWrap w:val="0"/>
            <w:vAlign w:val="center"/>
          </w:tcPr>
          <w:p>
            <w:pPr>
              <w:widowControl/>
              <w:jc w:val="center"/>
              <w:rPr>
                <w:rFonts w:hint="eastAsia" w:asciiTheme="minorEastAsia" w:hAnsiTheme="minorEastAsia" w:eastAsiaTheme="minorEastAsia" w:cstheme="minorEastAsia"/>
                <w:kern w:val="0"/>
                <w:szCs w:val="21"/>
              </w:rPr>
            </w:pPr>
          </w:p>
        </w:tc>
        <w:tc>
          <w:tcPr>
            <w:tcW w:w="2552" w:type="dxa"/>
            <w:vMerge w:val="continue"/>
            <w:tcBorders>
              <w:left w:val="single" w:color="auto" w:sz="4" w:space="0"/>
              <w:bottom w:val="nil"/>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p>
        </w:tc>
        <w:tc>
          <w:tcPr>
            <w:tcW w:w="2268" w:type="dxa"/>
            <w:vMerge w:val="continue"/>
            <w:tcBorders>
              <w:left w:val="single" w:color="auto" w:sz="4" w:space="0"/>
              <w:bottom w:val="nil"/>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p>
        </w:tc>
        <w:tc>
          <w:tcPr>
            <w:tcW w:w="729" w:type="dxa"/>
            <w:vMerge w:val="continue"/>
            <w:tcBorders>
              <w:left w:val="single" w:color="auto" w:sz="4" w:space="0"/>
              <w:bottom w:val="nil"/>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p>
        </w:tc>
        <w:tc>
          <w:tcPr>
            <w:tcW w:w="567" w:type="dxa"/>
            <w:vMerge w:val="continue"/>
            <w:tcBorders>
              <w:left w:val="single" w:color="auto" w:sz="4" w:space="0"/>
              <w:bottom w:val="nil"/>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363" w:hRule="atLeast"/>
          <w:jc w:val="center"/>
        </w:trPr>
        <w:tc>
          <w:tcPr>
            <w:tcW w:w="699" w:type="dxa"/>
            <w:vMerge w:val="continue"/>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kern w:val="0"/>
                <w:szCs w:val="21"/>
              </w:rPr>
            </w:pPr>
          </w:p>
        </w:tc>
        <w:tc>
          <w:tcPr>
            <w:tcW w:w="86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预算 管理</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 w:val="15"/>
                <w:szCs w:val="15"/>
              </w:rPr>
              <w:t>（20分）</w:t>
            </w:r>
          </w:p>
        </w:tc>
        <w:tc>
          <w:tcPr>
            <w:tcW w:w="1819"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预算编制质量</w:t>
            </w:r>
          </w:p>
        </w:tc>
        <w:tc>
          <w:tcPr>
            <w:tcW w:w="74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w:t>
            </w:r>
          </w:p>
        </w:tc>
        <w:tc>
          <w:tcPr>
            <w:tcW w:w="2552" w:type="dxa"/>
            <w:tcBorders>
              <w:top w:val="single" w:color="auto" w:sz="4" w:space="0"/>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是否纳入预算管理</w:t>
            </w:r>
          </w:p>
        </w:tc>
        <w:tc>
          <w:tcPr>
            <w:tcW w:w="2268" w:type="dxa"/>
            <w:tcBorders>
              <w:top w:val="single" w:color="auto" w:sz="4" w:space="0"/>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w:t>
            </w:r>
          </w:p>
        </w:tc>
        <w:tc>
          <w:tcPr>
            <w:tcW w:w="72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390" w:hRule="atLeast"/>
          <w:jc w:val="center"/>
        </w:trPr>
        <w:tc>
          <w:tcPr>
            <w:tcW w:w="699" w:type="dxa"/>
            <w:vMerge w:val="continue"/>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kern w:val="0"/>
                <w:szCs w:val="21"/>
              </w:rPr>
            </w:pPr>
          </w:p>
        </w:tc>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支出执行进度</w:t>
            </w:r>
          </w:p>
        </w:tc>
        <w:tc>
          <w:tcPr>
            <w:tcW w:w="748"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按时间节点完成支付</w:t>
            </w:r>
          </w:p>
        </w:tc>
        <w:tc>
          <w:tcPr>
            <w:tcW w:w="2268"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按进度执行</w:t>
            </w:r>
          </w:p>
        </w:tc>
        <w:tc>
          <w:tcPr>
            <w:tcW w:w="729"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4.5</w:t>
            </w: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446" w:hRule="atLeast"/>
          <w:jc w:val="center"/>
        </w:trPr>
        <w:tc>
          <w:tcPr>
            <w:tcW w:w="699" w:type="dxa"/>
            <w:vMerge w:val="continue"/>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kern w:val="0"/>
                <w:szCs w:val="21"/>
              </w:rPr>
            </w:pPr>
          </w:p>
        </w:tc>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重点支出安排率</w:t>
            </w:r>
          </w:p>
        </w:tc>
        <w:tc>
          <w:tcPr>
            <w:tcW w:w="748"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是否优先保障重点支出</w:t>
            </w:r>
          </w:p>
        </w:tc>
        <w:tc>
          <w:tcPr>
            <w:tcW w:w="2268"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w:t>
            </w:r>
          </w:p>
        </w:tc>
        <w:tc>
          <w:tcPr>
            <w:tcW w:w="729"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4</w:t>
            </w: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397" w:hRule="atLeast"/>
          <w:jc w:val="center"/>
        </w:trPr>
        <w:tc>
          <w:tcPr>
            <w:tcW w:w="699" w:type="dxa"/>
            <w:vMerge w:val="continue"/>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kern w:val="0"/>
                <w:szCs w:val="21"/>
              </w:rPr>
            </w:pPr>
          </w:p>
        </w:tc>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预算结转结余</w:t>
            </w:r>
          </w:p>
        </w:tc>
        <w:tc>
          <w:tcPr>
            <w:tcW w:w="748"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年度预算结转结余控制</w:t>
            </w:r>
          </w:p>
        </w:tc>
        <w:tc>
          <w:tcPr>
            <w:tcW w:w="2268"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无结转结余</w:t>
            </w:r>
          </w:p>
        </w:tc>
        <w:tc>
          <w:tcPr>
            <w:tcW w:w="729"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w:t>
            </w: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550" w:hRule="atLeast"/>
          <w:jc w:val="center"/>
        </w:trPr>
        <w:tc>
          <w:tcPr>
            <w:tcW w:w="699" w:type="dxa"/>
            <w:vMerge w:val="continue"/>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kern w:val="0"/>
                <w:szCs w:val="21"/>
              </w:rPr>
            </w:pPr>
          </w:p>
        </w:tc>
        <w:tc>
          <w:tcPr>
            <w:tcW w:w="861" w:type="dxa"/>
            <w:vMerge w:val="restart"/>
            <w:tcBorders>
              <w:top w:val="nil"/>
              <w:left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资产 管理</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 w:val="15"/>
                <w:szCs w:val="15"/>
              </w:rPr>
              <w:t>（15分）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资产管理规范性</w:t>
            </w:r>
          </w:p>
        </w:tc>
        <w:tc>
          <w:tcPr>
            <w:tcW w:w="748"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8</w:t>
            </w:r>
          </w:p>
        </w:tc>
        <w:tc>
          <w:tcPr>
            <w:tcW w:w="2552"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制度是否健全，是否完成保存，按要求处置。</w:t>
            </w:r>
          </w:p>
        </w:tc>
        <w:tc>
          <w:tcPr>
            <w:tcW w:w="2268"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制度健全管理规范，无闲置资产</w:t>
            </w:r>
          </w:p>
        </w:tc>
        <w:tc>
          <w:tcPr>
            <w:tcW w:w="72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7</w:t>
            </w:r>
          </w:p>
        </w:tc>
        <w:tc>
          <w:tcPr>
            <w:tcW w:w="567" w:type="dxa"/>
            <w:vMerge w:val="restart"/>
            <w:tcBorders>
              <w:top w:val="nil"/>
              <w:left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489" w:hRule="atLeast"/>
          <w:jc w:val="center"/>
        </w:trPr>
        <w:tc>
          <w:tcPr>
            <w:tcW w:w="699" w:type="dxa"/>
            <w:vMerge w:val="continue"/>
            <w:tcBorders>
              <w:left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kern w:val="0"/>
                <w:szCs w:val="21"/>
              </w:rPr>
            </w:pPr>
          </w:p>
        </w:tc>
        <w:tc>
          <w:tcPr>
            <w:tcW w:w="86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kern w:val="0"/>
                <w:szCs w:val="21"/>
              </w:rPr>
            </w:pPr>
          </w:p>
        </w:tc>
        <w:tc>
          <w:tcPr>
            <w:tcW w:w="1819" w:type="dxa"/>
            <w:tcBorders>
              <w:top w:val="single" w:color="auto" w:sz="4" w:space="0"/>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资产使用率</w:t>
            </w:r>
          </w:p>
        </w:tc>
        <w:tc>
          <w:tcPr>
            <w:tcW w:w="74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7</w:t>
            </w:r>
          </w:p>
        </w:tc>
        <w:tc>
          <w:tcPr>
            <w:tcW w:w="2552" w:type="dxa"/>
            <w:tcBorders>
              <w:top w:val="single" w:color="auto" w:sz="4" w:space="0"/>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是否充分充分高效使用</w:t>
            </w:r>
          </w:p>
        </w:tc>
        <w:tc>
          <w:tcPr>
            <w:tcW w:w="2268" w:type="dxa"/>
            <w:tcBorders>
              <w:top w:val="single" w:color="auto" w:sz="4" w:space="0"/>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w:t>
            </w:r>
          </w:p>
        </w:tc>
        <w:tc>
          <w:tcPr>
            <w:tcW w:w="729"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6.5</w:t>
            </w:r>
          </w:p>
        </w:tc>
        <w:tc>
          <w:tcPr>
            <w:tcW w:w="567" w:type="dxa"/>
            <w:vMerge w:val="continue"/>
            <w:tcBorders>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801" w:hRule="atLeast"/>
          <w:jc w:val="center"/>
        </w:trPr>
        <w:tc>
          <w:tcPr>
            <w:tcW w:w="699" w:type="dxa"/>
            <w:vMerge w:val="continue"/>
            <w:tcBorders>
              <w:left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kern w:val="0"/>
                <w:szCs w:val="21"/>
              </w:rPr>
            </w:pPr>
          </w:p>
        </w:tc>
        <w:tc>
          <w:tcPr>
            <w:tcW w:w="86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采购 管理</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 w:val="15"/>
                <w:szCs w:val="15"/>
              </w:rPr>
              <w:t>（10分）</w:t>
            </w:r>
          </w:p>
        </w:tc>
        <w:tc>
          <w:tcPr>
            <w:tcW w:w="1819"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政府采购执行率</w:t>
            </w:r>
          </w:p>
        </w:tc>
        <w:tc>
          <w:tcPr>
            <w:tcW w:w="748"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10</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政府采购预算的实际执行情况</w:t>
            </w:r>
          </w:p>
        </w:tc>
        <w:tc>
          <w:tcPr>
            <w:tcW w:w="2268"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按预算和计划执行</w:t>
            </w:r>
          </w:p>
        </w:tc>
        <w:tc>
          <w:tcPr>
            <w:tcW w:w="729"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10</w:t>
            </w:r>
          </w:p>
        </w:tc>
        <w:tc>
          <w:tcPr>
            <w:tcW w:w="567"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472" w:hRule="atLeast"/>
          <w:jc w:val="center"/>
        </w:trPr>
        <w:tc>
          <w:tcPr>
            <w:tcW w:w="69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项目绩效</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 w:val="15"/>
                <w:szCs w:val="15"/>
              </w:rPr>
              <w:t>（35分）</w:t>
            </w:r>
          </w:p>
        </w:tc>
        <w:tc>
          <w:tcPr>
            <w:tcW w:w="861" w:type="dxa"/>
            <w:vMerge w:val="restart"/>
            <w:tcBorders>
              <w:top w:val="nil"/>
              <w:left w:val="single" w:color="auto" w:sz="4" w:space="0"/>
              <w:bottom w:val="nil"/>
              <w:right w:val="single" w:color="auto" w:sz="4" w:space="0"/>
            </w:tcBorders>
            <w:noWrap w:val="0"/>
            <w:vAlign w:val="center"/>
          </w:tcPr>
          <w:p>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项目 决策</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 w:val="15"/>
                <w:szCs w:val="15"/>
              </w:rPr>
              <w:t>（12分）</w:t>
            </w:r>
          </w:p>
        </w:tc>
        <w:tc>
          <w:tcPr>
            <w:tcW w:w="1819"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决策程序</w:t>
            </w:r>
          </w:p>
        </w:tc>
        <w:tc>
          <w:tcPr>
            <w:tcW w:w="748"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决策程序是否规范</w:t>
            </w:r>
          </w:p>
        </w:tc>
        <w:tc>
          <w:tcPr>
            <w:tcW w:w="2268"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w:t>
            </w:r>
          </w:p>
        </w:tc>
        <w:tc>
          <w:tcPr>
            <w:tcW w:w="729"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1"/>
              </w:rPr>
            </w:pPr>
          </w:p>
        </w:tc>
      </w:tr>
      <w:tr>
        <w:tblPrEx>
          <w:tblCellMar>
            <w:top w:w="0" w:type="dxa"/>
            <w:left w:w="108" w:type="dxa"/>
            <w:bottom w:w="0" w:type="dxa"/>
            <w:right w:w="108" w:type="dxa"/>
          </w:tblCellMar>
        </w:tblPrEx>
        <w:trPr>
          <w:trHeight w:val="409"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kern w:val="0"/>
                <w:szCs w:val="21"/>
              </w:rPr>
            </w:pPr>
          </w:p>
        </w:tc>
        <w:tc>
          <w:tcPr>
            <w:tcW w:w="861" w:type="dxa"/>
            <w:vMerge w:val="continue"/>
            <w:tcBorders>
              <w:top w:val="nil"/>
              <w:left w:val="single" w:color="auto" w:sz="4" w:space="0"/>
              <w:bottom w:val="nil"/>
              <w:right w:val="single" w:color="auto" w:sz="4" w:space="0"/>
            </w:tcBorders>
            <w:noWrap w:val="0"/>
            <w:vAlign w:val="center"/>
          </w:tcPr>
          <w:p>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目标设置</w:t>
            </w:r>
          </w:p>
        </w:tc>
        <w:tc>
          <w:tcPr>
            <w:tcW w:w="748"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是否明确可衡量</w:t>
            </w:r>
          </w:p>
        </w:tc>
        <w:tc>
          <w:tcPr>
            <w:tcW w:w="2268"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w:t>
            </w:r>
          </w:p>
        </w:tc>
        <w:tc>
          <w:tcPr>
            <w:tcW w:w="729"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1"/>
              </w:rPr>
            </w:pPr>
          </w:p>
        </w:tc>
      </w:tr>
      <w:tr>
        <w:tblPrEx>
          <w:tblCellMar>
            <w:top w:w="0" w:type="dxa"/>
            <w:left w:w="108" w:type="dxa"/>
            <w:bottom w:w="0" w:type="dxa"/>
            <w:right w:w="108" w:type="dxa"/>
          </w:tblCellMar>
        </w:tblPrEx>
        <w:trPr>
          <w:trHeight w:val="417"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kern w:val="0"/>
                <w:szCs w:val="21"/>
              </w:rPr>
            </w:pPr>
          </w:p>
        </w:tc>
        <w:tc>
          <w:tcPr>
            <w:tcW w:w="861" w:type="dxa"/>
            <w:vMerge w:val="continue"/>
            <w:tcBorders>
              <w:top w:val="nil"/>
              <w:left w:val="single" w:color="auto" w:sz="4" w:space="0"/>
              <w:bottom w:val="nil"/>
              <w:right w:val="single" w:color="auto" w:sz="4" w:space="0"/>
            </w:tcBorders>
            <w:noWrap w:val="0"/>
            <w:vAlign w:val="center"/>
          </w:tcPr>
          <w:p>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项目入库</w:t>
            </w:r>
          </w:p>
        </w:tc>
        <w:tc>
          <w:tcPr>
            <w:tcW w:w="748"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是否纳入项目库管理</w:t>
            </w:r>
          </w:p>
        </w:tc>
        <w:tc>
          <w:tcPr>
            <w:tcW w:w="2268"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w:t>
            </w:r>
          </w:p>
        </w:tc>
        <w:tc>
          <w:tcPr>
            <w:tcW w:w="729"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406"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kern w:val="0"/>
                <w:szCs w:val="21"/>
              </w:rPr>
            </w:pPr>
          </w:p>
        </w:tc>
        <w:tc>
          <w:tcPr>
            <w:tcW w:w="861" w:type="dxa"/>
            <w:vMerge w:val="restart"/>
            <w:tcBorders>
              <w:top w:val="single" w:color="auto" w:sz="4" w:space="0"/>
              <w:left w:val="single" w:color="auto" w:sz="4" w:space="0"/>
              <w:bottom w:val="nil"/>
              <w:right w:val="single" w:color="auto" w:sz="4" w:space="0"/>
            </w:tcBorders>
            <w:noWrap w:val="0"/>
            <w:vAlign w:val="center"/>
          </w:tcPr>
          <w:p>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项目 执行</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 w:val="15"/>
                <w:szCs w:val="15"/>
              </w:rPr>
              <w:t>（12分）</w:t>
            </w:r>
          </w:p>
        </w:tc>
        <w:tc>
          <w:tcPr>
            <w:tcW w:w="1819"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执行同向</w:t>
            </w:r>
          </w:p>
        </w:tc>
        <w:tc>
          <w:tcPr>
            <w:tcW w:w="748"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预算与执行一致性</w:t>
            </w:r>
          </w:p>
        </w:tc>
        <w:tc>
          <w:tcPr>
            <w:tcW w:w="2268"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一致</w:t>
            </w:r>
          </w:p>
        </w:tc>
        <w:tc>
          <w:tcPr>
            <w:tcW w:w="729"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426"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kern w:val="0"/>
                <w:szCs w:val="21"/>
              </w:rPr>
            </w:pPr>
          </w:p>
        </w:tc>
        <w:tc>
          <w:tcPr>
            <w:tcW w:w="861"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nil"/>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项目调整</w:t>
            </w:r>
          </w:p>
        </w:tc>
        <w:tc>
          <w:tcPr>
            <w:tcW w:w="748"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调整程序是否规范</w:t>
            </w:r>
          </w:p>
        </w:tc>
        <w:tc>
          <w:tcPr>
            <w:tcW w:w="2268"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w:t>
            </w:r>
          </w:p>
        </w:tc>
        <w:tc>
          <w:tcPr>
            <w:tcW w:w="729"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4</w:t>
            </w: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419"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kern w:val="0"/>
                <w:szCs w:val="21"/>
              </w:rPr>
            </w:pPr>
          </w:p>
        </w:tc>
        <w:tc>
          <w:tcPr>
            <w:tcW w:w="861"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Theme="minorEastAsia" w:hAnsiTheme="minorEastAsia" w:eastAsiaTheme="minorEastAsia" w:cstheme="minorEastAsia"/>
                <w:b/>
                <w:bCs/>
                <w:kern w:val="0"/>
                <w:szCs w:val="21"/>
              </w:rPr>
            </w:pPr>
          </w:p>
        </w:tc>
        <w:tc>
          <w:tcPr>
            <w:tcW w:w="1819" w:type="dxa"/>
            <w:tcBorders>
              <w:top w:val="single" w:color="auto" w:sz="4" w:space="0"/>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执行结果</w:t>
            </w:r>
          </w:p>
        </w:tc>
        <w:tc>
          <w:tcPr>
            <w:tcW w:w="748"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完成率</w:t>
            </w:r>
          </w:p>
        </w:tc>
        <w:tc>
          <w:tcPr>
            <w:tcW w:w="2268"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100%</w:t>
            </w:r>
          </w:p>
        </w:tc>
        <w:tc>
          <w:tcPr>
            <w:tcW w:w="729"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364"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kern w:val="0"/>
                <w:szCs w:val="21"/>
              </w:rPr>
            </w:pPr>
          </w:p>
        </w:tc>
        <w:tc>
          <w:tcPr>
            <w:tcW w:w="861"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目标 实现</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 w:val="15"/>
                <w:szCs w:val="15"/>
              </w:rPr>
              <w:t>（11分）</w:t>
            </w:r>
          </w:p>
        </w:tc>
        <w:tc>
          <w:tcPr>
            <w:tcW w:w="1819"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目标完成</w:t>
            </w:r>
          </w:p>
        </w:tc>
        <w:tc>
          <w:tcPr>
            <w:tcW w:w="748"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项目目标完成率</w:t>
            </w:r>
          </w:p>
        </w:tc>
        <w:tc>
          <w:tcPr>
            <w:tcW w:w="2268"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100%</w:t>
            </w:r>
          </w:p>
        </w:tc>
        <w:tc>
          <w:tcPr>
            <w:tcW w:w="729"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90"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kern w:val="0"/>
                <w:szCs w:val="21"/>
              </w:rPr>
            </w:pPr>
          </w:p>
        </w:tc>
        <w:tc>
          <w:tcPr>
            <w:tcW w:w="86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目标偏离</w:t>
            </w:r>
          </w:p>
        </w:tc>
        <w:tc>
          <w:tcPr>
            <w:tcW w:w="748"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偏离度</w:t>
            </w:r>
          </w:p>
        </w:tc>
        <w:tc>
          <w:tcPr>
            <w:tcW w:w="2268"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≤10</w:t>
            </w:r>
          </w:p>
        </w:tc>
        <w:tc>
          <w:tcPr>
            <w:tcW w:w="729"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380"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kern w:val="0"/>
                <w:szCs w:val="21"/>
              </w:rPr>
            </w:pPr>
          </w:p>
        </w:tc>
        <w:tc>
          <w:tcPr>
            <w:tcW w:w="86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实现效果</w:t>
            </w:r>
          </w:p>
        </w:tc>
        <w:tc>
          <w:tcPr>
            <w:tcW w:w="748"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项目完成实际效果</w:t>
            </w:r>
          </w:p>
        </w:tc>
        <w:tc>
          <w:tcPr>
            <w:tcW w:w="2268"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符合项目要求</w:t>
            </w:r>
          </w:p>
        </w:tc>
        <w:tc>
          <w:tcPr>
            <w:tcW w:w="729"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w:t>
            </w: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360" w:hRule="atLeast"/>
          <w:jc w:val="center"/>
        </w:trPr>
        <w:tc>
          <w:tcPr>
            <w:tcW w:w="699"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扣分项</w:t>
            </w:r>
          </w:p>
        </w:tc>
        <w:tc>
          <w:tcPr>
            <w:tcW w:w="86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财务 管理</w:t>
            </w:r>
          </w:p>
        </w:tc>
        <w:tc>
          <w:tcPr>
            <w:tcW w:w="1819"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财务管理制度</w:t>
            </w:r>
          </w:p>
        </w:tc>
        <w:tc>
          <w:tcPr>
            <w:tcW w:w="748"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制度健全与执行情况</w:t>
            </w:r>
          </w:p>
        </w:tc>
        <w:tc>
          <w:tcPr>
            <w:tcW w:w="2268"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发现问题每项扣1-2分  </w:t>
            </w:r>
          </w:p>
        </w:tc>
        <w:tc>
          <w:tcPr>
            <w:tcW w:w="729"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423"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Theme="minorEastAsia" w:hAnsiTheme="minorEastAsia" w:eastAsiaTheme="minorEastAsia" w:cstheme="minorEastAsia"/>
                <w:b/>
                <w:bCs/>
                <w:kern w:val="0"/>
                <w:szCs w:val="21"/>
              </w:rPr>
            </w:pPr>
          </w:p>
        </w:tc>
        <w:tc>
          <w:tcPr>
            <w:tcW w:w="86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财务岗位设置</w:t>
            </w:r>
          </w:p>
        </w:tc>
        <w:tc>
          <w:tcPr>
            <w:tcW w:w="748"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岗位设置合规性</w:t>
            </w:r>
          </w:p>
        </w:tc>
        <w:tc>
          <w:tcPr>
            <w:tcW w:w="2268"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发现问题每项扣1-2分  </w:t>
            </w:r>
          </w:p>
        </w:tc>
        <w:tc>
          <w:tcPr>
            <w:tcW w:w="729"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396"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Theme="minorEastAsia" w:hAnsiTheme="minorEastAsia" w:eastAsiaTheme="minorEastAsia" w:cstheme="minorEastAsia"/>
                <w:b/>
                <w:bCs/>
                <w:kern w:val="0"/>
                <w:szCs w:val="21"/>
              </w:rPr>
            </w:pPr>
          </w:p>
        </w:tc>
        <w:tc>
          <w:tcPr>
            <w:tcW w:w="86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资金使用规范</w:t>
            </w:r>
          </w:p>
        </w:tc>
        <w:tc>
          <w:tcPr>
            <w:tcW w:w="748"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资金使用合规性</w:t>
            </w:r>
          </w:p>
        </w:tc>
        <w:tc>
          <w:tcPr>
            <w:tcW w:w="2268"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发现问题每项扣1-2分  </w:t>
            </w:r>
          </w:p>
        </w:tc>
        <w:tc>
          <w:tcPr>
            <w:tcW w:w="729"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Cs w:val="21"/>
              </w:rPr>
            </w:pP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411"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Theme="minorEastAsia" w:hAnsiTheme="minorEastAsia" w:eastAsiaTheme="minorEastAsia" w:cstheme="minorEastAsia"/>
                <w:b/>
                <w:bCs/>
                <w:kern w:val="0"/>
                <w:szCs w:val="21"/>
              </w:rPr>
            </w:pPr>
          </w:p>
        </w:tc>
        <w:tc>
          <w:tcPr>
            <w:tcW w:w="2680"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预算绩效存在问题</w:t>
            </w:r>
          </w:p>
        </w:tc>
        <w:tc>
          <w:tcPr>
            <w:tcW w:w="748"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绩效管理中发现的问题</w:t>
            </w:r>
          </w:p>
        </w:tc>
        <w:tc>
          <w:tcPr>
            <w:tcW w:w="2268"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发现问题每项扣1-2分  </w:t>
            </w:r>
          </w:p>
        </w:tc>
        <w:tc>
          <w:tcPr>
            <w:tcW w:w="729"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Cs w:val="21"/>
              </w:rPr>
            </w:pP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90"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Theme="minorEastAsia" w:hAnsiTheme="minorEastAsia" w:eastAsiaTheme="minorEastAsia" w:cstheme="minorEastAsia"/>
                <w:b/>
                <w:bCs/>
                <w:kern w:val="0"/>
                <w:szCs w:val="21"/>
              </w:rPr>
            </w:pPr>
          </w:p>
        </w:tc>
        <w:tc>
          <w:tcPr>
            <w:tcW w:w="2680"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被评价部门配合度</w:t>
            </w:r>
          </w:p>
        </w:tc>
        <w:tc>
          <w:tcPr>
            <w:tcW w:w="748"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p>
        </w:tc>
        <w:tc>
          <w:tcPr>
            <w:tcW w:w="2552"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评价过程中的部门配合度</w:t>
            </w:r>
          </w:p>
        </w:tc>
        <w:tc>
          <w:tcPr>
            <w:tcW w:w="2268"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配合不够扣1-2分  </w:t>
            </w:r>
          </w:p>
        </w:tc>
        <w:tc>
          <w:tcPr>
            <w:tcW w:w="729"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Cs w:val="21"/>
              </w:rPr>
            </w:pPr>
          </w:p>
        </w:tc>
        <w:tc>
          <w:tcPr>
            <w:tcW w:w="56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trHeight w:val="405" w:hRule="atLeast"/>
          <w:jc w:val="center"/>
        </w:trPr>
        <w:tc>
          <w:tcPr>
            <w:tcW w:w="3379"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分值</w:t>
            </w:r>
          </w:p>
        </w:tc>
        <w:tc>
          <w:tcPr>
            <w:tcW w:w="748" w:type="dxa"/>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color w:val="000000"/>
                <w:kern w:val="0"/>
                <w:szCs w:val="21"/>
              </w:rPr>
            </w:pPr>
          </w:p>
        </w:tc>
        <w:tc>
          <w:tcPr>
            <w:tcW w:w="2552" w:type="dxa"/>
            <w:tcBorders>
              <w:top w:val="nil"/>
              <w:left w:val="nil"/>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w:t>
            </w:r>
          </w:p>
        </w:tc>
        <w:tc>
          <w:tcPr>
            <w:tcW w:w="2268" w:type="dxa"/>
            <w:tcBorders>
              <w:top w:val="nil"/>
              <w:left w:val="nil"/>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w:t>
            </w:r>
          </w:p>
        </w:tc>
        <w:tc>
          <w:tcPr>
            <w:tcW w:w="729" w:type="dxa"/>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fldChar w:fldCharType="begin"/>
            </w:r>
            <w:r>
              <w:rPr>
                <w:rFonts w:hint="eastAsia" w:asciiTheme="minorEastAsia" w:hAnsiTheme="minorEastAsia" w:eastAsiaTheme="minorEastAsia" w:cstheme="minorEastAsia"/>
                <w:color w:val="000000"/>
                <w:kern w:val="0"/>
                <w:szCs w:val="21"/>
              </w:rPr>
              <w:instrText xml:space="preserve"> =sum(above) \# "0" \* MERGEFORMAT </w:instrText>
            </w:r>
            <w:r>
              <w:rPr>
                <w:rFonts w:hint="eastAsia" w:asciiTheme="minorEastAsia" w:hAnsiTheme="minorEastAsia" w:eastAsiaTheme="minorEastAsia" w:cstheme="minorEastAsia"/>
                <w:color w:val="000000"/>
                <w:kern w:val="0"/>
                <w:szCs w:val="21"/>
              </w:rPr>
              <w:fldChar w:fldCharType="separate"/>
            </w:r>
            <w:r>
              <w:rPr>
                <w:rFonts w:hint="eastAsia" w:asciiTheme="minorEastAsia" w:hAnsiTheme="minorEastAsia" w:eastAsiaTheme="minorEastAsia" w:cstheme="minorEastAsia"/>
              </w:rPr>
              <w:t>96</w:t>
            </w:r>
            <w:r>
              <w:rPr>
                <w:rFonts w:hint="eastAsia" w:asciiTheme="minorEastAsia" w:hAnsiTheme="minorEastAsia" w:eastAsiaTheme="minorEastAsia" w:cstheme="minorEastAsia"/>
                <w:color w:val="000000"/>
                <w:kern w:val="0"/>
                <w:szCs w:val="21"/>
              </w:rPr>
              <w:fldChar w:fldCharType="end"/>
            </w:r>
          </w:p>
        </w:tc>
        <w:tc>
          <w:tcPr>
            <w:tcW w:w="56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p>
        </w:tc>
      </w:tr>
    </w:tbl>
    <w:p>
      <w:pPr>
        <w:pStyle w:val="3"/>
        <w:rPr>
          <w:rFonts w:hint="eastAsia"/>
          <w:lang w:val="en-US" w:eastAsia="zh-CN"/>
        </w:rPr>
      </w:pPr>
    </w:p>
    <w:p>
      <w:pPr>
        <w:pStyle w:val="3"/>
        <w:rPr>
          <w:rFonts w:hint="eastAsia"/>
          <w:lang w:val="en-US" w:eastAsia="zh-CN"/>
        </w:rPr>
      </w:pPr>
    </w:p>
    <w:p>
      <w:pPr>
        <w:keepNext w:val="0"/>
        <w:keepLines w:val="0"/>
        <w:pageBreakBefore w:val="0"/>
        <w:kinsoku/>
        <w:wordWrap/>
        <w:overflowPunct/>
        <w:topLinePunct w:val="0"/>
        <w:autoSpaceDE/>
        <w:autoSpaceDN/>
        <w:bidi w:val="0"/>
        <w:spacing w:line="572" w:lineRule="exact"/>
        <w:jc w:val="left"/>
        <w:textAlignment w:val="auto"/>
        <w:outlineLvl w:val="9"/>
        <w:rPr>
          <w:rFonts w:hint="eastAsia"/>
          <w:lang w:eastAsia="zh-CN"/>
        </w:rPr>
      </w:pPr>
      <w:r>
        <w:rPr>
          <w:rFonts w:hint="eastAsia" w:eastAsia="黑体" w:cs="黑体"/>
          <w:color w:val="auto"/>
          <w:sz w:val="32"/>
          <w:szCs w:val="32"/>
          <w:highlight w:val="none"/>
          <w:lang w:val="en-US" w:eastAsia="zh-CN"/>
        </w:rPr>
        <w:t>附表2：</w:t>
      </w:r>
    </w:p>
    <w:tbl>
      <w:tblPr>
        <w:tblStyle w:val="16"/>
        <w:tblW w:w="111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37"/>
        <w:gridCol w:w="1129"/>
        <w:gridCol w:w="1095"/>
        <w:gridCol w:w="1047"/>
        <w:gridCol w:w="823"/>
        <w:gridCol w:w="1024"/>
        <w:gridCol w:w="989"/>
        <w:gridCol w:w="1054"/>
        <w:gridCol w:w="1047"/>
        <w:gridCol w:w="1024"/>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1169" w:type="dxa"/>
            <w:gridSpan w:val="11"/>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2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51090422T000006631660-幼儿保教费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遂宁市安居区聚贤镇中心幼儿园部门</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3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遂宁市安居区聚贤镇中心幼儿园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4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9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保障学校家庭经济困难学生正常入学，减轻其家庭经济负担，促进学校健康发展。</w:t>
            </w:r>
          </w:p>
        </w:tc>
        <w:tc>
          <w:tcPr>
            <w:tcW w:w="4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保障了学校家庭经济困难学生正常入学，减轻其家庭经济负担。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92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加强民生资金专项管理，提高民生资金使用效益，确保专款专用，按程序及时兑现给学生（或监护人），及时报送资助政策落实情况及相关资料。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15.51</w:t>
            </w:r>
          </w:p>
        </w:tc>
        <w:tc>
          <w:tcPr>
            <w:tcW w:w="2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15.51</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15.51</w:t>
            </w:r>
          </w:p>
        </w:tc>
        <w:tc>
          <w:tcPr>
            <w:tcW w:w="2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15.51</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9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4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2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10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79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绩效目标实现指标自评得分100.00分，自评等次为：优，严格执行相关政策，按要求支付，保障资金及时、足额支付到位。切实提高扶贫成效。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49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项目负责人：刘晓华</w:t>
            </w:r>
          </w:p>
        </w:tc>
        <w:tc>
          <w:tcPr>
            <w:tcW w:w="6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财务负责人：贺艳利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837" w:type="dxa"/>
            <w:shd w:val="clear" w:color="auto" w:fill="auto"/>
            <w:vAlign w:val="center"/>
          </w:tcPr>
          <w:p>
            <w:pPr>
              <w:rPr>
                <w:rFonts w:hint="eastAsia" w:ascii="宋体" w:hAnsi="宋体" w:eastAsia="宋体" w:cs="宋体"/>
                <w:i w:val="0"/>
                <w:color w:val="000000"/>
                <w:sz w:val="22"/>
                <w:szCs w:val="22"/>
                <w:u w:val="none"/>
              </w:rPr>
            </w:pPr>
          </w:p>
        </w:tc>
        <w:tc>
          <w:tcPr>
            <w:tcW w:w="1129" w:type="dxa"/>
            <w:shd w:val="clear" w:color="auto" w:fill="auto"/>
            <w:vAlign w:val="center"/>
          </w:tcPr>
          <w:p>
            <w:pPr>
              <w:rPr>
                <w:rFonts w:hint="eastAsia" w:ascii="宋体" w:hAnsi="宋体" w:eastAsia="宋体" w:cs="宋体"/>
                <w:i w:val="0"/>
                <w:color w:val="000000"/>
                <w:sz w:val="22"/>
                <w:szCs w:val="22"/>
                <w:u w:val="none"/>
              </w:rPr>
            </w:pPr>
          </w:p>
        </w:tc>
        <w:tc>
          <w:tcPr>
            <w:tcW w:w="1095" w:type="dxa"/>
            <w:shd w:val="clear" w:color="auto" w:fill="auto"/>
            <w:vAlign w:val="center"/>
          </w:tcPr>
          <w:p>
            <w:pPr>
              <w:rPr>
                <w:rFonts w:hint="eastAsia" w:ascii="宋体" w:hAnsi="宋体" w:eastAsia="宋体" w:cs="宋体"/>
                <w:i w:val="0"/>
                <w:color w:val="000000"/>
                <w:sz w:val="22"/>
                <w:szCs w:val="22"/>
                <w:u w:val="none"/>
              </w:rPr>
            </w:pPr>
          </w:p>
        </w:tc>
        <w:tc>
          <w:tcPr>
            <w:tcW w:w="1047" w:type="dxa"/>
            <w:shd w:val="clear" w:color="auto" w:fill="auto"/>
            <w:vAlign w:val="center"/>
          </w:tcPr>
          <w:p>
            <w:pPr>
              <w:rPr>
                <w:rFonts w:hint="eastAsia" w:ascii="宋体" w:hAnsi="宋体" w:eastAsia="宋体" w:cs="宋体"/>
                <w:i w:val="0"/>
                <w:color w:val="000000"/>
                <w:sz w:val="22"/>
                <w:szCs w:val="22"/>
                <w:u w:val="none"/>
              </w:rPr>
            </w:pPr>
          </w:p>
        </w:tc>
        <w:tc>
          <w:tcPr>
            <w:tcW w:w="823" w:type="dxa"/>
            <w:shd w:val="clear" w:color="auto" w:fill="auto"/>
            <w:vAlign w:val="center"/>
          </w:tcPr>
          <w:p>
            <w:pPr>
              <w:rPr>
                <w:rFonts w:hint="eastAsia" w:ascii="宋体" w:hAnsi="宋体" w:eastAsia="宋体" w:cs="宋体"/>
                <w:i w:val="0"/>
                <w:color w:val="000000"/>
                <w:sz w:val="22"/>
                <w:szCs w:val="22"/>
                <w:u w:val="none"/>
              </w:rPr>
            </w:pPr>
          </w:p>
        </w:tc>
        <w:tc>
          <w:tcPr>
            <w:tcW w:w="1024" w:type="dxa"/>
            <w:shd w:val="clear" w:color="auto" w:fill="auto"/>
            <w:vAlign w:val="center"/>
          </w:tcPr>
          <w:p>
            <w:pPr>
              <w:rPr>
                <w:rFonts w:hint="eastAsia" w:ascii="宋体" w:hAnsi="宋体" w:eastAsia="宋体" w:cs="宋体"/>
                <w:i w:val="0"/>
                <w:color w:val="000000"/>
                <w:sz w:val="22"/>
                <w:szCs w:val="22"/>
                <w:u w:val="none"/>
              </w:rPr>
            </w:pPr>
          </w:p>
        </w:tc>
        <w:tc>
          <w:tcPr>
            <w:tcW w:w="989" w:type="dxa"/>
            <w:shd w:val="clear" w:color="auto" w:fill="auto"/>
            <w:vAlign w:val="center"/>
          </w:tcPr>
          <w:p>
            <w:pPr>
              <w:rPr>
                <w:rFonts w:hint="eastAsia" w:ascii="宋体" w:hAnsi="宋体" w:eastAsia="宋体" w:cs="宋体"/>
                <w:i w:val="0"/>
                <w:color w:val="000000"/>
                <w:sz w:val="22"/>
                <w:szCs w:val="22"/>
                <w:u w:val="none"/>
              </w:rPr>
            </w:pPr>
          </w:p>
        </w:tc>
        <w:tc>
          <w:tcPr>
            <w:tcW w:w="1054" w:type="dxa"/>
            <w:shd w:val="clear" w:color="auto" w:fill="auto"/>
            <w:vAlign w:val="center"/>
          </w:tcPr>
          <w:p>
            <w:pPr>
              <w:rPr>
                <w:rFonts w:hint="eastAsia" w:ascii="宋体" w:hAnsi="宋体" w:eastAsia="宋体" w:cs="宋体"/>
                <w:i w:val="0"/>
                <w:color w:val="000000"/>
                <w:sz w:val="22"/>
                <w:szCs w:val="22"/>
                <w:u w:val="none"/>
              </w:rPr>
            </w:pPr>
          </w:p>
        </w:tc>
        <w:tc>
          <w:tcPr>
            <w:tcW w:w="1047" w:type="dxa"/>
            <w:shd w:val="clear" w:color="auto" w:fill="auto"/>
            <w:vAlign w:val="center"/>
          </w:tcPr>
          <w:p>
            <w:pPr>
              <w:rPr>
                <w:rFonts w:hint="eastAsia" w:ascii="宋体" w:hAnsi="宋体" w:eastAsia="宋体" w:cs="宋体"/>
                <w:i w:val="0"/>
                <w:color w:val="000000"/>
                <w:sz w:val="22"/>
                <w:szCs w:val="22"/>
                <w:u w:val="none"/>
              </w:rPr>
            </w:pPr>
          </w:p>
        </w:tc>
        <w:tc>
          <w:tcPr>
            <w:tcW w:w="1024" w:type="dxa"/>
            <w:shd w:val="clear" w:color="auto" w:fill="auto"/>
            <w:vAlign w:val="center"/>
          </w:tcPr>
          <w:p>
            <w:pPr>
              <w:rPr>
                <w:rFonts w:hint="eastAsia" w:ascii="宋体" w:hAnsi="宋体" w:eastAsia="宋体" w:cs="宋体"/>
                <w:i w:val="0"/>
                <w:color w:val="000000"/>
                <w:sz w:val="22"/>
                <w:szCs w:val="22"/>
                <w:u w:val="none"/>
              </w:rPr>
            </w:pPr>
          </w:p>
        </w:tc>
        <w:tc>
          <w:tcPr>
            <w:tcW w:w="1100"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1169" w:type="dxa"/>
            <w:gridSpan w:val="11"/>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2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51090422T000006818424-幼儿资助及幼儿发展资金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遂宁市安居区聚贤镇中心幼儿园部门</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3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遂宁市安居区聚贤镇中心幼儿园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4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9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保障学校家庭经济困难学生正常入学，减轻其家庭经济负担，促进学校健康发展。</w:t>
            </w:r>
          </w:p>
        </w:tc>
        <w:tc>
          <w:tcPr>
            <w:tcW w:w="4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保障了学校家庭经济困难学生正常入学，减轻其家庭经济负担，促进学校健康发展。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92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加强资金专项管理，提高资金使用效益，确保专款专用，按程序及时按要求支付资金，促进学校健康发展。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117.68</w:t>
            </w:r>
          </w:p>
        </w:tc>
        <w:tc>
          <w:tcPr>
            <w:tcW w:w="2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61.23</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117.68</w:t>
            </w:r>
          </w:p>
        </w:tc>
        <w:tc>
          <w:tcPr>
            <w:tcW w:w="2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61.23</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7"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9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4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2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10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79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49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项目负责人：刘晓华</w:t>
            </w:r>
          </w:p>
        </w:tc>
        <w:tc>
          <w:tcPr>
            <w:tcW w:w="6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财务负责人：贺艳利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837" w:type="dxa"/>
            <w:shd w:val="clear" w:color="auto" w:fill="auto"/>
            <w:vAlign w:val="center"/>
          </w:tcPr>
          <w:p>
            <w:pPr>
              <w:rPr>
                <w:rFonts w:hint="eastAsia" w:ascii="宋体" w:hAnsi="宋体" w:eastAsia="宋体" w:cs="宋体"/>
                <w:i w:val="0"/>
                <w:color w:val="000000"/>
                <w:sz w:val="22"/>
                <w:szCs w:val="22"/>
                <w:u w:val="none"/>
              </w:rPr>
            </w:pPr>
          </w:p>
        </w:tc>
        <w:tc>
          <w:tcPr>
            <w:tcW w:w="1129" w:type="dxa"/>
            <w:shd w:val="clear" w:color="auto" w:fill="auto"/>
            <w:vAlign w:val="center"/>
          </w:tcPr>
          <w:p>
            <w:pPr>
              <w:rPr>
                <w:rFonts w:hint="eastAsia" w:ascii="宋体" w:hAnsi="宋体" w:eastAsia="宋体" w:cs="宋体"/>
                <w:i w:val="0"/>
                <w:color w:val="000000"/>
                <w:sz w:val="22"/>
                <w:szCs w:val="22"/>
                <w:u w:val="none"/>
              </w:rPr>
            </w:pPr>
          </w:p>
        </w:tc>
        <w:tc>
          <w:tcPr>
            <w:tcW w:w="1095" w:type="dxa"/>
            <w:shd w:val="clear" w:color="auto" w:fill="auto"/>
            <w:vAlign w:val="center"/>
          </w:tcPr>
          <w:p>
            <w:pPr>
              <w:rPr>
                <w:rFonts w:hint="eastAsia" w:ascii="宋体" w:hAnsi="宋体" w:eastAsia="宋体" w:cs="宋体"/>
                <w:i w:val="0"/>
                <w:color w:val="000000"/>
                <w:sz w:val="22"/>
                <w:szCs w:val="22"/>
                <w:u w:val="none"/>
              </w:rPr>
            </w:pPr>
          </w:p>
        </w:tc>
        <w:tc>
          <w:tcPr>
            <w:tcW w:w="1047" w:type="dxa"/>
            <w:shd w:val="clear" w:color="auto" w:fill="auto"/>
            <w:vAlign w:val="center"/>
          </w:tcPr>
          <w:p>
            <w:pPr>
              <w:rPr>
                <w:rFonts w:hint="eastAsia" w:ascii="宋体" w:hAnsi="宋体" w:eastAsia="宋体" w:cs="宋体"/>
                <w:i w:val="0"/>
                <w:color w:val="000000"/>
                <w:sz w:val="22"/>
                <w:szCs w:val="22"/>
                <w:u w:val="none"/>
              </w:rPr>
            </w:pPr>
          </w:p>
        </w:tc>
        <w:tc>
          <w:tcPr>
            <w:tcW w:w="823" w:type="dxa"/>
            <w:shd w:val="clear" w:color="auto" w:fill="auto"/>
            <w:vAlign w:val="center"/>
          </w:tcPr>
          <w:p>
            <w:pPr>
              <w:rPr>
                <w:rFonts w:hint="eastAsia" w:ascii="宋体" w:hAnsi="宋体" w:eastAsia="宋体" w:cs="宋体"/>
                <w:i w:val="0"/>
                <w:color w:val="000000"/>
                <w:sz w:val="22"/>
                <w:szCs w:val="22"/>
                <w:u w:val="none"/>
              </w:rPr>
            </w:pPr>
          </w:p>
        </w:tc>
        <w:tc>
          <w:tcPr>
            <w:tcW w:w="1024" w:type="dxa"/>
            <w:shd w:val="clear" w:color="auto" w:fill="auto"/>
            <w:vAlign w:val="center"/>
          </w:tcPr>
          <w:p>
            <w:pPr>
              <w:rPr>
                <w:rFonts w:hint="eastAsia" w:ascii="宋体" w:hAnsi="宋体" w:eastAsia="宋体" w:cs="宋体"/>
                <w:i w:val="0"/>
                <w:color w:val="000000"/>
                <w:sz w:val="22"/>
                <w:szCs w:val="22"/>
                <w:u w:val="none"/>
              </w:rPr>
            </w:pPr>
          </w:p>
        </w:tc>
        <w:tc>
          <w:tcPr>
            <w:tcW w:w="989" w:type="dxa"/>
            <w:shd w:val="clear" w:color="auto" w:fill="auto"/>
            <w:vAlign w:val="center"/>
          </w:tcPr>
          <w:p>
            <w:pPr>
              <w:rPr>
                <w:rFonts w:hint="eastAsia" w:ascii="宋体" w:hAnsi="宋体" w:eastAsia="宋体" w:cs="宋体"/>
                <w:i w:val="0"/>
                <w:color w:val="000000"/>
                <w:sz w:val="22"/>
                <w:szCs w:val="22"/>
                <w:u w:val="none"/>
              </w:rPr>
            </w:pPr>
          </w:p>
        </w:tc>
        <w:tc>
          <w:tcPr>
            <w:tcW w:w="1054" w:type="dxa"/>
            <w:shd w:val="clear" w:color="auto" w:fill="auto"/>
            <w:vAlign w:val="center"/>
          </w:tcPr>
          <w:p>
            <w:pPr>
              <w:rPr>
                <w:rFonts w:hint="eastAsia" w:ascii="宋体" w:hAnsi="宋体" w:eastAsia="宋体" w:cs="宋体"/>
                <w:i w:val="0"/>
                <w:color w:val="000000"/>
                <w:sz w:val="22"/>
                <w:szCs w:val="22"/>
                <w:u w:val="none"/>
              </w:rPr>
            </w:pPr>
          </w:p>
        </w:tc>
        <w:tc>
          <w:tcPr>
            <w:tcW w:w="1047" w:type="dxa"/>
            <w:shd w:val="clear" w:color="auto" w:fill="auto"/>
            <w:vAlign w:val="center"/>
          </w:tcPr>
          <w:p>
            <w:pPr>
              <w:rPr>
                <w:rFonts w:hint="eastAsia" w:ascii="宋体" w:hAnsi="宋体" w:eastAsia="宋体" w:cs="宋体"/>
                <w:i w:val="0"/>
                <w:color w:val="000000"/>
                <w:sz w:val="22"/>
                <w:szCs w:val="22"/>
                <w:u w:val="none"/>
              </w:rPr>
            </w:pPr>
          </w:p>
        </w:tc>
        <w:tc>
          <w:tcPr>
            <w:tcW w:w="1024" w:type="dxa"/>
            <w:shd w:val="clear" w:color="auto" w:fill="auto"/>
            <w:vAlign w:val="center"/>
          </w:tcPr>
          <w:p>
            <w:pPr>
              <w:rPr>
                <w:rFonts w:hint="eastAsia" w:ascii="宋体" w:hAnsi="宋体" w:eastAsia="宋体" w:cs="宋体"/>
                <w:i w:val="0"/>
                <w:color w:val="000000"/>
                <w:sz w:val="22"/>
                <w:szCs w:val="22"/>
                <w:u w:val="none"/>
              </w:rPr>
            </w:pPr>
          </w:p>
        </w:tc>
        <w:tc>
          <w:tcPr>
            <w:tcW w:w="1100"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1169" w:type="dxa"/>
            <w:gridSpan w:val="11"/>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2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51090425T000012223630-幼儿资助及幼儿发展资金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遂宁市安居区聚贤镇中心幼儿园部门</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3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遂宁市安居区聚贤镇中心幼儿园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4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9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保障学校家庭经济困难学生正常入学，减轻其家庭经济负担，促进学校健康发展。</w:t>
            </w:r>
          </w:p>
        </w:tc>
        <w:tc>
          <w:tcPr>
            <w:tcW w:w="4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保障了学校家庭经济困难学生正常入学，减轻其家庭经济负担，促进学校健康发展。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92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加强资金专项管理，提高资金使用效益，确保专款专用，按程序及时按要求支付资金，促进学校健康发展。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62.00</w:t>
            </w:r>
          </w:p>
        </w:tc>
        <w:tc>
          <w:tcPr>
            <w:tcW w:w="2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62.00</w:t>
            </w:r>
          </w:p>
        </w:tc>
        <w:tc>
          <w:tcPr>
            <w:tcW w:w="2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9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4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2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10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79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lang w:val="en-US" w:eastAsia="zh-CN"/>
              </w:rPr>
            </w:pPr>
            <w:r>
              <w:rPr>
                <w:rFonts w:hint="eastAsia" w:ascii="宋体" w:hAnsi="宋体" w:cs="宋体"/>
                <w:i/>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103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color w:val="000000"/>
                <w:sz w:val="20"/>
                <w:szCs w:val="20"/>
                <w:u w:val="none"/>
                <w:lang w:val="en-US" w:eastAsia="zh-CN"/>
              </w:rPr>
            </w:pPr>
            <w:r>
              <w:rPr>
                <w:rFonts w:hint="eastAsia" w:ascii="宋体" w:hAnsi="宋体" w:cs="宋体"/>
                <w:i/>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49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项目负责人：刘晓华</w:t>
            </w:r>
          </w:p>
        </w:tc>
        <w:tc>
          <w:tcPr>
            <w:tcW w:w="6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财务负责人：贺艳利</w:t>
            </w:r>
          </w:p>
        </w:tc>
      </w:tr>
    </w:tbl>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8"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widowControl/>
        <w:jc w:val="center"/>
        <w:rPr>
          <w:rFonts w:hint="eastAsia" w:ascii="Times New Roman" w:hAnsi="Times New Roman" w:eastAsia="仿宋_GB2312"/>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53"/>
      <w:bookmarkEnd w:id="58"/>
      <w:bookmarkStart w:id="59"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0"/>
      <w:r>
        <w:rPr>
          <w:rFonts w:hint="eastAsia" w:ascii="Times New Roman" w:hAnsi="Times New Roman" w:eastAsia="仿宋_GB2312" w:cs="仿宋_GB2312"/>
          <w:color w:val="auto"/>
          <w:sz w:val="32"/>
          <w:szCs w:val="32"/>
          <w:highlight w:val="none"/>
        </w:rPr>
        <w:t>二、收入决算表</w:t>
      </w:r>
      <w:bookmarkEnd w:id="6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1"/>
      <w:r>
        <w:rPr>
          <w:rFonts w:hint="eastAsia" w:ascii="Times New Roman" w:hAnsi="Times New Roman" w:eastAsia="仿宋_GB2312" w:cs="仿宋_GB2312"/>
          <w:color w:val="auto"/>
          <w:sz w:val="32"/>
          <w:szCs w:val="32"/>
          <w:highlight w:val="none"/>
        </w:rPr>
        <w:t>三、支出决算表</w:t>
      </w:r>
      <w:bookmarkEnd w:id="61"/>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2"/>
      <w:r>
        <w:rPr>
          <w:rFonts w:hint="eastAsia" w:ascii="Times New Roman" w:hAnsi="Times New Roman" w:eastAsia="仿宋_GB2312" w:cs="仿宋_GB2312"/>
          <w:color w:val="auto"/>
          <w:sz w:val="32"/>
          <w:szCs w:val="32"/>
          <w:highlight w:val="none"/>
        </w:rPr>
        <w:t>四、财政拨款收入支出决算总表</w:t>
      </w:r>
      <w:bookmarkEnd w:id="62"/>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3"/>
      <w:r>
        <w:rPr>
          <w:rFonts w:hint="eastAsia" w:ascii="Times New Roman" w:hAnsi="Times New Roman" w:eastAsia="仿宋_GB2312" w:cs="仿宋_GB2312"/>
          <w:color w:val="auto"/>
          <w:sz w:val="32"/>
          <w:szCs w:val="32"/>
          <w:highlight w:val="none"/>
        </w:rPr>
        <w:t>五、财政拨款支出决算明细表</w:t>
      </w:r>
      <w:bookmarkEnd w:id="63"/>
      <w:bookmarkStart w:id="64"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5"/>
      <w:r>
        <w:rPr>
          <w:rFonts w:hint="eastAsia" w:ascii="Times New Roman" w:hAnsi="Times New Roman" w:eastAsia="仿宋_GB2312" w:cs="仿宋_GB2312"/>
          <w:color w:val="auto"/>
          <w:sz w:val="32"/>
          <w:szCs w:val="32"/>
          <w:highlight w:val="none"/>
        </w:rPr>
        <w:t>七、一般公共预算财政拨款支出决算明细表</w:t>
      </w:r>
      <w:bookmarkEnd w:id="6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6"/>
      <w:r>
        <w:rPr>
          <w:rFonts w:hint="eastAsia" w:ascii="Times New Roman" w:hAnsi="Times New Roman" w:eastAsia="仿宋_GB2312" w:cs="仿宋_GB2312"/>
          <w:color w:val="auto"/>
          <w:sz w:val="32"/>
          <w:szCs w:val="32"/>
          <w:highlight w:val="none"/>
        </w:rPr>
        <w:t>八、一般公共预算财政拨款基本支出决算表</w:t>
      </w:r>
      <w:bookmarkEnd w:id="6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7"/>
      <w:r>
        <w:rPr>
          <w:rFonts w:hint="eastAsia" w:ascii="Times New Roman" w:hAnsi="Times New Roman" w:eastAsia="仿宋_GB2312" w:cs="仿宋_GB2312"/>
          <w:color w:val="auto"/>
          <w:sz w:val="32"/>
          <w:szCs w:val="32"/>
          <w:highlight w:val="none"/>
        </w:rPr>
        <w:t>九、一般公共预算财政拨款项目支出决算表</w:t>
      </w:r>
      <w:bookmarkEnd w:id="67"/>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28"/>
      <w:r>
        <w:rPr>
          <w:rFonts w:hint="eastAsia" w:ascii="Times New Roman" w:hAnsi="Times New Roman" w:eastAsia="仿宋_GB2312" w:cs="仿宋_GB2312"/>
          <w:color w:val="auto"/>
          <w:sz w:val="32"/>
          <w:szCs w:val="32"/>
          <w:highlight w:val="none"/>
        </w:rPr>
        <w:t>十、</w:t>
      </w:r>
      <w:bookmarkEnd w:id="68"/>
      <w:r>
        <w:rPr>
          <w:rFonts w:hint="eastAsia" w:ascii="Times New Roman" w:hAnsi="Times New Roman" w:eastAsia="仿宋_GB2312" w:cs="仿宋_GB2312"/>
          <w:color w:val="auto"/>
          <w:sz w:val="32"/>
          <w:szCs w:val="32"/>
          <w:highlight w:val="none"/>
        </w:rPr>
        <w:t>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29"/>
      <w:r>
        <w:rPr>
          <w:rFonts w:hint="eastAsia" w:ascii="Times New Roman" w:hAnsi="Times New Roman" w:eastAsia="仿宋_GB2312" w:cs="仿宋_GB2312"/>
          <w:color w:val="auto"/>
          <w:sz w:val="32"/>
          <w:szCs w:val="32"/>
          <w:highlight w:val="none"/>
        </w:rPr>
        <w:t>十一、</w:t>
      </w:r>
      <w:bookmarkEnd w:id="69"/>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0" w:name="_Toc15396630"/>
      <w:r>
        <w:rPr>
          <w:rFonts w:hint="eastAsia" w:ascii="Times New Roman" w:hAnsi="Times New Roman" w:eastAsia="仿宋_GB2312" w:cs="仿宋_GB2312"/>
          <w:color w:val="auto"/>
          <w:sz w:val="32"/>
          <w:szCs w:val="32"/>
          <w:highlight w:val="none"/>
        </w:rPr>
        <w:t>十二、</w:t>
      </w:r>
      <w:bookmarkEnd w:id="70"/>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1" w:name="_Toc15396631"/>
      <w:r>
        <w:rPr>
          <w:rFonts w:hint="eastAsia" w:ascii="Times New Roman" w:hAnsi="Times New Roman" w:eastAsia="仿宋_GB2312" w:cs="仿宋_GB2312"/>
          <w:color w:val="auto"/>
          <w:sz w:val="32"/>
          <w:szCs w:val="32"/>
          <w:highlight w:val="none"/>
        </w:rPr>
        <w:t>十三、</w:t>
      </w:r>
      <w:bookmarkEnd w:id="71"/>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559666"/>
    <w:multiLevelType w:val="singleLevel"/>
    <w:tmpl w:val="54559666"/>
    <w:lvl w:ilvl="0" w:tentative="0">
      <w:start w:val="1"/>
      <w:numFmt w:val="decimal"/>
      <w:suff w:val="space"/>
      <w:lvlText w:val="%1."/>
      <w:lvlJc w:val="left"/>
    </w:lvl>
  </w:abstractNum>
  <w:abstractNum w:abstractNumId="1">
    <w:nsid w:val="5C515833"/>
    <w:multiLevelType w:val="multilevel"/>
    <w:tmpl w:val="5C515833"/>
    <w:lvl w:ilvl="0" w:tentative="0">
      <w:start w:val="1"/>
      <w:numFmt w:val="decimal"/>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F878FE"/>
    <w:rsid w:val="04916F1E"/>
    <w:rsid w:val="058B1EAE"/>
    <w:rsid w:val="05BE78F1"/>
    <w:rsid w:val="061E35DE"/>
    <w:rsid w:val="066E0107"/>
    <w:rsid w:val="073A38EF"/>
    <w:rsid w:val="07996F6E"/>
    <w:rsid w:val="07DFD8BA"/>
    <w:rsid w:val="08AA621E"/>
    <w:rsid w:val="09867E8F"/>
    <w:rsid w:val="0A2032A3"/>
    <w:rsid w:val="0ACE7B69"/>
    <w:rsid w:val="0CA8290A"/>
    <w:rsid w:val="0D35B1ED"/>
    <w:rsid w:val="0E254B6B"/>
    <w:rsid w:val="0F616722"/>
    <w:rsid w:val="0F781459"/>
    <w:rsid w:val="0F98263C"/>
    <w:rsid w:val="101860EC"/>
    <w:rsid w:val="101F47CC"/>
    <w:rsid w:val="10C055FF"/>
    <w:rsid w:val="11694EBD"/>
    <w:rsid w:val="11772AA4"/>
    <w:rsid w:val="118107EC"/>
    <w:rsid w:val="12E24EE2"/>
    <w:rsid w:val="13D50BC4"/>
    <w:rsid w:val="13ED1F41"/>
    <w:rsid w:val="14B17F78"/>
    <w:rsid w:val="157C3D63"/>
    <w:rsid w:val="165E0673"/>
    <w:rsid w:val="16B831D5"/>
    <w:rsid w:val="16BB723D"/>
    <w:rsid w:val="17E50567"/>
    <w:rsid w:val="17F5796E"/>
    <w:rsid w:val="186504BB"/>
    <w:rsid w:val="19921369"/>
    <w:rsid w:val="19A445FC"/>
    <w:rsid w:val="1BC81072"/>
    <w:rsid w:val="1BE8440E"/>
    <w:rsid w:val="1C521104"/>
    <w:rsid w:val="1CA235E4"/>
    <w:rsid w:val="1D155CEE"/>
    <w:rsid w:val="1D1638FE"/>
    <w:rsid w:val="1E312DEB"/>
    <w:rsid w:val="1E740ACF"/>
    <w:rsid w:val="1EFF650B"/>
    <w:rsid w:val="1FF35744"/>
    <w:rsid w:val="1FF6BC77"/>
    <w:rsid w:val="2186353C"/>
    <w:rsid w:val="2288580E"/>
    <w:rsid w:val="23860B96"/>
    <w:rsid w:val="240371BF"/>
    <w:rsid w:val="244F3473"/>
    <w:rsid w:val="24C97D99"/>
    <w:rsid w:val="25A718F0"/>
    <w:rsid w:val="25BB59F6"/>
    <w:rsid w:val="260F557C"/>
    <w:rsid w:val="26970054"/>
    <w:rsid w:val="281408E2"/>
    <w:rsid w:val="29FD04D3"/>
    <w:rsid w:val="2B237D13"/>
    <w:rsid w:val="2BFF7BC6"/>
    <w:rsid w:val="2C8A61B5"/>
    <w:rsid w:val="2D654584"/>
    <w:rsid w:val="2DF04E50"/>
    <w:rsid w:val="2E586DFA"/>
    <w:rsid w:val="2F040D46"/>
    <w:rsid w:val="2F6B035B"/>
    <w:rsid w:val="2FAE5751"/>
    <w:rsid w:val="2FB1A395"/>
    <w:rsid w:val="2FD9A7D8"/>
    <w:rsid w:val="2FDBF714"/>
    <w:rsid w:val="30AB6865"/>
    <w:rsid w:val="311D6FE0"/>
    <w:rsid w:val="319F7F4E"/>
    <w:rsid w:val="32BD1EF1"/>
    <w:rsid w:val="3304709D"/>
    <w:rsid w:val="3341085D"/>
    <w:rsid w:val="33A773CB"/>
    <w:rsid w:val="33A96E42"/>
    <w:rsid w:val="349D6851"/>
    <w:rsid w:val="3612564F"/>
    <w:rsid w:val="36AA5135"/>
    <w:rsid w:val="36BE0DA7"/>
    <w:rsid w:val="36F81FB2"/>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3D3C69"/>
    <w:rsid w:val="3E740A63"/>
    <w:rsid w:val="3E78745D"/>
    <w:rsid w:val="3EE17838"/>
    <w:rsid w:val="3F55381A"/>
    <w:rsid w:val="3F7F7599"/>
    <w:rsid w:val="3FD676A0"/>
    <w:rsid w:val="3FF4CAE0"/>
    <w:rsid w:val="3FF7B227"/>
    <w:rsid w:val="44E268DA"/>
    <w:rsid w:val="44EA211C"/>
    <w:rsid w:val="450D13D7"/>
    <w:rsid w:val="45506656"/>
    <w:rsid w:val="45B47DEE"/>
    <w:rsid w:val="46D5031E"/>
    <w:rsid w:val="486A6C7A"/>
    <w:rsid w:val="4A627F82"/>
    <w:rsid w:val="4B0E749A"/>
    <w:rsid w:val="4B2477C4"/>
    <w:rsid w:val="4B4F25DA"/>
    <w:rsid w:val="4BE068DB"/>
    <w:rsid w:val="4D577224"/>
    <w:rsid w:val="4D871EBD"/>
    <w:rsid w:val="4DBF1CEB"/>
    <w:rsid w:val="4DF0007C"/>
    <w:rsid w:val="4EAB630A"/>
    <w:rsid w:val="4ECE2238"/>
    <w:rsid w:val="4F833267"/>
    <w:rsid w:val="4FE9BD67"/>
    <w:rsid w:val="4FFB052F"/>
    <w:rsid w:val="535F5DE0"/>
    <w:rsid w:val="537E6D0A"/>
    <w:rsid w:val="53F74C96"/>
    <w:rsid w:val="54315A36"/>
    <w:rsid w:val="55170BA8"/>
    <w:rsid w:val="553218C9"/>
    <w:rsid w:val="567E1AA5"/>
    <w:rsid w:val="56E47B74"/>
    <w:rsid w:val="57175D52"/>
    <w:rsid w:val="57BD3DD4"/>
    <w:rsid w:val="588B49C1"/>
    <w:rsid w:val="58C625B2"/>
    <w:rsid w:val="59C12681"/>
    <w:rsid w:val="5A4A5972"/>
    <w:rsid w:val="5AF92295"/>
    <w:rsid w:val="5B250254"/>
    <w:rsid w:val="5BD54CEB"/>
    <w:rsid w:val="5BDD79E6"/>
    <w:rsid w:val="5BF561CA"/>
    <w:rsid w:val="5BFF5DFC"/>
    <w:rsid w:val="5CD71FC4"/>
    <w:rsid w:val="5CE350CC"/>
    <w:rsid w:val="5CF0752E"/>
    <w:rsid w:val="5D1F11B5"/>
    <w:rsid w:val="5D695134"/>
    <w:rsid w:val="5DAE1B18"/>
    <w:rsid w:val="5DE7D9E5"/>
    <w:rsid w:val="5ECEC941"/>
    <w:rsid w:val="5FBA475F"/>
    <w:rsid w:val="5FBF9FF3"/>
    <w:rsid w:val="5FCD4E2C"/>
    <w:rsid w:val="5FEF394A"/>
    <w:rsid w:val="5FF67715"/>
    <w:rsid w:val="62BF3928"/>
    <w:rsid w:val="63B3701E"/>
    <w:rsid w:val="647F5392"/>
    <w:rsid w:val="65E66580"/>
    <w:rsid w:val="664B1D71"/>
    <w:rsid w:val="664B4E8E"/>
    <w:rsid w:val="66FB71D3"/>
    <w:rsid w:val="67277B67"/>
    <w:rsid w:val="67AA3209"/>
    <w:rsid w:val="68891DA0"/>
    <w:rsid w:val="698D0931"/>
    <w:rsid w:val="6A7FE5F3"/>
    <w:rsid w:val="6B053271"/>
    <w:rsid w:val="6BDD78B3"/>
    <w:rsid w:val="6C4A05C8"/>
    <w:rsid w:val="6C8742B8"/>
    <w:rsid w:val="6D7C3435"/>
    <w:rsid w:val="6DBF5E93"/>
    <w:rsid w:val="6DFF077E"/>
    <w:rsid w:val="6E714EF0"/>
    <w:rsid w:val="6E7E3605"/>
    <w:rsid w:val="6E7FDCC7"/>
    <w:rsid w:val="6ED6A62E"/>
    <w:rsid w:val="6EE00B15"/>
    <w:rsid w:val="6F5B250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444A6"/>
    <w:rsid w:val="73B6EB34"/>
    <w:rsid w:val="73FA497D"/>
    <w:rsid w:val="744731E5"/>
    <w:rsid w:val="74BBD01D"/>
    <w:rsid w:val="74ED5379"/>
    <w:rsid w:val="75DEEEC2"/>
    <w:rsid w:val="75E32345"/>
    <w:rsid w:val="76B4739E"/>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DF46093"/>
    <w:rsid w:val="7E8ADEBF"/>
    <w:rsid w:val="7ED152B8"/>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24&#24180;&#20915;&#31639;&#20844;&#24320;_\2023-2024&#23545;&#27604;&#25968;&#25454;.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37049;&#20853;&#24037;&#20316;&#36164;&#26009;&#25991;&#20214;&#22841;\2024&#24180;&#20915;&#31639;\&#20915;&#31639;&#20844;&#24320;&#65288;2025-08-20&#65289;\000--2024&#24180;&#20915;&#31639;&#20844;&#24320;&#20844;&#24335;\2024&#20915;&#31639;&#20844;&#24320;-&#20844;&#24335;-&#37096;&#38376;&#39044;&#31639;&#39033;&#30446;&#25903;&#20986;&#32489;&#25928;&#33258;&#35780;&#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0915;&#31639;&#21450;&#20844;&#24320;\2024&#24180;&#20915;&#31639;&#20844;&#24320;_\2024&#20915;&#31639;&#20844;&#24320;-2023-2024&#23545;&#27604;&#25968;&#25454;.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24&#24180;&#20915;&#31639;&#20844;&#24320;_\2023-2024&#23545;&#27604;&#25968;&#25454;.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24&#24180;&#20915;&#31639;&#20844;&#24320;_\2023-2024&#23545;&#27604;&#25968;&#25454;.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37049;&#20853;&#24037;&#20316;&#36164;&#26009;&#25991;&#20214;&#22841;\2024&#24180;&#20915;&#31639;\&#20915;&#31639;&#20844;&#24320;&#65288;2025-08-20&#65289;\000--2024&#24180;&#20915;&#31639;&#20844;&#24320;&#20844;&#24335;\2024&#20915;&#31639;&#20844;&#24320;-&#20844;&#24335;-&#37096;&#38376;&#39044;&#31639;&#39033;&#30446;&#25903;&#20986;&#32489;&#25928;&#33258;&#3578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427.15万元</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391.97万元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'[2023-2024对比数据.xls]Sheet1'!$B$3:$B$4</c:f>
              <c:strCache>
                <c:ptCount val="2"/>
                <c:pt idx="0">
                  <c:v>2023年</c:v>
                </c:pt>
                <c:pt idx="1">
                  <c:v>2024年</c:v>
                </c:pt>
              </c:strCache>
            </c:strRef>
          </c:cat>
          <c:val>
            <c:numRef>
              <c:f>'[2023-2024对比数据.xls]Sheet1'!$C$3:$C$4</c:f>
              <c:numCache>
                <c:formatCode>General</c:formatCode>
                <c:ptCount val="2"/>
                <c:pt idx="0">
                  <c:v>427.15</c:v>
                </c:pt>
                <c:pt idx="1">
                  <c:v>391.97</c:v>
                </c:pt>
              </c:numCache>
            </c:numRef>
          </c:val>
        </c:ser>
        <c:dLbls>
          <c:showLegendKey val="0"/>
          <c:showVal val="0"/>
          <c:showCatName val="0"/>
          <c:showSerName val="0"/>
          <c:showPercent val="0"/>
          <c:showBubbleSize val="0"/>
        </c:dLbls>
        <c:gapWidth val="219"/>
        <c:overlap val="-27"/>
        <c:axId val="358992588"/>
        <c:axId val="880803822"/>
      </c:barChart>
      <c:catAx>
        <c:axId val="3589925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0803822"/>
        <c:crosses val="autoZero"/>
        <c:auto val="1"/>
        <c:lblAlgn val="ctr"/>
        <c:lblOffset val="100"/>
        <c:noMultiLvlLbl val="0"/>
      </c:catAx>
      <c:valAx>
        <c:axId val="88080382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89925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248015373596828"/>
                  <c:y val="-0.026179249269212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55746999788714"/>
                  <c:y val="0.0080610004204975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'[2024决算公开-公式-部门预算项目支出绩效自评表.xlsx]Sheet1'!$C$7:$C$9</c15:sqref>
                  </c15:fullRef>
                </c:ext>
              </c:extLst>
              <c:f>'[2024决算公开-公式-部门预算项目支出绩效自评表.xlsx]Sheet1'!$C$7:$C$8</c:f>
              <c:strCache>
                <c:ptCount val="2"/>
                <c:pt idx="0">
                  <c:v>一般公共预算财政拨款收入</c:v>
                </c:pt>
                <c:pt idx="1">
                  <c:v>其他收入</c:v>
                </c:pt>
              </c:strCache>
            </c:strRef>
          </c:cat>
          <c:val>
            <c:numRef>
              <c:extLst>
                <c:ext xmlns:c15="http://schemas.microsoft.com/office/drawing/2012/chart" uri="{02D57815-91ED-43cb-92C2-25804820EDAC}">
                  <c15:fullRef>
                    <c15:sqref>Sheet1!$D$7:$D$9</c15:sqref>
                  </c15:fullRef>
                </c:ext>
              </c:extLst>
              <c:f>'[2024决算公开-公式-部门预算项目支出绩效自评表.xlsx]Sheet1'!$D$7:$D$8</c:f>
              <c:numCache>
                <c:formatCode>General</c:formatCode>
                <c:ptCount val="2"/>
                <c:pt idx="0">
                  <c:v>382.55</c:v>
                </c:pt>
                <c:pt idx="1">
                  <c:v>9.42</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dLbl>
              <c:idx val="0"/>
              <c:layout>
                <c:manualLayout>
                  <c:x val="0.204215422190858"/>
                  <c:y val="-0.139323970394763"/>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15176681400894"/>
                  <c:y val="0.003033874613470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'[2024决算公开-2023-2024对比数据.xls]Sheet1'!$C$25:$C$26</c:f>
              <c:strCache>
                <c:ptCount val="2"/>
                <c:pt idx="0">
                  <c:v>基本支出</c:v>
                </c:pt>
                <c:pt idx="1">
                  <c:v>项目支出</c:v>
                </c:pt>
              </c:strCache>
            </c:strRef>
          </c:cat>
          <c:val>
            <c:numRef>
              <c:f>'[2024决算公开-2023-2024对比数据.xls]Sheet1'!$D$25:$D$26</c:f>
              <c:numCache>
                <c:formatCode>General</c:formatCode>
                <c:ptCount val="2"/>
                <c:pt idx="0">
                  <c:v>320.32</c:v>
                </c:pt>
                <c:pt idx="1">
                  <c:v>71.65</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numFmt formatCode="0.00&quot;万&quot;&quot;元&quot;"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'[2023-2024对比数据.xls]Sheet1'!$B$41:$B$42</c:f>
              <c:strCache>
                <c:ptCount val="2"/>
                <c:pt idx="0">
                  <c:v>2023年</c:v>
                </c:pt>
                <c:pt idx="1">
                  <c:v>2024年</c:v>
                </c:pt>
              </c:strCache>
            </c:strRef>
          </c:cat>
          <c:val>
            <c:numRef>
              <c:f>'[2023-2024对比数据.xls]Sheet1'!$C$41:$C$42</c:f>
              <c:numCache>
                <c:formatCode>General</c:formatCode>
                <c:ptCount val="2"/>
                <c:pt idx="0">
                  <c:v>427.15</c:v>
                </c:pt>
                <c:pt idx="1">
                  <c:v>382.55</c:v>
                </c:pt>
              </c:numCache>
            </c:numRef>
          </c:val>
        </c:ser>
        <c:dLbls>
          <c:showLegendKey val="0"/>
          <c:showVal val="0"/>
          <c:showCatName val="0"/>
          <c:showSerName val="0"/>
          <c:showPercent val="0"/>
          <c:showBubbleSize val="0"/>
        </c:dLbls>
        <c:gapWidth val="219"/>
        <c:overlap val="-27"/>
        <c:axId val="799188113"/>
        <c:axId val="124744907"/>
      </c:barChart>
      <c:catAx>
        <c:axId val="7991881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4744907"/>
        <c:crosses val="autoZero"/>
        <c:auto val="1"/>
        <c:lblAlgn val="ctr"/>
        <c:lblOffset val="100"/>
        <c:noMultiLvlLbl val="0"/>
      </c:catAx>
      <c:valAx>
        <c:axId val="1247449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918811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numFmt formatCode="0.00&quot;万&quot;&quot;元&quot;"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'[2023-2024对比数据.xls]Sheet1'!$B$53:$B$54</c:f>
              <c:strCache>
                <c:ptCount val="2"/>
                <c:pt idx="0">
                  <c:v>2023年</c:v>
                </c:pt>
                <c:pt idx="1">
                  <c:v>2024年</c:v>
                </c:pt>
              </c:strCache>
            </c:strRef>
          </c:cat>
          <c:val>
            <c:numRef>
              <c:f>'[2023-2024对比数据.xls]Sheet1'!$C$53:$C$54</c:f>
              <c:numCache>
                <c:formatCode>General</c:formatCode>
                <c:ptCount val="2"/>
                <c:pt idx="0">
                  <c:v>392.15</c:v>
                </c:pt>
                <c:pt idx="1">
                  <c:v>382.55</c:v>
                </c:pt>
              </c:numCache>
            </c:numRef>
          </c:val>
        </c:ser>
        <c:dLbls>
          <c:showLegendKey val="0"/>
          <c:showVal val="0"/>
          <c:showCatName val="0"/>
          <c:showSerName val="0"/>
          <c:showPercent val="0"/>
          <c:showBubbleSize val="0"/>
        </c:dLbls>
        <c:gapWidth val="219"/>
        <c:overlap val="-27"/>
        <c:axId val="696564788"/>
        <c:axId val="625820851"/>
      </c:barChart>
      <c:catAx>
        <c:axId val="6965647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5820851"/>
        <c:crosses val="autoZero"/>
        <c:auto val="1"/>
        <c:lblAlgn val="ctr"/>
        <c:lblOffset val="100"/>
        <c:noMultiLvlLbl val="0"/>
      </c:catAx>
      <c:valAx>
        <c:axId val="6258208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65647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630098723885796"/>
                  <c:y val="-0.040909045486582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352508151022902"/>
                  <c:y val="0.055352990566574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8052245212857"/>
                  <c:y val="0.073318165390594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33226076308083"/>
                  <c:y val="0.0039531941808981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80122603365071"/>
                      <c:h val="0.100569259962049"/>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'[2024决算公开-公式-部门预算项目支出绩效自评表.xlsx]Sheet1'!$C$34:$C$37</c:f>
              <c:strCache>
                <c:ptCount val="4"/>
                <c:pt idx="0">
                  <c:v>教育支出</c:v>
                </c:pt>
                <c:pt idx="1">
                  <c:v>社会保障和就业支出</c:v>
                </c:pt>
                <c:pt idx="2">
                  <c:v>卫生健康支出</c:v>
                </c:pt>
                <c:pt idx="3">
                  <c:v>住房保障支出</c:v>
                </c:pt>
              </c:strCache>
            </c:strRef>
          </c:cat>
          <c:val>
            <c:numRef>
              <c:f>'[2024决算公开-公式-部门预算项目支出绩效自评表.xlsx]Sheet1'!$D$34:$D$37</c:f>
              <c:numCache>
                <c:formatCode>General</c:formatCode>
                <c:ptCount val="4"/>
                <c:pt idx="0">
                  <c:v>303.81</c:v>
                </c:pt>
                <c:pt idx="1">
                  <c:v>40.29</c:v>
                </c:pt>
                <c:pt idx="2">
                  <c:v>14.15</c:v>
                </c:pt>
                <c:pt idx="3">
                  <c:v>24.31</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7747</Words>
  <Characters>8335</Characters>
  <Lines>61</Lines>
  <Paragraphs>17</Paragraphs>
  <TotalTime>12</TotalTime>
  <ScaleCrop>false</ScaleCrop>
  <LinksUpToDate>false</LinksUpToDate>
  <CharactersWithSpaces>8392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Lenovo</cp:lastModifiedBy>
  <cp:lastPrinted>2025-08-06T17:34:00Z</cp:lastPrinted>
  <dcterms:modified xsi:type="dcterms:W3CDTF">2025-08-28T03:40:37Z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04787F2533EB45DC91BCDE4AB213247F</vt:lpwstr>
  </property>
  <property fmtid="{D5CDD505-2E9C-101B-9397-08002B2CF9AE}" pid="4" name="KSOTemplateDocerSaveRecord">
    <vt:lpwstr>eyJoZGlkIjoiNGI3ZDA1MTFkMzcxMjg0ZDczY2E0MzZiNzk4MDIwNmMiLCJ1c2VySWQiOiI4NDE3ODgwNzgifQ==</vt:lpwstr>
  </property>
</Properties>
</file>