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2"/>
        <w:jc w:val="center"/>
        <w:rPr>
          <w:rFonts w:ascii="Times New Roman" w:hAnsi="Times New Roman" w:eastAsia="方正小标宋简体"/>
          <w:color w:val="000000"/>
          <w:sz w:val="44"/>
          <w:szCs w:val="44"/>
        </w:rPr>
      </w:pPr>
    </w:p>
    <w:p>
      <w:pPr>
        <w:pStyle w:val="202"/>
        <w:jc w:val="center"/>
        <w:rPr>
          <w:rFonts w:ascii="Times New Roman" w:hAnsi="Times New Roman" w:eastAsia="方正小标宋简体"/>
          <w:color w:val="000000"/>
          <w:sz w:val="44"/>
          <w:szCs w:val="44"/>
        </w:rPr>
      </w:pPr>
    </w:p>
    <w:p>
      <w:pPr>
        <w:pStyle w:val="202"/>
        <w:jc w:val="center"/>
        <w:rPr>
          <w:rFonts w:ascii="Times New Roman" w:hAnsi="Times New Roman" w:eastAsia="方正小标宋简体"/>
          <w:color w:val="000000"/>
          <w:sz w:val="44"/>
          <w:szCs w:val="44"/>
        </w:rPr>
      </w:pPr>
    </w:p>
    <w:p>
      <w:pPr>
        <w:pStyle w:val="202"/>
        <w:jc w:val="center"/>
        <w:rPr>
          <w:rFonts w:ascii="Times New Roman" w:hAnsi="Times New Roman" w:eastAsia="方正小标宋简体"/>
          <w:color w:val="000000"/>
          <w:sz w:val="44"/>
          <w:szCs w:val="44"/>
        </w:rPr>
      </w:pPr>
    </w:p>
    <w:p>
      <w:pPr>
        <w:pStyle w:val="202"/>
        <w:jc w:val="center"/>
        <w:rPr>
          <w:rFonts w:ascii="黑体" w:hAnsi="黑体" w:eastAsia="黑体" w:cs="黑体"/>
          <w:color w:val="000000"/>
          <w:sz w:val="52"/>
          <w:szCs w:val="52"/>
        </w:rPr>
      </w:pPr>
      <w:r>
        <w:rPr>
          <w:rFonts w:hint="eastAsia" w:ascii="黑体" w:hAnsi="黑体" w:eastAsia="黑体" w:cs="黑体"/>
          <w:color w:val="000000"/>
          <w:sz w:val="52"/>
          <w:szCs w:val="52"/>
        </w:rPr>
        <w:t>2024年度</w:t>
      </w:r>
      <w:bookmarkStart w:id="0" w:name="_Toc15378442"/>
      <w:bookmarkStart w:id="1" w:name="_Toc15377194"/>
      <w:bookmarkStart w:id="2" w:name="_Toc15396476"/>
      <w:bookmarkStart w:id="3" w:name="_Toc15396598"/>
      <w:bookmarkStart w:id="4" w:name="_Toc15377426"/>
    </w:p>
    <w:p>
      <w:pPr>
        <w:pStyle w:val="202"/>
        <w:jc w:val="center"/>
        <w:rPr>
          <w:rFonts w:hint="eastAsia" w:ascii="黑体" w:hAnsi="黑体" w:eastAsia="黑体" w:cs="黑体"/>
          <w:color w:val="000000"/>
          <w:sz w:val="52"/>
          <w:szCs w:val="52"/>
        </w:rPr>
      </w:pPr>
      <w:r>
        <w:rPr>
          <w:rFonts w:hint="eastAsia" w:ascii="黑体" w:hAnsi="黑体" w:eastAsia="黑体" w:cs="黑体"/>
          <w:color w:val="000000"/>
          <w:sz w:val="52"/>
          <w:szCs w:val="52"/>
        </w:rPr>
        <w:t>四川省</w:t>
      </w:r>
      <w:bookmarkStart w:id="5" w:name="_Toc15306268"/>
      <w:r>
        <w:rPr>
          <w:rFonts w:hint="eastAsia" w:ascii="黑体" w:hAnsi="黑体" w:eastAsia="黑体" w:cs="黑体"/>
          <w:color w:val="000000"/>
          <w:sz w:val="52"/>
          <w:szCs w:val="52"/>
        </w:rPr>
        <w:t>遂宁市安居机关事务服务中心</w:t>
      </w:r>
    </w:p>
    <w:p>
      <w:pPr>
        <w:pStyle w:val="202"/>
        <w:jc w:val="center"/>
        <w:rPr>
          <w:rFonts w:ascii="黑体" w:hAnsi="黑体" w:eastAsia="黑体" w:cs="黑体"/>
          <w:color w:val="000000"/>
          <w:sz w:val="52"/>
          <w:szCs w:val="52"/>
        </w:rPr>
      </w:pPr>
      <w:r>
        <w:rPr>
          <w:rFonts w:hint="eastAsia" w:ascii="黑体" w:hAnsi="黑体" w:eastAsia="黑体" w:cs="黑体"/>
          <w:color w:val="000000"/>
          <w:sz w:val="52"/>
          <w:szCs w:val="52"/>
        </w:rPr>
        <w:t>部门决算</w:t>
      </w:r>
      <w:bookmarkEnd w:id="0"/>
      <w:bookmarkEnd w:id="1"/>
      <w:bookmarkEnd w:id="2"/>
      <w:bookmarkEnd w:id="3"/>
      <w:bookmarkEnd w:id="4"/>
      <w:bookmarkEnd w:id="5"/>
    </w:p>
    <w:p>
      <w:pPr>
        <w:pStyle w:val="202"/>
        <w:spacing w:before="173"/>
        <w:rPr>
          <w:rFonts w:ascii="Times New Roman" w:eastAsia="方正小标宋简体"/>
          <w:sz w:val="44"/>
          <w:szCs w:val="44"/>
        </w:rPr>
      </w:pPr>
    </w:p>
    <w:p>
      <w:pPr>
        <w:widowControl/>
        <w:jc w:val="center"/>
        <w:rPr>
          <w:rFonts w:eastAsia="方正小标宋简体"/>
          <w:sz w:val="36"/>
          <w:szCs w:val="36"/>
        </w:rPr>
      </w:pPr>
    </w:p>
    <w:p>
      <w:pPr>
        <w:widowControl/>
        <w:jc w:val="center"/>
        <w:rPr>
          <w:rFonts w:eastAsia="方正小标宋简体"/>
          <w:sz w:val="36"/>
          <w:szCs w:val="36"/>
        </w:rPr>
      </w:pPr>
    </w:p>
    <w:p>
      <w:pPr>
        <w:widowControl/>
        <w:jc w:val="center"/>
        <w:rPr>
          <w:rFonts w:eastAsia="方正小标宋简体"/>
          <w:sz w:val="36"/>
          <w:szCs w:val="36"/>
        </w:rPr>
      </w:pPr>
    </w:p>
    <w:p>
      <w:pPr>
        <w:widowControl/>
        <w:jc w:val="center"/>
        <w:rPr>
          <w:rFonts w:eastAsia="方正小标宋简体"/>
          <w:sz w:val="36"/>
          <w:szCs w:val="36"/>
        </w:rPr>
      </w:pPr>
      <w:r>
        <w:rPr>
          <w:rFonts w:hint="eastAsia" w:eastAsia="方正小标宋简体"/>
          <w:sz w:val="36"/>
          <w:szCs w:val="36"/>
        </w:rPr>
        <w:t xml:space="preserve"> </w:t>
      </w:r>
    </w:p>
    <w:p>
      <w:pPr>
        <w:widowControl/>
        <w:jc w:val="center"/>
        <w:rPr>
          <w:rFonts w:eastAsia="方正小标宋简体"/>
          <w:sz w:val="36"/>
          <w:szCs w:val="36"/>
        </w:rPr>
      </w:pPr>
    </w:p>
    <w:p>
      <w:pPr>
        <w:pStyle w:val="2"/>
        <w:rPr>
          <w:rFonts w:eastAsia="方正小标宋简体"/>
          <w:sz w:val="36"/>
          <w:szCs w:val="36"/>
        </w:rPr>
      </w:pPr>
    </w:p>
    <w:p>
      <w:pPr>
        <w:pStyle w:val="3"/>
        <w:rPr>
          <w:rFonts w:eastAsia="方正小标宋简体"/>
          <w:sz w:val="36"/>
          <w:szCs w:val="36"/>
        </w:rPr>
      </w:pPr>
    </w:p>
    <w:p>
      <w:pPr>
        <w:pStyle w:val="3"/>
        <w:rPr>
          <w:rFonts w:eastAsia="方正小标宋简体"/>
          <w:sz w:val="36"/>
          <w:szCs w:val="36"/>
        </w:rPr>
      </w:pPr>
    </w:p>
    <w:p>
      <w:pPr>
        <w:widowControl/>
        <w:jc w:val="center"/>
        <w:rPr>
          <w:rFonts w:eastAsia="方正小标宋简体"/>
          <w:sz w:val="36"/>
          <w:szCs w:val="36"/>
        </w:rPr>
      </w:pPr>
    </w:p>
    <w:p>
      <w:pPr>
        <w:widowControl/>
        <w:jc w:val="center"/>
        <w:rPr>
          <w:rFonts w:eastAsia="方正小标宋简体"/>
          <w:sz w:val="36"/>
          <w:szCs w:val="36"/>
        </w:rPr>
      </w:pPr>
    </w:p>
    <w:p>
      <w:pPr>
        <w:widowControl/>
        <w:jc w:val="center"/>
        <w:rPr>
          <w:rFonts w:eastAsia="方正小标宋简体"/>
          <w:sz w:val="36"/>
          <w:szCs w:val="36"/>
        </w:rPr>
      </w:pPr>
    </w:p>
    <w:p>
      <w:pPr>
        <w:widowControl/>
        <w:jc w:val="center"/>
        <w:rPr>
          <w:rFonts w:eastAsia="方正小标宋简体"/>
          <w:sz w:val="36"/>
          <w:szCs w:val="36"/>
        </w:rPr>
      </w:pPr>
    </w:p>
    <w:p>
      <w:pPr>
        <w:widowControl/>
        <w:rPr>
          <w:rFonts w:eastAsia="方正小标宋简体"/>
          <w:sz w:val="36"/>
          <w:szCs w:val="36"/>
        </w:rPr>
      </w:pPr>
    </w:p>
    <w:p>
      <w:pPr>
        <w:jc w:val="both"/>
        <w:rPr>
          <w:rFonts w:eastAsia="方正小标宋简体"/>
          <w:sz w:val="36"/>
          <w:szCs w:val="36"/>
        </w:rPr>
      </w:pPr>
    </w:p>
    <w:p>
      <w:pPr>
        <w:rPr>
          <w:rFonts w:eastAsia="方正小标宋简体"/>
          <w:sz w:val="36"/>
          <w:szCs w:val="36"/>
        </w:rPr>
      </w:pPr>
    </w:p>
    <w:sdt>
      <w:sdtPr>
        <w:rPr>
          <w:rFonts w:ascii="仿宋" w:hAnsi="仿宋" w:eastAsia="仿宋"/>
          <w:szCs w:val="32"/>
        </w:rPr>
        <w:id w:val="147481378"/>
        <w:docPartObj>
          <w:docPartGallery w:val="Table of Contents"/>
          <w:docPartUnique/>
        </w:docPartObj>
      </w:sdtPr>
      <w:sdtEndPr>
        <w:rPr>
          <w:rFonts w:hint="eastAsia" w:ascii="仿宋" w:hAnsi="仿宋" w:eastAsia="仿宋" w:cs="仿宋_GB2312"/>
          <w:sz w:val="28"/>
          <w:szCs w:val="28"/>
        </w:rPr>
      </w:sdtEndPr>
      <w:sdtContent>
        <w:p>
          <w:pPr>
            <w:jc w:val="center"/>
            <w:rPr>
              <w:rFonts w:ascii="仿宋" w:hAnsi="仿宋" w:eastAsia="仿宋" w:cs="黑体"/>
              <w:szCs w:val="32"/>
            </w:rPr>
          </w:pPr>
          <w:bookmarkStart w:id="6" w:name="_Toc15377196"/>
          <w:bookmarkStart w:id="7" w:name="_Toc15396599"/>
          <w:r>
            <w:rPr>
              <w:rFonts w:hint="eastAsia" w:ascii="仿宋" w:hAnsi="仿宋" w:eastAsia="仿宋" w:cs="黑体"/>
              <w:szCs w:val="32"/>
            </w:rPr>
            <w:t>目录</w:t>
          </w:r>
        </w:p>
        <w:p>
          <w:pPr>
            <w:pStyle w:val="2"/>
            <w:rPr>
              <w:rFonts w:ascii="仿宋" w:hAnsi="仿宋" w:eastAsia="仿宋"/>
              <w:sz w:val="28"/>
              <w:szCs w:val="28"/>
            </w:rPr>
          </w:pPr>
        </w:p>
        <w:p>
          <w:pPr>
            <w:pStyle w:val="27"/>
            <w:tabs>
              <w:tab w:val="right" w:leader="dot" w:pos="8296"/>
            </w:tabs>
            <w:ind w:firstLine="1960" w:firstLineChars="700"/>
            <w:rPr>
              <w:rFonts w:ascii="仿宋" w:hAnsi="仿宋" w:eastAsia="仿宋"/>
              <w:sz w:val="28"/>
              <w:szCs w:val="28"/>
            </w:rPr>
          </w:pPr>
          <w:r>
            <w:rPr>
              <w:rFonts w:hint="eastAsia" w:ascii="仿宋" w:hAnsi="仿宋" w:eastAsia="仿宋" w:cs="仿宋_GB2312"/>
              <w:sz w:val="28"/>
              <w:szCs w:val="28"/>
            </w:rPr>
            <w:t>公开时间：2024年08月</w:t>
          </w:r>
          <w:r>
            <w:rPr>
              <w:rFonts w:hint="eastAsia" w:ascii="仿宋" w:hAnsi="仿宋" w:eastAsia="仿宋" w:cs="仿宋_GB2312"/>
              <w:sz w:val="28"/>
              <w:szCs w:val="28"/>
              <w:lang w:val="en-US" w:eastAsia="zh-CN"/>
            </w:rPr>
            <w:t>26</w:t>
          </w:r>
          <w:r>
            <w:rPr>
              <w:rFonts w:hint="eastAsia" w:ascii="仿宋" w:hAnsi="仿宋" w:eastAsia="仿宋" w:cs="仿宋_GB2312"/>
              <w:sz w:val="28"/>
              <w:szCs w:val="28"/>
            </w:rPr>
            <w:t>日</w:t>
          </w:r>
        </w:p>
        <w:p>
          <w:pPr>
            <w:pStyle w:val="2"/>
            <w:rPr>
              <w:rFonts w:ascii="仿宋" w:hAnsi="仿宋" w:eastAsia="仿宋"/>
              <w:sz w:val="28"/>
              <w:szCs w:val="28"/>
            </w:rPr>
          </w:pPr>
        </w:p>
        <w:p>
          <w:pPr>
            <w:pStyle w:val="224"/>
            <w:tabs>
              <w:tab w:val="right" w:leader="dot" w:pos="9026"/>
            </w:tabs>
            <w:rPr>
              <w:rFonts w:ascii="仿宋" w:hAnsi="仿宋" w:eastAsia="仿宋"/>
              <w:sz w:val="28"/>
              <w:szCs w:val="28"/>
            </w:rPr>
          </w:pPr>
          <w:r>
            <w:rPr>
              <w:rFonts w:hint="eastAsia" w:ascii="仿宋" w:hAnsi="仿宋" w:eastAsia="仿宋" w:cs="仿宋_GB2312"/>
              <w:sz w:val="28"/>
              <w:szCs w:val="28"/>
            </w:rPr>
            <w:fldChar w:fldCharType="begin"/>
          </w:r>
          <w:r>
            <w:rPr>
              <w:rFonts w:hint="eastAsia" w:ascii="仿宋" w:hAnsi="仿宋" w:eastAsia="仿宋" w:cs="仿宋_GB2312"/>
              <w:sz w:val="28"/>
              <w:szCs w:val="28"/>
            </w:rPr>
            <w:instrText xml:space="preserve">TOC \o "1-3" \h \u </w:instrText>
          </w:r>
          <w:r>
            <w:rPr>
              <w:rFonts w:hint="eastAsia" w:ascii="仿宋" w:hAnsi="仿宋" w:eastAsia="仿宋" w:cs="仿宋_GB2312"/>
              <w:sz w:val="28"/>
              <w:szCs w:val="28"/>
            </w:rPr>
            <w:fldChar w:fldCharType="separate"/>
          </w:r>
          <w:r>
            <w:fldChar w:fldCharType="begin"/>
          </w:r>
          <w:r>
            <w:instrText xml:space="preserve"> HYPERLINK \l "_Toc9876" </w:instrText>
          </w:r>
          <w:r>
            <w:fldChar w:fldCharType="separate"/>
          </w:r>
          <w:r>
            <w:rPr>
              <w:rFonts w:hint="eastAsia" w:ascii="仿宋" w:hAnsi="仿宋" w:eastAsia="仿宋" w:cs="黑体"/>
              <w:sz w:val="28"/>
              <w:szCs w:val="28"/>
            </w:rPr>
            <w:t>第一部分 部门概况</w:t>
          </w:r>
          <w:r>
            <w:rPr>
              <w:rFonts w:hint="eastAsia" w:ascii="仿宋" w:hAnsi="仿宋" w:eastAsia="仿宋" w:cs="黑体"/>
              <w:sz w:val="28"/>
              <w:szCs w:val="28"/>
            </w:rPr>
            <w:tab/>
          </w:r>
          <w:r>
            <w:rPr>
              <w:rFonts w:hint="eastAsia" w:ascii="仿宋" w:hAnsi="仿宋" w:eastAsia="仿宋" w:cs="黑体"/>
              <w:sz w:val="28"/>
              <w:szCs w:val="28"/>
            </w:rPr>
            <w:fldChar w:fldCharType="begin"/>
          </w:r>
          <w:r>
            <w:rPr>
              <w:rFonts w:hint="eastAsia" w:ascii="仿宋" w:hAnsi="仿宋" w:eastAsia="仿宋" w:cs="黑体"/>
              <w:sz w:val="28"/>
              <w:szCs w:val="28"/>
            </w:rPr>
            <w:instrText xml:space="preserve"> PAGEREF _Toc9876 </w:instrText>
          </w:r>
          <w:r>
            <w:rPr>
              <w:rFonts w:hint="eastAsia" w:ascii="仿宋" w:hAnsi="仿宋" w:eastAsia="仿宋" w:cs="黑体"/>
              <w:sz w:val="28"/>
              <w:szCs w:val="28"/>
            </w:rPr>
            <w:fldChar w:fldCharType="separate"/>
          </w:r>
          <w:r>
            <w:rPr>
              <w:rFonts w:hint="eastAsia" w:ascii="仿宋" w:hAnsi="仿宋" w:eastAsia="仿宋" w:cs="黑体"/>
              <w:sz w:val="28"/>
              <w:szCs w:val="28"/>
            </w:rPr>
            <w:t>1</w:t>
          </w:r>
          <w:r>
            <w:rPr>
              <w:rFonts w:hint="eastAsia" w:ascii="仿宋" w:hAnsi="仿宋" w:eastAsia="仿宋" w:cs="黑体"/>
              <w:sz w:val="28"/>
              <w:szCs w:val="28"/>
            </w:rPr>
            <w:fldChar w:fldCharType="end"/>
          </w:r>
          <w:r>
            <w:rPr>
              <w:rFonts w:hint="eastAsia" w:ascii="仿宋" w:hAnsi="仿宋" w:eastAsia="仿宋" w:cs="黑体"/>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"_Toc1145" </w:instrText>
          </w:r>
          <w:r>
            <w:fldChar w:fldCharType="separate"/>
          </w:r>
          <w:r>
            <w:rPr>
              <w:rFonts w:hint="eastAsia" w:ascii="仿宋" w:hAnsi="仿宋" w:eastAsia="仿宋" w:cs="仿宋"/>
              <w:sz w:val="28"/>
              <w:szCs w:val="28"/>
            </w:rPr>
            <w:t>一、 部门职责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_Toc1145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sz w:val="28"/>
              <w:szCs w:val="28"/>
            </w:rPr>
          </w:pPr>
          <w:r>
            <w:fldChar w:fldCharType="begin"/>
          </w:r>
          <w:r>
            <w:instrText xml:space="preserve"> HYPERLINK \l "_Toc3471" </w:instrText>
          </w:r>
          <w: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_Toc3471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4"/>
            <w:tabs>
              <w:tab w:val="right" w:leader="dot" w:pos="9026"/>
            </w:tabs>
            <w:rPr>
              <w:rFonts w:ascii="仿宋" w:hAnsi="仿宋" w:eastAsia="仿宋"/>
              <w:sz w:val="28"/>
              <w:szCs w:val="28"/>
            </w:rPr>
          </w:pPr>
          <w:r>
            <w:fldChar w:fldCharType="begin"/>
          </w:r>
          <w:r>
            <w:instrText xml:space="preserve"> HYPERLINK \l "_Toc8685" </w:instrText>
          </w:r>
          <w:r>
            <w:fldChar w:fldCharType="separate"/>
          </w:r>
          <w:r>
            <w:rPr>
              <w:rFonts w:hint="eastAsia" w:ascii="仿宋" w:hAnsi="仿宋" w:eastAsia="仿宋" w:cs="黑体"/>
              <w:sz w:val="28"/>
              <w:szCs w:val="28"/>
            </w:rPr>
            <w:t>第二部分 2024年度部门决算情况说明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_Toc8685 </w:instrText>
          </w:r>
          <w:r>
            <w:rPr>
              <w:rFonts w:ascii="仿宋" w:hAnsi="仿宋" w:eastAsia="仿宋"/>
              <w:sz w:val="28"/>
              <w:szCs w:val="28"/>
            </w:rPr>
            <w:fldChar w:fldCharType="separate"/>
          </w:r>
          <w:r>
            <w:rPr>
              <w:rFonts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"_Toc20001" </w:instrText>
          </w:r>
          <w:r>
            <w:fldChar w:fldCharType="separate"/>
          </w:r>
          <w:r>
            <w:rPr>
              <w:rFonts w:hint="eastAsia" w:ascii="仿宋" w:hAnsi="仿宋" w:eastAsia="仿宋" w:cs="仿宋"/>
              <w:sz w:val="28"/>
              <w:szCs w:val="28"/>
            </w:rPr>
            <w:t>一、 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_Toc20001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"_Toc25864" </w:instrText>
          </w:r>
          <w:r>
            <w:fldChar w:fldCharType="separate"/>
          </w:r>
          <w:r>
            <w:rPr>
              <w:rFonts w:hint="eastAsia" w:ascii="仿宋" w:hAnsi="仿宋" w:eastAsia="仿宋" w:cs="仿宋"/>
              <w:sz w:val="28"/>
              <w:szCs w:val="28"/>
            </w:rPr>
            <w:t>二、 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_Toc25864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"_Toc32156" </w:instrText>
          </w:r>
          <w:r>
            <w:fldChar w:fldCharType="separate"/>
          </w:r>
          <w:r>
            <w:rPr>
              <w:rFonts w:hint="eastAsia" w:ascii="仿宋" w:hAnsi="仿宋" w:eastAsia="仿宋" w:cs="仿宋"/>
              <w:sz w:val="28"/>
              <w:szCs w:val="28"/>
            </w:rPr>
            <w:t>三、 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_Toc32156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"_Toc17137" </w:instrText>
          </w:r>
          <w: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_Toc17137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"_Toc16000" </w:instrText>
          </w:r>
          <w: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_Toc16000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"_Toc8519" </w:instrText>
          </w:r>
          <w: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_Toc8519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"_Toc30667" </w:instrText>
          </w:r>
          <w:r>
            <w:fldChar w:fldCharType="separate"/>
          </w:r>
          <w:r>
            <w:rPr>
              <w:rFonts w:hint="eastAsia" w:ascii="仿宋" w:hAnsi="仿宋" w:eastAsia="仿宋" w:cs="仿宋"/>
              <w:sz w:val="28"/>
              <w:szCs w:val="28"/>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_Toc30667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"_Toc21605" </w:instrText>
          </w:r>
          <w: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_Toc21605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"_Toc32114" </w:instrText>
          </w:r>
          <w: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_Toc32114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sz w:val="28"/>
              <w:szCs w:val="28"/>
            </w:rPr>
          </w:pPr>
          <w:r>
            <w:fldChar w:fldCharType="begin"/>
          </w:r>
          <w:r>
            <w:instrText xml:space="preserve"> HYPERLINK \l "_Toc13293" </w:instrText>
          </w:r>
          <w:r>
            <w:fldChar w:fldCharType="separate"/>
          </w:r>
          <w:r>
            <w:rPr>
              <w:rFonts w:hint="eastAsia" w:ascii="仿宋" w:hAnsi="仿宋" w:eastAsia="仿宋" w:cs="仿宋"/>
              <w:sz w:val="28"/>
              <w:szCs w:val="28"/>
            </w:rPr>
            <w:t>十、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_Toc13293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4"/>
            <w:tabs>
              <w:tab w:val="right" w:leader="dot" w:pos="9026"/>
            </w:tabs>
            <w:rPr>
              <w:rFonts w:ascii="仿宋" w:hAnsi="仿宋" w:eastAsia="仿宋" w:cs="黑体"/>
              <w:sz w:val="28"/>
              <w:szCs w:val="28"/>
            </w:rPr>
          </w:pPr>
          <w:r>
            <w:fldChar w:fldCharType="begin"/>
          </w:r>
          <w:r>
            <w:instrText xml:space="preserve"> HYPERLINK \l "_Toc3245" </w:instrText>
          </w:r>
          <w:r>
            <w:fldChar w:fldCharType="separate"/>
          </w:r>
          <w:r>
            <w:rPr>
              <w:rFonts w:hint="eastAsia" w:ascii="仿宋" w:hAnsi="仿宋" w:eastAsia="仿宋" w:cs="黑体"/>
              <w:sz w:val="28"/>
              <w:szCs w:val="28"/>
            </w:rPr>
            <w:t>第三部分 名词解释</w:t>
          </w:r>
          <w:r>
            <w:rPr>
              <w:rFonts w:hint="eastAsia" w:ascii="仿宋" w:hAnsi="仿宋" w:eastAsia="仿宋" w:cs="黑体"/>
              <w:sz w:val="28"/>
              <w:szCs w:val="28"/>
            </w:rPr>
            <w:tab/>
          </w:r>
          <w:r>
            <w:rPr>
              <w:rFonts w:hint="eastAsia" w:ascii="仿宋" w:hAnsi="仿宋" w:eastAsia="仿宋" w:cs="黑体"/>
              <w:sz w:val="28"/>
              <w:szCs w:val="28"/>
            </w:rPr>
            <w:fldChar w:fldCharType="begin"/>
          </w:r>
          <w:r>
            <w:rPr>
              <w:rFonts w:hint="eastAsia" w:ascii="仿宋" w:hAnsi="仿宋" w:eastAsia="仿宋" w:cs="黑体"/>
              <w:sz w:val="28"/>
              <w:szCs w:val="28"/>
            </w:rPr>
            <w:instrText xml:space="preserve"> PAGEREF _Toc3245 </w:instrText>
          </w:r>
          <w:r>
            <w:rPr>
              <w:rFonts w:hint="eastAsia" w:ascii="仿宋" w:hAnsi="仿宋" w:eastAsia="仿宋" w:cs="黑体"/>
              <w:sz w:val="28"/>
              <w:szCs w:val="28"/>
            </w:rPr>
            <w:fldChar w:fldCharType="separate"/>
          </w:r>
          <w:r>
            <w:rPr>
              <w:rFonts w:hint="eastAsia" w:ascii="仿宋" w:hAnsi="仿宋" w:eastAsia="仿宋" w:cs="黑体"/>
              <w:sz w:val="28"/>
              <w:szCs w:val="28"/>
            </w:rPr>
            <w:t>13</w:t>
          </w:r>
          <w:r>
            <w:rPr>
              <w:rFonts w:hint="eastAsia" w:ascii="仿宋" w:hAnsi="仿宋" w:eastAsia="仿宋" w:cs="黑体"/>
              <w:sz w:val="28"/>
              <w:szCs w:val="28"/>
            </w:rPr>
            <w:fldChar w:fldCharType="end"/>
          </w:r>
          <w:r>
            <w:rPr>
              <w:rFonts w:hint="eastAsia" w:ascii="仿宋" w:hAnsi="仿宋" w:eastAsia="仿宋" w:cs="黑体"/>
              <w:sz w:val="28"/>
              <w:szCs w:val="28"/>
            </w:rPr>
            <w:fldChar w:fldCharType="end"/>
          </w:r>
        </w:p>
        <w:p>
          <w:pPr>
            <w:pStyle w:val="224"/>
            <w:tabs>
              <w:tab w:val="right" w:leader="dot" w:pos="9026"/>
            </w:tabs>
            <w:rPr>
              <w:rFonts w:ascii="仿宋" w:hAnsi="仿宋" w:eastAsia="仿宋" w:cs="黑体"/>
              <w:sz w:val="28"/>
              <w:szCs w:val="28"/>
            </w:rPr>
          </w:pPr>
          <w:r>
            <w:fldChar w:fldCharType="begin"/>
          </w:r>
          <w:r>
            <w:instrText xml:space="preserve"> HYPERLINK \l "_Toc766" </w:instrText>
          </w:r>
          <w:r>
            <w:fldChar w:fldCharType="separate"/>
          </w:r>
          <w:r>
            <w:rPr>
              <w:rFonts w:hint="eastAsia" w:ascii="仿宋" w:hAnsi="仿宋" w:eastAsia="仿宋" w:cs="黑体"/>
              <w:sz w:val="28"/>
              <w:szCs w:val="28"/>
            </w:rPr>
            <w:t>第四部分 附件</w:t>
          </w:r>
          <w:r>
            <w:rPr>
              <w:rFonts w:hint="eastAsia" w:ascii="仿宋" w:hAnsi="仿宋" w:eastAsia="仿宋" w:cs="黑体"/>
              <w:sz w:val="28"/>
              <w:szCs w:val="28"/>
            </w:rPr>
            <w:tab/>
          </w:r>
          <w:r>
            <w:rPr>
              <w:rFonts w:hint="eastAsia" w:ascii="仿宋" w:hAnsi="仿宋" w:eastAsia="仿宋" w:cs="黑体"/>
              <w:sz w:val="28"/>
              <w:szCs w:val="28"/>
            </w:rPr>
            <w:fldChar w:fldCharType="begin"/>
          </w:r>
          <w:r>
            <w:rPr>
              <w:rFonts w:hint="eastAsia" w:ascii="仿宋" w:hAnsi="仿宋" w:eastAsia="仿宋" w:cs="黑体"/>
              <w:sz w:val="28"/>
              <w:szCs w:val="28"/>
            </w:rPr>
            <w:instrText xml:space="preserve"> PAGEREF _Toc766 </w:instrText>
          </w:r>
          <w:r>
            <w:rPr>
              <w:rFonts w:hint="eastAsia" w:ascii="仿宋" w:hAnsi="仿宋" w:eastAsia="仿宋" w:cs="黑体"/>
              <w:sz w:val="28"/>
              <w:szCs w:val="28"/>
            </w:rPr>
            <w:fldChar w:fldCharType="separate"/>
          </w:r>
          <w:r>
            <w:rPr>
              <w:rFonts w:hint="eastAsia" w:ascii="仿宋" w:hAnsi="仿宋" w:eastAsia="仿宋" w:cs="黑体"/>
              <w:sz w:val="28"/>
              <w:szCs w:val="28"/>
            </w:rPr>
            <w:t>17</w:t>
          </w:r>
          <w:r>
            <w:rPr>
              <w:rFonts w:hint="eastAsia" w:ascii="仿宋" w:hAnsi="仿宋" w:eastAsia="仿宋" w:cs="黑体"/>
              <w:sz w:val="28"/>
              <w:szCs w:val="28"/>
            </w:rPr>
            <w:fldChar w:fldCharType="end"/>
          </w:r>
          <w:r>
            <w:rPr>
              <w:rFonts w:hint="eastAsia" w:ascii="仿宋" w:hAnsi="仿宋" w:eastAsia="仿宋" w:cs="黑体"/>
              <w:sz w:val="28"/>
              <w:szCs w:val="28"/>
            </w:rPr>
            <w:fldChar w:fldCharType="end"/>
          </w:r>
        </w:p>
        <w:p>
          <w:pPr>
            <w:pStyle w:val="224"/>
            <w:tabs>
              <w:tab w:val="right" w:leader="dot" w:pos="9026"/>
            </w:tabs>
            <w:rPr>
              <w:rFonts w:hint="eastAsia" w:ascii="仿宋" w:hAnsi="仿宋" w:eastAsia="仿宋"/>
              <w:sz w:val="28"/>
              <w:szCs w:val="28"/>
              <w:lang w:eastAsia="zh-CN"/>
            </w:rPr>
          </w:pPr>
          <w:r>
            <w:fldChar w:fldCharType="begin"/>
          </w:r>
          <w:r>
            <w:instrText xml:space="preserve"> HYPERLINK \l "_Toc14542" </w:instrText>
          </w:r>
          <w:r>
            <w:fldChar w:fldCharType="separate"/>
          </w:r>
          <w:r>
            <w:rPr>
              <w:rFonts w:hint="eastAsia" w:ascii="仿宋" w:hAnsi="仿宋" w:eastAsia="仿宋" w:cs="黑体"/>
              <w:sz w:val="28"/>
              <w:szCs w:val="28"/>
            </w:rPr>
            <w:t>第五部分 附表</w:t>
          </w:r>
          <w:r>
            <w:rPr>
              <w:rFonts w:hint="eastAsia" w:ascii="仿宋" w:hAnsi="仿宋" w:eastAsia="仿宋" w:cs="黑体"/>
              <w:sz w:val="28"/>
              <w:szCs w:val="28"/>
            </w:rPr>
            <w:tab/>
          </w:r>
          <w:r>
            <w:rPr>
              <w:rFonts w:hint="eastAsia" w:ascii="仿宋" w:hAnsi="仿宋" w:eastAsia="仿宋" w:cs="黑体"/>
              <w:sz w:val="28"/>
              <w:szCs w:val="28"/>
              <w:lang w:val="en-US" w:eastAsia="zh-CN"/>
            </w:rPr>
            <w:t>4</w:t>
          </w:r>
          <w:r>
            <w:rPr>
              <w:rFonts w:hint="eastAsia" w:ascii="仿宋" w:hAnsi="仿宋" w:eastAsia="仿宋" w:cs="黑体"/>
              <w:sz w:val="28"/>
              <w:szCs w:val="28"/>
            </w:rPr>
            <w:fldChar w:fldCharType="end"/>
          </w:r>
          <w:r>
            <w:rPr>
              <w:rFonts w:hint="eastAsia" w:ascii="仿宋" w:hAnsi="仿宋" w:eastAsia="仿宋" w:cs="黑体"/>
              <w:sz w:val="28"/>
              <w:szCs w:val="28"/>
              <w:lang w:val="en-US" w:eastAsia="zh-CN"/>
            </w:rPr>
            <w:t>5</w:t>
          </w:r>
        </w:p>
        <w:p>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"_Toc12137" </w:instrText>
          </w:r>
          <w: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"_Toc1841" </w:instrText>
          </w:r>
          <w: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"_Toc10180" </w:instrText>
          </w:r>
          <w: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225"/>
            <w:tabs>
              <w:tab w:val="right" w:leader="dot" w:pos="9026"/>
            </w:tabs>
            <w:ind w:left="640"/>
            <w:rPr>
              <w:rFonts w:ascii="仿宋" w:hAnsi="仿宋" w:eastAsia="仿宋" w:cs="仿宋"/>
              <w:sz w:val="28"/>
              <w:szCs w:val="28"/>
            </w:rPr>
          </w:pPr>
          <w:r>
            <w:fldChar w:fldCharType="begin"/>
          </w:r>
          <w:r>
            <w:instrText xml:space="preserve"> HYPERLINK \l "_Toc32314" </w:instrText>
          </w:r>
          <w: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_Toc32314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hint="eastAsia" w:ascii="仿宋" w:hAnsi="仿宋" w:eastAsia="仿宋" w:cs="仿宋"/>
              <w:sz w:val="28"/>
              <w:szCs w:val="28"/>
              <w:lang w:eastAsia="zh-CN"/>
            </w:rPr>
          </w:pPr>
          <w:r>
            <w:fldChar w:fldCharType="begin"/>
          </w:r>
          <w:r>
            <w:instrText xml:space="preserve"> HYPERLINK \l "_Toc637" </w:instrText>
          </w:r>
          <w: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225"/>
            <w:tabs>
              <w:tab w:val="right" w:leader="dot" w:pos="9026"/>
            </w:tabs>
            <w:ind w:left="640"/>
            <w:rPr>
              <w:rFonts w:ascii="仿宋" w:hAnsi="仿宋" w:eastAsia="仿宋" w:cs="仿宋"/>
              <w:sz w:val="28"/>
              <w:szCs w:val="28"/>
            </w:rPr>
          </w:pPr>
          <w:r>
            <w:fldChar w:fldCharType="begin"/>
          </w:r>
          <w:r>
            <w:instrText xml:space="preserve"> HYPERLINK \l "_Toc3636" </w:instrText>
          </w:r>
          <w: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_Toc3636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"_Toc21307" </w:instrText>
          </w:r>
          <w: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_Toc21307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"_Toc30350" </w:instrText>
          </w:r>
          <w:r>
            <w:fldChar w:fldCharType="separate"/>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_Toc30350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"_Toc29843" </w:instrText>
          </w:r>
          <w: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_Toc29843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bookmarkStart w:id="8" w:name="OLE_LINK80"/>
          <w:bookmarkStart w:id="9" w:name="OLE_LINK79"/>
          <w:r>
            <w:rPr>
              <w:rFonts w:ascii="仿宋" w:hAnsi="仿宋" w:eastAsia="仿宋"/>
              <w:sz w:val="28"/>
              <w:szCs w:val="28"/>
            </w:rPr>
            <w:fldChar w:fldCharType="begin"/>
          </w:r>
          <w:r>
            <w:rPr>
              <w:rFonts w:ascii="仿宋" w:hAnsi="仿宋" w:eastAsia="仿宋"/>
              <w:sz w:val="28"/>
              <w:szCs w:val="28"/>
            </w:rPr>
            <w:instrText xml:space="preserve"> HYPERLINK \l "_Toc17657" </w:instrText>
          </w:r>
          <w:r>
            <w:rPr>
              <w:rFonts w:ascii="仿宋" w:hAnsi="仿宋" w:eastAsia="仿宋"/>
              <w:sz w:val="28"/>
              <w:szCs w:val="28"/>
            </w:rPr>
            <w:fldChar w:fldCharType="separate"/>
          </w:r>
          <w:r>
            <w:rPr>
              <w:rFonts w:hint="eastAsia" w:ascii="仿宋" w:hAnsi="仿宋" w:eastAsia="仿宋" w:cs="仿宋"/>
              <w:sz w:val="28"/>
              <w:szCs w:val="28"/>
            </w:rPr>
            <w:t>十、政府性基金预算财政拨款收入支出决算表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_Toc17657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ascii="仿宋" w:hAnsi="仿宋" w:eastAsia="仿宋" w:cs="仿宋"/>
              <w:sz w:val="28"/>
              <w:szCs w:val="28"/>
            </w:rPr>
            <w:fldChar w:fldCharType="end"/>
          </w:r>
        </w:p>
        <w:bookmarkEnd w:id="8"/>
        <w:bookmarkEnd w:id="9"/>
        <w:p>
          <w:pPr>
            <w:pStyle w:val="225"/>
            <w:tabs>
              <w:tab w:val="right" w:leader="dot" w:pos="9026"/>
            </w:tabs>
            <w:ind w:left="640"/>
            <w:rPr>
              <w:rFonts w:ascii="仿宋" w:hAnsi="仿宋" w:eastAsia="仿宋" w:cs="仿宋"/>
              <w:sz w:val="28"/>
              <w:szCs w:val="28"/>
            </w:rPr>
          </w:pPr>
          <w:r>
            <w:rPr>
              <w:rFonts w:ascii="仿宋" w:hAnsi="仿宋" w:eastAsia="仿宋"/>
              <w:sz w:val="28"/>
              <w:szCs w:val="28"/>
            </w:rPr>
            <w:fldChar w:fldCharType="begin"/>
          </w:r>
          <w:r>
            <w:rPr>
              <w:rFonts w:ascii="仿宋" w:hAnsi="仿宋" w:eastAsia="仿宋"/>
              <w:sz w:val="28"/>
              <w:szCs w:val="28"/>
            </w:rPr>
            <w:instrText xml:space="preserve"> HYPERLINK \l "_Toc11540" </w:instrText>
          </w:r>
          <w:r>
            <w:rPr>
              <w:rFonts w:ascii="仿宋" w:hAnsi="仿宋" w:eastAsia="仿宋"/>
              <w:sz w:val="28"/>
              <w:szCs w:val="28"/>
            </w:rPr>
            <w:fldChar w:fldCharType="separate"/>
          </w:r>
          <w:r>
            <w:rPr>
              <w:rFonts w:hint="eastAsia" w:ascii="仿宋" w:hAnsi="仿宋" w:eastAsia="仿宋" w:cs="仿宋"/>
              <w:sz w:val="28"/>
              <w:szCs w:val="28"/>
            </w:rPr>
            <w:t>十一、国有资本经营预算财政拨款收入支出决算表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_Toc11540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ascii="仿宋" w:hAnsi="仿宋" w:eastAsia="仿宋" w:cs="仿宋"/>
              <w:sz w:val="28"/>
              <w:szCs w:val="28"/>
            </w:rPr>
            <w:fldChar w:fldCharType="end"/>
          </w:r>
        </w:p>
        <w:p>
          <w:pPr>
            <w:pStyle w:val="225"/>
            <w:tabs>
              <w:tab w:val="right" w:leader="dot" w:pos="9026"/>
            </w:tabs>
            <w:ind w:left="640"/>
            <w:rPr>
              <w:rFonts w:ascii="仿宋" w:hAnsi="仿宋" w:eastAsia="仿宋" w:cs="仿宋"/>
              <w:sz w:val="28"/>
              <w:szCs w:val="28"/>
            </w:rPr>
          </w:pPr>
          <w:r>
            <w:fldChar w:fldCharType="begin"/>
          </w:r>
          <w:r>
            <w:instrText xml:space="preserve"> HYPERLINK \l "_Toc32462" </w:instrText>
          </w:r>
          <w:r>
            <w:fldChar w:fldCharType="separate"/>
          </w:r>
          <w:r>
            <w:rPr>
              <w:rFonts w:hint="eastAsia" w:ascii="仿宋" w:hAnsi="仿宋" w:eastAsia="仿宋" w:cs="仿宋"/>
              <w:sz w:val="28"/>
              <w:szCs w:val="28"/>
            </w:rPr>
            <w:t>十二、国有资本经营预算财政拨款支出决算表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_Toc32462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25"/>
            <w:tabs>
              <w:tab w:val="right" w:leader="dot" w:pos="9026"/>
            </w:tabs>
            <w:ind w:left="640"/>
            <w:rPr>
              <w:rFonts w:ascii="仿宋" w:hAnsi="仿宋" w:eastAsia="仿宋"/>
              <w:sz w:val="28"/>
              <w:szCs w:val="28"/>
            </w:rPr>
          </w:pPr>
          <w:r>
            <w:fldChar w:fldCharType="begin"/>
          </w:r>
          <w:r>
            <w:instrText xml:space="preserve"> HYPERLINK \l "_Toc27058" </w:instrText>
          </w:r>
          <w:r>
            <w:fldChar w:fldCharType="separate"/>
          </w:r>
          <w:r>
            <w:rPr>
              <w:rFonts w:hint="eastAsia" w:ascii="仿宋" w:hAnsi="仿宋" w:eastAsia="仿宋" w:cs="仿宋"/>
              <w:sz w:val="28"/>
              <w:szCs w:val="28"/>
            </w:rPr>
            <w:t>十三、财政拨款“三公”经费支出决算表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_Toc27058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widowControl/>
            <w:spacing w:line="440" w:lineRule="exact"/>
            <w:rPr>
              <w:rFonts w:hint="eastAsia" w:ascii="仿宋" w:hAnsi="仿宋" w:eastAsia="仿宋" w:cs="仿宋_GB2312"/>
              <w:sz w:val="28"/>
              <w:szCs w:val="28"/>
            </w:rPr>
            <w:sectPr>
              <w:headerReference r:id="rId3" w:type="default"/>
              <w:footerReference r:id="rId4" w:type="default"/>
              <w:pgSz w:w="11906" w:h="16838" w:orient="landscape"/>
              <w:pgMar w:top="1803" w:right="1440" w:bottom="1803" w:left="1440" w:header="851" w:footer="1701" w:gutter="0"/>
              <w:pgNumType w:start="1" w:chapStyle="1"/>
              <w:cols w:space="1701" w:num="1"/>
            </w:sectPr>
          </w:pPr>
        </w:p>
        <w:p>
          <w:pPr>
            <w:widowControl/>
            <w:spacing w:line="440" w:lineRule="exact"/>
            <w:rPr>
              <w:rFonts w:ascii="仿宋" w:hAnsi="仿宋" w:eastAsia="仿宋" w:cs="仿宋_GB2312"/>
              <w:sz w:val="28"/>
              <w:szCs w:val="28"/>
            </w:rPr>
          </w:pPr>
          <w:r>
            <w:rPr>
              <w:rFonts w:hint="eastAsia" w:ascii="仿宋" w:hAnsi="仿宋" w:eastAsia="仿宋" w:cs="仿宋_GB2312"/>
              <w:sz w:val="28"/>
              <w:szCs w:val="28"/>
            </w:rPr>
            <w:fldChar w:fldCharType="end"/>
          </w:r>
        </w:p>
      </w:sdtContent>
    </w:sdt>
    <w:p>
      <w:pPr>
        <w:widowControl/>
        <w:spacing w:line="440" w:lineRule="exact"/>
        <w:rPr>
          <w:rFonts w:eastAsia="仿宋"/>
          <w:sz w:val="24"/>
        </w:rPr>
      </w:pPr>
    </w:p>
    <w:p>
      <w:pPr>
        <w:widowControl/>
        <w:spacing w:line="440" w:lineRule="exact"/>
        <w:ind w:firstLine="2180"/>
        <w:outlineLvl w:val="0"/>
        <w:rPr>
          <w:rStyle w:val="198"/>
          <w:rFonts w:eastAsia="黑体"/>
          <w:b w:val="0"/>
          <w:bCs w:val="0"/>
        </w:rPr>
      </w:pPr>
      <w:bookmarkStart w:id="10" w:name="_Toc9876"/>
      <w:r>
        <w:rPr>
          <w:rFonts w:eastAsia="黑体"/>
          <w:sz w:val="44"/>
          <w:szCs w:val="44"/>
        </w:rPr>
        <w:t xml:space="preserve">第一部分 </w:t>
      </w:r>
      <w:r>
        <w:rPr>
          <w:rStyle w:val="198"/>
          <w:rFonts w:eastAsia="黑体"/>
          <w:b w:val="0"/>
          <w:bCs w:val="0"/>
        </w:rPr>
        <w:t>部门概况</w:t>
      </w:r>
      <w:bookmarkEnd w:id="6"/>
      <w:bookmarkEnd w:id="7"/>
      <w:bookmarkEnd w:id="10"/>
    </w:p>
    <w:p>
      <w:pPr>
        <w:pStyle w:val="42"/>
        <w:numPr>
          <w:ilvl w:val="0"/>
          <w:numId w:val="0"/>
        </w:numPr>
      </w:pPr>
    </w:p>
    <w:p>
      <w:pPr>
        <w:pStyle w:val="192"/>
        <w:numPr>
          <w:ilvl w:val="0"/>
          <w:numId w:val="3"/>
        </w:numPr>
        <w:rPr>
          <w:rFonts w:ascii="Times New Roman" w:hAnsi="Times New Roman" w:eastAsia="黑体"/>
          <w:b w:val="0"/>
          <w:i w:val="0"/>
        </w:rPr>
      </w:pPr>
      <w:bookmarkStart w:id="11" w:name="_Toc1145"/>
      <w:r>
        <w:rPr>
          <w:rFonts w:ascii="Times New Roman" w:hAnsi="Times New Roman" w:eastAsia="黑体"/>
          <w:b w:val="0"/>
          <w:i w:val="0"/>
        </w:rPr>
        <w:t>部门职责</w:t>
      </w:r>
      <w:bookmarkEnd w:id="11"/>
    </w:p>
    <w:p>
      <w:pPr>
        <w:widowControl/>
        <w:ind w:firstLine="160" w:firstLineChars="50"/>
        <w:jc w:val="left"/>
        <w:rPr>
          <w:rFonts w:ascii="仿宋_GB2312" w:hAnsi="仿宋_GB2312" w:cs="仿宋_GB2312"/>
          <w:color w:val="000000"/>
          <w:szCs w:val="32"/>
        </w:rPr>
      </w:pPr>
      <w:bookmarkStart w:id="12" w:name="_Toc15377200"/>
      <w:bookmarkStart w:id="13" w:name="_Toc3471"/>
      <w:bookmarkStart w:id="14" w:name="_Toc15396601"/>
      <w:r>
        <w:rPr>
          <w:rFonts w:hint="eastAsia" w:ascii="仿宋_GB2312" w:hAnsi="仿宋_GB2312" w:cs="仿宋_GB2312"/>
          <w:color w:val="000000"/>
          <w:szCs w:val="32"/>
        </w:rPr>
        <w:t>1.负责区行政中心、附属楼地及和谐公园的建设、管理、维护、缮管理工作</w:t>
      </w:r>
    </w:p>
    <w:p>
      <w:pPr>
        <w:widowControl/>
        <w:ind w:firstLine="160" w:firstLineChars="50"/>
        <w:jc w:val="left"/>
        <w:rPr>
          <w:rFonts w:ascii="仿宋_GB2312" w:hAnsi="仿宋_GB2312" w:cs="仿宋_GB2312"/>
          <w:color w:val="000000"/>
          <w:szCs w:val="32"/>
        </w:rPr>
      </w:pPr>
      <w:r>
        <w:rPr>
          <w:rFonts w:hint="eastAsia" w:ascii="仿宋_GB2312" w:hAnsi="仿宋_GB2312" w:cs="仿宋_GB2312"/>
          <w:color w:val="000000"/>
          <w:szCs w:val="32"/>
        </w:rPr>
        <w:t>2.管理机关公务用车的运行维护</w:t>
      </w:r>
    </w:p>
    <w:p>
      <w:pPr>
        <w:widowControl/>
        <w:ind w:firstLine="160" w:firstLineChars="50"/>
        <w:jc w:val="left"/>
        <w:rPr>
          <w:rFonts w:ascii="仿宋_GB2312" w:hAnsi="仿宋_GB2312" w:cs="仿宋_GB2312"/>
          <w:color w:val="000000"/>
          <w:szCs w:val="32"/>
        </w:rPr>
      </w:pPr>
      <w:r>
        <w:rPr>
          <w:rFonts w:hint="eastAsia" w:ascii="仿宋_GB2312" w:hAnsi="仿宋_GB2312" w:cs="仿宋_GB2312"/>
          <w:color w:val="000000"/>
          <w:szCs w:val="32"/>
        </w:rPr>
        <w:t>3.负责机关食堂正常运行</w:t>
      </w:r>
    </w:p>
    <w:p>
      <w:pPr>
        <w:ind w:firstLine="160" w:firstLineChars="50"/>
        <w:rPr>
          <w:rFonts w:ascii="仿宋_GB2312" w:hAnsi="仿宋_GB2312" w:cs="仿宋_GB2312"/>
          <w:color w:val="000000"/>
          <w:kern w:val="2"/>
          <w:szCs w:val="32"/>
        </w:rPr>
      </w:pPr>
      <w:r>
        <w:rPr>
          <w:rFonts w:hint="eastAsia" w:ascii="仿宋_GB2312" w:hAnsi="仿宋_GB2312" w:cs="仿宋_GB2312"/>
          <w:color w:val="000000"/>
          <w:szCs w:val="32"/>
        </w:rPr>
        <w:t>4.对区级机关单位的后勤服务进行业务指导</w:t>
      </w:r>
    </w:p>
    <w:p>
      <w:pPr>
        <w:pStyle w:val="3"/>
        <w:ind w:left="0" w:leftChars="0" w:firstLine="160" w:firstLineChars="50"/>
        <w:rPr>
          <w:rFonts w:ascii="Calibri"/>
          <w:color w:val="000000"/>
          <w:szCs w:val="24"/>
        </w:rPr>
      </w:pPr>
      <w:r>
        <w:rPr>
          <w:rFonts w:hint="eastAsia" w:hAnsi="仿宋_GB2312" w:cs="仿宋_GB2312"/>
          <w:color w:val="000000"/>
        </w:rPr>
        <w:t>5.</w:t>
      </w:r>
      <w:r>
        <w:rPr>
          <w:rFonts w:hint="eastAsia"/>
          <w:color w:val="000000"/>
        </w:rPr>
        <w:t>区政府重要公务服务、招商引资等相关职责；区委区政府大型会务、统筹指导全区公务服务</w:t>
      </w:r>
    </w:p>
    <w:p>
      <w:pPr>
        <w:pStyle w:val="3"/>
        <w:ind w:left="0" w:leftChars="0" w:firstLine="160" w:firstLineChars="50"/>
        <w:rPr>
          <w:color w:val="000000"/>
        </w:rPr>
      </w:pPr>
      <w:r>
        <w:rPr>
          <w:rFonts w:hint="eastAsia"/>
          <w:color w:val="000000"/>
        </w:rPr>
        <w:t>6</w:t>
      </w:r>
      <w:r>
        <w:rPr>
          <w:color w:val="000000"/>
        </w:rPr>
        <w:t>.</w:t>
      </w:r>
      <w:r>
        <w:rPr>
          <w:rFonts w:hint="eastAsia"/>
          <w:color w:val="000000"/>
        </w:rPr>
        <w:t>完成领导交办的其他事项</w:t>
      </w:r>
    </w:p>
    <w:p>
      <w:pPr>
        <w:spacing w:line="360" w:lineRule="auto"/>
        <w:ind w:firstLine="320" w:firstLineChars="100"/>
        <w:outlineLvl w:val="1"/>
        <w:rPr>
          <w:rStyle w:val="199"/>
          <w:rFonts w:ascii="Times New Roman" w:hAnsi="Times New Roman" w:eastAsia="黑体"/>
          <w:b w:val="0"/>
          <w:i w:val="0"/>
        </w:rPr>
      </w:pPr>
      <w:r>
        <w:rPr>
          <w:rFonts w:eastAsia="黑体"/>
        </w:rPr>
        <w:t>二、机</w:t>
      </w:r>
      <w:r>
        <w:rPr>
          <w:rStyle w:val="199"/>
          <w:rFonts w:ascii="Times New Roman" w:hAnsi="Times New Roman" w:eastAsia="黑体"/>
          <w:b w:val="0"/>
          <w:i w:val="0"/>
        </w:rPr>
        <w:t>构设置</w:t>
      </w:r>
      <w:bookmarkEnd w:id="12"/>
      <w:bookmarkEnd w:id="13"/>
      <w:bookmarkEnd w:id="14"/>
    </w:p>
    <w:p>
      <w:pPr>
        <w:ind w:firstLine="800" w:firstLineChars="250"/>
        <w:rPr>
          <w:rFonts w:ascii="Times New Roman" w:hAnsi="Times New Roman"/>
          <w:szCs w:val="32"/>
        </w:rPr>
      </w:pPr>
      <w:r>
        <w:rPr>
          <w:rFonts w:hint="eastAsia" w:ascii="仿宋" w:hAnsi="仿宋" w:eastAsia="仿宋" w:cs="仿宋"/>
          <w:szCs w:val="32"/>
        </w:rPr>
        <w:t>机关事务服务中心</w:t>
      </w:r>
      <w:r>
        <w:rPr>
          <w:rFonts w:hint="eastAsia" w:ascii="Times New Roman" w:hAnsi="Times New Roman"/>
          <w:szCs w:val="32"/>
        </w:rPr>
        <w:t>下属二级预算单位</w:t>
      </w:r>
      <w:r>
        <w:rPr>
          <w:rFonts w:ascii="Times New Roman" w:hAnsi="Times New Roman"/>
          <w:szCs w:val="32"/>
        </w:rPr>
        <w:t>0</w:t>
      </w:r>
      <w:r>
        <w:rPr>
          <w:rFonts w:hint="eastAsia" w:ascii="Times New Roman" w:hAnsi="Times New Roman"/>
          <w:szCs w:val="32"/>
        </w:rPr>
        <w:t>个，其中行政单位</w:t>
      </w:r>
      <w:r>
        <w:rPr>
          <w:rFonts w:ascii="Times New Roman" w:hAnsi="Times New Roman"/>
          <w:szCs w:val="32"/>
        </w:rPr>
        <w:t>0</w:t>
      </w:r>
      <w:r>
        <w:rPr>
          <w:rFonts w:hint="eastAsia" w:ascii="Times New Roman" w:hAnsi="Times New Roman"/>
          <w:szCs w:val="32"/>
        </w:rPr>
        <w:t>个，参照公务员法管理的事业单位</w:t>
      </w:r>
      <w:r>
        <w:rPr>
          <w:rFonts w:ascii="Times New Roman" w:hAnsi="Times New Roman"/>
          <w:szCs w:val="32"/>
        </w:rPr>
        <w:t>0</w:t>
      </w:r>
      <w:r>
        <w:rPr>
          <w:rFonts w:hint="eastAsia" w:ascii="Times New Roman" w:hAnsi="Times New Roman"/>
          <w:szCs w:val="32"/>
        </w:rPr>
        <w:t>个，其他事业单位</w:t>
      </w:r>
      <w:r>
        <w:rPr>
          <w:rFonts w:ascii="Times New Roman" w:hAnsi="Times New Roman"/>
          <w:szCs w:val="32"/>
        </w:rPr>
        <w:t>0</w:t>
      </w:r>
      <w:r>
        <w:rPr>
          <w:rFonts w:hint="eastAsia" w:ascii="Times New Roman" w:hAnsi="Times New Roman"/>
          <w:szCs w:val="32"/>
        </w:rPr>
        <w:t>个。</w:t>
      </w:r>
    </w:p>
    <w:p>
      <w:pPr>
        <w:pStyle w:val="18"/>
        <w:adjustRightInd w:val="0"/>
        <w:snapToGrid w:val="0"/>
        <w:spacing w:line="560" w:lineRule="exact"/>
        <w:ind w:firstLine="480" w:firstLineChars="150"/>
        <w:rPr>
          <w:rFonts w:ascii="仿宋" w:hAnsi="仿宋" w:eastAsia="仿宋" w:cs="仿宋"/>
          <w:color w:val="000000"/>
          <w:szCs w:val="32"/>
        </w:rPr>
      </w:pPr>
      <w:r>
        <w:rPr>
          <w:rFonts w:hint="eastAsia" w:ascii="Times New Roman" w:hAnsi="Times New Roman"/>
          <w:szCs w:val="32"/>
        </w:rPr>
        <w:t>无纳入</w:t>
      </w:r>
      <w:r>
        <w:rPr>
          <w:rFonts w:ascii="Times New Roman" w:hAnsi="Times New Roman"/>
          <w:szCs w:val="32"/>
        </w:rPr>
        <w:t>202</w:t>
      </w:r>
      <w:r>
        <w:rPr>
          <w:rFonts w:hint="eastAsia" w:ascii="Times New Roman" w:hAnsi="Times New Roman"/>
          <w:szCs w:val="32"/>
        </w:rPr>
        <w:t>4年度部门决算编制范围的二级预算单位</w:t>
      </w:r>
      <w:r>
        <w:rPr>
          <w:rFonts w:hint="eastAsia" w:ascii="Times New Roman" w:hAnsi="Times New Roman"/>
          <w:color w:val="000000"/>
          <w:szCs w:val="32"/>
        </w:rPr>
        <w:t>。</w:t>
      </w:r>
    </w:p>
    <w:p>
      <w:pPr>
        <w:widowControl/>
        <w:ind w:firstLine="872"/>
        <w:outlineLvl w:val="0"/>
        <w:rPr>
          <w:rFonts w:eastAsia="方正小标宋简体"/>
          <w:sz w:val="44"/>
          <w:szCs w:val="44"/>
        </w:rPr>
      </w:pPr>
      <w:bookmarkStart w:id="15" w:name="_Toc15377204"/>
      <w:bookmarkStart w:id="16" w:name="_Toc15396602"/>
      <w:bookmarkStart w:id="17" w:name="_Toc8685"/>
    </w:p>
    <w:p>
      <w:pPr>
        <w:widowControl/>
        <w:ind w:firstLine="872"/>
        <w:outlineLvl w:val="0"/>
        <w:rPr>
          <w:rFonts w:eastAsia="方正小标宋简体"/>
          <w:sz w:val="44"/>
          <w:szCs w:val="44"/>
        </w:rPr>
      </w:pPr>
    </w:p>
    <w:p>
      <w:pPr>
        <w:widowControl/>
        <w:ind w:firstLine="872"/>
        <w:outlineLvl w:val="0"/>
        <w:rPr>
          <w:rFonts w:eastAsia="方正小标宋简体"/>
          <w:sz w:val="44"/>
          <w:szCs w:val="44"/>
        </w:rPr>
      </w:pPr>
    </w:p>
    <w:p>
      <w:pPr>
        <w:widowControl/>
        <w:ind w:firstLine="872"/>
        <w:outlineLvl w:val="0"/>
        <w:rPr>
          <w:rFonts w:eastAsia="方正小标宋简体"/>
          <w:sz w:val="44"/>
          <w:szCs w:val="44"/>
        </w:rPr>
      </w:pPr>
    </w:p>
    <w:p>
      <w:pPr>
        <w:widowControl/>
        <w:ind w:firstLine="872"/>
        <w:outlineLvl w:val="0"/>
        <w:rPr>
          <w:rFonts w:eastAsia="方正小标宋简体"/>
          <w:sz w:val="44"/>
          <w:szCs w:val="44"/>
        </w:rPr>
      </w:pPr>
    </w:p>
    <w:p>
      <w:pPr>
        <w:widowControl/>
        <w:ind w:firstLine="872"/>
        <w:outlineLvl w:val="0"/>
        <w:rPr>
          <w:rFonts w:eastAsia="方正小标宋简体"/>
          <w:sz w:val="44"/>
          <w:szCs w:val="44"/>
        </w:rPr>
      </w:pPr>
    </w:p>
    <w:p>
      <w:pPr>
        <w:widowControl/>
        <w:ind w:firstLine="872"/>
        <w:outlineLvl w:val="0"/>
        <w:rPr>
          <w:rFonts w:eastAsia="方正小标宋简体"/>
          <w:sz w:val="44"/>
          <w:szCs w:val="44"/>
        </w:rPr>
      </w:pPr>
    </w:p>
    <w:p>
      <w:pPr>
        <w:widowControl/>
        <w:ind w:firstLine="872"/>
        <w:outlineLvl w:val="0"/>
        <w:rPr>
          <w:rStyle w:val="198"/>
          <w:rFonts w:eastAsia="方正小标宋简体"/>
          <w:b w:val="0"/>
          <w:bCs w:val="0"/>
        </w:rPr>
      </w:pPr>
      <w:r>
        <w:rPr>
          <w:rFonts w:eastAsia="方正小标宋简体"/>
          <w:sz w:val="44"/>
          <w:szCs w:val="44"/>
        </w:rPr>
        <w:t>第二部分 202</w:t>
      </w:r>
      <w:r>
        <w:rPr>
          <w:rFonts w:hint="eastAsia" w:eastAsia="方正小标宋简体"/>
          <w:sz w:val="44"/>
          <w:szCs w:val="44"/>
        </w:rPr>
        <w:t>4</w:t>
      </w:r>
      <w:r>
        <w:rPr>
          <w:rFonts w:eastAsia="方正小标宋简体"/>
          <w:sz w:val="44"/>
          <w:szCs w:val="44"/>
        </w:rPr>
        <w:t>年度</w:t>
      </w:r>
      <w:r>
        <w:rPr>
          <w:rStyle w:val="198"/>
          <w:rFonts w:eastAsia="方正小标宋简体"/>
          <w:b w:val="0"/>
          <w:bCs w:val="0"/>
        </w:rPr>
        <w:t>部门决算情况说明</w:t>
      </w:r>
      <w:bookmarkEnd w:id="15"/>
      <w:bookmarkEnd w:id="16"/>
      <w:bookmarkEnd w:id="17"/>
    </w:p>
    <w:p/>
    <w:p>
      <w:pPr>
        <w:pStyle w:val="220"/>
        <w:numPr>
          <w:ilvl w:val="0"/>
          <w:numId w:val="4"/>
        </w:numPr>
        <w:spacing w:line="560" w:lineRule="exact"/>
        <w:outlineLvl w:val="1"/>
        <w:rPr>
          <w:rStyle w:val="199"/>
          <w:rFonts w:ascii="Times New Roman" w:hAnsi="Times New Roman" w:eastAsia="黑体"/>
          <w:b w:val="0"/>
          <w:i w:val="0"/>
        </w:rPr>
      </w:pPr>
      <w:bookmarkStart w:id="18" w:name="_Toc15396603"/>
      <w:bookmarkStart w:id="19" w:name="_Toc20001"/>
      <w:bookmarkStart w:id="20" w:name="_Toc15377205"/>
      <w:r>
        <w:rPr>
          <w:rFonts w:eastAsia="黑体"/>
          <w:szCs w:val="32"/>
        </w:rPr>
        <w:t>收</w:t>
      </w:r>
      <w:r>
        <w:rPr>
          <w:rStyle w:val="199"/>
          <w:rFonts w:ascii="Times New Roman" w:hAnsi="Times New Roman" w:eastAsia="黑体"/>
          <w:b w:val="0"/>
          <w:i w:val="0"/>
        </w:rPr>
        <w:t>入支出决算总体情况说明</w:t>
      </w:r>
      <w:bookmarkEnd w:id="18"/>
      <w:bookmarkEnd w:id="19"/>
      <w:bookmarkEnd w:id="20"/>
    </w:p>
    <w:p>
      <w:pPr>
        <w:spacing w:line="560" w:lineRule="exact"/>
        <w:ind w:firstLine="632"/>
        <w:rPr>
          <w:szCs w:val="32"/>
        </w:rPr>
      </w:pPr>
      <w:r>
        <w:rPr>
          <w:szCs w:val="32"/>
        </w:rPr>
        <w:t>202</w:t>
      </w:r>
      <w:r>
        <w:rPr>
          <w:rFonts w:hint="eastAsia"/>
          <w:szCs w:val="32"/>
        </w:rPr>
        <w:t>4</w:t>
      </w:r>
      <w:r>
        <w:rPr>
          <w:szCs w:val="32"/>
        </w:rPr>
        <w:t>年度收、支总计均为</w:t>
      </w:r>
      <w:r>
        <w:rPr>
          <w:rFonts w:hint="eastAsia"/>
          <w:szCs w:val="32"/>
        </w:rPr>
        <w:t>1466.78</w:t>
      </w:r>
      <w:r>
        <w:rPr>
          <w:szCs w:val="32"/>
        </w:rPr>
        <w:t>万元。与202</w:t>
      </w:r>
      <w:r>
        <w:rPr>
          <w:rFonts w:hint="eastAsia"/>
          <w:szCs w:val="32"/>
        </w:rPr>
        <w:t>3</w:t>
      </w:r>
      <w:r>
        <w:rPr>
          <w:szCs w:val="32"/>
        </w:rPr>
        <w:t>年度相比，收、支总计各</w:t>
      </w:r>
      <w:r>
        <w:rPr>
          <w:rFonts w:hint="eastAsia"/>
          <w:szCs w:val="32"/>
        </w:rPr>
        <w:t>减少96.85</w:t>
      </w:r>
      <w:r>
        <w:rPr>
          <w:szCs w:val="32"/>
        </w:rPr>
        <w:t>万元，</w:t>
      </w:r>
      <w:r>
        <w:rPr>
          <w:rFonts w:hint="eastAsia"/>
          <w:szCs w:val="32"/>
        </w:rPr>
        <w:t>下降6.19</w:t>
      </w:r>
      <w:r>
        <w:rPr>
          <w:szCs w:val="32"/>
        </w:rPr>
        <w:t>%。主要变动原因</w:t>
      </w:r>
      <w:r>
        <w:rPr>
          <w:rFonts w:hint="eastAsia"/>
          <w:szCs w:val="32"/>
        </w:rPr>
        <w:t>是</w:t>
      </w:r>
      <w:bookmarkStart w:id="21" w:name="OLE_LINK17"/>
      <w:bookmarkStart w:id="22" w:name="OLE_LINK18"/>
      <w:bookmarkStart w:id="23" w:name="OLE_LINK15"/>
      <w:bookmarkStart w:id="24" w:name="OLE_LINK16"/>
      <w:r>
        <w:rPr>
          <w:rFonts w:hint="eastAsia"/>
          <w:szCs w:val="32"/>
        </w:rPr>
        <w:t>本年度单位公用经费增</w:t>
      </w:r>
      <w:r>
        <w:rPr>
          <w:rFonts w:hint="eastAsia"/>
          <w:szCs w:val="32"/>
          <w:lang w:eastAsia="zh-CN"/>
        </w:rPr>
        <w:t>加</w:t>
      </w:r>
      <w:r>
        <w:rPr>
          <w:rFonts w:hint="eastAsia"/>
          <w:szCs w:val="32"/>
        </w:rPr>
        <w:t>23.89万元，项目经费减少125.52万元，其中公务用车购置经费减少67.95万元，人员经费增加4.78万元。</w:t>
      </w:r>
      <w:bookmarkEnd w:id="21"/>
      <w:bookmarkEnd w:id="22"/>
    </w:p>
    <w:p>
      <w:pPr>
        <w:pStyle w:val="2"/>
      </w:pPr>
    </w:p>
    <w:bookmarkEnd w:id="23"/>
    <w:bookmarkEnd w:id="24"/>
    <w:p>
      <w:pPr>
        <w:pStyle w:val="195"/>
        <w:jc w:val="center"/>
        <w:rPr>
          <w:sz w:val="32"/>
          <w:szCs w:val="32"/>
        </w:rPr>
      </w:pPr>
      <w:r>
        <w:rPr>
          <w:rFonts w:hint="eastAsia"/>
          <w:sz w:val="32"/>
          <w:szCs w:val="32"/>
        </w:rPr>
        <w:drawing>
          <wp:inline distT="0" distB="0" distL="114300" distR="114300">
            <wp:extent cx="4528820" cy="3277870"/>
            <wp:effectExtent l="0" t="0" r="24130"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60" w:lineRule="exact"/>
        <w:ind w:firstLine="632"/>
        <w:rPr>
          <w:szCs w:val="32"/>
        </w:rPr>
      </w:pPr>
      <w:r>
        <w:rPr>
          <w:szCs w:val="32"/>
        </w:rPr>
        <w:t>（图1：收、支决算总计变动情况图）（柱状图）</w:t>
      </w:r>
    </w:p>
    <w:p>
      <w:pPr>
        <w:pStyle w:val="196"/>
        <w:ind w:left="632" w:firstLine="632"/>
        <w:jc w:val="left"/>
        <w:rPr>
          <w:rFonts w:ascii="Times New Roman"/>
        </w:rPr>
      </w:pPr>
    </w:p>
    <w:p>
      <w:pPr>
        <w:pStyle w:val="220"/>
        <w:numPr>
          <w:ilvl w:val="0"/>
          <w:numId w:val="4"/>
        </w:numPr>
        <w:spacing w:line="560" w:lineRule="exact"/>
        <w:outlineLvl w:val="1"/>
        <w:rPr>
          <w:rStyle w:val="199"/>
          <w:rFonts w:ascii="Times New Roman" w:hAnsi="Times New Roman" w:eastAsia="黑体"/>
          <w:b w:val="0"/>
          <w:i w:val="0"/>
        </w:rPr>
      </w:pPr>
      <w:bookmarkStart w:id="25" w:name="_Toc15377206"/>
      <w:bookmarkStart w:id="26" w:name="_Toc25864"/>
      <w:bookmarkStart w:id="27" w:name="_Toc15396604"/>
      <w:r>
        <w:rPr>
          <w:rFonts w:eastAsia="黑体"/>
          <w:szCs w:val="32"/>
        </w:rPr>
        <w:t>收</w:t>
      </w:r>
      <w:r>
        <w:rPr>
          <w:rStyle w:val="199"/>
          <w:rFonts w:ascii="Times New Roman" w:hAnsi="Times New Roman" w:eastAsia="黑体"/>
          <w:b w:val="0"/>
          <w:i w:val="0"/>
        </w:rPr>
        <w:t>入决算情况说明</w:t>
      </w:r>
      <w:bookmarkEnd w:id="25"/>
      <w:bookmarkEnd w:id="26"/>
      <w:bookmarkEnd w:id="27"/>
    </w:p>
    <w:p>
      <w:pPr>
        <w:spacing w:line="560" w:lineRule="exact"/>
        <w:ind w:firstLine="632"/>
        <w:outlineLvl w:val="1"/>
        <w:rPr>
          <w:rFonts w:ascii="Times New Roman" w:hAnsi="Times New Roman"/>
          <w:color w:val="000000"/>
          <w:szCs w:val="32"/>
        </w:rPr>
      </w:pPr>
      <w:bookmarkStart w:id="28" w:name="_Toc1914"/>
      <w:r>
        <w:rPr>
          <w:szCs w:val="32"/>
        </w:rPr>
        <w:t>202</w:t>
      </w:r>
      <w:r>
        <w:rPr>
          <w:rFonts w:hint="eastAsia"/>
          <w:szCs w:val="32"/>
        </w:rPr>
        <w:t>4</w:t>
      </w:r>
      <w:r>
        <w:rPr>
          <w:szCs w:val="32"/>
        </w:rPr>
        <w:t>年度本年收入合计</w:t>
      </w:r>
      <w:r>
        <w:rPr>
          <w:rFonts w:hint="eastAsia"/>
          <w:szCs w:val="32"/>
        </w:rPr>
        <w:t>1466.78</w:t>
      </w:r>
      <w:r>
        <w:rPr>
          <w:szCs w:val="32"/>
        </w:rPr>
        <w:t>万元，其中：一般公共预算财政拨款收入</w:t>
      </w:r>
      <w:r>
        <w:rPr>
          <w:rFonts w:hint="eastAsia"/>
          <w:szCs w:val="32"/>
        </w:rPr>
        <w:t>1466.78</w:t>
      </w:r>
      <w:r>
        <w:rPr>
          <w:szCs w:val="32"/>
        </w:rPr>
        <w:t>万元，占</w:t>
      </w:r>
      <w:r>
        <w:rPr>
          <w:rFonts w:hint="eastAsia"/>
          <w:szCs w:val="32"/>
        </w:rPr>
        <w:t>100</w:t>
      </w:r>
      <w:r>
        <w:rPr>
          <w:szCs w:val="32"/>
        </w:rPr>
        <w:t>%</w:t>
      </w:r>
      <w:bookmarkEnd w:id="28"/>
      <w:r>
        <w:rPr>
          <w:rFonts w:hint="eastAsia"/>
          <w:szCs w:val="32"/>
        </w:rPr>
        <w:t>。</w:t>
      </w:r>
    </w:p>
    <w:p>
      <w:pPr>
        <w:spacing w:line="560" w:lineRule="exact"/>
        <w:rPr>
          <w:szCs w:val="32"/>
        </w:rPr>
      </w:pPr>
    </w:p>
    <w:p>
      <w:pPr>
        <w:pStyle w:val="2"/>
        <w:jc w:val="center"/>
      </w:pPr>
      <w:r>
        <w:rPr>
          <w:rFonts w:hint="eastAsia" w:ascii="Times New Roman"/>
        </w:rPr>
        <w:drawing>
          <wp:inline distT="0" distB="0" distL="114300" distR="114300">
            <wp:extent cx="2986405" cy="3154045"/>
            <wp:effectExtent l="0" t="0" r="23495" b="273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60" w:lineRule="exact"/>
        <w:ind w:firstLine="1580"/>
        <w:rPr>
          <w:szCs w:val="32"/>
        </w:rPr>
      </w:pPr>
      <w:r>
        <w:rPr>
          <w:szCs w:val="32"/>
        </w:rPr>
        <w:t>（图2：收入决算结构图）（饼状图）</w:t>
      </w:r>
    </w:p>
    <w:p>
      <w:pPr>
        <w:pStyle w:val="220"/>
        <w:numPr>
          <w:ilvl w:val="0"/>
          <w:numId w:val="4"/>
        </w:numPr>
        <w:spacing w:line="560" w:lineRule="exact"/>
        <w:outlineLvl w:val="1"/>
        <w:rPr>
          <w:rStyle w:val="199"/>
          <w:rFonts w:ascii="Times New Roman" w:hAnsi="Times New Roman" w:eastAsia="黑体"/>
          <w:b w:val="0"/>
          <w:i w:val="0"/>
        </w:rPr>
      </w:pPr>
      <w:bookmarkStart w:id="29" w:name="_Toc15396605"/>
      <w:bookmarkStart w:id="30" w:name="_Toc15377207"/>
      <w:bookmarkStart w:id="31" w:name="_Toc32156"/>
      <w:r>
        <w:rPr>
          <w:rFonts w:eastAsia="黑体"/>
          <w:szCs w:val="32"/>
        </w:rPr>
        <w:t>支</w:t>
      </w:r>
      <w:r>
        <w:rPr>
          <w:rStyle w:val="199"/>
          <w:rFonts w:ascii="Times New Roman" w:hAnsi="Times New Roman" w:eastAsia="黑体"/>
          <w:b w:val="0"/>
          <w:i w:val="0"/>
        </w:rPr>
        <w:t>出决算情况说明</w:t>
      </w:r>
      <w:bookmarkEnd w:id="29"/>
      <w:bookmarkEnd w:id="30"/>
      <w:bookmarkEnd w:id="31"/>
    </w:p>
    <w:p>
      <w:pPr>
        <w:spacing w:line="560" w:lineRule="exact"/>
        <w:ind w:firstLine="632"/>
        <w:outlineLvl w:val="1"/>
        <w:rPr>
          <w:szCs w:val="32"/>
          <w:shd w:val="pct10" w:color="auto" w:fill="FFFFFF"/>
        </w:rPr>
      </w:pPr>
      <w:bookmarkStart w:id="32" w:name="_Toc2558"/>
      <w:r>
        <w:rPr>
          <w:szCs w:val="32"/>
        </w:rPr>
        <w:t>202</w:t>
      </w:r>
      <w:r>
        <w:rPr>
          <w:rFonts w:hint="eastAsia"/>
          <w:szCs w:val="32"/>
        </w:rPr>
        <w:t>4</w:t>
      </w:r>
      <w:r>
        <w:rPr>
          <w:szCs w:val="32"/>
        </w:rPr>
        <w:t>年度本年支出合计</w:t>
      </w:r>
      <w:r>
        <w:rPr>
          <w:rFonts w:hint="eastAsia"/>
          <w:szCs w:val="32"/>
        </w:rPr>
        <w:t>1466.78</w:t>
      </w:r>
      <w:r>
        <w:rPr>
          <w:szCs w:val="32"/>
        </w:rPr>
        <w:t>万元，其中：基本支出</w:t>
      </w:r>
      <w:r>
        <w:rPr>
          <w:rFonts w:hint="eastAsia"/>
          <w:szCs w:val="32"/>
        </w:rPr>
        <w:t>390.62</w:t>
      </w:r>
      <w:r>
        <w:rPr>
          <w:szCs w:val="32"/>
        </w:rPr>
        <w:t>万元，占</w:t>
      </w:r>
      <w:r>
        <w:rPr>
          <w:rFonts w:hint="eastAsia"/>
          <w:szCs w:val="32"/>
        </w:rPr>
        <w:t>26.63</w:t>
      </w:r>
      <w:r>
        <w:rPr>
          <w:szCs w:val="32"/>
        </w:rPr>
        <w:t>%；项目支出</w:t>
      </w:r>
      <w:r>
        <w:rPr>
          <w:rFonts w:hint="eastAsia"/>
          <w:szCs w:val="32"/>
        </w:rPr>
        <w:t>1076.16</w:t>
      </w:r>
      <w:r>
        <w:rPr>
          <w:szCs w:val="32"/>
        </w:rPr>
        <w:t>万元，占</w:t>
      </w:r>
      <w:r>
        <w:rPr>
          <w:rFonts w:hint="eastAsia"/>
          <w:szCs w:val="32"/>
        </w:rPr>
        <w:t>73.37</w:t>
      </w:r>
      <w:r>
        <w:rPr>
          <w:szCs w:val="32"/>
        </w:rPr>
        <w:t>%。</w:t>
      </w:r>
      <w:bookmarkEnd w:id="32"/>
    </w:p>
    <w:p>
      <w:pPr>
        <w:pStyle w:val="195"/>
        <w:jc w:val="center"/>
        <w:rPr>
          <w:rFonts w:ascii="Times New Roman"/>
        </w:rPr>
      </w:pPr>
      <w:r>
        <w:rPr>
          <w:rFonts w:hint="eastAsia" w:ascii="Times New Roman"/>
        </w:rPr>
        <w:drawing>
          <wp:inline distT="0" distB="0" distL="114300" distR="114300">
            <wp:extent cx="2837815" cy="2717165"/>
            <wp:effectExtent l="4445" t="4445" r="15240" b="2159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60" w:lineRule="exact"/>
        <w:ind w:firstLine="1580"/>
        <w:rPr>
          <w:rFonts w:eastAsia="黑体"/>
          <w:szCs w:val="32"/>
        </w:rPr>
      </w:pPr>
      <w:bookmarkStart w:id="33" w:name="_Toc15396606"/>
      <w:bookmarkStart w:id="34" w:name="_Toc15377208"/>
      <w:r>
        <w:rPr>
          <w:szCs w:val="32"/>
        </w:rPr>
        <w:t>（图3：支出决算结构图）（饼状图）</w:t>
      </w:r>
    </w:p>
    <w:p>
      <w:pPr>
        <w:spacing w:line="560" w:lineRule="exact"/>
        <w:ind w:firstLine="632"/>
        <w:outlineLvl w:val="1"/>
        <w:rPr>
          <w:rStyle w:val="199"/>
          <w:rFonts w:ascii="Times New Roman" w:hAnsi="Times New Roman" w:eastAsia="黑体"/>
          <w:b w:val="0"/>
          <w:i w:val="0"/>
        </w:rPr>
      </w:pPr>
      <w:bookmarkStart w:id="35" w:name="_Toc17137"/>
      <w:r>
        <w:rPr>
          <w:rFonts w:eastAsia="黑体"/>
          <w:szCs w:val="32"/>
        </w:rPr>
        <w:t>四、财</w:t>
      </w:r>
      <w:r>
        <w:rPr>
          <w:rStyle w:val="199"/>
          <w:rFonts w:ascii="Times New Roman" w:hAnsi="Times New Roman" w:eastAsia="黑体"/>
          <w:b w:val="0"/>
          <w:i w:val="0"/>
        </w:rPr>
        <w:t>政拨款收入支出决算总体情况说明</w:t>
      </w:r>
      <w:bookmarkEnd w:id="33"/>
      <w:bookmarkEnd w:id="34"/>
      <w:bookmarkEnd w:id="35"/>
    </w:p>
    <w:p>
      <w:pPr>
        <w:spacing w:line="560" w:lineRule="exact"/>
        <w:ind w:firstLine="632"/>
        <w:rPr>
          <w:szCs w:val="32"/>
        </w:rPr>
      </w:pPr>
      <w:r>
        <w:rPr>
          <w:szCs w:val="32"/>
        </w:rPr>
        <w:t>202</w:t>
      </w:r>
      <w:r>
        <w:rPr>
          <w:rFonts w:hint="eastAsia"/>
          <w:szCs w:val="32"/>
        </w:rPr>
        <w:t>4</w:t>
      </w:r>
      <w:r>
        <w:rPr>
          <w:szCs w:val="32"/>
        </w:rPr>
        <w:t>年度财政拨款收、支总计均为</w:t>
      </w:r>
      <w:r>
        <w:rPr>
          <w:rFonts w:hint="eastAsia"/>
          <w:szCs w:val="32"/>
        </w:rPr>
        <w:t>1466.78</w:t>
      </w:r>
      <w:r>
        <w:rPr>
          <w:szCs w:val="32"/>
        </w:rPr>
        <w:t>万元。与202</w:t>
      </w:r>
      <w:r>
        <w:rPr>
          <w:rFonts w:hint="eastAsia"/>
          <w:szCs w:val="32"/>
        </w:rPr>
        <w:t>3</w:t>
      </w:r>
      <w:r>
        <w:rPr>
          <w:szCs w:val="32"/>
        </w:rPr>
        <w:t>年度相比，财政拨款收、支总计</w:t>
      </w:r>
      <w:r>
        <w:rPr>
          <w:rFonts w:hint="eastAsia"/>
          <w:szCs w:val="32"/>
        </w:rPr>
        <w:t>减少96.85</w:t>
      </w:r>
      <w:r>
        <w:rPr>
          <w:szCs w:val="32"/>
        </w:rPr>
        <w:t>万元，</w:t>
      </w:r>
      <w:r>
        <w:rPr>
          <w:rFonts w:hint="eastAsia"/>
          <w:szCs w:val="32"/>
        </w:rPr>
        <w:t>下降6.19</w:t>
      </w:r>
      <w:r>
        <w:rPr>
          <w:szCs w:val="32"/>
        </w:rPr>
        <w:t>%。</w:t>
      </w:r>
      <w:bookmarkStart w:id="36" w:name="OLE_LINK8"/>
      <w:bookmarkStart w:id="37" w:name="OLE_LINK9"/>
      <w:r>
        <w:rPr>
          <w:szCs w:val="32"/>
        </w:rPr>
        <w:t>主要变动原因</w:t>
      </w:r>
      <w:bookmarkEnd w:id="36"/>
      <w:bookmarkEnd w:id="37"/>
      <w:r>
        <w:rPr>
          <w:szCs w:val="32"/>
        </w:rPr>
        <w:t>是</w:t>
      </w:r>
      <w:bookmarkStart w:id="38" w:name="OLE_LINK19"/>
      <w:bookmarkStart w:id="39" w:name="OLE_LINK20"/>
      <w:r>
        <w:rPr>
          <w:rFonts w:hint="eastAsia"/>
          <w:szCs w:val="32"/>
        </w:rPr>
        <w:t>本年度单位公用经费增</w:t>
      </w:r>
      <w:r>
        <w:rPr>
          <w:rFonts w:hint="eastAsia"/>
          <w:szCs w:val="32"/>
          <w:lang w:eastAsia="zh-CN"/>
        </w:rPr>
        <w:t>加</w:t>
      </w:r>
      <w:r>
        <w:rPr>
          <w:szCs w:val="32"/>
        </w:rPr>
        <w:t>23.89</w:t>
      </w:r>
      <w:r>
        <w:rPr>
          <w:rFonts w:hint="eastAsia"/>
          <w:szCs w:val="32"/>
        </w:rPr>
        <w:t>万元，项目经费减少</w:t>
      </w:r>
      <w:r>
        <w:rPr>
          <w:szCs w:val="32"/>
        </w:rPr>
        <w:t>125.52</w:t>
      </w:r>
      <w:r>
        <w:rPr>
          <w:rFonts w:hint="eastAsia"/>
          <w:szCs w:val="32"/>
        </w:rPr>
        <w:t>万元，其中公务用车购置经费减少</w:t>
      </w:r>
      <w:r>
        <w:rPr>
          <w:szCs w:val="32"/>
        </w:rPr>
        <w:t>67.95</w:t>
      </w:r>
      <w:r>
        <w:rPr>
          <w:rFonts w:hint="eastAsia"/>
          <w:szCs w:val="32"/>
        </w:rPr>
        <w:t>万元，人员经费增加</w:t>
      </w:r>
      <w:r>
        <w:rPr>
          <w:szCs w:val="32"/>
        </w:rPr>
        <w:t>4.78</w:t>
      </w:r>
      <w:r>
        <w:rPr>
          <w:rFonts w:hint="eastAsia"/>
          <w:szCs w:val="32"/>
        </w:rPr>
        <w:t>万元。</w:t>
      </w:r>
      <w:bookmarkEnd w:id="38"/>
      <w:bookmarkEnd w:id="39"/>
    </w:p>
    <w:p>
      <w:pPr>
        <w:pStyle w:val="196"/>
        <w:ind w:left="632" w:firstLine="632"/>
        <w:rPr>
          <w:rFonts w:ascii="Times New Roman" w:eastAsia="仿宋"/>
        </w:rPr>
      </w:pPr>
      <w:r>
        <w:rPr>
          <w:rFonts w:hint="eastAsia"/>
        </w:rPr>
        <w:drawing>
          <wp:inline distT="0" distB="0" distL="114300" distR="114300">
            <wp:extent cx="4495800" cy="3533775"/>
            <wp:effectExtent l="4445" t="4445" r="14605"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96"/>
        <w:ind w:firstLine="0"/>
        <w:rPr>
          <w:rFonts w:ascii="Times New Roman" w:eastAsia="仿宋"/>
        </w:rPr>
      </w:pPr>
    </w:p>
    <w:p>
      <w:pPr>
        <w:spacing w:line="560" w:lineRule="exact"/>
        <w:ind w:firstLine="632"/>
        <w:rPr>
          <w:rFonts w:eastAsia="黑体"/>
          <w:szCs w:val="32"/>
        </w:rPr>
      </w:pPr>
      <w:bookmarkStart w:id="40" w:name="_Toc15396607"/>
      <w:bookmarkStart w:id="41" w:name="_Toc15377209"/>
      <w:r>
        <w:rPr>
          <w:szCs w:val="32"/>
        </w:rPr>
        <w:t>（图4：财政拨款收、支决算总计变动情况）（柱状图）</w:t>
      </w:r>
    </w:p>
    <w:p>
      <w:pPr>
        <w:spacing w:line="560" w:lineRule="exact"/>
        <w:ind w:firstLine="632"/>
        <w:outlineLvl w:val="1"/>
        <w:rPr>
          <w:rStyle w:val="199"/>
          <w:rFonts w:ascii="Times New Roman" w:hAnsi="Times New Roman" w:eastAsia="黑体"/>
          <w:b w:val="0"/>
          <w:i w:val="0"/>
        </w:rPr>
      </w:pPr>
      <w:bookmarkStart w:id="42" w:name="_Toc16000"/>
      <w:r>
        <w:rPr>
          <w:rFonts w:eastAsia="黑体"/>
          <w:szCs w:val="32"/>
        </w:rPr>
        <w:t>五、一</w:t>
      </w:r>
      <w:r>
        <w:rPr>
          <w:rStyle w:val="199"/>
          <w:rFonts w:ascii="Times New Roman" w:hAnsi="Times New Roman" w:eastAsia="黑体"/>
          <w:b w:val="0"/>
          <w:i w:val="0"/>
        </w:rPr>
        <w:t>般公共预算财政拨款支出决算情况说明</w:t>
      </w:r>
      <w:bookmarkEnd w:id="40"/>
      <w:bookmarkEnd w:id="41"/>
      <w:bookmarkEnd w:id="42"/>
    </w:p>
    <w:p>
      <w:pPr>
        <w:spacing w:line="560" w:lineRule="exact"/>
        <w:ind w:firstLine="632"/>
        <w:jc w:val="left"/>
        <w:outlineLvl w:val="2"/>
        <w:rPr>
          <w:rFonts w:eastAsia="楷体_GB2312"/>
          <w:b/>
          <w:bCs/>
          <w:szCs w:val="32"/>
        </w:rPr>
      </w:pPr>
      <w:bookmarkStart w:id="43" w:name="_Toc15377210"/>
      <w:bookmarkStart w:id="44" w:name="_Toc22159"/>
      <w:r>
        <w:rPr>
          <w:rFonts w:eastAsia="楷体_GB2312"/>
          <w:b/>
          <w:bCs/>
          <w:szCs w:val="32"/>
        </w:rPr>
        <w:t>（一）一般公共预算财政拨款支出决算总体情况</w:t>
      </w:r>
      <w:bookmarkEnd w:id="43"/>
      <w:bookmarkEnd w:id="44"/>
    </w:p>
    <w:p>
      <w:pPr>
        <w:spacing w:line="560" w:lineRule="exact"/>
        <w:ind w:firstLine="632"/>
        <w:rPr>
          <w:szCs w:val="32"/>
        </w:rPr>
      </w:pPr>
      <w:r>
        <w:rPr>
          <w:szCs w:val="32"/>
        </w:rPr>
        <w:t>202</w:t>
      </w:r>
      <w:r>
        <w:rPr>
          <w:rFonts w:hint="eastAsia"/>
          <w:szCs w:val="32"/>
        </w:rPr>
        <w:t>4</w:t>
      </w:r>
      <w:r>
        <w:rPr>
          <w:szCs w:val="32"/>
        </w:rPr>
        <w:t>年度一般公共预算财政拨款支出</w:t>
      </w:r>
      <w:r>
        <w:rPr>
          <w:rFonts w:hint="eastAsia"/>
          <w:szCs w:val="32"/>
        </w:rPr>
        <w:t>1466.78</w:t>
      </w:r>
      <w:r>
        <w:rPr>
          <w:szCs w:val="32"/>
        </w:rPr>
        <w:t>万元，占本年支出合计的</w:t>
      </w:r>
      <w:r>
        <w:rPr>
          <w:rFonts w:hint="eastAsia"/>
          <w:szCs w:val="32"/>
        </w:rPr>
        <w:t>100</w:t>
      </w:r>
      <w:r>
        <w:rPr>
          <w:szCs w:val="32"/>
        </w:rPr>
        <w:t>%。与202</w:t>
      </w:r>
      <w:r>
        <w:rPr>
          <w:rFonts w:hint="eastAsia"/>
          <w:szCs w:val="32"/>
        </w:rPr>
        <w:t>3</w:t>
      </w:r>
      <w:r>
        <w:rPr>
          <w:szCs w:val="32"/>
        </w:rPr>
        <w:t>年度相比，一般公共预算财政拨款支出</w:t>
      </w:r>
      <w:r>
        <w:rPr>
          <w:rFonts w:hint="eastAsia"/>
          <w:szCs w:val="32"/>
        </w:rPr>
        <w:t>减少60.93</w:t>
      </w:r>
      <w:r>
        <w:rPr>
          <w:szCs w:val="32"/>
        </w:rPr>
        <w:t>万元，</w:t>
      </w:r>
      <w:r>
        <w:rPr>
          <w:rFonts w:hint="eastAsia"/>
          <w:szCs w:val="32"/>
        </w:rPr>
        <w:t>下降3.99</w:t>
      </w:r>
      <w:r>
        <w:rPr>
          <w:szCs w:val="32"/>
        </w:rPr>
        <w:t>%。主要变动原因是</w:t>
      </w:r>
      <w:r>
        <w:rPr>
          <w:rFonts w:hint="eastAsia"/>
          <w:szCs w:val="32"/>
        </w:rPr>
        <w:t>本年度单位公用经费增</w:t>
      </w:r>
      <w:r>
        <w:rPr>
          <w:rFonts w:hint="eastAsia"/>
          <w:szCs w:val="32"/>
          <w:lang w:eastAsia="zh-CN"/>
        </w:rPr>
        <w:t>加</w:t>
      </w:r>
      <w:r>
        <w:rPr>
          <w:szCs w:val="32"/>
        </w:rPr>
        <w:t>23.89</w:t>
      </w:r>
      <w:r>
        <w:rPr>
          <w:rFonts w:hint="eastAsia"/>
          <w:szCs w:val="32"/>
        </w:rPr>
        <w:t>万元，项目经费减少89.6万元，其中公务用车购置经费减少</w:t>
      </w:r>
      <w:r>
        <w:rPr>
          <w:szCs w:val="32"/>
        </w:rPr>
        <w:t>67.95</w:t>
      </w:r>
      <w:r>
        <w:rPr>
          <w:rFonts w:hint="eastAsia"/>
          <w:szCs w:val="32"/>
        </w:rPr>
        <w:t>万元，人员经费增加</w:t>
      </w:r>
      <w:r>
        <w:rPr>
          <w:szCs w:val="32"/>
        </w:rPr>
        <w:t>4.78</w:t>
      </w:r>
      <w:r>
        <w:rPr>
          <w:rFonts w:hint="eastAsia"/>
          <w:szCs w:val="32"/>
        </w:rPr>
        <w:t>万元。</w:t>
      </w:r>
    </w:p>
    <w:p>
      <w:pPr>
        <w:pStyle w:val="196"/>
        <w:ind w:left="632" w:firstLine="632"/>
        <w:rPr>
          <w:rFonts w:ascii="Times New Roman"/>
        </w:rPr>
      </w:pPr>
      <w:r>
        <w:rPr>
          <w:rFonts w:hint="eastAsia" w:ascii="仿宋" w:hAnsi="仿宋" w:eastAsia="仿宋"/>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385445</wp:posOffset>
            </wp:positionH>
            <wp:positionV relativeFrom="paragraph">
              <wp:posOffset>180340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pStyle w:val="196"/>
        <w:ind w:left="632" w:firstLine="632"/>
        <w:rPr>
          <w:rFonts w:ascii="Times New Roman"/>
        </w:rPr>
      </w:pPr>
    </w:p>
    <w:p>
      <w:pPr>
        <w:spacing w:line="560" w:lineRule="exact"/>
        <w:ind w:firstLine="632"/>
        <w:rPr>
          <w:rFonts w:eastAsia="楷体_GB2312"/>
          <w:szCs w:val="32"/>
        </w:rPr>
      </w:pPr>
      <w:bookmarkStart w:id="45" w:name="_Toc15377211"/>
      <w:r>
        <w:rPr>
          <w:szCs w:val="32"/>
        </w:rPr>
        <w:t>（图5：一般公共预算财政拨款支出决算变动情况）（柱状图）</w:t>
      </w:r>
    </w:p>
    <w:p>
      <w:pPr>
        <w:spacing w:line="560" w:lineRule="exact"/>
        <w:ind w:firstLine="632"/>
        <w:jc w:val="left"/>
        <w:outlineLvl w:val="2"/>
        <w:rPr>
          <w:rFonts w:eastAsia="楷体_GB2312"/>
          <w:b/>
          <w:bCs/>
          <w:szCs w:val="32"/>
        </w:rPr>
      </w:pPr>
      <w:bookmarkStart w:id="46" w:name="_Toc13407"/>
      <w:r>
        <w:rPr>
          <w:rFonts w:eastAsia="楷体_GB2312"/>
          <w:b/>
          <w:bCs/>
          <w:szCs w:val="32"/>
        </w:rPr>
        <w:t>（二）一般公共预算财政拨款支出决算结构情况</w:t>
      </w:r>
      <w:bookmarkEnd w:id="45"/>
      <w:bookmarkEnd w:id="46"/>
    </w:p>
    <w:p>
      <w:pPr>
        <w:spacing w:line="560" w:lineRule="exact"/>
        <w:ind w:firstLine="632"/>
        <w:rPr>
          <w:rFonts w:ascii="仿宋" w:hAnsi="仿宋" w:eastAsia="仿宋" w:cs="仿宋"/>
          <w:color w:val="000000"/>
          <w:szCs w:val="32"/>
        </w:rPr>
      </w:pPr>
      <w:r>
        <w:rPr>
          <w:szCs w:val="32"/>
        </w:rPr>
        <w:t>202</w:t>
      </w:r>
      <w:r>
        <w:rPr>
          <w:rFonts w:hint="eastAsia"/>
          <w:szCs w:val="32"/>
        </w:rPr>
        <w:t>4</w:t>
      </w:r>
      <w:r>
        <w:rPr>
          <w:szCs w:val="32"/>
        </w:rPr>
        <w:t>年度一般公共预算财政拨款支出</w:t>
      </w:r>
      <w:r>
        <w:rPr>
          <w:rFonts w:hint="eastAsia"/>
          <w:szCs w:val="32"/>
        </w:rPr>
        <w:t>1466.78</w:t>
      </w:r>
      <w:r>
        <w:rPr>
          <w:szCs w:val="32"/>
        </w:rPr>
        <w:t>万元，</w:t>
      </w:r>
      <w:r>
        <w:rPr>
          <w:rFonts w:hint="eastAsia" w:ascii="仿宋" w:hAnsi="仿宋" w:eastAsia="仿宋" w:cs="仿宋"/>
          <w:color w:val="000000"/>
          <w:szCs w:val="32"/>
        </w:rPr>
        <w:t>主要用于以下方面：</w:t>
      </w:r>
      <w:bookmarkStart w:id="47" w:name="OLE_LINK6"/>
      <w:bookmarkStart w:id="48" w:name="OLE_LINK5"/>
      <w:r>
        <w:rPr>
          <w:rFonts w:hint="eastAsia" w:ascii="仿宋" w:hAnsi="仿宋" w:eastAsia="仿宋" w:cs="仿宋"/>
          <w:color w:val="000000"/>
          <w:szCs w:val="32"/>
        </w:rPr>
        <w:t>一般公共服务支出</w:t>
      </w:r>
      <w:bookmarkEnd w:id="47"/>
      <w:bookmarkEnd w:id="48"/>
      <w:r>
        <w:rPr>
          <w:rFonts w:hint="eastAsia" w:ascii="仿宋" w:hAnsi="仿宋" w:eastAsia="仿宋" w:cs="仿宋"/>
          <w:color w:val="000000"/>
          <w:szCs w:val="32"/>
        </w:rPr>
        <w:t>1</w:t>
      </w:r>
      <w:r>
        <w:rPr>
          <w:rFonts w:hint="eastAsia" w:ascii="仿宋" w:hAnsi="仿宋" w:eastAsia="仿宋" w:cs="仿宋"/>
          <w:color w:val="000000"/>
          <w:szCs w:val="32"/>
          <w:lang w:val="en-US" w:eastAsia="zh-CN"/>
        </w:rPr>
        <w:t>4</w:t>
      </w:r>
      <w:r>
        <w:rPr>
          <w:rFonts w:hint="eastAsia" w:ascii="仿宋" w:hAnsi="仿宋" w:eastAsia="仿宋" w:cs="仿宋"/>
          <w:color w:val="000000"/>
          <w:szCs w:val="32"/>
        </w:rPr>
        <w:t>31.83万元，占</w:t>
      </w:r>
      <w:r>
        <w:rPr>
          <w:rFonts w:hint="eastAsia" w:ascii="仿宋" w:hAnsi="仿宋" w:eastAsia="仿宋" w:cs="仿宋"/>
          <w:color w:val="000000"/>
          <w:szCs w:val="32"/>
          <w:lang w:val="en-US" w:eastAsia="zh-CN"/>
        </w:rPr>
        <w:t>97.62</w:t>
      </w:r>
      <w:r>
        <w:rPr>
          <w:rFonts w:hint="eastAsia" w:ascii="仿宋" w:hAnsi="仿宋" w:eastAsia="仿宋" w:cs="仿宋"/>
          <w:color w:val="000000"/>
          <w:szCs w:val="32"/>
        </w:rPr>
        <w:t>%；</w:t>
      </w:r>
      <w:bookmarkStart w:id="49" w:name="OLE_LINK7"/>
      <w:bookmarkStart w:id="50" w:name="OLE_LINK10"/>
      <w:r>
        <w:rPr>
          <w:rFonts w:hint="eastAsia" w:ascii="仿宋" w:hAnsi="仿宋" w:eastAsia="仿宋" w:cs="仿宋"/>
          <w:color w:val="000000"/>
          <w:szCs w:val="32"/>
        </w:rPr>
        <w:t>社会保障和就业支出</w:t>
      </w:r>
      <w:bookmarkEnd w:id="49"/>
      <w:bookmarkEnd w:id="50"/>
      <w:r>
        <w:rPr>
          <w:rFonts w:hint="eastAsia" w:ascii="仿宋" w:hAnsi="仿宋" w:eastAsia="仿宋" w:cs="仿宋"/>
          <w:color w:val="000000"/>
          <w:szCs w:val="32"/>
        </w:rPr>
        <w:t>16.05万元，占1.09%；</w:t>
      </w:r>
      <w:bookmarkStart w:id="51" w:name="OLE_LINK11"/>
      <w:bookmarkStart w:id="52" w:name="OLE_LINK12"/>
      <w:r>
        <w:rPr>
          <w:rFonts w:hint="eastAsia" w:ascii="仿宋" w:hAnsi="仿宋" w:eastAsia="仿宋" w:cs="仿宋"/>
          <w:color w:val="000000"/>
          <w:szCs w:val="32"/>
        </w:rPr>
        <w:t>卫生健康支出</w:t>
      </w:r>
      <w:bookmarkEnd w:id="51"/>
      <w:bookmarkEnd w:id="52"/>
      <w:r>
        <w:rPr>
          <w:rFonts w:hint="eastAsia" w:ascii="仿宋" w:hAnsi="仿宋" w:eastAsia="仿宋" w:cs="仿宋"/>
          <w:color w:val="000000"/>
          <w:szCs w:val="32"/>
        </w:rPr>
        <w:t>7.72万元，占0.53%；</w:t>
      </w:r>
      <w:bookmarkStart w:id="53" w:name="OLE_LINK14"/>
      <w:bookmarkStart w:id="54" w:name="OLE_LINK13"/>
      <w:r>
        <w:rPr>
          <w:rFonts w:hint="eastAsia" w:ascii="仿宋" w:hAnsi="仿宋" w:eastAsia="仿宋" w:cs="仿宋"/>
          <w:color w:val="000000"/>
          <w:szCs w:val="32"/>
        </w:rPr>
        <w:t>住房保障支出</w:t>
      </w:r>
      <w:bookmarkEnd w:id="53"/>
      <w:bookmarkEnd w:id="54"/>
      <w:r>
        <w:rPr>
          <w:rFonts w:hint="eastAsia" w:ascii="仿宋" w:hAnsi="仿宋" w:eastAsia="仿宋" w:cs="仿宋"/>
          <w:color w:val="000000"/>
          <w:szCs w:val="32"/>
        </w:rPr>
        <w:t>11.18万元，占0.76%。</w:t>
      </w:r>
    </w:p>
    <w:p>
      <w:pPr>
        <w:pStyle w:val="196"/>
        <w:ind w:left="632" w:firstLine="632"/>
        <w:rPr>
          <w:rFonts w:ascii="仿宋" w:hAnsi="仿宋" w:eastAsia="仿宋"/>
          <w:color w:val="000000"/>
        </w:rPr>
      </w:pPr>
      <w:r>
        <w:rPr>
          <w:rFonts w:hint="eastAsia" w:ascii="仿宋" w:hAnsi="仿宋" w:eastAsia="仿宋"/>
          <w:color w:val="000000"/>
        </w:rPr>
        <w:drawing>
          <wp:inline distT="0" distB="0" distL="0" distR="0">
            <wp:extent cx="4623435" cy="3114040"/>
            <wp:effectExtent l="0" t="0" r="24765"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ind w:firstLine="632"/>
        <w:rPr>
          <w:rFonts w:eastAsia="楷体_GB2312"/>
          <w:szCs w:val="32"/>
        </w:rPr>
      </w:pPr>
      <w:bookmarkStart w:id="55" w:name="_Toc15377212"/>
      <w:r>
        <w:rPr>
          <w:szCs w:val="32"/>
        </w:rPr>
        <w:t>（图6：</w:t>
      </w:r>
      <w:bookmarkStart w:id="56" w:name="OLE_LINK3"/>
      <w:bookmarkStart w:id="57" w:name="OLE_LINK4"/>
      <w:r>
        <w:rPr>
          <w:szCs w:val="32"/>
        </w:rPr>
        <w:t>一般公共预算财政拨款支出决算结构</w:t>
      </w:r>
      <w:bookmarkEnd w:id="56"/>
      <w:bookmarkEnd w:id="57"/>
      <w:r>
        <w:rPr>
          <w:szCs w:val="32"/>
        </w:rPr>
        <w:t>）（饼状图）</w:t>
      </w:r>
    </w:p>
    <w:p>
      <w:pPr>
        <w:spacing w:line="560" w:lineRule="exact"/>
        <w:ind w:firstLine="632"/>
        <w:jc w:val="left"/>
        <w:outlineLvl w:val="2"/>
        <w:rPr>
          <w:rFonts w:eastAsia="楷体_GB2312"/>
          <w:b/>
          <w:bCs/>
          <w:szCs w:val="32"/>
        </w:rPr>
      </w:pPr>
      <w:bookmarkStart w:id="58" w:name="_Toc5736"/>
      <w:r>
        <w:rPr>
          <w:rFonts w:eastAsia="楷体_GB2312"/>
          <w:b/>
          <w:bCs/>
          <w:szCs w:val="32"/>
        </w:rPr>
        <w:t>（三）一般公共预算财政拨款支出决算具体情况</w:t>
      </w:r>
      <w:bookmarkEnd w:id="55"/>
      <w:bookmarkEnd w:id="58"/>
    </w:p>
    <w:p>
      <w:pPr>
        <w:spacing w:line="560" w:lineRule="exact"/>
        <w:ind w:firstLine="632"/>
        <w:outlineLvl w:val="2"/>
        <w:rPr>
          <w:rStyle w:val="213"/>
          <w:rFonts w:hint="eastAsia"/>
          <w:b w:val="0"/>
          <w:bCs w:val="0"/>
          <w:szCs w:val="32"/>
        </w:rPr>
      </w:pPr>
      <w:bookmarkStart w:id="59" w:name="_Toc15377444"/>
      <w:bookmarkStart w:id="60" w:name="_Toc15377213"/>
      <w:bookmarkStart w:id="61" w:name="_Toc15378460"/>
      <w:bookmarkStart w:id="62" w:name="_Toc30095"/>
      <w:r>
        <w:rPr>
          <w:szCs w:val="32"/>
        </w:rPr>
        <w:t>202</w:t>
      </w:r>
      <w:r>
        <w:rPr>
          <w:rFonts w:hint="eastAsia"/>
          <w:szCs w:val="32"/>
        </w:rPr>
        <w:t>4</w:t>
      </w:r>
      <w:r>
        <w:rPr>
          <w:szCs w:val="32"/>
        </w:rPr>
        <w:t>年度一般公共预算支出决算数为</w:t>
      </w:r>
      <w:r>
        <w:rPr>
          <w:rFonts w:hint="eastAsia"/>
          <w:szCs w:val="32"/>
        </w:rPr>
        <w:t>1466.78</w:t>
      </w:r>
      <w:r>
        <w:rPr>
          <w:rStyle w:val="216"/>
          <w:rFonts w:hint="eastAsia"/>
          <w:sz w:val="32"/>
          <w:szCs w:val="32"/>
        </w:rPr>
        <w:t>万元</w:t>
      </w:r>
      <w:r>
        <w:rPr>
          <w:szCs w:val="32"/>
        </w:rPr>
        <w:t>，</w:t>
      </w:r>
      <w:r>
        <w:rPr>
          <w:rStyle w:val="213"/>
          <w:b w:val="0"/>
          <w:bCs w:val="0"/>
          <w:szCs w:val="32"/>
        </w:rPr>
        <w:t>完成预算</w:t>
      </w:r>
      <w:r>
        <w:rPr>
          <w:rStyle w:val="213"/>
          <w:rFonts w:hint="eastAsia"/>
          <w:b w:val="0"/>
          <w:bCs w:val="0"/>
          <w:szCs w:val="32"/>
        </w:rPr>
        <w:t>100</w:t>
      </w:r>
      <w:r>
        <w:rPr>
          <w:rStyle w:val="213"/>
          <w:b w:val="0"/>
          <w:bCs w:val="0"/>
          <w:szCs w:val="32"/>
        </w:rPr>
        <w:t>%。其中：</w:t>
      </w:r>
      <w:bookmarkEnd w:id="59"/>
      <w:bookmarkEnd w:id="60"/>
      <w:bookmarkEnd w:id="61"/>
      <w:bookmarkEnd w:id="62"/>
    </w:p>
    <w:p>
      <w:pPr>
        <w:pStyle w:val="42"/>
        <w:numPr>
          <w:ilvl w:val="0"/>
          <w:numId w:val="0"/>
        </w:numPr>
        <w:spacing w:line="360" w:lineRule="auto"/>
      </w:pPr>
      <w:r>
        <w:rPr>
          <w:rStyle w:val="38"/>
          <w:rFonts w:hint="eastAsia" w:ascii="Times New Roman"/>
          <w:b w:val="0"/>
          <w:bCs w:val="0"/>
          <w:szCs w:val="32"/>
        </w:rPr>
        <w:t xml:space="preserve">    1.一般公共服务（类）人大事务（款）行政运行（项）：支出决算为</w:t>
      </w:r>
      <w:r>
        <w:rPr>
          <w:rStyle w:val="38"/>
          <w:rFonts w:hint="eastAsia"/>
          <w:b w:val="0"/>
          <w:bCs w:val="0"/>
          <w:szCs w:val="32"/>
        </w:rPr>
        <w:t>1.37</w:t>
      </w:r>
      <w:r>
        <w:rPr>
          <w:rStyle w:val="38"/>
          <w:rFonts w:hint="eastAsia" w:ascii="Times New Roman"/>
          <w:b w:val="0"/>
          <w:bCs w:val="0"/>
          <w:szCs w:val="32"/>
        </w:rPr>
        <w:t>万元，完成预算</w:t>
      </w:r>
      <w:r>
        <w:rPr>
          <w:rStyle w:val="38"/>
          <w:b w:val="0"/>
          <w:bCs w:val="0"/>
          <w:szCs w:val="32"/>
        </w:rPr>
        <w:t>100%</w:t>
      </w:r>
      <w:r>
        <w:rPr>
          <w:rStyle w:val="38"/>
          <w:rFonts w:hint="eastAsia" w:ascii="Times New Roman"/>
          <w:b w:val="0"/>
          <w:bCs w:val="0"/>
          <w:szCs w:val="32"/>
        </w:rPr>
        <w:t>，决算数与预算数持平。</w:t>
      </w:r>
    </w:p>
    <w:p>
      <w:pPr>
        <w:tabs>
          <w:tab w:val="left" w:pos="312"/>
        </w:tabs>
        <w:spacing w:line="360" w:lineRule="auto"/>
        <w:ind w:firstLine="640" w:firstLineChars="200"/>
      </w:pPr>
      <w:bookmarkStart w:id="63" w:name="_Toc15396608"/>
      <w:bookmarkStart w:id="64" w:name="_Toc8519"/>
      <w:bookmarkStart w:id="65" w:name="_Toc15377214"/>
      <w:r>
        <w:rPr>
          <w:rStyle w:val="38"/>
          <w:rFonts w:hint="eastAsia" w:ascii="Times New Roman"/>
          <w:b w:val="0"/>
          <w:bCs w:val="0"/>
          <w:szCs w:val="32"/>
        </w:rPr>
        <w:t>2.一般公共服务（类）政府办公厅（室）及相关机构事务（款）事业运行（项）：支出决算为</w:t>
      </w:r>
      <w:r>
        <w:rPr>
          <w:rStyle w:val="38"/>
          <w:b w:val="0"/>
          <w:bCs w:val="0"/>
          <w:szCs w:val="32"/>
        </w:rPr>
        <w:t>354.3</w:t>
      </w:r>
      <w:r>
        <w:rPr>
          <w:rStyle w:val="38"/>
          <w:rFonts w:hint="eastAsia" w:ascii="Times New Roman"/>
          <w:b w:val="0"/>
          <w:bCs w:val="0"/>
          <w:szCs w:val="32"/>
        </w:rPr>
        <w:t>万元，完成预算</w:t>
      </w:r>
      <w:r>
        <w:rPr>
          <w:rStyle w:val="38"/>
          <w:b w:val="0"/>
          <w:bCs w:val="0"/>
          <w:szCs w:val="32"/>
        </w:rPr>
        <w:t>100%</w:t>
      </w:r>
      <w:r>
        <w:rPr>
          <w:rStyle w:val="38"/>
          <w:rFonts w:hint="eastAsia" w:ascii="Times New Roman"/>
          <w:b w:val="0"/>
          <w:bCs w:val="0"/>
          <w:szCs w:val="32"/>
        </w:rPr>
        <w:t>，决算数与预算数持平。</w:t>
      </w:r>
    </w:p>
    <w:p>
      <w:pPr>
        <w:pStyle w:val="3"/>
        <w:tabs>
          <w:tab w:val="left" w:pos="312"/>
        </w:tabs>
        <w:spacing w:line="360" w:lineRule="auto"/>
        <w:ind w:left="0" w:leftChars="0" w:firstLine="640"/>
        <w:rPr>
          <w:rStyle w:val="38"/>
          <w:b w:val="0"/>
          <w:bCs w:val="0"/>
        </w:rPr>
      </w:pPr>
      <w:r>
        <w:rPr>
          <w:rStyle w:val="38"/>
          <w:rFonts w:hint="eastAsia" w:ascii="Times New Roman"/>
          <w:b w:val="0"/>
          <w:bCs w:val="0"/>
        </w:rPr>
        <w:t>3.一般公共服务（类）政府办公厅（室）及相关机构事务（款）机关服务（项）：支出决算为</w:t>
      </w:r>
      <w:r>
        <w:rPr>
          <w:rStyle w:val="38"/>
          <w:b w:val="0"/>
          <w:bCs w:val="0"/>
        </w:rPr>
        <w:t>592.47</w:t>
      </w:r>
      <w:r>
        <w:rPr>
          <w:rStyle w:val="38"/>
          <w:rFonts w:hint="eastAsia" w:ascii="Times New Roman"/>
          <w:b w:val="0"/>
          <w:bCs w:val="0"/>
        </w:rPr>
        <w:t>万元，完成预算</w:t>
      </w:r>
      <w:r>
        <w:rPr>
          <w:rStyle w:val="38"/>
          <w:b w:val="0"/>
          <w:bCs w:val="0"/>
        </w:rPr>
        <w:t>100%</w:t>
      </w:r>
      <w:r>
        <w:rPr>
          <w:rStyle w:val="38"/>
          <w:rFonts w:hint="eastAsia" w:ascii="Times New Roman"/>
          <w:b w:val="0"/>
          <w:bCs w:val="0"/>
        </w:rPr>
        <w:t>，决算数与预算数持平。</w:t>
      </w:r>
    </w:p>
    <w:p>
      <w:pPr>
        <w:pStyle w:val="3"/>
        <w:tabs>
          <w:tab w:val="left" w:pos="312"/>
        </w:tabs>
        <w:spacing w:line="360" w:lineRule="auto"/>
        <w:ind w:left="0" w:leftChars="0" w:firstLine="480" w:firstLineChars="150"/>
        <w:rPr>
          <w:rStyle w:val="38"/>
          <w:b w:val="0"/>
          <w:bCs w:val="0"/>
        </w:rPr>
      </w:pPr>
      <w:r>
        <w:rPr>
          <w:rStyle w:val="38"/>
          <w:rFonts w:hint="eastAsia" w:ascii="Times New Roman"/>
          <w:b w:val="0"/>
          <w:bCs w:val="0"/>
          <w:color w:val="auto"/>
        </w:rPr>
        <w:t>4.一般公共服务（类）政府办公厅（室）及相关机构事务（款）专项业务及机关事务管理（项）：支出决算为</w:t>
      </w:r>
      <w:r>
        <w:rPr>
          <w:rStyle w:val="38"/>
          <w:rFonts w:hint="eastAsia" w:ascii="Times New Roman"/>
          <w:b w:val="0"/>
          <w:bCs w:val="0"/>
          <w:color w:val="auto"/>
          <w:lang w:val="en-US" w:eastAsia="zh-CN"/>
        </w:rPr>
        <w:t>4</w:t>
      </w:r>
      <w:r>
        <w:rPr>
          <w:rStyle w:val="38"/>
          <w:b w:val="0"/>
          <w:bCs w:val="0"/>
          <w:color w:val="auto"/>
        </w:rPr>
        <w:t>83.09</w:t>
      </w:r>
      <w:r>
        <w:rPr>
          <w:rStyle w:val="38"/>
          <w:rFonts w:hint="eastAsia" w:ascii="Times New Roman"/>
          <w:b w:val="0"/>
          <w:bCs w:val="0"/>
        </w:rPr>
        <w:t>万元，完成预算</w:t>
      </w:r>
      <w:r>
        <w:rPr>
          <w:rStyle w:val="38"/>
          <w:b w:val="0"/>
          <w:bCs w:val="0"/>
        </w:rPr>
        <w:t>100%</w:t>
      </w:r>
      <w:r>
        <w:rPr>
          <w:rStyle w:val="38"/>
          <w:rFonts w:hint="eastAsia" w:ascii="Times New Roman"/>
          <w:b w:val="0"/>
          <w:bCs w:val="0"/>
        </w:rPr>
        <w:t>，决算数与预算数持平。</w:t>
      </w:r>
    </w:p>
    <w:p>
      <w:pPr>
        <w:pStyle w:val="3"/>
        <w:spacing w:line="360" w:lineRule="auto"/>
        <w:ind w:leftChars="0" w:firstLine="160" w:firstLineChars="50"/>
        <w:rPr>
          <w:rStyle w:val="38"/>
          <w:rFonts w:hint="eastAsia" w:ascii="Times New Roman"/>
          <w:b w:val="0"/>
          <w:bCs w:val="0"/>
        </w:rPr>
      </w:pPr>
      <w:r>
        <w:rPr>
          <w:rStyle w:val="38"/>
          <w:rFonts w:hint="eastAsia" w:ascii="Times New Roman"/>
          <w:b w:val="0"/>
          <w:bCs w:val="0"/>
        </w:rPr>
        <w:t>5.一般公共服务（类）政府办公厅（室）及相关机构事务（款）其他政府办公厅（室）及相关机构事务支出（项）：</w:t>
      </w:r>
      <w:bookmarkStart w:id="66" w:name="OLE_LINK28"/>
      <w:bookmarkStart w:id="67" w:name="OLE_LINK27"/>
      <w:r>
        <w:rPr>
          <w:rStyle w:val="38"/>
          <w:rFonts w:hint="eastAsia" w:ascii="Times New Roman"/>
          <w:b w:val="0"/>
          <w:bCs w:val="0"/>
        </w:rPr>
        <w:t>支出决算为</w:t>
      </w:r>
      <w:r>
        <w:rPr>
          <w:rStyle w:val="38"/>
          <w:rFonts w:hint="eastAsia"/>
          <w:b w:val="0"/>
          <w:bCs w:val="0"/>
        </w:rPr>
        <w:t>0.6</w:t>
      </w:r>
      <w:r>
        <w:rPr>
          <w:rStyle w:val="38"/>
          <w:rFonts w:hint="eastAsia" w:ascii="Times New Roman"/>
          <w:b w:val="0"/>
          <w:bCs w:val="0"/>
        </w:rPr>
        <w:t>万元，完成预算</w:t>
      </w:r>
      <w:r>
        <w:rPr>
          <w:rStyle w:val="38"/>
          <w:b w:val="0"/>
          <w:bCs w:val="0"/>
        </w:rPr>
        <w:t>100%</w:t>
      </w:r>
      <w:r>
        <w:rPr>
          <w:rStyle w:val="38"/>
          <w:rFonts w:hint="eastAsia" w:ascii="Times New Roman"/>
          <w:b w:val="0"/>
          <w:bCs w:val="0"/>
        </w:rPr>
        <w:t>，决算数与预算数持平。</w:t>
      </w:r>
      <w:bookmarkEnd w:id="66"/>
      <w:bookmarkEnd w:id="67"/>
    </w:p>
    <w:p>
      <w:pPr>
        <w:tabs>
          <w:tab w:val="left" w:pos="312"/>
        </w:tabs>
        <w:spacing w:line="360" w:lineRule="auto"/>
        <w:ind w:firstLine="320" w:firstLineChars="100"/>
        <w:rPr>
          <w:rStyle w:val="38"/>
          <w:b w:val="0"/>
          <w:bCs w:val="0"/>
          <w:szCs w:val="32"/>
        </w:rPr>
      </w:pPr>
      <w:r>
        <w:rPr>
          <w:rStyle w:val="38"/>
          <w:rFonts w:hint="eastAsia" w:ascii="Times New Roman"/>
          <w:b w:val="0"/>
          <w:bCs w:val="0"/>
          <w:szCs w:val="32"/>
        </w:rPr>
        <w:t>7.社会保障和就业（类）行政事业单位养老支出（款）机关事业单位基本养老保险缴费支出（项）：支出决算为</w:t>
      </w:r>
      <w:r>
        <w:rPr>
          <w:rStyle w:val="38"/>
          <w:b w:val="0"/>
          <w:bCs w:val="0"/>
          <w:szCs w:val="32"/>
        </w:rPr>
        <w:t>1</w:t>
      </w:r>
      <w:r>
        <w:rPr>
          <w:rStyle w:val="38"/>
          <w:rFonts w:hint="eastAsia"/>
          <w:b w:val="0"/>
          <w:bCs w:val="0"/>
          <w:szCs w:val="32"/>
        </w:rPr>
        <w:t>4.9</w:t>
      </w:r>
      <w:r>
        <w:rPr>
          <w:rStyle w:val="38"/>
          <w:rFonts w:hint="eastAsia" w:ascii="Times New Roman"/>
          <w:b w:val="0"/>
          <w:bCs w:val="0"/>
          <w:szCs w:val="32"/>
        </w:rPr>
        <w:t>万元，完成预算</w:t>
      </w:r>
      <w:r>
        <w:rPr>
          <w:rStyle w:val="38"/>
          <w:b w:val="0"/>
          <w:bCs w:val="0"/>
          <w:szCs w:val="32"/>
        </w:rPr>
        <w:t>100%</w:t>
      </w:r>
      <w:r>
        <w:rPr>
          <w:rStyle w:val="38"/>
          <w:rFonts w:hint="eastAsia" w:ascii="Times New Roman"/>
          <w:b w:val="0"/>
          <w:bCs w:val="0"/>
          <w:szCs w:val="32"/>
        </w:rPr>
        <w:t>，决算数与预算数持平。</w:t>
      </w:r>
    </w:p>
    <w:p>
      <w:pPr>
        <w:pStyle w:val="3"/>
        <w:tabs>
          <w:tab w:val="left" w:pos="312"/>
        </w:tabs>
        <w:spacing w:line="360" w:lineRule="auto"/>
        <w:ind w:leftChars="0" w:firstLineChars="0"/>
        <w:rPr>
          <w:rStyle w:val="38"/>
          <w:rFonts w:hint="eastAsia" w:ascii="Times New Roman"/>
          <w:b w:val="0"/>
          <w:bCs w:val="0"/>
        </w:rPr>
      </w:pPr>
      <w:r>
        <w:rPr>
          <w:rStyle w:val="38"/>
          <w:rFonts w:hint="eastAsia" w:ascii="Times New Roman"/>
          <w:b w:val="0"/>
          <w:bCs w:val="0"/>
        </w:rPr>
        <w:t>8.社会保障和就业（类）其他社会保障和就业支出（款）其他社会保障和就业支出（项）：支出决算为</w:t>
      </w:r>
      <w:r>
        <w:rPr>
          <w:rStyle w:val="38"/>
          <w:rFonts w:hint="eastAsia"/>
          <w:b w:val="0"/>
          <w:bCs w:val="0"/>
        </w:rPr>
        <w:t>1.15</w:t>
      </w:r>
      <w:r>
        <w:rPr>
          <w:rStyle w:val="38"/>
          <w:rFonts w:hint="eastAsia" w:ascii="Times New Roman"/>
          <w:b w:val="0"/>
          <w:bCs w:val="0"/>
        </w:rPr>
        <w:t>万元，完成预算</w:t>
      </w:r>
      <w:r>
        <w:rPr>
          <w:rStyle w:val="38"/>
          <w:b w:val="0"/>
          <w:bCs w:val="0"/>
        </w:rPr>
        <w:t>100%</w:t>
      </w:r>
      <w:r>
        <w:rPr>
          <w:rStyle w:val="38"/>
          <w:rFonts w:hint="eastAsia" w:ascii="Times New Roman"/>
          <w:b w:val="0"/>
          <w:bCs w:val="0"/>
        </w:rPr>
        <w:t>，决算数与预算数持平。</w:t>
      </w:r>
    </w:p>
    <w:p>
      <w:pPr>
        <w:pStyle w:val="3"/>
        <w:tabs>
          <w:tab w:val="left" w:pos="312"/>
        </w:tabs>
        <w:spacing w:line="360" w:lineRule="auto"/>
        <w:ind w:leftChars="0" w:firstLineChars="0"/>
        <w:rPr>
          <w:rStyle w:val="38"/>
          <w:b w:val="0"/>
          <w:bCs w:val="0"/>
          <w:szCs w:val="24"/>
        </w:rPr>
      </w:pPr>
      <w:r>
        <w:rPr>
          <w:rFonts w:hint="eastAsia" w:ascii="Times New Roman" w:hAnsi="Times New Roman"/>
        </w:rPr>
        <w:t>9.卫生健康（</w:t>
      </w:r>
      <w:r>
        <w:rPr>
          <w:rStyle w:val="38"/>
          <w:rFonts w:hint="eastAsia" w:ascii="Times New Roman" w:hAnsi="Times New Roman"/>
          <w:b w:val="0"/>
          <w:bCs w:val="0"/>
        </w:rPr>
        <w:t>类）行政事业单位医疗（款）事业单位医疗（项）：支出决算为</w:t>
      </w:r>
      <w:r>
        <w:rPr>
          <w:rStyle w:val="38"/>
          <w:b w:val="0"/>
          <w:bCs w:val="0"/>
        </w:rPr>
        <w:t>7.</w:t>
      </w:r>
      <w:r>
        <w:rPr>
          <w:rStyle w:val="38"/>
          <w:rFonts w:hint="eastAsia"/>
          <w:b w:val="0"/>
          <w:bCs w:val="0"/>
        </w:rPr>
        <w:t>72</w:t>
      </w:r>
      <w:r>
        <w:rPr>
          <w:rStyle w:val="38"/>
          <w:rFonts w:hint="eastAsia" w:ascii="Times New Roman"/>
          <w:b w:val="0"/>
          <w:bCs w:val="0"/>
        </w:rPr>
        <w:t>万元，完成预算</w:t>
      </w:r>
      <w:r>
        <w:rPr>
          <w:rStyle w:val="38"/>
          <w:b w:val="0"/>
          <w:bCs w:val="0"/>
        </w:rPr>
        <w:t>100%</w:t>
      </w:r>
      <w:r>
        <w:rPr>
          <w:rStyle w:val="38"/>
          <w:rFonts w:hint="eastAsia" w:ascii="Times New Roman"/>
          <w:b w:val="0"/>
          <w:bCs w:val="0"/>
        </w:rPr>
        <w:t>，决算数与预算数持平。</w:t>
      </w:r>
    </w:p>
    <w:p>
      <w:pPr>
        <w:pStyle w:val="3"/>
        <w:tabs>
          <w:tab w:val="left" w:pos="312"/>
        </w:tabs>
        <w:spacing w:line="360" w:lineRule="auto"/>
        <w:ind w:left="640" w:leftChars="0" w:firstLine="0" w:firstLineChars="0"/>
        <w:rPr>
          <w:szCs w:val="24"/>
        </w:rPr>
      </w:pPr>
    </w:p>
    <w:p>
      <w:pPr>
        <w:pStyle w:val="3"/>
        <w:spacing w:line="360" w:lineRule="auto"/>
        <w:ind w:left="0" w:leftChars="0" w:firstLine="640"/>
        <w:rPr>
          <w:rFonts w:ascii="仿宋" w:hAnsi="仿宋" w:eastAsia="仿宋" w:cs="仿宋"/>
          <w:color w:val="000000"/>
        </w:rPr>
      </w:pPr>
      <w:r>
        <w:rPr>
          <w:rFonts w:hint="eastAsia" w:ascii="Times New Roman" w:hAnsi="Times New Roman"/>
        </w:rPr>
        <w:t>10.住房保障（</w:t>
      </w:r>
      <w:r>
        <w:rPr>
          <w:rStyle w:val="38"/>
          <w:rFonts w:hint="eastAsia" w:ascii="Times New Roman" w:hAnsi="Times New Roman"/>
          <w:b w:val="0"/>
          <w:bCs w:val="0"/>
        </w:rPr>
        <w:t>类</w:t>
      </w:r>
      <w:r>
        <w:rPr>
          <w:rFonts w:hint="eastAsia" w:ascii="Times New Roman" w:hAnsi="Times New Roman"/>
        </w:rPr>
        <w:t>）住房改革支出（</w:t>
      </w:r>
      <w:r>
        <w:rPr>
          <w:rStyle w:val="38"/>
          <w:rFonts w:hint="eastAsia" w:ascii="Times New Roman" w:hAnsi="Times New Roman"/>
          <w:b w:val="0"/>
          <w:bCs w:val="0"/>
        </w:rPr>
        <w:t>款</w:t>
      </w:r>
      <w:r>
        <w:rPr>
          <w:rFonts w:hint="eastAsia" w:ascii="Times New Roman" w:hAnsi="Times New Roman"/>
        </w:rPr>
        <w:t>）住房公积金（</w:t>
      </w:r>
      <w:r>
        <w:rPr>
          <w:rStyle w:val="38"/>
          <w:rFonts w:hint="eastAsia" w:ascii="Times New Roman" w:hAnsi="Times New Roman"/>
          <w:b w:val="0"/>
          <w:bCs w:val="0"/>
        </w:rPr>
        <w:t>项</w:t>
      </w:r>
      <w:r>
        <w:rPr>
          <w:rFonts w:hint="eastAsia" w:ascii="Times New Roman" w:hAnsi="Times New Roman"/>
        </w:rPr>
        <w:t>）：</w:t>
      </w:r>
      <w:r>
        <w:rPr>
          <w:rStyle w:val="38"/>
          <w:rFonts w:hint="eastAsia" w:ascii="Times New Roman" w:hAnsi="Times New Roman"/>
          <w:b w:val="0"/>
          <w:bCs w:val="0"/>
        </w:rPr>
        <w:t>支出决算为</w:t>
      </w:r>
      <w:r>
        <w:rPr>
          <w:rStyle w:val="38"/>
          <w:rFonts w:hint="eastAsia" w:ascii="宋体" w:hAnsi="宋体" w:cs="宋体"/>
          <w:b w:val="0"/>
          <w:bCs w:val="0"/>
        </w:rPr>
        <w:t>11.18</w:t>
      </w:r>
      <w:r>
        <w:rPr>
          <w:rStyle w:val="38"/>
          <w:rFonts w:hint="eastAsia" w:ascii="Times New Roman" w:hAnsi="宋体" w:cs="宋体"/>
          <w:b w:val="0"/>
          <w:bCs w:val="0"/>
        </w:rPr>
        <w:t>万元，完成预算</w:t>
      </w:r>
      <w:r>
        <w:rPr>
          <w:rStyle w:val="38"/>
          <w:rFonts w:hint="eastAsia" w:ascii="宋体" w:hAnsi="宋体" w:cs="宋体"/>
          <w:b w:val="0"/>
          <w:bCs w:val="0"/>
        </w:rPr>
        <w:t>100%</w:t>
      </w:r>
      <w:r>
        <w:rPr>
          <w:rStyle w:val="38"/>
          <w:rFonts w:hint="eastAsia" w:ascii="Times New Roman" w:hAnsi="宋体" w:cs="宋体"/>
          <w:b w:val="0"/>
          <w:bCs w:val="0"/>
        </w:rPr>
        <w:t>，决算数与预算数持平。</w:t>
      </w:r>
    </w:p>
    <w:p>
      <w:pPr>
        <w:pStyle w:val="195"/>
        <w:spacing w:line="360" w:lineRule="auto"/>
        <w:ind w:firstLine="632"/>
        <w:rPr>
          <w:rStyle w:val="199"/>
          <w:rFonts w:ascii="Times New Roman" w:hAnsi="Times New Roman"/>
          <w:b w:val="0"/>
          <w:i w:val="0"/>
          <w:sz w:val="32"/>
          <w:szCs w:val="32"/>
        </w:rPr>
      </w:pPr>
      <w:r>
        <w:rPr>
          <w:rFonts w:eastAsia="黑体"/>
          <w:sz w:val="32"/>
          <w:szCs w:val="32"/>
        </w:rPr>
        <w:t>六、一</w:t>
      </w:r>
      <w:r>
        <w:rPr>
          <w:rStyle w:val="199"/>
          <w:rFonts w:ascii="Times New Roman" w:hAnsi="Times New Roman" w:eastAsia="黑体"/>
          <w:b w:val="0"/>
          <w:i w:val="0"/>
          <w:sz w:val="32"/>
          <w:szCs w:val="32"/>
        </w:rPr>
        <w:t>般公共预算财政拨款基本支出决算情况说明</w:t>
      </w:r>
      <w:bookmarkEnd w:id="63"/>
      <w:bookmarkEnd w:id="64"/>
      <w:bookmarkEnd w:id="65"/>
      <w:r>
        <w:rPr>
          <w:rStyle w:val="199"/>
          <w:rFonts w:ascii="Times New Roman" w:hAnsi="Times New Roman" w:eastAsia="黑体"/>
          <w:b w:val="0"/>
          <w:i w:val="0"/>
          <w:sz w:val="32"/>
          <w:szCs w:val="32"/>
        </w:rPr>
        <w:tab/>
      </w:r>
    </w:p>
    <w:p>
      <w:pPr>
        <w:spacing w:line="560" w:lineRule="exact"/>
        <w:ind w:firstLine="645"/>
        <w:rPr>
          <w:szCs w:val="32"/>
        </w:rPr>
      </w:pPr>
      <w:r>
        <w:rPr>
          <w:szCs w:val="32"/>
        </w:rPr>
        <w:t>202</w:t>
      </w:r>
      <w:r>
        <w:rPr>
          <w:rFonts w:hint="eastAsia"/>
          <w:szCs w:val="32"/>
        </w:rPr>
        <w:t>4</w:t>
      </w:r>
      <w:r>
        <w:rPr>
          <w:szCs w:val="32"/>
        </w:rPr>
        <w:t>年度一般公共预算财政拨款基本支出</w:t>
      </w:r>
      <w:r>
        <w:rPr>
          <w:rFonts w:hint="eastAsia"/>
          <w:szCs w:val="32"/>
        </w:rPr>
        <w:t>390.62</w:t>
      </w:r>
      <w:r>
        <w:rPr>
          <w:szCs w:val="32"/>
        </w:rPr>
        <w:t>万元，其中：</w:t>
      </w:r>
    </w:p>
    <w:p>
      <w:pPr>
        <w:spacing w:line="560" w:lineRule="exact"/>
        <w:ind w:firstLine="645"/>
        <w:rPr>
          <w:rFonts w:hint="eastAsia"/>
          <w:szCs w:val="32"/>
        </w:rPr>
      </w:pPr>
      <w:r>
        <w:rPr>
          <w:szCs w:val="32"/>
        </w:rPr>
        <w:t>人员经费</w:t>
      </w:r>
      <w:r>
        <w:rPr>
          <w:rFonts w:hint="eastAsia"/>
          <w:szCs w:val="32"/>
        </w:rPr>
        <w:t>129.82</w:t>
      </w:r>
      <w:r>
        <w:rPr>
          <w:szCs w:val="32"/>
        </w:rPr>
        <w:t>万元，主要包括：基本工资、津贴补贴、绩效工资、机关事业单位基本养老保险缴费、职工基本医疗保险缴费</w:t>
      </w:r>
      <w:r>
        <w:rPr>
          <w:rFonts w:hint="eastAsia"/>
          <w:szCs w:val="32"/>
        </w:rPr>
        <w:t>、公务员医疗补助缴费、</w:t>
      </w:r>
      <w:r>
        <w:rPr>
          <w:szCs w:val="32"/>
        </w:rPr>
        <w:t>其他社会保障缴费、住房公积金</w:t>
      </w:r>
      <w:r>
        <w:rPr>
          <w:rFonts w:hint="eastAsia"/>
          <w:szCs w:val="32"/>
        </w:rPr>
        <w:t xml:space="preserve">。   </w:t>
      </w:r>
    </w:p>
    <w:p>
      <w:pPr>
        <w:spacing w:line="560" w:lineRule="exact"/>
        <w:ind w:firstLine="645"/>
        <w:rPr>
          <w:szCs w:val="32"/>
        </w:rPr>
      </w:pPr>
      <w:r>
        <w:rPr>
          <w:szCs w:val="32"/>
        </w:rPr>
        <w:t>公用经费</w:t>
      </w:r>
      <w:r>
        <w:rPr>
          <w:rFonts w:hint="eastAsia"/>
          <w:szCs w:val="32"/>
        </w:rPr>
        <w:t>260.8</w:t>
      </w:r>
      <w:r>
        <w:rPr>
          <w:szCs w:val="32"/>
        </w:rPr>
        <w:t>万元，主要包括：办公费、</w:t>
      </w:r>
      <w:r>
        <w:rPr>
          <w:rFonts w:hint="eastAsia"/>
          <w:szCs w:val="32"/>
        </w:rPr>
        <w:t>邮电费、</w:t>
      </w:r>
      <w:r>
        <w:rPr>
          <w:szCs w:val="32"/>
        </w:rPr>
        <w:t>差旅费、</w:t>
      </w:r>
      <w:r>
        <w:rPr>
          <w:rFonts w:hint="eastAsia"/>
          <w:szCs w:val="32"/>
        </w:rPr>
        <w:t>劳务费、</w:t>
      </w:r>
      <w:r>
        <w:rPr>
          <w:szCs w:val="32"/>
        </w:rPr>
        <w:t>工会经费、福利费、</w:t>
      </w:r>
      <w:r>
        <w:rPr>
          <w:rFonts w:hint="eastAsia"/>
          <w:szCs w:val="32"/>
        </w:rPr>
        <w:t>公务用车运行维护费、其他交通费用、</w:t>
      </w:r>
      <w:r>
        <w:rPr>
          <w:szCs w:val="32"/>
        </w:rPr>
        <w:t>其他商品和服务支出等。</w:t>
      </w:r>
    </w:p>
    <w:p>
      <w:pPr>
        <w:spacing w:line="560" w:lineRule="exact"/>
        <w:ind w:firstLine="640"/>
        <w:outlineLvl w:val="1"/>
        <w:rPr>
          <w:rStyle w:val="199"/>
          <w:rFonts w:ascii="Times New Roman" w:hAnsi="Times New Roman" w:eastAsia="黑体"/>
          <w:b w:val="0"/>
          <w:i w:val="0"/>
        </w:rPr>
      </w:pPr>
      <w:bookmarkStart w:id="68" w:name="_Toc30667"/>
      <w:bookmarkStart w:id="69" w:name="_Toc15396609"/>
      <w:bookmarkStart w:id="70" w:name="_Toc15377215"/>
      <w:r>
        <w:rPr>
          <w:rFonts w:eastAsia="黑体"/>
          <w:szCs w:val="32"/>
        </w:rPr>
        <w:t>七、</w:t>
      </w:r>
      <w:r>
        <w:rPr>
          <w:rStyle w:val="199"/>
          <w:rFonts w:ascii="Times New Roman" w:hAnsi="Times New Roman" w:eastAsia="黑体"/>
          <w:b w:val="0"/>
          <w:i w:val="0"/>
        </w:rPr>
        <w:t>财政拨款“三公”经费支出决算情况说明</w:t>
      </w:r>
      <w:bookmarkEnd w:id="68"/>
      <w:bookmarkEnd w:id="69"/>
      <w:bookmarkEnd w:id="70"/>
    </w:p>
    <w:p>
      <w:pPr>
        <w:spacing w:line="560" w:lineRule="exact"/>
        <w:ind w:firstLine="632"/>
        <w:jc w:val="left"/>
        <w:outlineLvl w:val="2"/>
        <w:rPr>
          <w:rFonts w:eastAsia="楷体_GB2312"/>
          <w:b/>
          <w:bCs/>
          <w:szCs w:val="32"/>
        </w:rPr>
      </w:pPr>
      <w:bookmarkStart w:id="71" w:name="_Toc1959"/>
      <w:bookmarkStart w:id="72" w:name="_Toc15377216"/>
      <w:r>
        <w:rPr>
          <w:rFonts w:eastAsia="楷体_GB2312"/>
          <w:b/>
          <w:bCs/>
          <w:szCs w:val="32"/>
        </w:rPr>
        <w:t>（一）“三公”经费财政拨款支出决算总体情况说明</w:t>
      </w:r>
      <w:bookmarkEnd w:id="71"/>
      <w:bookmarkEnd w:id="72"/>
    </w:p>
    <w:p>
      <w:pPr>
        <w:spacing w:line="560" w:lineRule="exact"/>
        <w:ind w:firstLine="640"/>
        <w:rPr>
          <w:szCs w:val="32"/>
        </w:rPr>
      </w:pPr>
      <w:r>
        <w:rPr>
          <w:szCs w:val="32"/>
        </w:rPr>
        <w:t>202</w:t>
      </w:r>
      <w:r>
        <w:rPr>
          <w:rFonts w:hint="eastAsia"/>
          <w:szCs w:val="32"/>
        </w:rPr>
        <w:t>4</w:t>
      </w:r>
      <w:r>
        <w:rPr>
          <w:szCs w:val="32"/>
        </w:rPr>
        <w:t>年度“三公”经费财政拨款支出决算为</w:t>
      </w:r>
      <w:r>
        <w:rPr>
          <w:rFonts w:hint="eastAsia"/>
          <w:szCs w:val="32"/>
        </w:rPr>
        <w:t>336.48</w:t>
      </w:r>
      <w:r>
        <w:rPr>
          <w:szCs w:val="32"/>
        </w:rPr>
        <w:t>万元，完成预算</w:t>
      </w:r>
      <w:r>
        <w:rPr>
          <w:rFonts w:hint="eastAsia"/>
          <w:szCs w:val="32"/>
        </w:rPr>
        <w:t>100</w:t>
      </w:r>
      <w:r>
        <w:rPr>
          <w:szCs w:val="32"/>
        </w:rPr>
        <w:t>%，较上年度减少</w:t>
      </w:r>
      <w:r>
        <w:rPr>
          <w:rFonts w:hint="eastAsia"/>
          <w:szCs w:val="32"/>
        </w:rPr>
        <w:t>45.28</w:t>
      </w:r>
      <w:r>
        <w:rPr>
          <w:szCs w:val="32"/>
        </w:rPr>
        <w:t>万元，下降</w:t>
      </w:r>
      <w:r>
        <w:rPr>
          <w:rFonts w:hint="eastAsia"/>
          <w:szCs w:val="32"/>
        </w:rPr>
        <w:t>11.86</w:t>
      </w:r>
      <w:r>
        <w:rPr>
          <w:szCs w:val="32"/>
        </w:rPr>
        <w:t>%。决算数与预算数持平。</w:t>
      </w:r>
    </w:p>
    <w:p>
      <w:pPr>
        <w:spacing w:line="560" w:lineRule="exact"/>
        <w:ind w:firstLine="640"/>
        <w:outlineLvl w:val="2"/>
        <w:rPr>
          <w:b/>
          <w:bCs/>
          <w:szCs w:val="32"/>
        </w:rPr>
      </w:pPr>
      <w:bookmarkStart w:id="73" w:name="_Toc31883"/>
      <w:bookmarkStart w:id="74" w:name="_Toc15377217"/>
      <w:r>
        <w:rPr>
          <w:rFonts w:eastAsia="楷体_GB2312"/>
          <w:b/>
          <w:bCs/>
          <w:szCs w:val="32"/>
        </w:rPr>
        <w:t>（二）“三公”经费财政拨款支出决算具体情况说明</w:t>
      </w:r>
      <w:bookmarkEnd w:id="73"/>
      <w:bookmarkEnd w:id="74"/>
    </w:p>
    <w:p>
      <w:pPr>
        <w:spacing w:line="560" w:lineRule="exact"/>
        <w:ind w:firstLine="640"/>
        <w:rPr>
          <w:szCs w:val="32"/>
        </w:rPr>
      </w:pPr>
      <w:r>
        <w:rPr>
          <w:szCs w:val="32"/>
        </w:rPr>
        <w:t>202</w:t>
      </w:r>
      <w:r>
        <w:rPr>
          <w:rFonts w:hint="eastAsia"/>
          <w:szCs w:val="32"/>
        </w:rPr>
        <w:t>4</w:t>
      </w:r>
      <w:r>
        <w:rPr>
          <w:szCs w:val="32"/>
        </w:rPr>
        <w:t>年度“三公”经费财政拨款支出决算中，因公出国（境）费支出决算</w:t>
      </w:r>
      <w:r>
        <w:rPr>
          <w:rFonts w:hint="eastAsia"/>
          <w:szCs w:val="32"/>
        </w:rPr>
        <w:t>0</w:t>
      </w:r>
      <w:r>
        <w:rPr>
          <w:szCs w:val="32"/>
        </w:rPr>
        <w:t>万元，占</w:t>
      </w:r>
      <w:r>
        <w:rPr>
          <w:rFonts w:hint="eastAsia"/>
          <w:szCs w:val="32"/>
        </w:rPr>
        <w:t>100</w:t>
      </w:r>
      <w:r>
        <w:rPr>
          <w:szCs w:val="32"/>
        </w:rPr>
        <w:t>%；公务用车购置及运行维护费支出决算</w:t>
      </w:r>
      <w:r>
        <w:rPr>
          <w:rFonts w:hint="eastAsia"/>
          <w:szCs w:val="32"/>
        </w:rPr>
        <w:t>336.48</w:t>
      </w:r>
      <w:r>
        <w:rPr>
          <w:szCs w:val="32"/>
        </w:rPr>
        <w:t>万元，占</w:t>
      </w:r>
      <w:r>
        <w:rPr>
          <w:rFonts w:hint="eastAsia"/>
          <w:szCs w:val="32"/>
        </w:rPr>
        <w:t>100</w:t>
      </w:r>
      <w:r>
        <w:rPr>
          <w:szCs w:val="32"/>
        </w:rPr>
        <w:t>%；公务接待费支出决算</w:t>
      </w:r>
      <w:r>
        <w:rPr>
          <w:rFonts w:hint="eastAsia"/>
          <w:szCs w:val="32"/>
        </w:rPr>
        <w:t>0</w:t>
      </w:r>
      <w:r>
        <w:rPr>
          <w:szCs w:val="32"/>
        </w:rPr>
        <w:t>万元，占</w:t>
      </w:r>
      <w:r>
        <w:rPr>
          <w:rFonts w:hint="eastAsia"/>
          <w:szCs w:val="32"/>
        </w:rPr>
        <w:t>100</w:t>
      </w:r>
      <w:r>
        <w:rPr>
          <w:szCs w:val="32"/>
        </w:rPr>
        <w:t>%。具体情况如下：</w:t>
      </w:r>
    </w:p>
    <w:p>
      <w:pPr>
        <w:pStyle w:val="196"/>
        <w:ind w:firstLine="0"/>
        <w:jc w:val="center"/>
        <w:rPr>
          <w:rFonts w:ascii="Times New Roman"/>
        </w:rPr>
      </w:pPr>
      <w:r>
        <w:rPr>
          <w:rFonts w:hint="eastAsia" w:ascii="仿宋" w:hAnsi="仿宋" w:eastAsia="仿宋"/>
          <w:color w:val="000000"/>
        </w:rPr>
        <w:drawing>
          <wp:anchor distT="0" distB="0" distL="114300" distR="114300" simplePos="0" relativeHeight="251660288" behindDoc="0" locked="0" layoutInCell="1" allowOverlap="1">
            <wp:simplePos x="0" y="0"/>
            <wp:positionH relativeFrom="column">
              <wp:posOffset>393700</wp:posOffset>
            </wp:positionH>
            <wp:positionV relativeFrom="paragraph">
              <wp:posOffset>196215</wp:posOffset>
            </wp:positionV>
            <wp:extent cx="4975860" cy="3315970"/>
            <wp:effectExtent l="0" t="0" r="15240" b="177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pStyle w:val="196"/>
        <w:ind w:firstLine="0"/>
        <w:jc w:val="center"/>
        <w:rPr>
          <w:rFonts w:ascii="Times New Roman"/>
        </w:rPr>
      </w:pPr>
    </w:p>
    <w:p>
      <w:pPr>
        <w:spacing w:line="560" w:lineRule="exact"/>
        <w:ind w:firstLine="632"/>
        <w:rPr>
          <w:szCs w:val="32"/>
        </w:rPr>
      </w:pPr>
      <w:r>
        <w:rPr>
          <w:szCs w:val="32"/>
        </w:rPr>
        <w:t>（图7：“三公”经费财政拨款支出结构）（饼状图）</w:t>
      </w:r>
    </w:p>
    <w:p>
      <w:pPr>
        <w:spacing w:line="560" w:lineRule="exact"/>
        <w:ind w:firstLine="632"/>
        <w:rPr>
          <w:szCs w:val="32"/>
        </w:rPr>
      </w:pPr>
      <w:r>
        <w:rPr>
          <w:rFonts w:hint="eastAsia"/>
          <w:b/>
          <w:bCs/>
          <w:szCs w:val="32"/>
        </w:rPr>
        <w:t>1、</w:t>
      </w:r>
      <w:r>
        <w:rPr>
          <w:b/>
          <w:bCs/>
          <w:szCs w:val="32"/>
        </w:rPr>
        <w:t>因公出国（境）经费支出</w:t>
      </w:r>
      <w:r>
        <w:rPr>
          <w:rFonts w:hint="eastAsia"/>
          <w:b/>
          <w:bCs/>
          <w:szCs w:val="32"/>
        </w:rPr>
        <w:t>0</w:t>
      </w:r>
      <w:r>
        <w:rPr>
          <w:b/>
          <w:bCs/>
          <w:szCs w:val="32"/>
        </w:rPr>
        <w:t>万元，</w:t>
      </w:r>
      <w:r>
        <w:rPr>
          <w:rStyle w:val="213"/>
          <w:szCs w:val="32"/>
        </w:rPr>
        <w:t>完成预算</w:t>
      </w:r>
      <w:r>
        <w:rPr>
          <w:rStyle w:val="213"/>
          <w:rFonts w:hint="eastAsia"/>
          <w:szCs w:val="32"/>
        </w:rPr>
        <w:t>100</w:t>
      </w:r>
      <w:r>
        <w:rPr>
          <w:rStyle w:val="213"/>
          <w:szCs w:val="32"/>
        </w:rPr>
        <w:t>%。</w:t>
      </w:r>
      <w:r>
        <w:rPr>
          <w:szCs w:val="32"/>
        </w:rPr>
        <w:t>全年安排因公出国（境）团组</w:t>
      </w:r>
      <w:r>
        <w:rPr>
          <w:rFonts w:hint="eastAsia"/>
          <w:szCs w:val="32"/>
        </w:rPr>
        <w:t>0</w:t>
      </w:r>
      <w:r>
        <w:rPr>
          <w:szCs w:val="32"/>
        </w:rPr>
        <w:t>次，出国（境）</w:t>
      </w:r>
      <w:r>
        <w:rPr>
          <w:rFonts w:hint="eastAsia"/>
          <w:szCs w:val="32"/>
        </w:rPr>
        <w:t>0</w:t>
      </w:r>
      <w:r>
        <w:rPr>
          <w:szCs w:val="32"/>
        </w:rPr>
        <w:t>人。因公出国（境）支出决算比202</w:t>
      </w:r>
      <w:r>
        <w:rPr>
          <w:rFonts w:hint="eastAsia"/>
          <w:szCs w:val="32"/>
        </w:rPr>
        <w:t>3</w:t>
      </w:r>
      <w:r>
        <w:rPr>
          <w:szCs w:val="32"/>
        </w:rPr>
        <w:t>年</w:t>
      </w:r>
      <w:r>
        <w:rPr>
          <w:rFonts w:hint="eastAsia"/>
          <w:szCs w:val="32"/>
        </w:rPr>
        <w:t>持平。</w:t>
      </w:r>
    </w:p>
    <w:p>
      <w:pPr>
        <w:spacing w:line="560" w:lineRule="exact"/>
        <w:ind w:firstLine="640"/>
        <w:rPr>
          <w:szCs w:val="32"/>
        </w:rPr>
      </w:pPr>
      <w:r>
        <w:rPr>
          <w:b/>
          <w:bCs/>
          <w:szCs w:val="32"/>
        </w:rPr>
        <w:t>2</w:t>
      </w:r>
      <w:r>
        <w:rPr>
          <w:rFonts w:hint="eastAsia"/>
          <w:b/>
          <w:bCs/>
          <w:szCs w:val="32"/>
        </w:rPr>
        <w:t>、</w:t>
      </w:r>
      <w:r>
        <w:rPr>
          <w:b/>
          <w:bCs/>
          <w:szCs w:val="32"/>
        </w:rPr>
        <w:t>公务用车购置及运行维护费支出</w:t>
      </w:r>
      <w:r>
        <w:rPr>
          <w:rFonts w:hint="eastAsia"/>
          <w:b/>
          <w:bCs/>
          <w:szCs w:val="32"/>
        </w:rPr>
        <w:t>336.48</w:t>
      </w:r>
      <w:r>
        <w:rPr>
          <w:b/>
          <w:bCs/>
          <w:szCs w:val="32"/>
        </w:rPr>
        <w:t>万元,</w:t>
      </w:r>
      <w:r>
        <w:rPr>
          <w:rStyle w:val="213"/>
          <w:szCs w:val="32"/>
        </w:rPr>
        <w:t>完成预算</w:t>
      </w:r>
      <w:r>
        <w:rPr>
          <w:rStyle w:val="213"/>
          <w:rFonts w:hint="eastAsia"/>
          <w:szCs w:val="32"/>
        </w:rPr>
        <w:t>100</w:t>
      </w:r>
      <w:r>
        <w:rPr>
          <w:rStyle w:val="213"/>
          <w:szCs w:val="32"/>
        </w:rPr>
        <w:t>%</w:t>
      </w:r>
      <w:r>
        <w:rPr>
          <w:rStyle w:val="213"/>
          <w:b w:val="0"/>
          <w:bCs w:val="0"/>
          <w:szCs w:val="32"/>
        </w:rPr>
        <w:t>。</w:t>
      </w:r>
      <w:r>
        <w:rPr>
          <w:szCs w:val="32"/>
        </w:rPr>
        <w:t>公务用车购置及运行维护费支出决算</w:t>
      </w:r>
      <w:r>
        <w:rPr>
          <w:rFonts w:hint="eastAsia" w:ascii="仿宋" w:hAnsi="仿宋" w:eastAsia="仿宋" w:cs="仿宋"/>
          <w:color w:val="000000"/>
          <w:szCs w:val="32"/>
        </w:rPr>
        <w:t>比2023年减少45.28万元，下降11.86%。下降主要原因是单位厉行节约，缩减开支</w:t>
      </w:r>
      <w:r>
        <w:rPr>
          <w:szCs w:val="32"/>
        </w:rPr>
        <w:t>。</w:t>
      </w:r>
    </w:p>
    <w:p>
      <w:pPr>
        <w:spacing w:line="560" w:lineRule="exact"/>
        <w:ind w:firstLine="632"/>
        <w:rPr>
          <w:rFonts w:hint="eastAsia" w:ascii="仿宋_GB2312" w:hAnsi="仿宋_GB2312" w:eastAsia="仿宋_GB2312" w:cs="仿宋_GB2312"/>
          <w:color w:val="auto"/>
          <w:szCs w:val="32"/>
        </w:rPr>
      </w:pPr>
      <w:r>
        <w:rPr>
          <w:szCs w:val="32"/>
        </w:rPr>
        <w:t>其中：公务用车购置支出</w:t>
      </w:r>
      <w:r>
        <w:rPr>
          <w:rFonts w:hint="eastAsia"/>
          <w:szCs w:val="32"/>
        </w:rPr>
        <w:t>85.43</w:t>
      </w:r>
      <w:r>
        <w:rPr>
          <w:szCs w:val="32"/>
        </w:rPr>
        <w:t>万元。全年按规定更新购置公务用车</w:t>
      </w:r>
      <w:r>
        <w:rPr>
          <w:rFonts w:hint="eastAsia"/>
          <w:szCs w:val="32"/>
        </w:rPr>
        <w:t>4</w:t>
      </w:r>
      <w:r>
        <w:rPr>
          <w:szCs w:val="32"/>
        </w:rPr>
        <w:t>辆，</w:t>
      </w:r>
      <w:r>
        <w:rPr>
          <w:color w:val="auto"/>
          <w:szCs w:val="32"/>
        </w:rPr>
        <w:t>其中：轿车</w:t>
      </w:r>
      <w:r>
        <w:rPr>
          <w:rFonts w:hint="eastAsia"/>
          <w:color w:val="auto"/>
          <w:szCs w:val="32"/>
          <w:lang w:val="en-US" w:eastAsia="zh-CN"/>
        </w:rPr>
        <w:t>2</w:t>
      </w:r>
      <w:r>
        <w:rPr>
          <w:color w:val="auto"/>
          <w:szCs w:val="32"/>
        </w:rPr>
        <w:t>辆、</w:t>
      </w:r>
      <w:r>
        <w:rPr>
          <w:rFonts w:hint="eastAsia"/>
          <w:color w:val="auto"/>
          <w:szCs w:val="32"/>
          <w:lang w:val="en-US" w:eastAsia="zh-CN"/>
        </w:rPr>
        <w:t>MPV商务车2辆，</w:t>
      </w:r>
      <w:r>
        <w:rPr>
          <w:color w:val="auto"/>
          <w:szCs w:val="32"/>
        </w:rPr>
        <w:t>金额</w:t>
      </w:r>
      <w:r>
        <w:rPr>
          <w:rFonts w:hint="eastAsia"/>
          <w:color w:val="auto"/>
          <w:szCs w:val="32"/>
          <w:lang w:val="en-US" w:eastAsia="zh-CN"/>
        </w:rPr>
        <w:t>85.43</w:t>
      </w:r>
      <w:r>
        <w:rPr>
          <w:color w:val="auto"/>
          <w:szCs w:val="32"/>
        </w:rPr>
        <w:t>万元，越野车</w:t>
      </w:r>
      <w:r>
        <w:rPr>
          <w:rFonts w:hint="eastAsia"/>
          <w:color w:val="auto"/>
          <w:szCs w:val="32"/>
        </w:rPr>
        <w:t>0</w:t>
      </w:r>
      <w:r>
        <w:rPr>
          <w:color w:val="auto"/>
          <w:szCs w:val="32"/>
        </w:rPr>
        <w:t>辆、金额</w:t>
      </w:r>
      <w:r>
        <w:rPr>
          <w:rFonts w:hint="eastAsia"/>
          <w:color w:val="auto"/>
          <w:szCs w:val="32"/>
        </w:rPr>
        <w:t>0</w:t>
      </w:r>
      <w:r>
        <w:rPr>
          <w:color w:val="auto"/>
          <w:szCs w:val="32"/>
        </w:rPr>
        <w:t>万元，载客汽车</w:t>
      </w:r>
      <w:r>
        <w:rPr>
          <w:rFonts w:hint="eastAsia"/>
          <w:color w:val="auto"/>
          <w:szCs w:val="32"/>
        </w:rPr>
        <w:t>0</w:t>
      </w:r>
      <w:r>
        <w:rPr>
          <w:color w:val="auto"/>
          <w:szCs w:val="32"/>
        </w:rPr>
        <w:t>辆、金额</w:t>
      </w:r>
      <w:r>
        <w:rPr>
          <w:rFonts w:hint="eastAsia"/>
          <w:color w:val="auto"/>
          <w:szCs w:val="32"/>
        </w:rPr>
        <w:t>0</w:t>
      </w:r>
      <w:r>
        <w:rPr>
          <w:color w:val="auto"/>
          <w:szCs w:val="32"/>
        </w:rPr>
        <w:t>万元。</w:t>
      </w:r>
      <w:r>
        <w:rPr>
          <w:szCs w:val="32"/>
        </w:rPr>
        <w:t>截</w:t>
      </w:r>
      <w:r>
        <w:rPr>
          <w:rFonts w:hint="eastAsia" w:ascii="仿宋_GB2312" w:hAnsi="仿宋_GB2312" w:eastAsia="仿宋_GB2312" w:cs="仿宋_GB2312"/>
          <w:szCs w:val="32"/>
        </w:rPr>
        <w:t>至2024年12月31日，单</w:t>
      </w:r>
      <w:r>
        <w:rPr>
          <w:rFonts w:hint="eastAsia" w:ascii="仿宋_GB2312" w:hAnsi="仿宋_GB2312" w:eastAsia="仿宋_GB2312" w:cs="仿宋_GB2312"/>
          <w:color w:val="auto"/>
          <w:szCs w:val="32"/>
        </w:rPr>
        <w:t>位共有公务用车67辆，其中：轿车</w:t>
      </w:r>
      <w:r>
        <w:rPr>
          <w:rFonts w:hint="eastAsia" w:ascii="仿宋_GB2312" w:hAnsi="仿宋_GB2312" w:eastAsia="仿宋_GB2312" w:cs="仿宋_GB2312"/>
          <w:color w:val="auto"/>
          <w:szCs w:val="32"/>
          <w:lang w:val="en-US" w:eastAsia="zh-CN"/>
        </w:rPr>
        <w:t>31</w:t>
      </w:r>
      <w:r>
        <w:rPr>
          <w:rFonts w:hint="eastAsia" w:ascii="仿宋_GB2312" w:hAnsi="仿宋_GB2312" w:eastAsia="仿宋_GB2312" w:cs="仿宋_GB2312"/>
          <w:color w:val="auto"/>
          <w:szCs w:val="32"/>
        </w:rPr>
        <w:t>辆、越野车</w:t>
      </w:r>
      <w:r>
        <w:rPr>
          <w:rFonts w:hint="eastAsia" w:ascii="仿宋_GB2312" w:hAnsi="仿宋_GB2312" w:eastAsia="仿宋_GB2312" w:cs="仿宋_GB2312"/>
          <w:color w:val="auto"/>
          <w:szCs w:val="32"/>
          <w:lang w:val="en-US" w:eastAsia="zh-CN"/>
        </w:rPr>
        <w:t>31</w:t>
      </w:r>
      <w:r>
        <w:rPr>
          <w:rFonts w:hint="eastAsia" w:ascii="仿宋_GB2312" w:hAnsi="仿宋_GB2312" w:eastAsia="仿宋_GB2312" w:cs="仿宋_GB2312"/>
          <w:color w:val="auto"/>
          <w:szCs w:val="32"/>
        </w:rPr>
        <w:t>辆、载客汽车</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辆</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lang w:val="en-US" w:eastAsia="zh-CN"/>
        </w:rPr>
        <w:t>MVP商务车3辆</w:t>
      </w:r>
      <w:r>
        <w:rPr>
          <w:rFonts w:hint="eastAsia" w:ascii="仿宋_GB2312" w:hAnsi="仿宋_GB2312" w:eastAsia="仿宋_GB2312" w:cs="仿宋_GB2312"/>
          <w:color w:val="auto"/>
          <w:szCs w:val="32"/>
        </w:rPr>
        <w:t>。</w:t>
      </w:r>
    </w:p>
    <w:p>
      <w:pPr>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公务用车运行维护费支出251.05万元。主要用于</w:t>
      </w:r>
      <w:r>
        <w:rPr>
          <w:rFonts w:hint="eastAsia" w:ascii="仿宋_GB2312" w:hAnsi="仿宋_GB2312" w:eastAsia="仿宋_GB2312" w:cs="仿宋_GB2312"/>
          <w:color w:val="000000"/>
          <w:szCs w:val="32"/>
        </w:rPr>
        <w:t>保障单位工作人员执行公务活动等工作开展所需的公务用车燃料费、维修费、过路过桥费、保险费等支出。</w:t>
      </w:r>
    </w:p>
    <w:p>
      <w:pPr>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b/>
          <w:bCs/>
          <w:szCs w:val="32"/>
        </w:rPr>
        <w:t>3、公务接待费支出0万元，</w:t>
      </w:r>
      <w:r>
        <w:rPr>
          <w:rStyle w:val="213"/>
          <w:rFonts w:hint="eastAsia" w:ascii="仿宋_GB2312" w:hAnsi="仿宋_GB2312" w:eastAsia="仿宋_GB2312" w:cs="仿宋_GB2312"/>
          <w:szCs w:val="32"/>
        </w:rPr>
        <w:t>完成预算100%</w:t>
      </w:r>
      <w:r>
        <w:rPr>
          <w:rStyle w:val="213"/>
          <w:rFonts w:hint="eastAsia" w:ascii="仿宋_GB2312" w:hAnsi="仿宋_GB2312" w:eastAsia="仿宋_GB2312" w:cs="仿宋_GB2312"/>
          <w:b w:val="0"/>
          <w:bCs w:val="0"/>
          <w:szCs w:val="32"/>
        </w:rPr>
        <w:t>。</w:t>
      </w:r>
      <w:r>
        <w:rPr>
          <w:rFonts w:hint="eastAsia" w:ascii="仿宋_GB2312" w:hAnsi="仿宋_GB2312" w:eastAsia="仿宋_GB2312" w:cs="仿宋_GB2312"/>
          <w:szCs w:val="32"/>
        </w:rPr>
        <w:t>公务接待费支出决算比2023年度持平。其中：</w:t>
      </w:r>
    </w:p>
    <w:p>
      <w:pPr>
        <w:spacing w:line="560" w:lineRule="exact"/>
        <w:ind w:firstLine="640"/>
        <w:rPr>
          <w:rFonts w:hint="eastAsia" w:ascii="仿宋_GB2312" w:hAnsi="仿宋_GB2312" w:eastAsia="仿宋_GB2312" w:cs="仿宋_GB2312"/>
          <w:color w:val="FF0000"/>
          <w:szCs w:val="32"/>
        </w:rPr>
      </w:pPr>
      <w:r>
        <w:rPr>
          <w:rFonts w:hint="eastAsia" w:ascii="仿宋_GB2312" w:hAnsi="仿宋_GB2312" w:eastAsia="仿宋_GB2312" w:cs="仿宋_GB2312"/>
          <w:szCs w:val="32"/>
        </w:rPr>
        <w:t>国内公务接待支出0万元，主要用于上级部门检查、调研、用工企业招工等的交通费、住宿费、用餐费等。国内公务接待0批次，0人次（不包括陪同人员），共计支出0万元</w:t>
      </w:r>
      <w:r>
        <w:rPr>
          <w:rFonts w:hint="eastAsia" w:ascii="仿宋_GB2312" w:hAnsi="仿宋_GB2312" w:eastAsia="仿宋_GB2312" w:cs="仿宋_GB2312"/>
          <w:kern w:val="2"/>
          <w:szCs w:val="32"/>
        </w:rPr>
        <w:t>。</w:t>
      </w:r>
    </w:p>
    <w:p>
      <w:pPr>
        <w:spacing w:line="560" w:lineRule="exact"/>
        <w:ind w:firstLine="632"/>
        <w:rPr>
          <w:rFonts w:hint="eastAsia" w:ascii="仿宋_GB2312" w:hAnsi="仿宋_GB2312" w:eastAsia="仿宋_GB2312" w:cs="仿宋_GB2312"/>
          <w:szCs w:val="32"/>
        </w:rPr>
      </w:pPr>
      <w:r>
        <w:rPr>
          <w:rFonts w:hint="eastAsia" w:ascii="仿宋_GB2312" w:hAnsi="仿宋_GB2312" w:eastAsia="仿宋_GB2312" w:cs="仿宋_GB2312"/>
          <w:szCs w:val="32"/>
        </w:rPr>
        <w:t>外事接待支出0万元。外事接待0批次，0人次（不包括陪同人员），共计支出0万元。</w:t>
      </w:r>
      <w:bookmarkStart w:id="75" w:name="_Toc15396610"/>
      <w:bookmarkStart w:id="76" w:name="_Toc15377218"/>
    </w:p>
    <w:p>
      <w:pPr>
        <w:spacing w:line="560" w:lineRule="exact"/>
        <w:ind w:firstLine="640"/>
        <w:outlineLvl w:val="1"/>
        <w:rPr>
          <w:rStyle w:val="199"/>
          <w:rFonts w:ascii="Times New Roman" w:hAnsi="Times New Roman" w:eastAsia="黑体"/>
          <w:b w:val="0"/>
          <w:i w:val="0"/>
        </w:rPr>
      </w:pPr>
      <w:bookmarkStart w:id="77" w:name="_Toc21605"/>
      <w:r>
        <w:rPr>
          <w:rFonts w:eastAsia="黑体"/>
          <w:szCs w:val="32"/>
        </w:rPr>
        <w:t>八、</w:t>
      </w:r>
      <w:r>
        <w:rPr>
          <w:rStyle w:val="199"/>
          <w:rFonts w:ascii="Times New Roman" w:hAnsi="Times New Roman" w:eastAsia="黑体"/>
          <w:b w:val="0"/>
          <w:i w:val="0"/>
        </w:rPr>
        <w:t>政府性基金预算支出决算情况说明</w:t>
      </w:r>
      <w:bookmarkEnd w:id="75"/>
      <w:bookmarkEnd w:id="76"/>
      <w:bookmarkEnd w:id="77"/>
    </w:p>
    <w:p>
      <w:pPr>
        <w:spacing w:line="600" w:lineRule="exact"/>
        <w:ind w:firstLine="640"/>
        <w:rPr>
          <w:rFonts w:hint="eastAsia" w:ascii="仿宋_GB2312" w:hAnsi="仿宋_GB2312" w:eastAsia="仿宋_GB2312" w:cs="仿宋_GB2312"/>
          <w:b/>
          <w:bCs/>
          <w:kern w:val="2"/>
          <w:szCs w:val="32"/>
          <w:lang w:eastAsia="zh-CN"/>
        </w:rPr>
      </w:pPr>
      <w:bookmarkStart w:id="78" w:name="_Toc15396611"/>
      <w:bookmarkStart w:id="79" w:name="_Toc15377219"/>
      <w:r>
        <w:rPr>
          <w:rFonts w:hint="eastAsia" w:ascii="仿宋_GB2312" w:hAnsi="仿宋_GB2312" w:eastAsia="仿宋_GB2312" w:cs="仿宋_GB2312"/>
          <w:kern w:val="2"/>
          <w:szCs w:val="32"/>
        </w:rPr>
        <w:t>2024年度政府性基金预算财政拨款支出0万元。占本年支出合计的100%。与2023年度相比，政府性基金预算财政拨款支出减少35.92万元，下降100%。主要变动原因是</w:t>
      </w:r>
      <w:r>
        <w:rPr>
          <w:rFonts w:hint="eastAsia" w:ascii="仿宋_GB2312" w:hAnsi="仿宋_GB2312" w:eastAsia="仿宋_GB2312" w:cs="仿宋_GB2312"/>
          <w:kern w:val="2"/>
          <w:szCs w:val="32"/>
          <w:lang w:val="en-US" w:eastAsia="zh-CN"/>
        </w:rPr>
        <w:t>本年度减少了公务用车购置</w:t>
      </w:r>
      <w:r>
        <w:rPr>
          <w:rFonts w:hint="eastAsia" w:ascii="仿宋_GB2312" w:hAnsi="仿宋_GB2312" w:eastAsia="仿宋_GB2312" w:cs="仿宋_GB2312"/>
          <w:lang w:eastAsia="zh-CN"/>
        </w:rPr>
        <w:t>。</w:t>
      </w:r>
    </w:p>
    <w:p>
      <w:pPr>
        <w:numPr>
          <w:ilvl w:val="0"/>
          <w:numId w:val="5"/>
        </w:numPr>
        <w:spacing w:line="560" w:lineRule="exact"/>
        <w:ind w:firstLine="640"/>
        <w:outlineLvl w:val="1"/>
        <w:rPr>
          <w:rStyle w:val="199"/>
          <w:rFonts w:ascii="Times New Roman" w:hAnsi="Times New Roman" w:eastAsia="黑体"/>
          <w:b w:val="0"/>
          <w:i w:val="0"/>
        </w:rPr>
      </w:pPr>
      <w:bookmarkStart w:id="80" w:name="_Toc32114"/>
      <w:r>
        <w:rPr>
          <w:rStyle w:val="199"/>
          <w:rFonts w:ascii="Times New Roman" w:hAnsi="Times New Roman" w:eastAsia="黑体"/>
          <w:b w:val="0"/>
          <w:i w:val="0"/>
        </w:rPr>
        <w:t>国有资本经营预算支出决算情况说明</w:t>
      </w:r>
      <w:bookmarkEnd w:id="78"/>
      <w:bookmarkEnd w:id="79"/>
      <w:bookmarkEnd w:id="80"/>
    </w:p>
    <w:p>
      <w:pPr>
        <w:spacing w:line="600" w:lineRule="exact"/>
        <w:ind w:firstLine="640"/>
        <w:rPr>
          <w:rFonts w:ascii="Times New Roman" w:hAnsi="Times New Roman" w:cs="仿宋_GB2312"/>
          <w:kern w:val="2"/>
          <w:szCs w:val="32"/>
        </w:rPr>
      </w:pPr>
      <w:bookmarkStart w:id="81" w:name="_Toc15396612"/>
      <w:bookmarkStart w:id="82" w:name="_Toc15377221"/>
      <w:r>
        <w:rPr>
          <w:rFonts w:hint="eastAsia" w:ascii="Times New Roman" w:hAnsi="Times New Roman" w:cs="仿宋_GB2312"/>
          <w:kern w:val="2"/>
          <w:szCs w:val="32"/>
        </w:rPr>
        <w:t>2024年度国有资本经营预算财政拨款支出0万元。</w:t>
      </w:r>
    </w:p>
    <w:p>
      <w:pPr>
        <w:numPr>
          <w:ilvl w:val="0"/>
          <w:numId w:val="5"/>
        </w:numPr>
        <w:spacing w:line="560" w:lineRule="exact"/>
        <w:ind w:firstLine="640"/>
        <w:outlineLvl w:val="1"/>
        <w:rPr>
          <w:rStyle w:val="199"/>
          <w:rFonts w:ascii="Times New Roman" w:hAnsi="Times New Roman" w:eastAsia="黑体"/>
          <w:b w:val="0"/>
          <w:i w:val="0"/>
        </w:rPr>
      </w:pPr>
      <w:bookmarkStart w:id="83" w:name="_Toc13293"/>
      <w:r>
        <w:rPr>
          <w:rStyle w:val="199"/>
          <w:rFonts w:ascii="Times New Roman" w:hAnsi="Times New Roman" w:eastAsia="黑体"/>
          <w:b w:val="0"/>
          <w:i w:val="0"/>
        </w:rPr>
        <w:t>其他重要事项的情况说明</w:t>
      </w:r>
      <w:bookmarkEnd w:id="81"/>
      <w:bookmarkEnd w:id="82"/>
      <w:bookmarkEnd w:id="83"/>
    </w:p>
    <w:p>
      <w:pPr>
        <w:spacing w:line="560" w:lineRule="exact"/>
        <w:ind w:firstLine="632"/>
        <w:jc w:val="left"/>
        <w:outlineLvl w:val="2"/>
        <w:rPr>
          <w:rFonts w:eastAsia="楷体_GB2312"/>
          <w:b/>
          <w:bCs/>
          <w:szCs w:val="32"/>
        </w:rPr>
      </w:pPr>
      <w:bookmarkStart w:id="84" w:name="_Toc15377222"/>
      <w:bookmarkStart w:id="85" w:name="_Toc28998"/>
      <w:r>
        <w:rPr>
          <w:rFonts w:eastAsia="楷体_GB2312"/>
          <w:b/>
          <w:bCs/>
          <w:szCs w:val="32"/>
        </w:rPr>
        <w:t>（一）机关运行经费支出情况</w:t>
      </w:r>
      <w:bookmarkEnd w:id="84"/>
      <w:bookmarkEnd w:id="85"/>
      <w:bookmarkStart w:id="126" w:name="_GoBack"/>
      <w:bookmarkEnd w:id="126"/>
    </w:p>
    <w:p>
      <w:pPr>
        <w:spacing w:line="600" w:lineRule="exact"/>
        <w:ind w:firstLine="640" w:firstLineChars="200"/>
        <w:rPr>
          <w:rFonts w:ascii="仿宋_GB2312"/>
          <w:szCs w:val="32"/>
        </w:rPr>
      </w:pPr>
      <w:bookmarkStart w:id="86" w:name="_Toc25045"/>
      <w:bookmarkStart w:id="87" w:name="OLE_LINK29"/>
      <w:bookmarkStart w:id="88" w:name="_Toc2411"/>
      <w:bookmarkStart w:id="89" w:name="OLE_LINK31"/>
      <w:bookmarkStart w:id="90" w:name="_Toc12647"/>
      <w:bookmarkStart w:id="91" w:name="OLE_LINK30"/>
      <w:bookmarkStart w:id="92" w:name="_Toc30155"/>
      <w:bookmarkStart w:id="93" w:name="_Toc15377223"/>
      <w:r>
        <w:rPr>
          <w:rFonts w:hint="eastAsia" w:ascii="仿宋" w:hAnsi="仿宋" w:eastAsia="仿宋"/>
          <w:color w:val="000000"/>
          <w:szCs w:val="32"/>
        </w:rPr>
        <w:t>本单位属事业单位，无机关运行经费。</w:t>
      </w:r>
      <w:bookmarkEnd w:id="86"/>
      <w:bookmarkEnd w:id="87"/>
      <w:bookmarkEnd w:id="88"/>
      <w:bookmarkEnd w:id="89"/>
      <w:bookmarkEnd w:id="90"/>
      <w:bookmarkEnd w:id="91"/>
    </w:p>
    <w:p>
      <w:pPr>
        <w:spacing w:line="560" w:lineRule="exact"/>
        <w:ind w:firstLine="632"/>
        <w:jc w:val="left"/>
        <w:outlineLvl w:val="2"/>
        <w:rPr>
          <w:rFonts w:eastAsia="楷体_GB2312"/>
          <w:b/>
          <w:bCs/>
          <w:szCs w:val="32"/>
        </w:rPr>
      </w:pPr>
      <w:r>
        <w:rPr>
          <w:rFonts w:eastAsia="楷体_GB2312"/>
          <w:b/>
          <w:bCs/>
          <w:szCs w:val="32"/>
        </w:rPr>
        <w:t>（二）政府采购支出情况</w:t>
      </w:r>
      <w:bookmarkEnd w:id="92"/>
      <w:bookmarkEnd w:id="93"/>
    </w:p>
    <w:p>
      <w:pPr>
        <w:spacing w:line="560" w:lineRule="exact"/>
        <w:ind w:firstLine="632"/>
        <w:rPr>
          <w:szCs w:val="32"/>
        </w:rPr>
      </w:pPr>
      <w:r>
        <w:rPr>
          <w:szCs w:val="32"/>
        </w:rPr>
        <w:t>202</w:t>
      </w:r>
      <w:r>
        <w:rPr>
          <w:rFonts w:hint="eastAsia"/>
          <w:szCs w:val="32"/>
        </w:rPr>
        <w:t>4</w:t>
      </w:r>
      <w:r>
        <w:rPr>
          <w:szCs w:val="32"/>
        </w:rPr>
        <w:t>年度，</w:t>
      </w:r>
      <w:r>
        <w:rPr>
          <w:rFonts w:hint="eastAsia" w:ascii="仿宋_GB2312" w:hAnsi="仿宋_GB2312" w:cs="仿宋_GB2312"/>
          <w:color w:val="000000"/>
          <w:szCs w:val="32"/>
        </w:rPr>
        <w:t>遂宁市安居区</w:t>
      </w:r>
      <w:bookmarkStart w:id="94" w:name="OLE_LINK36"/>
      <w:bookmarkStart w:id="95" w:name="OLE_LINK33"/>
      <w:r>
        <w:rPr>
          <w:rFonts w:hint="eastAsia" w:ascii="仿宋_GB2312" w:hAnsi="仿宋_GB2312" w:cs="仿宋_GB2312"/>
          <w:color w:val="000000"/>
          <w:szCs w:val="32"/>
        </w:rPr>
        <w:t>机关事务服务中心</w:t>
      </w:r>
      <w:bookmarkEnd w:id="94"/>
      <w:bookmarkEnd w:id="95"/>
      <w:r>
        <w:rPr>
          <w:szCs w:val="32"/>
        </w:rPr>
        <w:t>政府采购支出总额</w:t>
      </w:r>
      <w:r>
        <w:rPr>
          <w:rFonts w:hint="eastAsia"/>
          <w:szCs w:val="32"/>
        </w:rPr>
        <w:t>269.69</w:t>
      </w:r>
      <w:r>
        <w:rPr>
          <w:szCs w:val="32"/>
        </w:rPr>
        <w:t>万元，其中：政府采购货物支出</w:t>
      </w:r>
      <w:r>
        <w:rPr>
          <w:rFonts w:hint="eastAsia"/>
          <w:szCs w:val="32"/>
        </w:rPr>
        <w:t>269.69</w:t>
      </w:r>
      <w:r>
        <w:rPr>
          <w:szCs w:val="32"/>
        </w:rPr>
        <w:t>万元、政府采购工程支出</w:t>
      </w:r>
      <w:r>
        <w:rPr>
          <w:rFonts w:hint="eastAsia"/>
          <w:szCs w:val="32"/>
        </w:rPr>
        <w:t>0</w:t>
      </w:r>
      <w:r>
        <w:rPr>
          <w:szCs w:val="32"/>
        </w:rPr>
        <w:t>万元、政府采购服务支出</w:t>
      </w:r>
      <w:r>
        <w:rPr>
          <w:rFonts w:hint="eastAsia"/>
          <w:szCs w:val="32"/>
        </w:rPr>
        <w:t>0</w:t>
      </w:r>
      <w:r>
        <w:rPr>
          <w:szCs w:val="32"/>
        </w:rPr>
        <w:t>万元。授予中小企业合同金额</w:t>
      </w:r>
      <w:r>
        <w:rPr>
          <w:rFonts w:hint="eastAsia"/>
          <w:szCs w:val="32"/>
        </w:rPr>
        <w:t>269.69</w:t>
      </w:r>
      <w:r>
        <w:rPr>
          <w:szCs w:val="32"/>
        </w:rPr>
        <w:t>万元，占政府采购支出总额的</w:t>
      </w:r>
      <w:r>
        <w:rPr>
          <w:rFonts w:hint="eastAsia"/>
          <w:szCs w:val="32"/>
        </w:rPr>
        <w:t>0</w:t>
      </w:r>
      <w:r>
        <w:rPr>
          <w:szCs w:val="32"/>
        </w:rPr>
        <w:t>%，其中：授予小微企业合同金额</w:t>
      </w:r>
      <w:r>
        <w:rPr>
          <w:rFonts w:hint="eastAsia"/>
          <w:szCs w:val="32"/>
        </w:rPr>
        <w:t>0</w:t>
      </w:r>
      <w:r>
        <w:rPr>
          <w:szCs w:val="32"/>
        </w:rPr>
        <w:t>万元，占政府采购支出总额的</w:t>
      </w:r>
      <w:r>
        <w:rPr>
          <w:rFonts w:hint="eastAsia"/>
          <w:szCs w:val="32"/>
        </w:rPr>
        <w:t>0</w:t>
      </w:r>
      <w:r>
        <w:rPr>
          <w:szCs w:val="32"/>
        </w:rPr>
        <w:t>%。</w:t>
      </w:r>
    </w:p>
    <w:p>
      <w:pPr>
        <w:spacing w:line="560" w:lineRule="exact"/>
        <w:ind w:firstLine="632"/>
        <w:jc w:val="left"/>
        <w:outlineLvl w:val="2"/>
        <w:rPr>
          <w:rFonts w:eastAsia="楷体_GB2312"/>
          <w:b/>
          <w:bCs/>
          <w:szCs w:val="32"/>
        </w:rPr>
      </w:pPr>
      <w:bookmarkStart w:id="96" w:name="_Toc21952"/>
      <w:bookmarkStart w:id="97" w:name="_Toc15377224"/>
      <w:r>
        <w:rPr>
          <w:rFonts w:eastAsia="楷体_GB2312"/>
          <w:b/>
          <w:bCs/>
          <w:szCs w:val="32"/>
        </w:rPr>
        <w:t>（三）国有资产占有使用情况</w:t>
      </w:r>
      <w:bookmarkEnd w:id="96"/>
      <w:bookmarkEnd w:id="97"/>
    </w:p>
    <w:p>
      <w:pPr>
        <w:spacing w:line="560" w:lineRule="exact"/>
        <w:ind w:firstLine="632"/>
        <w:jc w:val="left"/>
        <w:rPr>
          <w:szCs w:val="32"/>
        </w:rPr>
      </w:pPr>
      <w:r>
        <w:rPr>
          <w:szCs w:val="32"/>
        </w:rPr>
        <w:t>截至202</w:t>
      </w:r>
      <w:r>
        <w:rPr>
          <w:rFonts w:hint="eastAsia"/>
          <w:szCs w:val="32"/>
        </w:rPr>
        <w:t>4</w:t>
      </w:r>
      <w:r>
        <w:rPr>
          <w:szCs w:val="32"/>
        </w:rPr>
        <w:t>年12月31日，</w:t>
      </w:r>
      <w:r>
        <w:rPr>
          <w:rFonts w:hint="eastAsia" w:ascii="仿宋_GB2312" w:hAnsi="仿宋_GB2312" w:cs="仿宋_GB2312"/>
          <w:color w:val="000000"/>
          <w:szCs w:val="32"/>
        </w:rPr>
        <w:t>遂宁市安居区机关事务服务中心</w:t>
      </w:r>
      <w:r>
        <w:rPr>
          <w:szCs w:val="32"/>
        </w:rPr>
        <w:t>共有车辆</w:t>
      </w:r>
      <w:r>
        <w:rPr>
          <w:rFonts w:hint="eastAsia"/>
          <w:szCs w:val="32"/>
        </w:rPr>
        <w:t>67</w:t>
      </w:r>
      <w:r>
        <w:rPr>
          <w:szCs w:val="32"/>
        </w:rPr>
        <w:t>辆，其中：主要领导干部用车</w:t>
      </w:r>
      <w:r>
        <w:rPr>
          <w:rFonts w:hint="eastAsia"/>
          <w:szCs w:val="32"/>
        </w:rPr>
        <w:t>0</w:t>
      </w:r>
      <w:r>
        <w:rPr>
          <w:szCs w:val="32"/>
        </w:rPr>
        <w:t>辆、机要通信用车</w:t>
      </w:r>
      <w:r>
        <w:rPr>
          <w:rFonts w:hint="eastAsia"/>
          <w:szCs w:val="32"/>
        </w:rPr>
        <w:t>0</w:t>
      </w:r>
      <w:r>
        <w:rPr>
          <w:szCs w:val="32"/>
        </w:rPr>
        <w:t>辆、应急保障用车</w:t>
      </w:r>
      <w:r>
        <w:rPr>
          <w:rFonts w:hint="eastAsia"/>
          <w:szCs w:val="32"/>
        </w:rPr>
        <w:t>67</w:t>
      </w:r>
      <w:r>
        <w:rPr>
          <w:szCs w:val="32"/>
        </w:rPr>
        <w:t>辆、其他用车</w:t>
      </w:r>
      <w:r>
        <w:rPr>
          <w:rFonts w:hint="eastAsia"/>
          <w:szCs w:val="32"/>
        </w:rPr>
        <w:t>0</w:t>
      </w:r>
      <w:r>
        <w:rPr>
          <w:szCs w:val="32"/>
        </w:rPr>
        <w:t>辆</w:t>
      </w:r>
      <w:r>
        <w:rPr>
          <w:rFonts w:hint="eastAsia"/>
          <w:szCs w:val="32"/>
        </w:rPr>
        <w:t>、执法执勤用车0辆</w:t>
      </w:r>
      <w:r>
        <w:rPr>
          <w:szCs w:val="32"/>
        </w:rPr>
        <w:t>，其他用车主要是</w:t>
      </w:r>
      <w:r>
        <w:rPr>
          <w:rFonts w:hint="eastAsia" w:ascii="仿宋_GB2312"/>
          <w:szCs w:val="32"/>
        </w:rPr>
        <w:t>用于</w:t>
      </w:r>
      <w:r>
        <w:rPr>
          <w:rFonts w:hint="eastAsia" w:ascii="仿宋" w:hAnsi="仿宋" w:eastAsia="仿宋"/>
          <w:color w:val="000000"/>
          <w:szCs w:val="32"/>
        </w:rPr>
        <w:t>保障单位工作人员执行公务活动等工作</w:t>
      </w:r>
      <w:r>
        <w:rPr>
          <w:szCs w:val="32"/>
        </w:rPr>
        <w:t>。单价100万元以上设备（不含车辆）</w:t>
      </w:r>
      <w:r>
        <w:rPr>
          <w:rFonts w:hint="eastAsia"/>
          <w:szCs w:val="32"/>
        </w:rPr>
        <w:t>0</w:t>
      </w:r>
      <w:r>
        <w:rPr>
          <w:szCs w:val="32"/>
        </w:rPr>
        <w:t>台（套）。</w:t>
      </w:r>
    </w:p>
    <w:p>
      <w:pPr>
        <w:spacing w:line="560" w:lineRule="exact"/>
        <w:ind w:firstLine="632"/>
        <w:jc w:val="left"/>
        <w:outlineLvl w:val="2"/>
        <w:rPr>
          <w:rFonts w:eastAsia="楷体_GB2312"/>
          <w:b/>
          <w:bCs/>
          <w:szCs w:val="32"/>
          <w:highlight w:val="none"/>
        </w:rPr>
      </w:pPr>
      <w:bookmarkStart w:id="98" w:name="_Toc17351"/>
      <w:r>
        <w:rPr>
          <w:rFonts w:eastAsia="楷体_GB2312"/>
          <w:b/>
          <w:bCs/>
          <w:szCs w:val="32"/>
          <w:highlight w:val="none"/>
        </w:rPr>
        <w:t>（四）预算绩效管理情况</w:t>
      </w:r>
      <w:bookmarkEnd w:id="98"/>
    </w:p>
    <w:p>
      <w:pPr>
        <w:spacing w:line="360" w:lineRule="auto"/>
        <w:ind w:firstLine="629"/>
        <w:rPr>
          <w:rFonts w:ascii="Times New Roman" w:hAnsi="Times New Roman"/>
          <w:color w:val="000000"/>
          <w:szCs w:val="32"/>
        </w:rPr>
      </w:pPr>
      <w:r>
        <w:rPr>
          <w:rFonts w:hint="eastAsia" w:ascii="Times New Roman" w:hAnsi="Times New Roman"/>
          <w:color w:val="000000"/>
          <w:szCs w:val="32"/>
        </w:rPr>
        <w:t>根据预算绩效管理要求，本部门在</w:t>
      </w:r>
      <w:r>
        <w:rPr>
          <w:rFonts w:ascii="Times New Roman" w:hAnsi="Times New Roman"/>
          <w:color w:val="000000"/>
          <w:szCs w:val="32"/>
        </w:rPr>
        <w:t>202</w:t>
      </w:r>
      <w:r>
        <w:rPr>
          <w:rFonts w:hint="eastAsia" w:ascii="Times New Roman" w:hAnsi="Times New Roman"/>
          <w:color w:val="000000"/>
          <w:szCs w:val="32"/>
        </w:rPr>
        <w:t>4年度预算编制阶段，组织对</w:t>
      </w:r>
      <w:bookmarkStart w:id="99" w:name="OLE_LINK24"/>
      <w:bookmarkStart w:id="100" w:name="OLE_LINK23"/>
      <w:r>
        <w:rPr>
          <w:rFonts w:hint="eastAsia" w:ascii="Times New Roman" w:hAnsi="Times New Roman"/>
          <w:szCs w:val="32"/>
        </w:rPr>
        <w:t>公务服务经费、柔刚写字楼和商务中心运行费、租金、公务用车运行平台、公务用车购置、公共机构节能、引凤楼租金及运行费</w:t>
      </w:r>
      <w:bookmarkEnd w:id="99"/>
      <w:bookmarkEnd w:id="100"/>
      <w:r>
        <w:rPr>
          <w:rFonts w:hint="eastAsia" w:ascii="Times New Roman" w:hAnsi="Times New Roman"/>
          <w:szCs w:val="32"/>
          <w:lang w:eastAsia="zh-CN"/>
        </w:rPr>
        <w:t>、</w:t>
      </w:r>
      <w:r>
        <w:rPr>
          <w:rFonts w:hint="eastAsia" w:ascii="Times New Roman" w:hAnsi="Times New Roman"/>
          <w:szCs w:val="32"/>
          <w:lang w:val="en-US" w:eastAsia="zh-CN"/>
        </w:rPr>
        <w:t>机关食堂运行费等8</w:t>
      </w:r>
      <w:r>
        <w:rPr>
          <w:rFonts w:hint="eastAsia" w:ascii="Times New Roman" w:hAnsi="Times New Roman"/>
          <w:szCs w:val="32"/>
        </w:rPr>
        <w:t>个项目开展</w:t>
      </w:r>
      <w:r>
        <w:rPr>
          <w:rFonts w:hint="eastAsia" w:ascii="Times New Roman" w:hAnsi="Times New Roman"/>
          <w:color w:val="000000"/>
          <w:szCs w:val="32"/>
        </w:rPr>
        <w:t>了预算事前绩效评估，对</w:t>
      </w:r>
      <w:r>
        <w:rPr>
          <w:rFonts w:hint="eastAsia" w:ascii="Times New Roman" w:hAnsi="Times New Roman"/>
          <w:color w:val="000000"/>
          <w:szCs w:val="32"/>
          <w:lang w:val="en-US" w:eastAsia="zh-CN"/>
        </w:rPr>
        <w:t>8</w:t>
      </w:r>
      <w:r>
        <w:rPr>
          <w:rFonts w:hint="eastAsia" w:ascii="Times New Roman" w:hAnsi="Times New Roman"/>
          <w:color w:val="000000"/>
          <w:szCs w:val="32"/>
        </w:rPr>
        <w:t>个项目编制了绩效目标，预算执行过程中，选取</w:t>
      </w:r>
      <w:r>
        <w:rPr>
          <w:rFonts w:hint="eastAsia" w:ascii="Times New Roman" w:hAnsi="Times New Roman"/>
          <w:color w:val="000000"/>
          <w:szCs w:val="32"/>
          <w:lang w:val="en-US" w:eastAsia="zh-CN"/>
        </w:rPr>
        <w:t>8</w:t>
      </w:r>
      <w:r>
        <w:rPr>
          <w:rFonts w:hint="eastAsia" w:ascii="Times New Roman" w:hAnsi="Times New Roman"/>
          <w:color w:val="000000"/>
          <w:szCs w:val="32"/>
        </w:rPr>
        <w:t>个项目开展绩效监控。</w:t>
      </w:r>
    </w:p>
    <w:p>
      <w:pPr>
        <w:widowControl/>
        <w:spacing w:line="360" w:lineRule="auto"/>
        <w:ind w:firstLine="640" w:firstLineChars="200"/>
        <w:jc w:val="left"/>
        <w:rPr>
          <w:color w:val="FF0000"/>
          <w:szCs w:val="32"/>
        </w:rPr>
      </w:pPr>
      <w:r>
        <w:rPr>
          <w:rFonts w:hint="eastAsia" w:ascii="Times New Roman" w:hAnsi="Times New Roman"/>
          <w:color w:val="000000"/>
          <w:szCs w:val="32"/>
        </w:rPr>
        <w:t>组织对</w:t>
      </w:r>
      <w:r>
        <w:rPr>
          <w:rFonts w:ascii="Times New Roman" w:hAnsi="Times New Roman"/>
          <w:color w:val="000000"/>
          <w:szCs w:val="32"/>
        </w:rPr>
        <w:t>202</w:t>
      </w:r>
      <w:r>
        <w:rPr>
          <w:rFonts w:hint="eastAsia" w:ascii="Times New Roman" w:hAnsi="Times New Roman"/>
          <w:color w:val="000000"/>
          <w:szCs w:val="32"/>
        </w:rPr>
        <w:t>4年度一般公共预算、政府性基金预算、国有资本经营预算、社会保险基金预算以及资本资产、债券资金等全面开展绩效自评，形成遂宁市安居区</w:t>
      </w:r>
      <w:r>
        <w:rPr>
          <w:rFonts w:hint="eastAsia" w:ascii="Times New Roman" w:hAnsi="Times New Roman"/>
          <w:color w:val="000000"/>
          <w:szCs w:val="32"/>
          <w:lang w:val="en-US" w:eastAsia="zh-CN"/>
        </w:rPr>
        <w:t>机关事务服务中心</w:t>
      </w:r>
      <w:r>
        <w:rPr>
          <w:rFonts w:hint="eastAsia" w:ascii="Times New Roman" w:hAnsi="Times New Roman"/>
          <w:color w:val="000000"/>
          <w:szCs w:val="32"/>
        </w:rPr>
        <w:t>部门整体（含部门预算项目）绩效自评报告、</w:t>
      </w:r>
      <w:r>
        <w:rPr>
          <w:rFonts w:hint="eastAsia" w:ascii="Times New Roman" w:hAnsi="Times New Roman"/>
          <w:szCs w:val="32"/>
        </w:rPr>
        <w:t>公务服务经费、柔刚写字楼和商务中心运行费、租金、公务用车运行平台、公务用车购置、公共机构节能、引凤楼租金及运行费</w:t>
      </w:r>
      <w:r>
        <w:rPr>
          <w:rFonts w:hint="eastAsia" w:ascii="Times New Roman" w:hAnsi="Times New Roman"/>
          <w:szCs w:val="32"/>
          <w:lang w:eastAsia="zh-CN"/>
        </w:rPr>
        <w:t>、</w:t>
      </w:r>
      <w:r>
        <w:rPr>
          <w:rFonts w:hint="eastAsia" w:ascii="Times New Roman" w:hAnsi="Times New Roman"/>
          <w:szCs w:val="32"/>
          <w:lang w:val="en-US" w:eastAsia="zh-CN"/>
        </w:rPr>
        <w:t>机关食堂运行费</w:t>
      </w:r>
      <w:r>
        <w:rPr>
          <w:rFonts w:hint="eastAsia" w:ascii="Times New Roman" w:hAnsi="Times New Roman"/>
          <w:color w:val="000000"/>
          <w:szCs w:val="32"/>
        </w:rPr>
        <w:t>等预算项目绩效自评报告，其中，</w:t>
      </w:r>
      <w:r>
        <w:rPr>
          <w:rFonts w:hint="eastAsia" w:ascii="仿宋_GB2312" w:hAnsi="仿宋_GB2312" w:cs="仿宋_GB2312"/>
          <w:color w:val="000000"/>
          <w:szCs w:val="32"/>
        </w:rPr>
        <w:t>遂宁市安居区</w:t>
      </w:r>
      <w:r>
        <w:rPr>
          <w:rFonts w:hint="eastAsia" w:ascii="仿宋_GB2312" w:hAnsi="仿宋_GB2312" w:cs="仿宋_GB2312"/>
          <w:color w:val="000000"/>
          <w:szCs w:val="32"/>
          <w:lang w:val="en-US" w:eastAsia="zh-CN"/>
        </w:rPr>
        <w:t>机关事务服务中心</w:t>
      </w:r>
      <w:r>
        <w:rPr>
          <w:rFonts w:hint="eastAsia" w:ascii="Times New Roman" w:hAnsi="Times New Roman"/>
          <w:color w:val="000000"/>
          <w:szCs w:val="32"/>
        </w:rPr>
        <w:t>部门整体（含部门预算项目）绩效自评得分为</w:t>
      </w:r>
      <w:r>
        <w:rPr>
          <w:rFonts w:hint="eastAsia" w:ascii="Times New Roman" w:hAnsi="Times New Roman"/>
          <w:color w:val="000000"/>
          <w:szCs w:val="32"/>
          <w:lang w:val="en-US" w:eastAsia="zh-CN"/>
        </w:rPr>
        <w:t>98</w:t>
      </w:r>
      <w:r>
        <w:rPr>
          <w:rFonts w:hint="eastAsia" w:ascii="Times New Roman" w:hAnsi="Times New Roman"/>
          <w:color w:val="000000"/>
          <w:szCs w:val="32"/>
        </w:rPr>
        <w:t>分，绩效自评综述：做好全区干部职工早中晚餐服务工作，做好区级公务接待工作以及招商引资接待工作</w:t>
      </w:r>
      <w:r>
        <w:rPr>
          <w:rFonts w:hint="default" w:ascii="Times New Roman" w:hAnsi="Times New Roman"/>
          <w:color w:val="000000"/>
          <w:szCs w:val="32"/>
          <w:lang w:val="en-US"/>
        </w:rPr>
        <w:t>,做好柔刚写字楼及商务中心的日常维护工作，保障两栋大楼的正常运行保障全区办公人员日常办公，以及人才公寓人员的入住</w:t>
      </w:r>
      <w:r>
        <w:rPr>
          <w:rFonts w:hint="eastAsia" w:ascii="Times New Roman" w:hAnsi="Times New Roman"/>
          <w:color w:val="000000"/>
          <w:szCs w:val="32"/>
        </w:rPr>
        <w:t>。完成党政机关公务用车的监督、管理。机关食堂运行</w:t>
      </w:r>
      <w:r>
        <w:rPr>
          <w:rFonts w:hint="eastAsia" w:ascii="Times New Roman" w:hAnsi="Times New Roman"/>
          <w:color w:val="auto"/>
          <w:szCs w:val="32"/>
        </w:rPr>
        <w:t>费预</w:t>
      </w:r>
      <w:r>
        <w:rPr>
          <w:rFonts w:hint="eastAsia" w:ascii="Times New Roman" w:hAnsi="Times New Roman"/>
          <w:color w:val="000000"/>
          <w:szCs w:val="32"/>
        </w:rPr>
        <w:t>算项目绩效自评得分为9</w:t>
      </w:r>
      <w:r>
        <w:rPr>
          <w:rFonts w:hint="eastAsia" w:ascii="Times New Roman" w:hAnsi="Times New Roman"/>
          <w:color w:val="000000"/>
          <w:szCs w:val="32"/>
          <w:lang w:val="en-US" w:eastAsia="zh-CN"/>
        </w:rPr>
        <w:t>5</w:t>
      </w:r>
      <w:r>
        <w:rPr>
          <w:rFonts w:hint="eastAsia" w:ascii="Times New Roman" w:hAnsi="Times New Roman"/>
          <w:color w:val="000000"/>
          <w:szCs w:val="32"/>
        </w:rPr>
        <w:t>分，绩效自评综述完成机关食堂服务、运行</w:t>
      </w:r>
      <w:r>
        <w:rPr>
          <w:rFonts w:hint="eastAsia" w:ascii="Times New Roman" w:hAnsi="Times New Roman"/>
          <w:color w:val="000000"/>
          <w:szCs w:val="32"/>
          <w:lang w:val="en-US" w:eastAsia="zh-CN"/>
        </w:rPr>
        <w:t>。</w:t>
      </w:r>
      <w:r>
        <w:rPr>
          <w:rFonts w:hint="eastAsia" w:ascii="Times New Roman" w:hAnsi="Times New Roman"/>
          <w:color w:val="000000"/>
          <w:szCs w:val="32"/>
        </w:rPr>
        <w:t>绩效自评报告详见附件。</w:t>
      </w:r>
    </w:p>
    <w:p>
      <w:pPr>
        <w:spacing w:line="600" w:lineRule="exact"/>
        <w:jc w:val="center"/>
        <w:outlineLvl w:val="0"/>
        <w:rPr>
          <w:rFonts w:eastAsia="方正小标宋简体"/>
          <w:sz w:val="44"/>
          <w:szCs w:val="44"/>
        </w:rPr>
      </w:pPr>
      <w:bookmarkStart w:id="101" w:name="_Toc15377225"/>
      <w:bookmarkStart w:id="102" w:name="_Toc3245"/>
      <w:bookmarkStart w:id="103" w:name="_Toc15396613"/>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pStyle w:val="2"/>
        <w:rPr>
          <w:rFonts w:eastAsia="方正小标宋简体"/>
          <w:sz w:val="44"/>
          <w:szCs w:val="44"/>
        </w:rPr>
      </w:pPr>
    </w:p>
    <w:p>
      <w:pPr>
        <w:pStyle w:val="3"/>
      </w:pPr>
    </w:p>
    <w:p>
      <w:pPr>
        <w:spacing w:line="600" w:lineRule="exact"/>
        <w:jc w:val="center"/>
        <w:outlineLvl w:val="0"/>
        <w:rPr>
          <w:rFonts w:eastAsia="方正小标宋简体"/>
          <w:sz w:val="44"/>
          <w:szCs w:val="44"/>
        </w:rPr>
      </w:pPr>
    </w:p>
    <w:p>
      <w:pPr>
        <w:spacing w:line="600" w:lineRule="exact"/>
        <w:jc w:val="center"/>
        <w:outlineLvl w:val="0"/>
        <w:rPr>
          <w:rStyle w:val="198"/>
          <w:rFonts w:eastAsia="黑体"/>
          <w:b w:val="0"/>
          <w:bCs w:val="0"/>
        </w:rPr>
      </w:pPr>
      <w:r>
        <w:rPr>
          <w:rFonts w:eastAsia="方正小标宋简体"/>
          <w:sz w:val="44"/>
          <w:szCs w:val="44"/>
        </w:rPr>
        <w:t>第三部分 名</w:t>
      </w:r>
      <w:r>
        <w:rPr>
          <w:rStyle w:val="198"/>
          <w:rFonts w:eastAsia="方正小标宋简体"/>
          <w:b w:val="0"/>
          <w:bCs w:val="0"/>
        </w:rPr>
        <w:t>词解释</w:t>
      </w:r>
      <w:bookmarkEnd w:id="101"/>
      <w:bookmarkEnd w:id="102"/>
      <w:bookmarkEnd w:id="103"/>
    </w:p>
    <w:p>
      <w:pPr>
        <w:spacing w:line="600" w:lineRule="exact"/>
        <w:jc w:val="left"/>
        <w:rPr>
          <w:sz w:val="44"/>
          <w:szCs w:val="44"/>
        </w:rPr>
      </w:pPr>
    </w:p>
    <w:p>
      <w:pPr>
        <w:pStyle w:val="22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1.财</w:t>
      </w:r>
      <w:r>
        <w:rPr>
          <w:rFonts w:hint="eastAsia" w:ascii="仿宋_GB2312" w:hAnsi="仿宋_GB2312" w:eastAsia="仿宋_GB2312" w:cs="仿宋_GB2312"/>
          <w:sz w:val="32"/>
          <w:szCs w:val="32"/>
        </w:rPr>
        <w:t>政拨款</w:t>
      </w:r>
      <w:r>
        <w:rPr>
          <w:rFonts w:hint="eastAsia" w:ascii="仿宋_GB2312" w:hAnsi="仿宋_GB2312" w:eastAsia="仿宋_GB2312" w:cs="仿宋_GB2312"/>
          <w:sz w:val="32"/>
          <w:szCs w:val="32"/>
          <w:highlight w:val="none"/>
        </w:rPr>
        <w:t>收入：指单位从同级财政</w:t>
      </w:r>
      <w:r>
        <w:rPr>
          <w:rFonts w:hint="eastAsia" w:ascii="仿宋_GB2312" w:hAnsi="仿宋_GB2312" w:eastAsia="仿宋_GB2312" w:cs="仿宋_GB2312"/>
          <w:sz w:val="32"/>
          <w:szCs w:val="32"/>
        </w:rPr>
        <w:t>部门取得的财政预算资金。</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_GB2312" w:hAnsi="仿宋_GB2312" w:cs="仿宋_GB2312"/>
          <w:kern w:val="2"/>
          <w:szCs w:val="32"/>
        </w:rPr>
      </w:pPr>
      <w:r>
        <w:rPr>
          <w:rFonts w:hint="eastAsia" w:ascii="仿宋_GB2312" w:hAnsi="仿宋_GB2312" w:cs="仿宋_GB2312"/>
          <w:kern w:val="2"/>
          <w:szCs w:val="32"/>
        </w:rPr>
        <w:t xml:space="preserve">2.使用非财政拨款结余（含专用结余）：指事业单位使用以前年度积累的非财政拨款结余弥补当年收支差额的金额。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_GB2312" w:hAnsi="仿宋_GB2312" w:cs="仿宋_GB2312"/>
          <w:kern w:val="2"/>
          <w:szCs w:val="32"/>
        </w:rPr>
      </w:pPr>
      <w:r>
        <w:rPr>
          <w:rFonts w:hint="eastAsia" w:ascii="仿宋_GB2312" w:hAnsi="仿宋_GB2312" w:cs="仿宋_GB2312"/>
          <w:kern w:val="2"/>
          <w:szCs w:val="32"/>
        </w:rPr>
        <w:t xml:space="preserve">3.年初结转和结余：指以前年度尚未完成、结转到本年按有关规定继续使用的资金。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_GB2312" w:hAnsi="仿宋_GB2312" w:cs="仿宋_GB2312"/>
          <w:kern w:val="2"/>
          <w:szCs w:val="32"/>
        </w:rPr>
      </w:pPr>
      <w:r>
        <w:rPr>
          <w:rFonts w:hint="eastAsia" w:ascii="仿宋_GB2312" w:hAnsi="仿宋_GB2312" w:cs="仿宋_GB2312"/>
          <w:kern w:val="2"/>
          <w:szCs w:val="32"/>
        </w:rPr>
        <w:t>4.结余分配：指事业单位按照会计制度规定缴纳的所得税、提取的专用结余以及转入非财政拨款结余的金额等。</w:t>
      </w:r>
    </w:p>
    <w:p>
      <w:pPr>
        <w:pStyle w:val="221"/>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5.年末结转和结余：指单位按有关规定结转到下年或以后年度继续使用的资金。</w:t>
      </w:r>
    </w:p>
    <w:p>
      <w:pPr>
        <w:pStyle w:val="221"/>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kern w:val="2"/>
          <w:sz w:val="32"/>
          <w:szCs w:val="32"/>
          <w:lang w:val="en-US"/>
        </w:rPr>
      </w:pPr>
      <w:r>
        <w:rPr>
          <w:rStyle w:val="38"/>
          <w:rFonts w:hint="eastAsia" w:hAnsi="仿宋" w:cs="仿宋"/>
          <w:b w:val="0"/>
          <w:bCs w:val="0"/>
          <w:i w:val="0"/>
          <w:iCs w:val="0"/>
          <w:color w:val="auto"/>
          <w:sz w:val="32"/>
          <w:szCs w:val="32"/>
          <w:highlight w:val="none"/>
          <w:lang w:val="en-US" w:eastAsia="zh-CN"/>
        </w:rPr>
        <w:t>6</w:t>
      </w:r>
      <w:r>
        <w:rPr>
          <w:rStyle w:val="38"/>
          <w:rFonts w:hint="eastAsia" w:ascii="仿宋" w:hAnsi="仿宋" w:eastAsia="仿宋" w:cs="仿宋"/>
          <w:b w:val="0"/>
          <w:bCs w:val="0"/>
          <w:i w:val="0"/>
          <w:iCs w:val="0"/>
          <w:color w:val="auto"/>
          <w:sz w:val="32"/>
          <w:szCs w:val="32"/>
          <w:highlight w:val="none"/>
          <w:lang w:val="en-US" w:eastAsia="zh-CN"/>
        </w:rPr>
        <w:t>.</w:t>
      </w:r>
      <w:r>
        <w:rPr>
          <w:rStyle w:val="38"/>
          <w:rFonts w:hint="eastAsia" w:ascii="仿宋" w:hAnsi="仿宋" w:eastAsia="仿宋" w:cs="仿宋"/>
          <w:b w:val="0"/>
          <w:bCs w:val="0"/>
          <w:i w:val="0"/>
          <w:iCs w:val="0"/>
          <w:color w:val="auto"/>
          <w:sz w:val="32"/>
          <w:szCs w:val="32"/>
          <w:highlight w:val="none"/>
        </w:rPr>
        <w:t>一般公共服务</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auto"/>
          <w:sz w:val="32"/>
          <w:szCs w:val="32"/>
          <w:highlight w:val="none"/>
        </w:rPr>
        <w:t>人大事务</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auto"/>
          <w:sz w:val="32"/>
          <w:szCs w:val="32"/>
          <w:highlight w:val="none"/>
        </w:rPr>
        <w:t>行政运行</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hAnsi="仿宋" w:cs="仿宋"/>
          <w:b w:val="0"/>
          <w:bCs w:val="0"/>
          <w:i w:val="0"/>
          <w:iCs w:val="0"/>
          <w:color w:val="auto"/>
          <w:sz w:val="32"/>
          <w:szCs w:val="32"/>
          <w:highlight w:val="none"/>
          <w:lang w:val="en-US" w:eastAsia="zh-CN"/>
        </w:rPr>
        <w:t>指行政单位（</w:t>
      </w:r>
      <w:r>
        <w:rPr>
          <w:rFonts w:hint="eastAsia" w:ascii="仿宋" w:hAnsi="仿宋" w:eastAsia="仿宋" w:cs="仿宋"/>
          <w:color w:val="000000"/>
          <w:sz w:val="32"/>
          <w:szCs w:val="32"/>
        </w:rPr>
        <w:t>包括实行公务员管理的事业单位</w:t>
      </w:r>
      <w:r>
        <w:rPr>
          <w:rStyle w:val="38"/>
          <w:rFonts w:hint="eastAsia" w:hAnsi="仿宋" w:cs="仿宋"/>
          <w:b w:val="0"/>
          <w:bCs w:val="0"/>
          <w:i w:val="0"/>
          <w:iCs w:val="0"/>
          <w:color w:val="auto"/>
          <w:sz w:val="32"/>
          <w:szCs w:val="32"/>
          <w:highlight w:val="none"/>
          <w:lang w:val="en-US" w:eastAsia="zh-CN"/>
        </w:rPr>
        <w:t>）的基本支出。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rPr>
      </w:pPr>
      <w:bookmarkStart w:id="104" w:name="OLE_LINK26"/>
      <w:bookmarkStart w:id="105" w:name="OLE_LINK25"/>
      <w:r>
        <w:rPr>
          <w:rStyle w:val="38"/>
          <w:rFonts w:hint="eastAsia" w:ascii="仿宋" w:hAnsi="仿宋" w:eastAsia="仿宋" w:cs="仿宋"/>
          <w:b w:val="0"/>
          <w:bCs w:val="0"/>
          <w:i w:val="0"/>
          <w:iCs w:val="0"/>
          <w:color w:val="auto"/>
          <w:sz w:val="32"/>
          <w:szCs w:val="32"/>
          <w:highlight w:val="none"/>
          <w:lang w:val="en-US" w:eastAsia="zh-CN"/>
        </w:rPr>
        <w:t>7.</w:t>
      </w:r>
      <w:r>
        <w:rPr>
          <w:rStyle w:val="38"/>
          <w:rFonts w:hint="eastAsia" w:ascii="仿宋" w:hAnsi="仿宋" w:eastAsia="仿宋" w:cs="仿宋"/>
          <w:b w:val="0"/>
          <w:bCs w:val="0"/>
          <w:i w:val="0"/>
          <w:iCs w:val="0"/>
          <w:color w:val="auto"/>
          <w:sz w:val="32"/>
          <w:szCs w:val="32"/>
          <w:highlight w:val="none"/>
        </w:rPr>
        <w:t>一般公共服务</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auto"/>
          <w:sz w:val="32"/>
          <w:szCs w:val="32"/>
          <w:highlight w:val="none"/>
        </w:rPr>
        <w:t>政府办公厅（室）及相关机构事务</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auto"/>
          <w:sz w:val="32"/>
          <w:szCs w:val="32"/>
          <w:highlight w:val="none"/>
        </w:rPr>
        <w:t>事业运行</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指</w:t>
      </w:r>
      <w:r>
        <w:rPr>
          <w:rFonts w:hint="eastAsia" w:ascii="仿宋" w:hAnsi="仿宋" w:eastAsia="仿宋" w:cs="仿宋"/>
          <w:color w:val="000000"/>
          <w:sz w:val="32"/>
          <w:szCs w:val="32"/>
        </w:rPr>
        <w:t>事业单位的基本支出，不包括行政单位（包括实行公务员管理的事业单位）后勤服务中心、医务室等附属事业单位</w:t>
      </w:r>
      <w:r>
        <w:rPr>
          <w:rFonts w:hint="eastAsia" w:ascii="仿宋" w:hAnsi="仿宋" w:eastAsia="仿宋" w:cs="仿宋"/>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38"/>
          <w:rFonts w:hint="eastAsia" w:ascii="仿宋" w:hAnsi="仿宋" w:eastAsia="仿宋" w:cs="仿宋"/>
          <w:b w:val="0"/>
          <w:bCs w:val="0"/>
          <w:i w:val="0"/>
          <w:iCs w:val="0"/>
          <w:color w:val="auto"/>
          <w:sz w:val="32"/>
          <w:szCs w:val="32"/>
          <w:highlight w:val="none"/>
          <w:lang w:val="en-US" w:eastAsia="zh-CN"/>
        </w:rPr>
      </w:pPr>
      <w:r>
        <w:rPr>
          <w:rStyle w:val="38"/>
          <w:rFonts w:hint="eastAsia" w:ascii="仿宋" w:hAnsi="仿宋" w:eastAsia="仿宋" w:cs="仿宋"/>
          <w:b w:val="0"/>
          <w:bCs w:val="0"/>
          <w:i w:val="0"/>
          <w:iCs w:val="0"/>
          <w:color w:val="auto"/>
          <w:sz w:val="32"/>
          <w:szCs w:val="32"/>
          <w:highlight w:val="none"/>
          <w:lang w:val="en-US" w:eastAsia="zh-CN"/>
        </w:rPr>
        <w:t>8.</w:t>
      </w:r>
      <w:r>
        <w:rPr>
          <w:rStyle w:val="38"/>
          <w:rFonts w:hint="eastAsia" w:ascii="仿宋" w:hAnsi="仿宋" w:eastAsia="仿宋" w:cs="仿宋"/>
          <w:b w:val="0"/>
          <w:bCs w:val="0"/>
          <w:i w:val="0"/>
          <w:iCs w:val="0"/>
          <w:color w:val="auto"/>
          <w:sz w:val="32"/>
          <w:szCs w:val="32"/>
          <w:highlight w:val="none"/>
        </w:rPr>
        <w:t>一般公共服务</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auto"/>
          <w:sz w:val="32"/>
          <w:szCs w:val="32"/>
          <w:highlight w:val="none"/>
        </w:rPr>
        <w:t>政府办公厅（室）及相关机构事务</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款）机关服务（项）</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指反映为行政单位（包括实行公务员管理的事业单位）提供后勤服务的各类后勤服务中心、医务室等附属事业单位的支出。其他事业单位的支出，凡单独设置了项级单位的，在单独设置的项级科目中反映。未单设项级科目的，在“其他”项级科目中反映。</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38"/>
          <w:rFonts w:hint="eastAsia" w:ascii="仿宋" w:hAnsi="仿宋" w:eastAsia="仿宋" w:cs="仿宋"/>
          <w:b w:val="0"/>
          <w:bCs w:val="0"/>
          <w:i w:val="0"/>
          <w:iCs w:val="0"/>
          <w:color w:val="auto"/>
          <w:sz w:val="32"/>
          <w:szCs w:val="32"/>
          <w:highlight w:val="none"/>
          <w:lang w:val="en-US" w:eastAsia="zh-CN"/>
        </w:rPr>
      </w:pPr>
      <w:r>
        <w:rPr>
          <w:rStyle w:val="38"/>
          <w:rFonts w:hint="eastAsia" w:ascii="仿宋" w:hAnsi="仿宋" w:eastAsia="仿宋" w:cs="仿宋"/>
          <w:b w:val="0"/>
          <w:bCs w:val="0"/>
          <w:i w:val="0"/>
          <w:iCs w:val="0"/>
          <w:color w:val="auto"/>
          <w:sz w:val="32"/>
          <w:szCs w:val="32"/>
          <w:highlight w:val="none"/>
          <w:lang w:val="en-US" w:eastAsia="zh-CN"/>
        </w:rPr>
        <w:t>9.</w:t>
      </w:r>
      <w:r>
        <w:rPr>
          <w:rStyle w:val="38"/>
          <w:rFonts w:hint="eastAsia" w:ascii="仿宋" w:hAnsi="仿宋" w:eastAsia="仿宋" w:cs="仿宋"/>
          <w:b w:val="0"/>
          <w:bCs w:val="0"/>
          <w:i w:val="0"/>
          <w:iCs w:val="0"/>
          <w:color w:val="auto"/>
          <w:sz w:val="32"/>
          <w:szCs w:val="32"/>
          <w:highlight w:val="none"/>
        </w:rPr>
        <w:t>一般公共服务</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auto"/>
          <w:sz w:val="32"/>
          <w:szCs w:val="32"/>
          <w:highlight w:val="none"/>
        </w:rPr>
        <w:t>政府办公厅（室）及相关机构事务</w:t>
      </w:r>
      <w:r>
        <w:rPr>
          <w:rStyle w:val="38"/>
          <w:rFonts w:hint="eastAsia" w:ascii="仿宋" w:hAnsi="仿宋" w:eastAsia="仿宋" w:cs="仿宋"/>
          <w:b w:val="0"/>
          <w:bCs w:val="0"/>
          <w:i w:val="0"/>
          <w:iCs w:val="0"/>
          <w:color w:val="auto"/>
          <w:sz w:val="32"/>
          <w:szCs w:val="32"/>
          <w:highlight w:val="none"/>
          <w:lang w:val="en-US" w:eastAsia="zh-CN"/>
        </w:rPr>
        <w:t>（款）专项业务及机关事务管理</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反映各级政府举行各类重大活动、召开重要会议（如国务院一类会议、国庆招待会、全国劳模大会）的支出，政府机关房地产管理、公务用车管理等方面的支出。</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Style w:val="38"/>
          <w:rFonts w:hint="eastAsia" w:ascii="仿宋" w:hAnsi="仿宋" w:eastAsia="仿宋" w:cs="仿宋"/>
          <w:b w:val="0"/>
          <w:bCs w:val="0"/>
          <w:i w:val="0"/>
          <w:iCs w:val="0"/>
          <w:color w:val="auto"/>
          <w:sz w:val="32"/>
          <w:szCs w:val="32"/>
          <w:highlight w:val="none"/>
          <w:lang w:val="en-US" w:eastAsia="zh-CN"/>
        </w:rPr>
        <w:t>10.</w:t>
      </w:r>
      <w:r>
        <w:rPr>
          <w:rStyle w:val="38"/>
          <w:rFonts w:hint="eastAsia" w:ascii="仿宋" w:hAnsi="仿宋" w:eastAsia="仿宋" w:cs="仿宋"/>
          <w:b w:val="0"/>
          <w:bCs w:val="0"/>
          <w:i w:val="0"/>
          <w:iCs w:val="0"/>
          <w:color w:val="auto"/>
          <w:sz w:val="32"/>
          <w:szCs w:val="32"/>
          <w:highlight w:val="none"/>
        </w:rPr>
        <w:t>一般公共服务</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auto"/>
          <w:sz w:val="32"/>
          <w:szCs w:val="32"/>
          <w:highlight w:val="none"/>
        </w:rPr>
        <w:t>政府办公厅（室）及相关机构事务</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auto"/>
          <w:sz w:val="32"/>
          <w:szCs w:val="32"/>
          <w:highlight w:val="none"/>
        </w:rPr>
        <w:t>其他政府办公厅（室）及相关机构事务支出</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Style w:val="38"/>
          <w:rFonts w:hint="eastAsia" w:ascii="仿宋" w:hAnsi="仿宋" w:eastAsia="仿宋" w:cs="仿宋"/>
          <w:b w:val="0"/>
          <w:bCs w:val="0"/>
          <w:i w:val="0"/>
          <w:iCs w:val="0"/>
          <w:color w:val="auto"/>
          <w:sz w:val="32"/>
          <w:szCs w:val="32"/>
          <w:highlight w:val="none"/>
          <w:lang w:eastAsia="zh-CN"/>
        </w:rPr>
        <w:t>：</w:t>
      </w:r>
      <w:r>
        <w:rPr>
          <w:rFonts w:hint="eastAsia" w:ascii="仿宋" w:hAnsi="仿宋" w:eastAsia="仿宋" w:cs="仿宋"/>
          <w:color w:val="000000"/>
          <w:sz w:val="32"/>
          <w:szCs w:val="32"/>
        </w:rPr>
        <w:t>指除了行政运行、一般行政管理事务、机关服务、专项服务、专项业务及机关事务管理、政务公开审批经、信访事务、参事事务、事业运行以外的其他政府办公厅（室）及相关机构事务支出</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社会保障和就业</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highlight w:val="none"/>
        </w:rPr>
        <w:t>行政事业单位养老支出</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highlight w:val="none"/>
        </w:rPr>
        <w:t>机关事业单位基本养老保险缴费支出</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社会保障和就业支出</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highlight w:val="none"/>
        </w:rPr>
        <w:t>其他社会保障和就业支出</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highlight w:val="none"/>
        </w:rPr>
        <w:t>其他社会保障和就业支出</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r>
        <w:rPr>
          <w:rStyle w:val="38"/>
          <w:rFonts w:hint="eastAsia" w:ascii="仿宋" w:hAnsi="仿宋" w:eastAsia="仿宋" w:cs="仿宋"/>
          <w:b w:val="0"/>
          <w:color w:val="000000"/>
          <w:sz w:val="32"/>
          <w:szCs w:val="32"/>
        </w:rPr>
        <w:t>指除上述项目以外其他用于社会保障和就业方面的支出</w:t>
      </w:r>
      <w:r>
        <w:rPr>
          <w:rFonts w:hint="eastAsia" w:ascii="仿宋" w:hAnsi="仿宋" w:eastAsia="仿宋" w:cs="仿宋"/>
          <w:b w:val="0"/>
          <w:bCs w:val="0"/>
          <w:i w:val="0"/>
          <w:i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卫生健康支出</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000000"/>
          <w:sz w:val="32"/>
          <w:szCs w:val="32"/>
          <w:lang w:val="en-US" w:eastAsia="zh-CN"/>
        </w:rPr>
        <w:t>）</w:t>
      </w:r>
      <w:r>
        <w:rPr>
          <w:rFonts w:hint="eastAsia" w:ascii="仿宋" w:hAnsi="仿宋" w:eastAsia="仿宋" w:cs="仿宋"/>
          <w:color w:val="auto"/>
          <w:sz w:val="32"/>
          <w:szCs w:val="32"/>
          <w:highlight w:val="none"/>
        </w:rPr>
        <w:t>行政事业单位医疗</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000000"/>
          <w:sz w:val="32"/>
          <w:szCs w:val="32"/>
        </w:rPr>
        <w:t>）</w:t>
      </w:r>
      <w:r>
        <w:rPr>
          <w:rFonts w:hint="eastAsia" w:ascii="仿宋" w:hAnsi="仿宋" w:eastAsia="仿宋" w:cs="仿宋"/>
          <w:color w:val="auto"/>
          <w:sz w:val="32"/>
          <w:szCs w:val="32"/>
          <w:highlight w:val="none"/>
        </w:rPr>
        <w:t>事业单位医疗</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14.</w:t>
      </w:r>
      <w:r>
        <w:rPr>
          <w:rFonts w:hint="eastAsia" w:ascii="仿宋" w:hAnsi="仿宋" w:eastAsia="仿宋" w:cs="仿宋"/>
          <w:b w:val="0"/>
          <w:bCs w:val="0"/>
          <w:i w:val="0"/>
          <w:iCs w:val="0"/>
          <w:color w:val="auto"/>
          <w:sz w:val="32"/>
          <w:szCs w:val="32"/>
          <w:highlight w:val="none"/>
        </w:rPr>
        <w:t>卫生健康</w:t>
      </w:r>
      <w:r>
        <w:rPr>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Style w:val="38"/>
          <w:rFonts w:hint="eastAsia" w:ascii="仿宋" w:hAnsi="仿宋" w:eastAsia="仿宋" w:cs="仿宋"/>
          <w:b w:val="0"/>
          <w:bCs w:val="0"/>
          <w:i w:val="0"/>
          <w:iCs w:val="0"/>
          <w:color w:val="auto"/>
          <w:sz w:val="32"/>
          <w:szCs w:val="32"/>
          <w:highlight w:val="none"/>
        </w:rPr>
        <w:t>）</w:t>
      </w:r>
      <w:r>
        <w:rPr>
          <w:rFonts w:hint="eastAsia" w:ascii="仿宋" w:hAnsi="仿宋" w:eastAsia="仿宋" w:cs="仿宋"/>
          <w:color w:val="auto"/>
          <w:sz w:val="32"/>
          <w:szCs w:val="32"/>
          <w:highlight w:val="none"/>
        </w:rPr>
        <w:t>行政事业单位医疗</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Style w:val="38"/>
          <w:rFonts w:hint="eastAsia" w:ascii="仿宋" w:hAnsi="仿宋" w:eastAsia="仿宋" w:cs="仿宋"/>
          <w:b w:val="0"/>
          <w:bCs w:val="0"/>
          <w:i w:val="0"/>
          <w:iCs w:val="0"/>
          <w:color w:val="auto"/>
          <w:sz w:val="32"/>
          <w:szCs w:val="32"/>
          <w:highlight w:val="none"/>
        </w:rPr>
        <w:t>）</w:t>
      </w:r>
      <w:r>
        <w:rPr>
          <w:rStyle w:val="38"/>
          <w:rFonts w:hint="eastAsia" w:ascii="仿宋" w:hAnsi="仿宋" w:eastAsia="仿宋" w:cs="仿宋"/>
          <w:b w:val="0"/>
          <w:bCs w:val="0"/>
          <w:i w:val="0"/>
          <w:iCs w:val="0"/>
          <w:color w:val="auto"/>
          <w:sz w:val="32"/>
          <w:szCs w:val="32"/>
          <w:highlight w:val="none"/>
          <w:lang w:val="en-US" w:eastAsia="zh-CN"/>
        </w:rPr>
        <w:t>其他</w:t>
      </w:r>
      <w:r>
        <w:rPr>
          <w:rFonts w:hint="eastAsia" w:ascii="仿宋" w:hAnsi="仿宋" w:eastAsia="仿宋" w:cs="仿宋"/>
          <w:color w:val="auto"/>
          <w:sz w:val="32"/>
          <w:szCs w:val="32"/>
          <w:highlight w:val="none"/>
        </w:rPr>
        <w:t>行政事业单位医疗</w:t>
      </w:r>
      <w:r>
        <w:rPr>
          <w:rFonts w:hint="eastAsia" w:ascii="仿宋" w:hAnsi="仿宋" w:eastAsia="仿宋" w:cs="仿宋"/>
          <w:color w:val="auto"/>
          <w:sz w:val="32"/>
          <w:szCs w:val="32"/>
          <w:highlight w:val="none"/>
          <w:lang w:val="en-US" w:eastAsia="zh-CN"/>
        </w:rPr>
        <w:t>支出</w:t>
      </w:r>
      <w:r>
        <w:rPr>
          <w:rStyle w:val="38"/>
          <w:rFonts w:hint="eastAsia" w:ascii="仿宋" w:hAnsi="仿宋" w:eastAsia="仿宋" w:cs="仿宋"/>
          <w:b w:val="0"/>
          <w:bCs w:val="0"/>
          <w:i w:val="0"/>
          <w:iCs w:val="0"/>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Fonts w:hint="eastAsia" w:ascii="仿宋" w:hAnsi="仿宋" w:eastAsia="仿宋" w:cs="仿宋"/>
          <w:b w:val="0"/>
          <w:bCs w:val="0"/>
          <w:i w:val="0"/>
          <w:iCs w:val="0"/>
          <w:color w:val="auto"/>
          <w:sz w:val="32"/>
          <w:szCs w:val="32"/>
          <w:highlight w:val="none"/>
        </w:rPr>
        <w:t>：指</w:t>
      </w:r>
      <w:r>
        <w:rPr>
          <w:rFonts w:hint="eastAsia" w:ascii="仿宋" w:hAnsi="仿宋" w:eastAsia="仿宋" w:cs="仿宋"/>
          <w:b w:val="0"/>
          <w:bCs w:val="0"/>
          <w:i w:val="0"/>
          <w:iCs w:val="0"/>
          <w:color w:val="auto"/>
          <w:sz w:val="32"/>
          <w:szCs w:val="32"/>
          <w:highlight w:val="none"/>
          <w:lang w:val="en-US" w:eastAsia="zh-CN"/>
        </w:rPr>
        <w:t>反映除上述项目以外的其他用于行政事业单位医疗方面的支出</w:t>
      </w:r>
      <w:r>
        <w:rPr>
          <w:rFonts w:hint="eastAsia" w:ascii="仿宋" w:hAnsi="仿宋" w:eastAsia="仿宋" w:cs="仿宋"/>
          <w:b w:val="0"/>
          <w:bCs w:val="0"/>
          <w:i w:val="0"/>
          <w:i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住房保障支出</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类</w:t>
      </w:r>
      <w:r>
        <w:rPr>
          <w:rFonts w:hint="eastAsia" w:ascii="仿宋" w:hAnsi="仿宋" w:eastAsia="仿宋" w:cs="仿宋"/>
          <w:color w:val="000000"/>
          <w:sz w:val="32"/>
          <w:szCs w:val="32"/>
        </w:rPr>
        <w:t>）</w:t>
      </w:r>
      <w:r>
        <w:rPr>
          <w:rFonts w:hint="eastAsia" w:ascii="仿宋" w:hAnsi="仿宋" w:eastAsia="仿宋" w:cs="仿宋"/>
          <w:color w:val="auto"/>
          <w:sz w:val="32"/>
          <w:szCs w:val="32"/>
          <w:highlight w:val="none"/>
        </w:rPr>
        <w:t>住房改革支出</w:t>
      </w:r>
      <w:r>
        <w:rPr>
          <w:rFonts w:hint="eastAsia" w:ascii="仿宋" w:hAnsi="仿宋" w:eastAsia="仿宋" w:cs="仿宋"/>
          <w:color w:val="auto"/>
          <w:sz w:val="32"/>
          <w:szCs w:val="32"/>
          <w:highlight w:val="none"/>
          <w:lang w:eastAsia="zh-CN"/>
        </w:rPr>
        <w:t>（</w:t>
      </w:r>
      <w:r>
        <w:rPr>
          <w:rStyle w:val="38"/>
          <w:rFonts w:hint="eastAsia" w:ascii="仿宋" w:hAnsi="仿宋" w:eastAsia="仿宋" w:cs="仿宋"/>
          <w:b w:val="0"/>
          <w:bCs w:val="0"/>
          <w:i w:val="0"/>
          <w:iCs w:val="0"/>
          <w:color w:val="auto"/>
          <w:sz w:val="32"/>
          <w:szCs w:val="32"/>
          <w:highlight w:val="none"/>
          <w:lang w:val="en-US" w:eastAsia="zh-CN"/>
        </w:rPr>
        <w:t>款</w:t>
      </w:r>
      <w:r>
        <w:rPr>
          <w:rFonts w:hint="eastAsia" w:ascii="仿宋" w:hAnsi="仿宋" w:eastAsia="仿宋" w:cs="仿宋"/>
          <w:color w:val="000000"/>
          <w:sz w:val="32"/>
          <w:szCs w:val="32"/>
        </w:rPr>
        <w:t>）</w:t>
      </w:r>
      <w:r>
        <w:rPr>
          <w:rFonts w:hint="eastAsia" w:ascii="仿宋" w:hAnsi="仿宋" w:eastAsia="仿宋" w:cs="仿宋"/>
          <w:color w:val="auto"/>
          <w:sz w:val="32"/>
          <w:szCs w:val="32"/>
          <w:highlight w:val="none"/>
        </w:rPr>
        <w:t>住房公积金</w:t>
      </w:r>
      <w:r>
        <w:rPr>
          <w:rFonts w:hint="eastAsia" w:ascii="仿宋" w:hAnsi="仿宋" w:eastAsia="仿宋" w:cs="仿宋"/>
          <w:color w:val="000000"/>
          <w:sz w:val="32"/>
          <w:szCs w:val="32"/>
          <w:lang w:eastAsia="zh-CN"/>
        </w:rPr>
        <w:t>（</w:t>
      </w:r>
      <w:r>
        <w:rPr>
          <w:rStyle w:val="38"/>
          <w:rFonts w:hint="eastAsia" w:ascii="仿宋" w:hAnsi="仿宋" w:eastAsia="仿宋" w:cs="仿宋"/>
          <w:b w:val="0"/>
          <w:bCs w:val="0"/>
          <w:i w:val="0"/>
          <w:iCs w:val="0"/>
          <w:color w:val="auto"/>
          <w:sz w:val="32"/>
          <w:szCs w:val="32"/>
          <w:highlight w:val="none"/>
          <w:lang w:val="en-US" w:eastAsia="zh-CN"/>
        </w:rPr>
        <w:t>项</w:t>
      </w:r>
      <w:r>
        <w:rPr>
          <w:rFonts w:hint="eastAsia" w:ascii="仿宋" w:hAnsi="仿宋" w:eastAsia="仿宋" w:cs="仿宋"/>
          <w:color w:val="000000"/>
          <w:sz w:val="32"/>
          <w:szCs w:val="32"/>
        </w:rPr>
        <w:t>）：指行政事业单位按人力资源和社会保障部、财政部规定的基本工资和津贴补贴以及规定比例为职工缴纳的住房公积金。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16.</w:t>
      </w:r>
      <w:r>
        <w:rPr>
          <w:rFonts w:hint="eastAsia" w:ascii="仿宋" w:hAnsi="仿宋" w:eastAsia="仿宋" w:cs="仿宋"/>
          <w:b w:val="0"/>
          <w:bCs w:val="0"/>
          <w:i w:val="0"/>
          <w:iCs w:val="0"/>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17.</w:t>
      </w:r>
      <w:r>
        <w:rPr>
          <w:rFonts w:hint="eastAsia" w:ascii="仿宋" w:hAnsi="仿宋" w:eastAsia="仿宋" w:cs="仿宋"/>
          <w:b w:val="0"/>
          <w:bCs w:val="0"/>
          <w:i w:val="0"/>
          <w:iCs w:val="0"/>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18</w:t>
      </w:r>
      <w:r>
        <w:rPr>
          <w:rFonts w:hint="eastAsia" w:ascii="仿宋" w:hAnsi="仿宋" w:eastAsia="仿宋" w:cs="仿宋"/>
          <w:b w:val="0"/>
          <w:bCs w:val="0"/>
          <w:i w:val="0"/>
          <w:iCs w:val="0"/>
          <w:color w:val="auto"/>
          <w:sz w:val="32"/>
          <w:szCs w:val="32"/>
          <w:highlight w:val="none"/>
        </w:rPr>
        <w:t>.经营支出：指事业单位在专业业务活动及其辅助活动之外开展非独立核算经营活动发生的支出。</w:t>
      </w:r>
    </w:p>
    <w:p>
      <w:pPr>
        <w:pStyle w:val="221"/>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i w:val="0"/>
          <w:iCs w:val="0"/>
          <w:color w:val="auto"/>
          <w:sz w:val="32"/>
          <w:szCs w:val="32"/>
          <w:highlight w:val="none"/>
        </w:rPr>
      </w:pPr>
      <w:r>
        <w:rPr>
          <w:rFonts w:hint="eastAsia" w:ascii="仿宋" w:hAnsi="仿宋" w:eastAsia="仿宋" w:cs="仿宋"/>
          <w:b w:val="0"/>
          <w:bCs w:val="0"/>
          <w:i w:val="0"/>
          <w:iCs w:val="0"/>
          <w:color w:val="auto"/>
          <w:sz w:val="32"/>
          <w:szCs w:val="32"/>
          <w:highlight w:val="none"/>
          <w:lang w:val="en-US" w:eastAsia="zh-CN"/>
        </w:rPr>
        <w:t>1</w:t>
      </w:r>
      <w:r>
        <w:rPr>
          <w:rFonts w:hint="eastAsia" w:hAnsi="仿宋" w:cs="仿宋"/>
          <w:b w:val="0"/>
          <w:bCs w:val="0"/>
          <w:i w:val="0"/>
          <w:iCs w:val="0"/>
          <w:color w:val="auto"/>
          <w:sz w:val="32"/>
          <w:szCs w:val="32"/>
          <w:highlight w:val="none"/>
          <w:lang w:val="en-US" w:eastAsia="zh-CN"/>
        </w:rPr>
        <w:t>9</w:t>
      </w:r>
      <w:r>
        <w:rPr>
          <w:rFonts w:hint="eastAsia" w:ascii="仿宋" w:hAnsi="仿宋" w:eastAsia="仿宋" w:cs="仿宋"/>
          <w:b w:val="0"/>
          <w:bCs w:val="0"/>
          <w:i w:val="0"/>
          <w:iCs w:val="0"/>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1"/>
        <w:keepNext w:val="0"/>
        <w:keepLines w:val="0"/>
        <w:pageBreakBefore w:val="0"/>
        <w:widowControl w:val="0"/>
        <w:kinsoku/>
        <w:wordWrap/>
        <w:overflowPunct/>
        <w:topLinePunct w:val="0"/>
        <w:autoSpaceDE/>
        <w:autoSpaceDN/>
        <w:bidi w:val="0"/>
        <w:adjustRightInd/>
        <w:snapToGrid/>
        <w:spacing w:line="360" w:lineRule="auto"/>
        <w:ind w:firstLine="632"/>
        <w:textAlignment w:val="auto"/>
        <w:rPr>
          <w:rFonts w:ascii="仿宋_GB2312" w:hAnsi="仿宋_GB2312" w:eastAsia="仿宋_GB2312" w:cs="仿宋_GB2312"/>
          <w:sz w:val="32"/>
          <w:szCs w:val="32"/>
        </w:rPr>
      </w:pPr>
      <w:r>
        <w:rPr>
          <w:rFonts w:hint="eastAsia" w:hAnsi="仿宋" w:cs="仿宋"/>
          <w:b w:val="0"/>
          <w:bCs w:val="0"/>
          <w:i w:val="0"/>
          <w:iCs w:val="0"/>
          <w:color w:val="auto"/>
          <w:sz w:val="32"/>
          <w:szCs w:val="32"/>
          <w:highlight w:val="none"/>
          <w:lang w:val="en-US" w:eastAsia="zh-CN"/>
        </w:rPr>
        <w:t>20</w:t>
      </w:r>
      <w:r>
        <w:rPr>
          <w:rFonts w:hint="eastAsia" w:ascii="仿宋" w:hAnsi="仿宋" w:eastAsia="仿宋" w:cs="仿宋"/>
          <w:b w:val="0"/>
          <w:bCs w:val="0"/>
          <w:i w:val="0"/>
          <w:iCs w:val="0"/>
          <w:color w:val="auto"/>
          <w:sz w:val="32"/>
          <w:szCs w:val="32"/>
          <w:highlight w:val="none"/>
          <w:lang w:val="en-US" w:eastAsia="zh-CN"/>
        </w:rPr>
        <w:t>.</w:t>
      </w:r>
      <w:r>
        <w:rPr>
          <w:rFonts w:hint="eastAsia" w:ascii="仿宋" w:hAnsi="仿宋" w:eastAsia="仿宋" w:cs="仿宋"/>
          <w:b w:val="0"/>
          <w:bCs w:val="0"/>
          <w:i w:val="0"/>
          <w:iCs w:val="0"/>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sz w:val="32"/>
          <w:szCs w:val="32"/>
        </w:rPr>
        <w:t>。</w:t>
      </w:r>
      <w:bookmarkEnd w:id="104"/>
      <w:bookmarkEnd w:id="105"/>
    </w:p>
    <w:p>
      <w:pPr>
        <w:pStyle w:val="221"/>
        <w:spacing w:line="560" w:lineRule="exact"/>
        <w:ind w:firstLine="632"/>
        <w:rPr>
          <w:rFonts w:ascii="Times New Roman" w:hAnsi="Times New Roman" w:eastAsia="仿宋_GB2312" w:cs="Times New Roman"/>
          <w:sz w:val="32"/>
          <w:szCs w:val="32"/>
        </w:rPr>
      </w:pPr>
    </w:p>
    <w:p>
      <w:pPr>
        <w:spacing w:line="600" w:lineRule="exact"/>
        <w:jc w:val="center"/>
        <w:outlineLvl w:val="0"/>
        <w:rPr>
          <w:rFonts w:eastAsia="方正小标宋简体"/>
          <w:sz w:val="44"/>
          <w:szCs w:val="44"/>
        </w:rPr>
      </w:pPr>
      <w:bookmarkStart w:id="106" w:name="_Toc766"/>
      <w:bookmarkStart w:id="107" w:name="_Toc15396614"/>
      <w:bookmarkStart w:id="108" w:name="_Toc15377226"/>
    </w:p>
    <w:p>
      <w:pPr>
        <w:spacing w:line="600" w:lineRule="exact"/>
        <w:jc w:val="center"/>
        <w:outlineLvl w:val="0"/>
        <w:rPr>
          <w:rFonts w:eastAsia="方正小标宋简体"/>
          <w:sz w:val="44"/>
          <w:szCs w:val="44"/>
        </w:rPr>
      </w:pPr>
    </w:p>
    <w:p>
      <w:pPr>
        <w:pStyle w:val="2"/>
        <w:rPr>
          <w:rFonts w:eastAsia="方正小标宋简体"/>
          <w:sz w:val="44"/>
          <w:szCs w:val="44"/>
        </w:rPr>
      </w:pPr>
    </w:p>
    <w:p>
      <w:pPr>
        <w:pStyle w:val="3"/>
        <w:rPr>
          <w:rFonts w:eastAsia="方正小标宋简体"/>
          <w:sz w:val="44"/>
          <w:szCs w:val="44"/>
        </w:rPr>
      </w:pPr>
    </w:p>
    <w:p>
      <w:pPr>
        <w:pStyle w:val="3"/>
        <w:rPr>
          <w:rFonts w:eastAsia="方正小标宋简体"/>
          <w:sz w:val="44"/>
          <w:szCs w:val="44"/>
        </w:rPr>
      </w:pPr>
    </w:p>
    <w:p>
      <w:pPr>
        <w:pStyle w:val="3"/>
        <w:rPr>
          <w:rFonts w:eastAsia="方正小标宋简体"/>
          <w:sz w:val="44"/>
          <w:szCs w:val="44"/>
        </w:rPr>
      </w:pPr>
    </w:p>
    <w:p>
      <w:pPr>
        <w:pStyle w:val="3"/>
        <w:rPr>
          <w:rFonts w:eastAsia="方正小标宋简体"/>
          <w:sz w:val="44"/>
          <w:szCs w:val="44"/>
        </w:rPr>
      </w:pPr>
    </w:p>
    <w:p>
      <w:pPr>
        <w:pStyle w:val="3"/>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Fonts w:eastAsia="方正小标宋简体"/>
          <w:sz w:val="44"/>
          <w:szCs w:val="44"/>
        </w:rPr>
      </w:pPr>
    </w:p>
    <w:p>
      <w:pPr>
        <w:spacing w:line="600" w:lineRule="exact"/>
        <w:jc w:val="center"/>
        <w:outlineLvl w:val="0"/>
        <w:rPr>
          <w:rStyle w:val="198"/>
          <w:rFonts w:eastAsia="方正小标宋简体"/>
          <w:b w:val="0"/>
          <w:bCs w:val="0"/>
        </w:rPr>
      </w:pPr>
      <w:r>
        <w:rPr>
          <w:rFonts w:eastAsia="方正小标宋简体"/>
          <w:sz w:val="44"/>
          <w:szCs w:val="44"/>
        </w:rPr>
        <w:t>第</w:t>
      </w:r>
      <w:r>
        <w:rPr>
          <w:rStyle w:val="198"/>
          <w:rFonts w:eastAsia="方正小标宋简体"/>
          <w:b w:val="0"/>
          <w:bCs w:val="0"/>
        </w:rPr>
        <w:t>四部分 附件</w:t>
      </w:r>
      <w:bookmarkEnd w:id="106"/>
      <w:bookmarkEnd w:id="107"/>
    </w:p>
    <w:p>
      <w:pPr>
        <w:spacing w:line="572" w:lineRule="exact"/>
        <w:jc w:val="left"/>
        <w:rPr>
          <w:rFonts w:eastAsia="黑体"/>
          <w:color w:val="FF0000"/>
          <w:szCs w:val="32"/>
        </w:rPr>
      </w:pPr>
    </w:p>
    <w:p>
      <w:pPr>
        <w:spacing w:line="572" w:lineRule="exact"/>
        <w:jc w:val="left"/>
        <w:outlineLvl w:val="0"/>
        <w:rPr>
          <w:rFonts w:eastAsia="黑体"/>
          <w:sz w:val="44"/>
          <w:szCs w:val="44"/>
        </w:rPr>
      </w:pPr>
      <w:bookmarkStart w:id="109" w:name="_Toc20274"/>
      <w:r>
        <w:rPr>
          <w:rFonts w:eastAsia="黑体"/>
          <w:szCs w:val="32"/>
        </w:rPr>
        <w:t>附件1</w:t>
      </w:r>
      <w:bookmarkEnd w:id="109"/>
    </w:p>
    <w:p>
      <w:pPr>
        <w:widowControl/>
        <w:spacing w:line="578" w:lineRule="exact"/>
        <w:contextualSpacing/>
        <w:jc w:val="center"/>
        <w:rPr>
          <w:rFonts w:eastAsia="方正小标宋简体"/>
          <w:sz w:val="44"/>
          <w:szCs w:val="44"/>
          <w:shd w:val="clear" w:color="auto" w:fill="FFFFFF"/>
        </w:rPr>
      </w:pPr>
      <w:r>
        <w:rPr>
          <w:rFonts w:eastAsia="方正小标宋简体"/>
          <w:sz w:val="44"/>
          <w:szCs w:val="44"/>
          <w:shd w:val="clear" w:color="auto" w:fill="FFFFFF"/>
        </w:rPr>
        <w:t>部门预算绩效评价报告</w:t>
      </w:r>
    </w:p>
    <w:p>
      <w:pPr>
        <w:widowControl/>
        <w:spacing w:line="578" w:lineRule="exact"/>
        <w:ind w:firstLine="472"/>
        <w:contextualSpacing/>
        <w:jc w:val="left"/>
        <w:rPr>
          <w:rFonts w:eastAsia="黑体"/>
          <w:color w:val="000000"/>
          <w:sz w:val="24"/>
          <w:szCs w:val="32"/>
          <w:shd w:val="clear" w:color="auto" w:fill="FFFFFF"/>
        </w:rPr>
      </w:pPr>
    </w:p>
    <w:p>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一、部门（单位）基本情况</w:t>
      </w:r>
    </w:p>
    <w:p>
      <w:pPr>
        <w:pStyle w:val="52"/>
        <w:widowControl/>
        <w:numPr>
          <w:ilvl w:val="0"/>
          <w:numId w:val="6"/>
        </w:numPr>
        <w:spacing w:line="578" w:lineRule="exact"/>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机构组成。</w:t>
      </w:r>
    </w:p>
    <w:p>
      <w:pPr>
        <w:pStyle w:val="3"/>
        <w:pageBreakBefore w:val="0"/>
        <w:kinsoku/>
        <w:wordWrap/>
        <w:overflowPunct/>
        <w:topLinePunct w:val="0"/>
        <w:bidi w:val="0"/>
        <w:spacing w:after="0" w:line="560" w:lineRule="exact"/>
        <w:ind w:left="0" w:leftChars="0" w:firstLine="640" w:firstLineChars="200"/>
        <w:textAlignment w:val="auto"/>
        <w:rPr>
          <w:rFonts w:ascii="仿宋_GB2312" w:hAnsi="仿宋_GB2312" w:cs="仿宋_GB2312"/>
          <w:bCs/>
          <w:color w:val="000000"/>
          <w:szCs w:val="32"/>
        </w:rPr>
      </w:pPr>
      <w:r>
        <w:rPr>
          <w:rFonts w:hint="eastAsia" w:ascii="仿宋" w:hAnsi="仿宋" w:eastAsia="仿宋" w:cs="仿宋"/>
          <w:sz w:val="32"/>
        </w:rPr>
        <w:t>遂宁市安居区机关事务管理中心成立于2007年，2013年9月机构更名为“遂宁市安居区机关事务管理局”，2021年11月9日机构更名为“遂宁市安居区机关事务服务中心”，核定事业编制8名,为归口区政府办公室管理的正科级公益一类事业单位</w:t>
      </w:r>
      <w:r>
        <w:rPr>
          <w:rFonts w:hint="eastAsia" w:ascii="仿宋_GB2312" w:hAnsi="仿宋_GB2312" w:cs="仿宋_GB2312"/>
          <w:bCs/>
          <w:color w:val="000000"/>
          <w:szCs w:val="32"/>
        </w:rPr>
        <w:t>。</w:t>
      </w:r>
    </w:p>
    <w:p>
      <w:pPr>
        <w:numPr>
          <w:ilvl w:val="0"/>
          <w:numId w:val="7"/>
        </w:numPr>
        <w:spacing w:line="360" w:lineRule="auto"/>
        <w:ind w:firstLine="632"/>
        <w:rPr>
          <w:rFonts w:eastAsia="楷体_GB2312"/>
          <w:b/>
          <w:bCs/>
          <w:color w:val="000000"/>
          <w:szCs w:val="32"/>
          <w:shd w:val="clear" w:color="auto" w:fill="FFFFFF"/>
          <w:lang w:val="zh-CN"/>
        </w:rPr>
      </w:pPr>
      <w:r>
        <w:rPr>
          <w:rFonts w:eastAsia="楷体_GB2312"/>
          <w:b/>
          <w:bCs/>
          <w:color w:val="000000"/>
          <w:szCs w:val="32"/>
          <w:shd w:val="clear" w:color="auto" w:fill="FFFFFF"/>
          <w:lang w:val="zh-CN"/>
        </w:rPr>
        <w:t>机构职能</w:t>
      </w:r>
    </w:p>
    <w:p>
      <w:pPr>
        <w:pStyle w:val="3"/>
        <w:pageBreakBefore w:val="0"/>
        <w:kinsoku/>
        <w:wordWrap/>
        <w:overflowPunct/>
        <w:topLinePunct w:val="0"/>
        <w:bidi w:val="0"/>
        <w:spacing w:after="0" w:line="560" w:lineRule="exact"/>
        <w:ind w:left="0" w:leftChars="0" w:firstLine="640" w:firstLineChars="200"/>
        <w:textAlignment w:val="auto"/>
        <w:rPr>
          <w:szCs w:val="32"/>
        </w:rPr>
      </w:pPr>
      <w:r>
        <w:rPr>
          <w:rFonts w:hint="eastAsia" w:ascii="仿宋" w:hAnsi="仿宋" w:eastAsia="仿宋" w:cs="仿宋"/>
          <w:sz w:val="32"/>
        </w:rPr>
        <w:t>机关事务服务中心负责政府机关食堂运营推进后勤服务市场化建设等工作，指导全区行政事业单位后勤服务工作;负责集中办公区管理服务工作;协助区政府办公室抓好全区公共机构节能、行政事业单位公务用车管理及办公用房管理工作；负责区委、区政府大型会务服务，统筹指导全区公务服务（机改时将原接待办大部分职能划转到我中心）；完成区委、区政府交办的其他任务</w:t>
      </w:r>
      <w:r>
        <w:rPr>
          <w:rFonts w:hint="eastAsia" w:ascii="仿宋_GB2312" w:hAnsi="仿宋"/>
          <w:color w:val="000000"/>
          <w:szCs w:val="32"/>
        </w:rPr>
        <w:t>。</w:t>
      </w:r>
    </w:p>
    <w:p>
      <w:pPr>
        <w:spacing w:line="600" w:lineRule="exact"/>
        <w:ind w:firstLine="643" w:firstLineChars="200"/>
        <w:rPr>
          <w:rFonts w:eastAsia="楷体_GB2312"/>
          <w:szCs w:val="32"/>
          <w:shd w:val="clear" w:color="auto" w:fill="FFFFFF"/>
          <w:lang w:val="zh-CN"/>
        </w:rPr>
      </w:pPr>
      <w:r>
        <w:rPr>
          <w:rFonts w:eastAsia="楷体_GB2312"/>
          <w:b/>
          <w:bCs/>
          <w:szCs w:val="32"/>
          <w:shd w:val="clear" w:color="auto" w:fill="FFFFFF"/>
          <w:lang w:val="zh-CN"/>
        </w:rPr>
        <w:t>（三）人员概况</w:t>
      </w:r>
      <w:r>
        <w:rPr>
          <w:rFonts w:eastAsia="楷体_GB2312"/>
          <w:szCs w:val="32"/>
          <w:shd w:val="clear" w:color="auto" w:fill="FFFFFF"/>
          <w:lang w:val="zh-CN"/>
        </w:rPr>
        <w:t>。</w:t>
      </w:r>
    </w:p>
    <w:p>
      <w:pPr>
        <w:spacing w:line="600" w:lineRule="exact"/>
        <w:ind w:firstLine="640" w:firstLineChars="200"/>
        <w:rPr>
          <w:szCs w:val="32"/>
        </w:rPr>
      </w:pPr>
      <w:r>
        <w:rPr>
          <w:rFonts w:hint="eastAsia" w:ascii="Times New Roman" w:hAnsi="Times New Roman"/>
          <w:color w:val="000000"/>
          <w:szCs w:val="32"/>
        </w:rPr>
        <w:t>截至</w:t>
      </w:r>
      <w:r>
        <w:rPr>
          <w:rFonts w:ascii="Times New Roman" w:hAnsi="Times New Roman"/>
          <w:color w:val="000000"/>
          <w:szCs w:val="32"/>
        </w:rPr>
        <w:t>202</w:t>
      </w:r>
      <w:r>
        <w:rPr>
          <w:rFonts w:hint="eastAsia" w:ascii="Times New Roman" w:hAnsi="Times New Roman"/>
          <w:color w:val="000000"/>
          <w:szCs w:val="32"/>
        </w:rPr>
        <w:t>4年末，</w:t>
      </w:r>
      <w:r>
        <w:rPr>
          <w:rFonts w:hint="eastAsia" w:ascii="仿宋" w:hAnsi="仿宋" w:eastAsia="仿宋" w:cs="仿宋"/>
          <w:color w:val="auto"/>
          <w:sz w:val="32"/>
        </w:rPr>
        <w:t>机关事务服务中心</w:t>
      </w:r>
      <w:r>
        <w:rPr>
          <w:rFonts w:hint="default" w:ascii="Times New Roman" w:hAnsi="Times New Roman" w:eastAsia="仿宋_GB2312" w:cs="Times New Roman"/>
          <w:b w:val="0"/>
          <w:bCs w:val="0"/>
          <w:i w:val="0"/>
          <w:iCs w:val="0"/>
          <w:color w:val="auto"/>
          <w:sz w:val="32"/>
          <w:szCs w:val="32"/>
          <w:lang w:val="en-US" w:eastAsia="zh-CN"/>
        </w:rPr>
        <w:t>部门年末实有人数</w:t>
      </w:r>
      <w:r>
        <w:rPr>
          <w:rFonts w:hint="eastAsia" w:ascii="Times New Roman" w:hAnsi="Times New Roman" w:cs="Times New Roman"/>
          <w:b w:val="0"/>
          <w:bCs w:val="0"/>
          <w:i w:val="0"/>
          <w:iCs w:val="0"/>
          <w:color w:val="auto"/>
          <w:sz w:val="32"/>
          <w:szCs w:val="32"/>
          <w:lang w:val="en-US" w:eastAsia="zh-CN"/>
        </w:rPr>
        <w:t>8名，</w:t>
      </w:r>
      <w:r>
        <w:rPr>
          <w:rFonts w:hint="eastAsia" w:ascii="仿宋" w:hAnsi="仿宋" w:eastAsia="仿宋" w:cs="仿宋"/>
          <w:color w:val="auto"/>
          <w:sz w:val="30"/>
          <w:szCs w:val="30"/>
          <w:lang w:val="en-US" w:eastAsia="zh-CN"/>
        </w:rPr>
        <w:t>均为非参公事业编制</w:t>
      </w:r>
      <w:r>
        <w:rPr>
          <w:rFonts w:hint="default" w:ascii="Times New Roman" w:hAnsi="Times New Roman" w:eastAsia="仿宋_GB2312" w:cs="Times New Roman"/>
          <w:b w:val="0"/>
          <w:bCs w:val="0"/>
          <w:i w:val="0"/>
          <w:iCs w:val="0"/>
          <w:color w:val="auto"/>
          <w:sz w:val="32"/>
          <w:szCs w:val="32"/>
          <w:lang w:val="en-US" w:eastAsia="zh-CN"/>
        </w:rPr>
        <w:t>。</w:t>
      </w:r>
    </w:p>
    <w:p>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二、部门资金收支情况</w:t>
      </w:r>
    </w:p>
    <w:p>
      <w:pPr>
        <w:widowControl/>
        <w:spacing w:line="578" w:lineRule="exact"/>
        <w:ind w:firstLine="632"/>
        <w:contextualSpacing/>
        <w:jc w:val="left"/>
        <w:rPr>
          <w:rFonts w:eastAsia="楷体_GB2312"/>
          <w:color w:val="000000"/>
          <w:szCs w:val="32"/>
          <w:shd w:val="clear" w:color="auto" w:fill="FFFFFF"/>
        </w:rPr>
      </w:pPr>
      <w:r>
        <w:rPr>
          <w:rFonts w:eastAsia="楷体_GB2312"/>
          <w:b/>
          <w:bCs/>
          <w:color w:val="000000"/>
          <w:szCs w:val="32"/>
          <w:shd w:val="clear" w:color="auto" w:fill="FFFFFF"/>
          <w:lang w:val="zh-CN"/>
        </w:rPr>
        <w:t>（一）收入情况</w:t>
      </w:r>
      <w:r>
        <w:rPr>
          <w:rFonts w:eastAsia="楷体_GB2312"/>
          <w:color w:val="000000"/>
          <w:szCs w:val="32"/>
          <w:shd w:val="clear" w:color="auto" w:fill="FFFFFF"/>
          <w:lang w:val="zh-CN"/>
        </w:rPr>
        <w:t>。</w:t>
      </w:r>
      <w:r>
        <w:rPr>
          <w:rFonts w:hint="eastAsia" w:ascii="仿宋" w:hAnsi="仿宋" w:eastAsia="仿宋" w:cs="仿宋"/>
          <w:color w:val="000000"/>
          <w:kern w:val="2"/>
          <w:szCs w:val="32"/>
        </w:rPr>
        <w:t>遂宁市安居区</w:t>
      </w:r>
      <w:r>
        <w:rPr>
          <w:rFonts w:hint="eastAsia" w:ascii="仿宋" w:hAnsi="仿宋" w:eastAsia="仿宋" w:cs="仿宋"/>
          <w:color w:val="auto"/>
          <w:sz w:val="32"/>
        </w:rPr>
        <w:t>机关事务服务中心</w:t>
      </w:r>
      <w:r>
        <w:rPr>
          <w:szCs w:val="32"/>
        </w:rPr>
        <w:t>202</w:t>
      </w:r>
      <w:r>
        <w:rPr>
          <w:rFonts w:hint="eastAsia"/>
          <w:szCs w:val="32"/>
        </w:rPr>
        <w:t>4</w:t>
      </w:r>
      <w:r>
        <w:rPr>
          <w:szCs w:val="32"/>
        </w:rPr>
        <w:t>年年初预算收入</w:t>
      </w:r>
      <w:r>
        <w:rPr>
          <w:rFonts w:hint="eastAsia"/>
          <w:szCs w:val="32"/>
        </w:rPr>
        <w:t>1</w:t>
      </w:r>
      <w:r>
        <w:rPr>
          <w:rFonts w:hint="eastAsia"/>
          <w:szCs w:val="32"/>
          <w:lang w:val="en-US" w:eastAsia="zh-CN"/>
        </w:rPr>
        <w:t>619.4</w:t>
      </w:r>
      <w:r>
        <w:rPr>
          <w:rFonts w:hint="eastAsia"/>
          <w:szCs w:val="32"/>
        </w:rPr>
        <w:t>万元</w:t>
      </w:r>
      <w:r>
        <w:rPr>
          <w:szCs w:val="32"/>
        </w:rPr>
        <w:t>、决算报表收入</w:t>
      </w:r>
      <w:r>
        <w:rPr>
          <w:rFonts w:hint="eastAsia"/>
          <w:szCs w:val="32"/>
        </w:rPr>
        <w:t>1</w:t>
      </w:r>
      <w:r>
        <w:rPr>
          <w:rFonts w:hint="eastAsia"/>
          <w:szCs w:val="32"/>
          <w:lang w:val="en-US" w:eastAsia="zh-CN"/>
        </w:rPr>
        <w:t>466.78</w:t>
      </w:r>
      <w:r>
        <w:rPr>
          <w:rFonts w:hint="eastAsia"/>
          <w:szCs w:val="32"/>
        </w:rPr>
        <w:t>万元</w:t>
      </w:r>
      <w:r>
        <w:rPr>
          <w:szCs w:val="32"/>
        </w:rPr>
        <w:t>。</w:t>
      </w:r>
    </w:p>
    <w:p>
      <w:pPr>
        <w:widowControl/>
        <w:spacing w:line="578" w:lineRule="exact"/>
        <w:ind w:firstLine="632"/>
        <w:contextualSpacing/>
        <w:jc w:val="left"/>
        <w:rPr>
          <w:szCs w:val="32"/>
          <w:lang w:val="zh-CN"/>
        </w:rPr>
      </w:pPr>
      <w:r>
        <w:rPr>
          <w:rFonts w:eastAsia="楷体_GB2312"/>
          <w:b/>
          <w:bCs/>
          <w:color w:val="000000"/>
          <w:szCs w:val="32"/>
          <w:shd w:val="clear" w:color="auto" w:fill="FFFFFF"/>
          <w:lang w:val="zh-CN"/>
        </w:rPr>
        <w:t>（二）支出情况。</w:t>
      </w:r>
      <w:r>
        <w:rPr>
          <w:rFonts w:hint="eastAsia" w:ascii="仿宋" w:hAnsi="仿宋" w:eastAsia="仿宋" w:cs="仿宋"/>
          <w:color w:val="000000"/>
          <w:kern w:val="2"/>
          <w:szCs w:val="32"/>
        </w:rPr>
        <w:t>遂宁市安居区</w:t>
      </w:r>
      <w:r>
        <w:rPr>
          <w:rFonts w:hint="eastAsia" w:ascii="仿宋" w:hAnsi="仿宋" w:eastAsia="仿宋" w:cs="仿宋"/>
          <w:color w:val="auto"/>
          <w:sz w:val="32"/>
        </w:rPr>
        <w:t>机关事务服务中心</w:t>
      </w:r>
      <w:r>
        <w:rPr>
          <w:szCs w:val="32"/>
        </w:rPr>
        <w:t>202</w:t>
      </w:r>
      <w:r>
        <w:rPr>
          <w:rFonts w:hint="eastAsia"/>
          <w:szCs w:val="32"/>
        </w:rPr>
        <w:t>4</w:t>
      </w:r>
      <w:r>
        <w:rPr>
          <w:szCs w:val="32"/>
        </w:rPr>
        <w:t>年年初预算支出</w:t>
      </w:r>
      <w:r>
        <w:rPr>
          <w:rFonts w:hint="eastAsia"/>
          <w:szCs w:val="32"/>
        </w:rPr>
        <w:t>1</w:t>
      </w:r>
      <w:r>
        <w:rPr>
          <w:rFonts w:hint="eastAsia"/>
          <w:szCs w:val="32"/>
          <w:lang w:val="en-US" w:eastAsia="zh-CN"/>
        </w:rPr>
        <w:t>619.4</w:t>
      </w:r>
      <w:r>
        <w:rPr>
          <w:rFonts w:hint="eastAsia"/>
          <w:szCs w:val="32"/>
        </w:rPr>
        <w:t>万元</w:t>
      </w:r>
      <w:r>
        <w:rPr>
          <w:szCs w:val="32"/>
        </w:rPr>
        <w:t>、决算报表支出</w:t>
      </w:r>
      <w:r>
        <w:rPr>
          <w:rFonts w:hint="eastAsia"/>
          <w:szCs w:val="32"/>
          <w:lang w:val="en-US" w:eastAsia="zh-CN"/>
        </w:rPr>
        <w:t>1466.78</w:t>
      </w:r>
      <w:r>
        <w:rPr>
          <w:rFonts w:hint="eastAsia"/>
          <w:szCs w:val="32"/>
        </w:rPr>
        <w:t>万元</w:t>
      </w:r>
      <w:r>
        <w:rPr>
          <w:szCs w:val="32"/>
        </w:rPr>
        <w:t>。</w:t>
      </w:r>
    </w:p>
    <w:p>
      <w:pPr>
        <w:widowControl/>
        <w:spacing w:line="578" w:lineRule="exact"/>
        <w:ind w:firstLine="632"/>
        <w:contextualSpacing/>
        <w:jc w:val="left"/>
      </w:pPr>
      <w:r>
        <w:rPr>
          <w:rFonts w:eastAsia="楷体_GB2312"/>
          <w:b/>
          <w:bCs/>
          <w:color w:val="000000"/>
          <w:szCs w:val="32"/>
          <w:shd w:val="clear" w:color="auto" w:fill="FFFFFF"/>
          <w:lang w:val="zh-CN"/>
        </w:rPr>
        <w:t>（三）结余分配和结转结余情况。</w:t>
      </w:r>
      <w:r>
        <w:rPr>
          <w:rFonts w:hint="eastAsia" w:ascii="仿宋" w:hAnsi="仿宋" w:eastAsia="仿宋" w:cs="仿宋"/>
          <w:color w:val="000000"/>
          <w:kern w:val="2"/>
          <w:szCs w:val="32"/>
        </w:rPr>
        <w:t>遂宁市安居区</w:t>
      </w:r>
      <w:r>
        <w:rPr>
          <w:rFonts w:hint="eastAsia" w:ascii="仿宋" w:hAnsi="仿宋" w:eastAsia="仿宋" w:cs="仿宋"/>
          <w:color w:val="auto"/>
          <w:sz w:val="32"/>
        </w:rPr>
        <w:t>机关事务服务中心</w:t>
      </w:r>
      <w:r>
        <w:rPr>
          <w:szCs w:val="32"/>
        </w:rPr>
        <w:t>202</w:t>
      </w:r>
      <w:r>
        <w:rPr>
          <w:rFonts w:hint="eastAsia"/>
          <w:szCs w:val="32"/>
        </w:rPr>
        <w:t>4</w:t>
      </w:r>
      <w:r>
        <w:rPr>
          <w:szCs w:val="32"/>
        </w:rPr>
        <w:t>年决算报表</w:t>
      </w:r>
      <w:r>
        <w:rPr>
          <w:rFonts w:hint="eastAsia"/>
          <w:szCs w:val="32"/>
        </w:rPr>
        <w:t>无</w:t>
      </w:r>
      <w:r>
        <w:rPr>
          <w:szCs w:val="32"/>
        </w:rPr>
        <w:t>结转结余情况。</w:t>
      </w:r>
    </w:p>
    <w:p>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三、部门预算绩效分析</w:t>
      </w:r>
    </w:p>
    <w:p>
      <w:pPr>
        <w:spacing w:line="578" w:lineRule="exact"/>
        <w:ind w:firstLine="632"/>
        <w:contextualSpacing/>
        <w:jc w:val="left"/>
        <w:rPr>
          <w:color w:val="000000"/>
          <w:szCs w:val="32"/>
          <w:shd w:val="clear" w:color="auto" w:fill="FFFFFF"/>
          <w:lang w:val="zh-CN"/>
        </w:rPr>
      </w:pPr>
      <w:r>
        <w:rPr>
          <w:rFonts w:eastAsia="楷体_GB2312"/>
          <w:b/>
          <w:bCs/>
          <w:color w:val="000000"/>
          <w:szCs w:val="32"/>
          <w:shd w:val="clear" w:color="auto" w:fill="FFFFFF"/>
          <w:lang w:val="zh-CN"/>
        </w:rPr>
        <w:t>（一）部门预算总体绩效分析。</w:t>
      </w:r>
      <w:r>
        <w:rPr>
          <w:szCs w:val="32"/>
          <w:lang w:val="zh-CN"/>
        </w:rPr>
        <w:t>根据部门预算绩效评价指标体系“总体绩效”涉及二、三级指标进行逐项绩效分析并评分，依次包括履职效能、预算管理、财务管理、资产管理、采购管理等情况。</w:t>
      </w:r>
    </w:p>
    <w:p>
      <w:pPr>
        <w:spacing w:line="578" w:lineRule="exact"/>
        <w:ind w:firstLine="632"/>
        <w:contextualSpacing/>
        <w:jc w:val="left"/>
        <w:rPr>
          <w:color w:val="000000"/>
          <w:szCs w:val="32"/>
          <w:shd w:val="clear" w:color="auto" w:fill="FFFFFF"/>
          <w:lang w:val="zh-CN"/>
        </w:rPr>
      </w:pPr>
      <w:r>
        <w:rPr>
          <w:color w:val="000000"/>
          <w:szCs w:val="32"/>
          <w:shd w:val="clear" w:color="auto" w:fill="FFFFFF"/>
        </w:rPr>
        <w:t>1</w:t>
      </w:r>
      <w:r>
        <w:rPr>
          <w:rFonts w:hint="eastAsia"/>
          <w:color w:val="000000"/>
          <w:szCs w:val="32"/>
          <w:shd w:val="clear" w:color="auto" w:fill="FFFFFF"/>
        </w:rPr>
        <w:t>、</w:t>
      </w:r>
      <w:r>
        <w:rPr>
          <w:color w:val="000000"/>
          <w:szCs w:val="32"/>
          <w:shd w:val="clear" w:color="auto" w:fill="FFFFFF"/>
          <w:lang w:val="zh-CN"/>
        </w:rPr>
        <w:t>履职效能。</w:t>
      </w:r>
    </w:p>
    <w:p>
      <w:pPr>
        <w:spacing w:line="578" w:lineRule="exact"/>
        <w:ind w:firstLine="632"/>
        <w:contextualSpacing/>
        <w:jc w:val="left"/>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（一）坚持绿色低碳，</w:t>
      </w:r>
      <w:r>
        <w:rPr>
          <w:rFonts w:hint="eastAsia" w:ascii="楷体_GB2312" w:hAnsi="楷体_GB2312" w:eastAsia="楷体_GB2312" w:cs="楷体_GB2312"/>
          <w:sz w:val="32"/>
          <w:szCs w:val="32"/>
          <w:highlight w:val="none"/>
          <w:lang w:eastAsia="zh-CN"/>
        </w:rPr>
        <w:t>公共机构探索新路径</w:t>
      </w:r>
    </w:p>
    <w:p>
      <w:pPr>
        <w:spacing w:line="578" w:lineRule="exact"/>
        <w:ind w:firstLine="632"/>
        <w:contextualSpacing/>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1.强化示范引领，推动绿色发展。</w:t>
      </w:r>
      <w:r>
        <w:rPr>
          <w:rFonts w:hint="eastAsia" w:ascii="仿宋_GB2312" w:hAnsi="仿宋_GB2312" w:eastAsia="仿宋_GB2312" w:cs="仿宋_GB2312"/>
          <w:kern w:val="2"/>
          <w:sz w:val="32"/>
          <w:szCs w:val="32"/>
          <w:highlight w:val="none"/>
          <w:lang w:val="en-US" w:eastAsia="zh-CN" w:bidi="ar-SA"/>
        </w:rPr>
        <w:t>结合我</w:t>
      </w:r>
      <w:r>
        <w:rPr>
          <w:rFonts w:hint="eastAsia" w:ascii="仿宋_GB2312" w:hAnsi="仿宋_GB2312" w:eastAsia="仿宋_GB2312" w:cs="仿宋_GB2312"/>
          <w:sz w:val="32"/>
          <w:szCs w:val="32"/>
          <w:highlight w:val="none"/>
        </w:rPr>
        <w:t>区实际，制发了《202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年度公共机构节能工作要点》</w:t>
      </w:r>
      <w:r>
        <w:rPr>
          <w:rFonts w:hint="eastAsia" w:ascii="仿宋_GB2312" w:hAnsi="仿宋_GB2312" w:eastAsia="仿宋_GB2312" w:cs="仿宋_GB2312"/>
          <w:sz w:val="32"/>
          <w:szCs w:val="32"/>
          <w:highlight w:val="none"/>
          <w:lang w:eastAsia="zh-CN"/>
        </w:rPr>
        <w:t>等文件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明确目标考核细则。</w:t>
      </w:r>
      <w:r>
        <w:rPr>
          <w:rFonts w:hint="eastAsia" w:ascii="仿宋_GB2312" w:hAnsi="仿宋_GB2312" w:eastAsia="仿宋_GB2312" w:cs="仿宋_GB2312"/>
          <w:spacing w:val="0"/>
          <w:kern w:val="2"/>
          <w:sz w:val="32"/>
          <w:szCs w:val="32"/>
          <w:highlight w:val="none"/>
          <w:lang w:val="en-US" w:eastAsia="zh-CN" w:bidi="ar-SA"/>
        </w:rPr>
        <w:t>深入践行绿色</w:t>
      </w:r>
      <w:r>
        <w:rPr>
          <w:rFonts w:hint="eastAsia" w:ascii="仿宋_GB2312" w:hAnsi="仿宋_GB2312" w:eastAsia="仿宋_GB2312" w:cs="仿宋_GB2312"/>
          <w:kern w:val="2"/>
          <w:sz w:val="32"/>
          <w:szCs w:val="32"/>
          <w:highlight w:val="none"/>
          <w:lang w:val="en-US" w:eastAsia="zh-CN" w:bidi="ar-SA"/>
        </w:rPr>
        <w:t>低碳</w:t>
      </w:r>
      <w:r>
        <w:rPr>
          <w:rFonts w:hint="eastAsia" w:ascii="仿宋_GB2312" w:hAnsi="仿宋_GB2312" w:eastAsia="仿宋_GB2312" w:cs="仿宋_GB2312"/>
          <w:spacing w:val="0"/>
          <w:kern w:val="2"/>
          <w:sz w:val="32"/>
          <w:szCs w:val="32"/>
          <w:highlight w:val="none"/>
          <w:lang w:val="en-US" w:eastAsia="zh-CN" w:bidi="ar-SA"/>
        </w:rPr>
        <w:t>发展理念，</w:t>
      </w:r>
      <w:r>
        <w:rPr>
          <w:rFonts w:hint="eastAsia" w:ascii="仿宋_GB2312" w:hAnsi="仿宋_GB2312" w:eastAsia="仿宋_GB2312" w:cs="仿宋_GB2312"/>
          <w:sz w:val="32"/>
          <w:szCs w:val="32"/>
          <w:highlight w:val="none"/>
          <w:lang w:eastAsia="zh-CN"/>
        </w:rPr>
        <w:t>开展生活垃圾分类专项检查，</w:t>
      </w:r>
      <w:r>
        <w:rPr>
          <w:rFonts w:hint="eastAsia" w:ascii="仿宋_GB2312" w:hAnsi="仿宋_GB2312" w:eastAsia="仿宋_GB2312" w:cs="仿宋_GB2312"/>
          <w:kern w:val="2"/>
          <w:sz w:val="32"/>
          <w:szCs w:val="32"/>
          <w:highlight w:val="none"/>
          <w:lang w:val="en-US" w:eastAsia="zh-CN" w:bidi="ar-SA"/>
        </w:rPr>
        <w:t>督促、指导相关单位及时更换生活垃圾分类设备122个，更改垃圾桶分类标识229个，持续提升资源利用率。强化反食品浪费工作管理，推进食品采购、餐厨垃圾处理等环节节约减损，开展反食品浪费工作成效评估，自评率达100%、现场抽查率达到40%以上。</w:t>
      </w:r>
    </w:p>
    <w:p>
      <w:pPr>
        <w:pStyle w:val="3"/>
        <w:keepNext w:val="0"/>
        <w:keepLines w:val="0"/>
        <w:pageBreakBefore w:val="0"/>
        <w:numPr>
          <w:ilvl w:val="0"/>
          <w:numId w:val="0"/>
        </w:numPr>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2.聚焦创新驱动，助力节能降碳。</w:t>
      </w:r>
      <w:r>
        <w:rPr>
          <w:rFonts w:hint="eastAsia" w:ascii="仿宋_GB2312" w:hAnsi="仿宋_GB2312" w:eastAsia="仿宋_GB2312" w:cs="仿宋_GB2312"/>
          <w:sz w:val="32"/>
          <w:szCs w:val="32"/>
          <w:highlight w:val="none"/>
          <w:lang w:eastAsia="zh-CN"/>
        </w:rPr>
        <w:t>坚持</w:t>
      </w:r>
      <w:r>
        <w:rPr>
          <w:rFonts w:hint="eastAsia" w:ascii="仿宋_GB2312" w:hAnsi="仿宋_GB2312" w:eastAsia="仿宋_GB2312" w:cs="仿宋_GB2312"/>
          <w:spacing w:val="0"/>
          <w:kern w:val="2"/>
          <w:sz w:val="32"/>
          <w:szCs w:val="32"/>
          <w:highlight w:val="none"/>
          <w:lang w:val="en-US" w:eastAsia="zh-CN" w:bidi="ar-SA"/>
        </w:rPr>
        <w:t>“走在前、作表率”，加快建设节能技改步伐，</w:t>
      </w:r>
      <w:r>
        <w:rPr>
          <w:rFonts w:hint="eastAsia" w:ascii="仿宋_GB2312" w:hAnsi="仿宋_GB2312" w:eastAsia="仿宋_GB2312" w:cs="仿宋_GB2312"/>
          <w:sz w:val="32"/>
          <w:szCs w:val="32"/>
          <w:highlight w:val="none"/>
          <w:lang w:eastAsia="zh-CN"/>
        </w:rPr>
        <w:t>全区完成既有建筑改造</w:t>
      </w:r>
      <w:r>
        <w:rPr>
          <w:rFonts w:hint="eastAsia" w:ascii="仿宋_GB2312" w:hAnsi="仿宋_GB2312" w:eastAsia="仿宋_GB2312" w:cs="仿宋_GB2312"/>
          <w:sz w:val="32"/>
          <w:szCs w:val="32"/>
          <w:highlight w:val="none"/>
          <w:lang w:val="en-US" w:eastAsia="zh-CN"/>
        </w:rPr>
        <w:t>2880㎡，空调改造1684㎡。</w:t>
      </w:r>
      <w:r>
        <w:rPr>
          <w:rFonts w:hint="eastAsia" w:ascii="仿宋_GB2312" w:hAnsi="仿宋_GB2312" w:eastAsia="仿宋_GB2312" w:cs="仿宋_GB2312"/>
          <w:sz w:val="32"/>
          <w:szCs w:val="32"/>
          <w:highlight w:val="none"/>
          <w:lang w:eastAsia="zh-CN"/>
        </w:rPr>
        <w:t>加快</w:t>
      </w:r>
      <w:r>
        <w:rPr>
          <w:rFonts w:hint="eastAsia" w:ascii="仿宋_GB2312" w:hAnsi="仿宋_GB2312" w:eastAsia="仿宋_GB2312" w:cs="仿宋_GB2312"/>
          <w:sz w:val="32"/>
          <w:szCs w:val="32"/>
          <w:highlight w:val="none"/>
          <w:lang w:val="en-US" w:eastAsia="zh-CN"/>
        </w:rPr>
        <w:t>推动绿色低碳转型，完成热泵技术应用项目1个，智慧能源管理项目1个，购置新能源一般公务用车4辆，预计</w:t>
      </w:r>
      <w:r>
        <w:rPr>
          <w:rFonts w:hint="eastAsia" w:ascii="仿宋_GB2312" w:hAnsi="仿宋_GB2312" w:eastAsia="仿宋_GB2312" w:cs="仿宋_GB2312"/>
          <w:sz w:val="32"/>
          <w:szCs w:val="32"/>
          <w:highlight w:val="none"/>
          <w:lang w:eastAsia="zh-CN"/>
        </w:rPr>
        <w:t>能够</w:t>
      </w:r>
      <w:r>
        <w:rPr>
          <w:rFonts w:hint="eastAsia" w:ascii="仿宋_GB2312" w:hAnsi="仿宋_GB2312" w:eastAsia="仿宋_GB2312" w:cs="仿宋_GB2312"/>
          <w:sz w:val="32"/>
          <w:szCs w:val="32"/>
          <w:highlight w:val="none"/>
          <w:lang w:val="en-US" w:eastAsia="zh-CN"/>
        </w:rPr>
        <w:t>全面完成</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年度</w:t>
      </w:r>
      <w:r>
        <w:rPr>
          <w:rFonts w:hint="eastAsia" w:ascii="仿宋_GB2312" w:hAnsi="仿宋_GB2312" w:eastAsia="仿宋_GB2312" w:cs="仿宋_GB2312"/>
          <w:sz w:val="32"/>
          <w:szCs w:val="32"/>
          <w:highlight w:val="none"/>
          <w:lang w:val="en-US" w:eastAsia="zh-CN"/>
        </w:rPr>
        <w:t>公共机构节能目标任务。</w:t>
      </w:r>
    </w:p>
    <w:p>
      <w:pPr>
        <w:pStyle w:val="3"/>
        <w:keepNext w:val="0"/>
        <w:keepLines w:val="0"/>
        <w:pageBreakBefore w:val="0"/>
        <w:numPr>
          <w:ilvl w:val="0"/>
          <w:numId w:val="0"/>
        </w:numPr>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b/>
          <w:bCs/>
          <w:kern w:val="2"/>
          <w:sz w:val="32"/>
          <w:szCs w:val="32"/>
          <w:highlight w:val="none"/>
          <w:lang w:val="en-US" w:eastAsia="zh-CN" w:bidi="ar-SA"/>
        </w:rPr>
        <w:t>3.加大节能宣传，提升生态素养。</w:t>
      </w:r>
      <w:r>
        <w:rPr>
          <w:rFonts w:hint="eastAsia" w:ascii="仿宋_GB2312" w:hAnsi="仿宋_GB2312" w:eastAsia="仿宋_GB2312" w:cs="仿宋_GB2312"/>
          <w:sz w:val="32"/>
          <w:szCs w:val="32"/>
          <w:highlight w:val="none"/>
          <w:lang w:val="en-US" w:eastAsia="zh-CN"/>
        </w:rPr>
        <w:t>以全国节能宣传周为重要节点，通过</w:t>
      </w:r>
      <w:r>
        <w:rPr>
          <w:rFonts w:hint="eastAsia" w:ascii="仿宋_GB2312" w:hAnsi="仿宋_GB2312" w:eastAsia="仿宋_GB2312" w:cs="仿宋_GB2312"/>
          <w:b w:val="0"/>
          <w:bCs w:val="0"/>
          <w:sz w:val="32"/>
          <w:szCs w:val="32"/>
          <w:highlight w:val="none"/>
          <w:lang w:val="en-US" w:eastAsia="zh-CN"/>
        </w:rPr>
        <w:t>悬挂条幅、发放宣传手册等形式</w:t>
      </w:r>
      <w:r>
        <w:rPr>
          <w:rFonts w:hint="eastAsia" w:ascii="仿宋_GB2312" w:hAnsi="仿宋_GB2312" w:eastAsia="仿宋_GB2312" w:cs="仿宋_GB2312"/>
          <w:sz w:val="32"/>
          <w:szCs w:val="32"/>
          <w:highlight w:val="none"/>
          <w:lang w:val="en-US" w:eastAsia="zh-CN"/>
        </w:rPr>
        <w:t>，大力营造节能降碳浓厚氛围。</w:t>
      </w:r>
      <w:r>
        <w:rPr>
          <w:rFonts w:hint="eastAsia" w:ascii="仿宋_GB2312" w:hAnsi="仿宋_GB2312" w:eastAsia="仿宋_GB2312" w:cs="仿宋_GB2312"/>
          <w:spacing w:val="0"/>
          <w:sz w:val="32"/>
          <w:szCs w:val="32"/>
          <w:highlight w:val="none"/>
          <w:lang w:eastAsia="zh-CN"/>
        </w:rPr>
        <w:t>鼓励相关单位积极参与“</w:t>
      </w:r>
      <w:r>
        <w:rPr>
          <w:rFonts w:hint="eastAsia" w:ascii="仿宋_GB2312" w:hAnsi="仿宋_GB2312" w:eastAsia="仿宋_GB2312" w:cs="仿宋_GB2312"/>
          <w:spacing w:val="0"/>
          <w:sz w:val="32"/>
          <w:szCs w:val="32"/>
          <w:highlight w:val="none"/>
          <w:lang w:val="en-US" w:eastAsia="zh-CN"/>
        </w:rPr>
        <w:t>节能宣传周知识竞答</w:t>
      </w:r>
      <w:r>
        <w:rPr>
          <w:rFonts w:hint="eastAsia" w:ascii="仿宋_GB2312" w:hAnsi="仿宋_GB2312" w:eastAsia="仿宋_GB2312" w:cs="仿宋_GB2312"/>
          <w:spacing w:val="0"/>
          <w:sz w:val="32"/>
          <w:szCs w:val="32"/>
          <w:highlight w:val="none"/>
          <w:lang w:eastAsia="zh-CN"/>
        </w:rPr>
        <w:t>”活动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持续强化干部职工节能意识。组织公共机构积极参与绿色低碳系列活动，区发改局、共青团等单位获得遂宁市垃圾分类征文优秀奖。</w:t>
      </w:r>
    </w:p>
    <w:p>
      <w:pPr>
        <w:keepNext w:val="0"/>
        <w:keepLines w:val="0"/>
        <w:pageBreakBefore w:val="0"/>
        <w:kinsoku/>
        <w:wordWrap/>
        <w:topLinePunct w:val="0"/>
        <w:autoSpaceDE/>
        <w:autoSpaceDN/>
        <w:bidi w:val="0"/>
        <w:spacing w:line="56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（二）坚持精准监管，服务保障迈上新台阶</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1.办公用房管理监管到位。</w:t>
      </w:r>
      <w:r>
        <w:rPr>
          <w:rFonts w:hint="eastAsia" w:ascii="仿宋_GB2312" w:hAnsi="仿宋_GB2312" w:eastAsia="仿宋_GB2312" w:cs="仿宋_GB2312"/>
          <w:kern w:val="2"/>
          <w:sz w:val="32"/>
          <w:szCs w:val="32"/>
          <w:highlight w:val="none"/>
          <w:lang w:val="en-US" w:eastAsia="zh-CN" w:bidi="ar-SA"/>
        </w:rPr>
        <w:t>以统计办公用房信息为抓手，及时召开统计报送业务培训会，严把审核关，确保信息准确无误。定期开展办公用房管理使用专项督查，严格按照“从严从细从实”的原则，先后对市场监管局、三家镇等单位进行抽查，严防超标现象发生。严格对照全省党政机关办公用房危房整治相关要求，全力以赴抓落实、抢进度，及时传达典型事故案例，确保工作推进有力有序。</w:t>
      </w:r>
    </w:p>
    <w:p>
      <w:pPr>
        <w:pStyle w:val="3"/>
        <w:keepNext w:val="0"/>
        <w:keepLines w:val="0"/>
        <w:pageBreakBefore w:val="0"/>
        <w:numPr>
          <w:ilvl w:val="0"/>
          <w:numId w:val="0"/>
        </w:numPr>
        <w:kinsoku/>
        <w:wordWrap/>
        <w:topLinePunct w:val="0"/>
        <w:autoSpaceDE/>
        <w:autoSpaceDN/>
        <w:bidi w:val="0"/>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2.公务用车管理规范有力。</w:t>
      </w:r>
      <w:r>
        <w:rPr>
          <w:rFonts w:hint="eastAsia" w:ascii="仿宋_GB2312" w:hAnsi="仿宋_GB2312" w:eastAsia="仿宋_GB2312" w:cs="仿宋_GB2312"/>
          <w:kern w:val="0"/>
          <w:sz w:val="32"/>
          <w:szCs w:val="32"/>
          <w:highlight w:val="none"/>
          <w:lang w:val="en-US" w:eastAsia="zh-CN" w:bidi="ar-SA"/>
        </w:rPr>
        <w:t>全</w:t>
      </w:r>
      <w:r>
        <w:rPr>
          <w:rFonts w:hint="eastAsia" w:ascii="仿宋_GB2312" w:hAnsi="仿宋_GB2312" w:eastAsia="仿宋_GB2312" w:cs="仿宋_GB2312"/>
          <w:kern w:val="2"/>
          <w:sz w:val="32"/>
          <w:szCs w:val="32"/>
          <w:highlight w:val="none"/>
          <w:lang w:val="en-US" w:eastAsia="zh-CN" w:bidi="ar-SA"/>
        </w:rPr>
        <w:t>面</w:t>
      </w:r>
      <w:r>
        <w:rPr>
          <w:rFonts w:hint="eastAsia" w:ascii="仿宋_GB2312" w:hAnsi="仿宋_GB2312" w:eastAsia="仿宋_GB2312" w:cs="仿宋_GB2312"/>
          <w:sz w:val="32"/>
          <w:szCs w:val="32"/>
          <w:highlight w:val="none"/>
        </w:rPr>
        <w:t>落实公务用车</w:t>
      </w:r>
      <w:r>
        <w:rPr>
          <w:rFonts w:hint="eastAsia" w:ascii="仿宋_GB2312" w:hAnsi="仿宋_GB2312" w:eastAsia="仿宋_GB2312" w:cs="仿宋_GB2312"/>
          <w:sz w:val="32"/>
          <w:szCs w:val="32"/>
          <w:highlight w:val="none"/>
          <w:lang w:eastAsia="zh-CN"/>
        </w:rPr>
        <w:t>“三定”</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eastAsia="zh-CN"/>
        </w:rPr>
        <w:t>规范公务用车“三定”行为，确保公务用车规范高效。</w:t>
      </w:r>
      <w:r>
        <w:rPr>
          <w:rFonts w:hint="eastAsia" w:ascii="仿宋_GB2312" w:hAnsi="仿宋_GB2312" w:eastAsia="仿宋_GB2312" w:cs="仿宋_GB2312"/>
          <w:sz w:val="32"/>
          <w:szCs w:val="32"/>
          <w:highlight w:val="none"/>
          <w:lang w:val="en-US" w:eastAsia="zh-CN"/>
        </w:rPr>
        <w:t>统一制发公车运行费用台账，严格落实一般公务用车一车一卡制度，精细化管理公车维修、加油等，规范公车加油等运行管理；</w:t>
      </w:r>
      <w:r>
        <w:rPr>
          <w:rFonts w:hint="eastAsia" w:ascii="仿宋_GB2312" w:hAnsi="仿宋_GB2312" w:eastAsia="仿宋_GB2312" w:cs="仿宋_GB2312"/>
          <w:sz w:val="32"/>
          <w:szCs w:val="32"/>
          <w:highlight w:val="none"/>
          <w:lang w:eastAsia="zh-CN"/>
        </w:rPr>
        <w:t>实地调研框架协议服务</w:t>
      </w:r>
      <w:r>
        <w:rPr>
          <w:rFonts w:hint="eastAsia" w:ascii="仿宋_GB2312" w:hAnsi="仿宋_GB2312" w:eastAsia="仿宋_GB2312" w:cs="仿宋_GB2312"/>
          <w:sz w:val="32"/>
          <w:szCs w:val="32"/>
          <w:highlight w:val="none"/>
          <w:lang w:val="en-US" w:eastAsia="zh-CN"/>
        </w:rPr>
        <w:t>3次，</w:t>
      </w:r>
      <w:r>
        <w:rPr>
          <w:rFonts w:hint="eastAsia" w:ascii="仿宋_GB2312" w:hAnsi="仿宋_GB2312" w:eastAsia="仿宋_GB2312" w:cs="仿宋_GB2312"/>
          <w:sz w:val="32"/>
          <w:szCs w:val="32"/>
          <w:highlight w:val="none"/>
        </w:rPr>
        <w:t>督促</w:t>
      </w:r>
      <w:r>
        <w:rPr>
          <w:rFonts w:hint="eastAsia" w:ascii="仿宋_GB2312" w:hAnsi="仿宋_GB2312" w:eastAsia="仿宋_GB2312" w:cs="仿宋_GB2312"/>
          <w:sz w:val="32"/>
          <w:szCs w:val="32"/>
          <w:highlight w:val="none"/>
          <w:lang w:eastAsia="zh-CN"/>
        </w:rPr>
        <w:t>定点维修企业</w:t>
      </w:r>
      <w:r>
        <w:rPr>
          <w:rFonts w:hint="eastAsia" w:ascii="仿宋_GB2312" w:hAnsi="仿宋_GB2312" w:eastAsia="仿宋_GB2312" w:cs="仿宋_GB2312"/>
          <w:sz w:val="32"/>
          <w:szCs w:val="32"/>
          <w:highlight w:val="none"/>
        </w:rPr>
        <w:t>严格规范履约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pacing w:val="0"/>
          <w:kern w:val="2"/>
          <w:sz w:val="32"/>
          <w:szCs w:val="32"/>
          <w:highlight w:val="none"/>
          <w:lang w:val="en-US" w:eastAsia="zh-CN" w:bidi="ar-SA"/>
        </w:rPr>
        <w:t>创新监管模式，通过</w:t>
      </w:r>
      <w:r>
        <w:rPr>
          <w:rFonts w:hint="eastAsia" w:ascii="仿宋_GB2312" w:hAnsi="仿宋_GB2312" w:eastAsia="仿宋_GB2312" w:cs="仿宋_GB2312"/>
          <w:sz w:val="32"/>
          <w:szCs w:val="32"/>
          <w:highlight w:val="none"/>
        </w:rPr>
        <w:t>在车损报价网核查配件价格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在维修工位安装摄像头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维修换下的配件贴标统一存放</w:t>
      </w:r>
      <w:r>
        <w:rPr>
          <w:rFonts w:hint="eastAsia" w:ascii="仿宋_GB2312" w:hAnsi="仿宋_GB2312" w:eastAsia="仿宋_GB2312" w:cs="仿宋_GB2312"/>
          <w:sz w:val="32"/>
          <w:szCs w:val="32"/>
          <w:highlight w:val="none"/>
          <w:lang w:val="en-US" w:eastAsia="zh-CN"/>
        </w:rPr>
        <w:t>等方式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加强维修价格管控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维修过程管控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随机抽查机关公务用车使用情况，抽查覆盖面达60%，督促各相关单位</w:t>
      </w:r>
      <w:r>
        <w:rPr>
          <w:rFonts w:hint="eastAsia" w:ascii="仿宋_GB2312" w:hAnsi="仿宋_GB2312" w:eastAsia="仿宋_GB2312" w:cs="仿宋_GB2312"/>
          <w:kern w:val="2"/>
          <w:sz w:val="32"/>
          <w:szCs w:val="32"/>
          <w:highlight w:val="none"/>
          <w:lang w:val="en-US" w:eastAsia="zh-CN" w:bidi="ar-SA"/>
        </w:rPr>
        <w:t>严格落实公车管理平台派车等制度，不定期核查公车行车轨迹、</w:t>
      </w:r>
      <w:r>
        <w:rPr>
          <w:rFonts w:hint="eastAsia" w:ascii="仿宋_GB2312" w:hAnsi="仿宋_GB2312" w:eastAsia="仿宋_GB2312" w:cs="仿宋_GB2312"/>
          <w:b w:val="0"/>
          <w:bCs w:val="0"/>
          <w:sz w:val="32"/>
          <w:szCs w:val="32"/>
          <w:highlight w:val="none"/>
          <w:lang w:eastAsia="zh-CN"/>
        </w:rPr>
        <w:t>节假日停驶封存</w:t>
      </w:r>
      <w:r>
        <w:rPr>
          <w:rFonts w:hint="eastAsia" w:ascii="仿宋_GB2312" w:hAnsi="仿宋_GB2312" w:eastAsia="仿宋_GB2312" w:cs="仿宋_GB2312"/>
          <w:b w:val="0"/>
          <w:bCs w:val="0"/>
          <w:sz w:val="32"/>
          <w:szCs w:val="32"/>
          <w:highlight w:val="none"/>
          <w:lang w:val="en-US" w:eastAsia="zh-CN"/>
        </w:rPr>
        <w:t>情况</w:t>
      </w:r>
      <w:r>
        <w:rPr>
          <w:rFonts w:hint="eastAsia" w:ascii="仿宋_GB2312" w:hAnsi="仿宋_GB2312" w:eastAsia="仿宋_GB2312" w:cs="仿宋_GB2312"/>
          <w:kern w:val="2"/>
          <w:sz w:val="32"/>
          <w:szCs w:val="32"/>
          <w:highlight w:val="none"/>
          <w:lang w:val="en-US" w:eastAsia="zh-CN" w:bidi="ar-SA"/>
        </w:rPr>
        <w:t>，全力保障公务用车有序调度，</w:t>
      </w:r>
      <w:r>
        <w:rPr>
          <w:rFonts w:hint="eastAsia" w:ascii="仿宋_GB2312" w:hAnsi="仿宋_GB2312" w:eastAsia="仿宋_GB2312" w:cs="仿宋_GB2312"/>
          <w:b w:val="0"/>
          <w:bCs w:val="0"/>
          <w:kern w:val="2"/>
          <w:sz w:val="32"/>
          <w:szCs w:val="32"/>
          <w:highlight w:val="none"/>
          <w:lang w:val="en-US" w:eastAsia="zh-CN"/>
        </w:rPr>
        <w:t>针对发现的个别单位派车不规范、定点停放等，</w:t>
      </w:r>
      <w:r>
        <w:rPr>
          <w:rFonts w:hint="eastAsia" w:ascii="仿宋_GB2312" w:hAnsi="仿宋_GB2312" w:eastAsia="仿宋_GB2312" w:cs="仿宋_GB2312"/>
          <w:b w:val="0"/>
          <w:bCs w:val="0"/>
          <w:kern w:val="2"/>
          <w:sz w:val="32"/>
          <w:szCs w:val="32"/>
          <w:highlight w:val="none"/>
          <w:lang w:eastAsia="zh-CN"/>
        </w:rPr>
        <w:t>发出问题整改通知书</w:t>
      </w:r>
      <w:r>
        <w:rPr>
          <w:rFonts w:hint="eastAsia" w:ascii="仿宋_GB2312" w:hAnsi="仿宋_GB2312" w:eastAsia="仿宋_GB2312" w:cs="仿宋_GB2312"/>
          <w:b w:val="0"/>
          <w:bCs w:val="0"/>
          <w:kern w:val="2"/>
          <w:sz w:val="32"/>
          <w:szCs w:val="32"/>
          <w:highlight w:val="none"/>
          <w:lang w:val="en-US" w:eastAsia="zh-CN"/>
        </w:rPr>
        <w:t>4</w:t>
      </w:r>
      <w:r>
        <w:rPr>
          <w:rFonts w:hint="eastAsia" w:ascii="仿宋_GB2312" w:hAnsi="仿宋_GB2312" w:eastAsia="仿宋_GB2312" w:cs="仿宋_GB2312"/>
          <w:b w:val="0"/>
          <w:bCs w:val="0"/>
          <w:kern w:val="2"/>
          <w:sz w:val="32"/>
          <w:szCs w:val="32"/>
          <w:highlight w:val="none"/>
          <w:lang w:eastAsia="zh-CN"/>
        </w:rPr>
        <w:t>份</w:t>
      </w:r>
      <w:r>
        <w:rPr>
          <w:rFonts w:hint="eastAsia" w:ascii="仿宋_GB2312" w:hAnsi="仿宋_GB2312" w:eastAsia="仿宋_GB2312" w:cs="仿宋_GB2312"/>
          <w:kern w:val="2"/>
          <w:sz w:val="32"/>
          <w:szCs w:val="32"/>
          <w:highlight w:val="none"/>
          <w:lang w:val="en-US" w:eastAsia="zh-CN" w:bidi="ar-SA"/>
        </w:rPr>
        <w:t>；强化公车安全出行管理，切实将安全保障工作抓早抓小、抓细抓实。2024年1-10月，全区一般公务用车运行费同比下降8%，</w:t>
      </w:r>
      <w:r>
        <w:rPr>
          <w:rFonts w:hint="eastAsia" w:ascii="仿宋_GB2312" w:hAnsi="仿宋_GB2312" w:eastAsia="仿宋_GB2312" w:cs="仿宋_GB2312"/>
          <w:sz w:val="32"/>
          <w:szCs w:val="32"/>
          <w:highlight w:val="none"/>
          <w:lang w:val="en-US" w:eastAsia="zh-CN"/>
        </w:rPr>
        <w:t>维修费同比下降13%</w:t>
      </w:r>
      <w:r>
        <w:rPr>
          <w:rFonts w:hint="eastAsia" w:ascii="仿宋_GB2312" w:hAnsi="仿宋_GB2312" w:eastAsia="仿宋_GB2312" w:cs="仿宋_GB2312"/>
          <w:kern w:val="2"/>
          <w:sz w:val="32"/>
          <w:szCs w:val="32"/>
          <w:highlight w:val="none"/>
          <w:lang w:val="en-US" w:eastAsia="zh-CN" w:bidi="ar-SA"/>
        </w:rPr>
        <w:t>。</w:t>
      </w:r>
    </w:p>
    <w:p>
      <w:pPr>
        <w:pStyle w:val="3"/>
        <w:keepNext w:val="0"/>
        <w:keepLines w:val="0"/>
        <w:pageBreakBefore w:val="0"/>
        <w:numPr>
          <w:ilvl w:val="0"/>
          <w:numId w:val="0"/>
        </w:numPr>
        <w:kinsoku/>
        <w:wordWrap/>
        <w:topLinePunct w:val="0"/>
        <w:autoSpaceDE/>
        <w:autoSpaceDN/>
        <w:bidi w:val="0"/>
        <w:spacing w:line="560" w:lineRule="exact"/>
        <w:ind w:firstLine="643" w:firstLineChars="200"/>
        <w:textAlignment w:val="auto"/>
        <w:rPr>
          <w:rStyle w:val="230"/>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kern w:val="2"/>
          <w:sz w:val="32"/>
          <w:szCs w:val="32"/>
          <w:highlight w:val="none"/>
          <w:lang w:val="en-US" w:eastAsia="zh-CN" w:bidi="ar-SA"/>
        </w:rPr>
        <w:t>3.公务服务保障优质高效。</w:t>
      </w:r>
      <w:r>
        <w:rPr>
          <w:rFonts w:hint="eastAsia" w:ascii="仿宋_GB2312" w:hAnsi="仿宋_GB2312" w:eastAsia="仿宋_GB2312" w:cs="仿宋_GB2312"/>
          <w:spacing w:val="0"/>
          <w:kern w:val="2"/>
          <w:sz w:val="32"/>
          <w:szCs w:val="32"/>
          <w:highlight w:val="none"/>
          <w:lang w:val="en-US" w:eastAsia="zh-CN" w:bidi="ar-SA"/>
        </w:rPr>
        <w:t>认真学习贯彻执行《党政机关厉行节约反对浪费条例》《党政机关国内公务接待管理规定》，坚持务实节俭、精准精细的原则，</w:t>
      </w:r>
      <w:r>
        <w:rPr>
          <w:rFonts w:hint="eastAsia" w:ascii="仿宋_GB2312" w:hAnsi="仿宋_GB2312" w:eastAsia="仿宋_GB2312" w:cs="仿宋_GB2312"/>
          <w:b w:val="0"/>
          <w:bCs w:val="0"/>
          <w:sz w:val="32"/>
          <w:szCs w:val="32"/>
          <w:highlight w:val="none"/>
          <w:lang w:val="en-US" w:eastAsia="zh-CN"/>
        </w:rPr>
        <w:t>收集制作</w:t>
      </w:r>
      <w:r>
        <w:rPr>
          <w:rFonts w:hint="eastAsia" w:ascii="仿宋_GB2312" w:hAnsi="仿宋_GB2312" w:eastAsia="仿宋_GB2312" w:cs="仿宋_GB2312"/>
          <w:b w:val="0"/>
          <w:bCs w:val="0"/>
          <w:sz w:val="32"/>
          <w:szCs w:val="32"/>
          <w:highlight w:val="none"/>
          <w:lang w:eastAsia="zh-CN"/>
        </w:rPr>
        <w:t>安居特色菜单、</w:t>
      </w:r>
      <w:r>
        <w:rPr>
          <w:rFonts w:hint="eastAsia" w:ascii="仿宋_GB2312" w:hAnsi="仿宋_GB2312" w:eastAsia="仿宋_GB2312" w:cs="仿宋_GB2312"/>
          <w:b w:val="0"/>
          <w:bCs w:val="0"/>
          <w:sz w:val="32"/>
          <w:szCs w:val="32"/>
          <w:highlight w:val="none"/>
          <w:lang w:val="en-US" w:eastAsia="zh-CN"/>
        </w:rPr>
        <w:t>公务接待</w:t>
      </w:r>
      <w:r>
        <w:rPr>
          <w:rFonts w:hint="eastAsia" w:ascii="仿宋_GB2312" w:hAnsi="仿宋_GB2312" w:eastAsia="仿宋_GB2312" w:cs="仿宋_GB2312"/>
          <w:b w:val="0"/>
          <w:bCs w:val="0"/>
          <w:snapToGrid/>
          <w:kern w:val="2"/>
          <w:sz w:val="32"/>
          <w:szCs w:val="32"/>
          <w:highlight w:val="none"/>
          <w:lang w:val="en-US" w:eastAsia="zh-CN" w:bidi="ar-SA"/>
        </w:rPr>
        <w:t>手册、席卡席签和菜单菜卡，</w:t>
      </w:r>
      <w:r>
        <w:rPr>
          <w:rFonts w:hint="eastAsia" w:ascii="仿宋_GB2312" w:hAnsi="仿宋_GB2312" w:eastAsia="仿宋_GB2312" w:cs="仿宋_GB2312"/>
          <w:b w:val="0"/>
          <w:bCs w:val="0"/>
          <w:snapToGrid/>
          <w:kern w:val="2"/>
          <w:sz w:val="32"/>
          <w:szCs w:val="32"/>
          <w:highlight w:val="none"/>
          <w:lang w:eastAsia="zh-CN" w:bidi="ar-SA"/>
        </w:rPr>
        <w:t>突出安居区文化、地标元素</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pacing w:val="0"/>
          <w:kern w:val="2"/>
          <w:sz w:val="32"/>
          <w:szCs w:val="32"/>
          <w:highlight w:val="none"/>
          <w:lang w:val="en-US" w:eastAsia="zh-CN" w:bidi="ar-SA"/>
        </w:rPr>
        <w:t>用心细心</w:t>
      </w:r>
      <w:r>
        <w:rPr>
          <w:rFonts w:hint="eastAsia" w:ascii="仿宋_GB2312" w:hAnsi="仿宋_GB2312" w:eastAsia="仿宋_GB2312" w:cs="仿宋_GB2312"/>
          <w:b w:val="0"/>
          <w:bCs w:val="0"/>
          <w:sz w:val="32"/>
          <w:szCs w:val="32"/>
          <w:highlight w:val="none"/>
          <w:lang w:val="en-US" w:eastAsia="zh-CN"/>
        </w:rPr>
        <w:t>做好公务接待，持续提升公务服务品质。</w:t>
      </w:r>
      <w:r>
        <w:rPr>
          <w:rFonts w:hint="eastAsia" w:ascii="仿宋_GB2312" w:hAnsi="仿宋_GB2312" w:eastAsia="仿宋_GB2312" w:cs="仿宋_GB2312"/>
          <w:spacing w:val="0"/>
          <w:kern w:val="2"/>
          <w:sz w:val="32"/>
          <w:szCs w:val="32"/>
          <w:highlight w:val="none"/>
          <w:lang w:val="en-US" w:eastAsia="zh-CN" w:bidi="ar-SA"/>
        </w:rPr>
        <w:t>2024年以来，</w:t>
      </w:r>
      <w:r>
        <w:rPr>
          <w:rFonts w:hint="eastAsia" w:ascii="仿宋_GB2312" w:hAnsi="仿宋_GB2312" w:eastAsia="仿宋_GB2312" w:cs="仿宋_GB2312"/>
          <w:b w:val="0"/>
          <w:bCs w:val="0"/>
          <w:sz w:val="32"/>
          <w:szCs w:val="32"/>
          <w:highlight w:val="none"/>
          <w:lang w:eastAsia="zh-CN"/>
        </w:rPr>
        <w:t>共</w:t>
      </w:r>
      <w:r>
        <w:rPr>
          <w:rFonts w:hint="eastAsia" w:ascii="仿宋_GB2312" w:hAnsi="仿宋_GB2312" w:eastAsia="仿宋_GB2312" w:cs="仿宋_GB2312"/>
          <w:b w:val="0"/>
          <w:bCs w:val="0"/>
          <w:sz w:val="32"/>
          <w:szCs w:val="32"/>
          <w:highlight w:val="none"/>
          <w:lang w:val="en-US" w:eastAsia="zh-CN"/>
        </w:rPr>
        <w:t>组织指导公务接待105批次、2168人次。其中，完成接待部级以上重要领导莅安调研10批次；完成</w:t>
      </w:r>
      <w:r>
        <w:rPr>
          <w:rFonts w:hint="eastAsia" w:ascii="仿宋_GB2312" w:hAnsi="仿宋_GB2312" w:eastAsia="仿宋_GB2312" w:cs="仿宋_GB2312"/>
          <w:b w:val="0"/>
          <w:bCs w:val="0"/>
          <w:snapToGrid/>
          <w:kern w:val="2"/>
          <w:sz w:val="32"/>
          <w:szCs w:val="32"/>
          <w:highlight w:val="none"/>
          <w:lang w:val="en-US" w:eastAsia="zh-CN"/>
        </w:rPr>
        <w:t>共建和美乡村诗画海龙凯歌四川美术学院师生“走进海龙凯歌”</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lang w:eastAsia="zh-CN"/>
        </w:rPr>
        <w:t>大型活动接待服务</w:t>
      </w:r>
      <w:r>
        <w:rPr>
          <w:rFonts w:hint="eastAsia" w:ascii="仿宋_GB2312" w:hAnsi="仿宋_GB2312" w:eastAsia="仿宋_GB2312" w:cs="仿宋_GB2312"/>
          <w:b w:val="0"/>
          <w:bCs w:val="0"/>
          <w:sz w:val="32"/>
          <w:szCs w:val="32"/>
          <w:highlight w:val="none"/>
          <w:lang w:val="en-US" w:eastAsia="zh-CN"/>
        </w:rPr>
        <w:t>5次；完成各类会务服务146场次，参会人员14560人次。圆满完成全区各项公务接待工作，得到了各级来宾的一致好</w:t>
      </w:r>
      <w:r>
        <w:rPr>
          <w:rFonts w:hint="eastAsia" w:ascii="仿宋_GB2312" w:hAnsi="仿宋_GB2312" w:eastAsia="仿宋_GB2312" w:cs="仿宋_GB2312"/>
          <w:b w:val="0"/>
          <w:bCs w:val="0"/>
          <w:sz w:val="32"/>
          <w:szCs w:val="32"/>
          <w:lang w:val="en-US" w:eastAsia="zh-CN"/>
        </w:rPr>
        <w:t>评。</w:t>
      </w:r>
    </w:p>
    <w:p>
      <w:pPr>
        <w:pStyle w:val="3"/>
        <w:keepNext w:val="0"/>
        <w:keepLines w:val="0"/>
        <w:pageBreakBefore w:val="0"/>
        <w:numPr>
          <w:ilvl w:val="0"/>
          <w:numId w:val="0"/>
        </w:numPr>
        <w:kinsoku/>
        <w:wordWrap/>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pacing w:val="0"/>
          <w:w w:val="100"/>
          <w:kern w:val="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4.机关食堂服务提品提质。</w:t>
      </w:r>
      <w:r>
        <w:rPr>
          <w:rFonts w:hint="eastAsia" w:ascii="仿宋_GB2312" w:hAnsi="仿宋_GB2312" w:eastAsia="仿宋_GB2312" w:cs="仿宋_GB2312"/>
          <w:b w:val="0"/>
          <w:bCs w:val="0"/>
          <w:sz w:val="32"/>
          <w:szCs w:val="32"/>
          <w:highlight w:val="none"/>
          <w:lang w:val="en-US" w:eastAsia="zh-CN"/>
        </w:rPr>
        <w:t>一是</w:t>
      </w:r>
      <w:r>
        <w:rPr>
          <w:rFonts w:hint="eastAsia" w:ascii="仿宋_GB2312" w:hAnsi="仿宋_GB2312" w:eastAsia="仿宋_GB2312" w:cs="仿宋_GB2312"/>
          <w:spacing w:val="0"/>
          <w:kern w:val="2"/>
          <w:sz w:val="32"/>
          <w:szCs w:val="32"/>
          <w:highlight w:val="none"/>
          <w:lang w:val="en-US" w:eastAsia="zh-CN" w:bidi="ar-SA"/>
        </w:rPr>
        <w:t>优化食堂服务，以“放心、舒心”为目标，</w:t>
      </w:r>
      <w:r>
        <w:rPr>
          <w:rFonts w:hint="eastAsia" w:ascii="仿宋_GB2312" w:hAnsi="仿宋_GB2312" w:eastAsia="仿宋_GB2312" w:cs="仿宋_GB2312"/>
          <w:b w:val="0"/>
          <w:bCs w:val="0"/>
          <w:spacing w:val="0"/>
          <w:w w:val="100"/>
          <w:kern w:val="2"/>
          <w:sz w:val="32"/>
          <w:szCs w:val="32"/>
          <w:highlight w:val="none"/>
          <w:lang w:val="en-US" w:eastAsia="zh-CN"/>
        </w:rPr>
        <w:t>持续创新调整菜品，全面更新升级食堂消费系统，为干部职工用餐提供便利。二是优化食材管控。定期调研食材供应商，严把食材供应关，全力保障食品安全。今年9月，完成食材供应商招标采购工作，进一步规范食材供应，严格索取、留存相关证件，压实食品供应商主体责任，确保食品来源可追可溯。三是优化食堂管理。从服务公司人员配备、菜单制定、菜品研发、员工服务培训以及身心健康管理等多方面入手加强食堂三方公司监管，针对材料储存、食材加工等，开展食品安全自查6次，提升服务品质，树牢食品安全防线。</w:t>
      </w:r>
    </w:p>
    <w:p>
      <w:pPr>
        <w:spacing w:line="578" w:lineRule="exact"/>
        <w:ind w:firstLine="632"/>
        <w:contextualSpacing/>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5.机关运行管理规范高效。</w:t>
      </w:r>
      <w:r>
        <w:rPr>
          <w:rFonts w:hint="eastAsia" w:ascii="仿宋_GB2312" w:hAnsi="仿宋_GB2312" w:eastAsia="仿宋_GB2312" w:cs="仿宋_GB2312"/>
          <w:b w:val="0"/>
          <w:bCs w:val="0"/>
          <w:kern w:val="2"/>
          <w:sz w:val="32"/>
          <w:szCs w:val="32"/>
          <w:highlight w:val="none"/>
          <w:lang w:val="en-US" w:eastAsia="zh-CN" w:bidi="ar-SA"/>
        </w:rPr>
        <w:t>加强集中办公区日常运维维护管理，</w:t>
      </w:r>
      <w:r>
        <w:rPr>
          <w:rFonts w:hint="eastAsia" w:ascii="仿宋_GB2312" w:hAnsi="仿宋_GB2312" w:eastAsia="仿宋_GB2312" w:cs="仿宋_GB2312"/>
          <w:spacing w:val="0"/>
          <w:kern w:val="2"/>
          <w:sz w:val="32"/>
          <w:szCs w:val="32"/>
          <w:highlight w:val="none"/>
          <w:lang w:val="en-US" w:eastAsia="zh-CN" w:bidi="ar-SA"/>
        </w:rPr>
        <w:t>细化日常监管，实施柔刚写字楼一楼大厅立柱改造等项目30余个，安装实时监控系统6个，</w:t>
      </w:r>
      <w:r>
        <w:rPr>
          <w:rFonts w:hint="eastAsia" w:ascii="仿宋_GB2312" w:hAnsi="仿宋_GB2312" w:eastAsia="仿宋_GB2312" w:cs="仿宋_GB2312"/>
          <w:sz w:val="32"/>
          <w:szCs w:val="32"/>
          <w:highlight w:val="none"/>
          <w:lang w:val="en-US" w:eastAsia="zh-CN"/>
        </w:rPr>
        <w:t>更换消防指示牌54处，更换灭火器220具，报警组机1台；</w:t>
      </w:r>
      <w:r>
        <w:rPr>
          <w:rFonts w:hint="eastAsia" w:ascii="仿宋_GB2312" w:hAnsi="仿宋_GB2312" w:eastAsia="仿宋_GB2312" w:cs="仿宋_GB2312"/>
          <w:spacing w:val="0"/>
          <w:kern w:val="2"/>
          <w:sz w:val="32"/>
          <w:szCs w:val="32"/>
          <w:highlight w:val="none"/>
          <w:lang w:val="en-US" w:eastAsia="zh-CN" w:bidi="ar-SA"/>
        </w:rPr>
        <w:t>全方位加强物业履约监管，</w:t>
      </w:r>
      <w:r>
        <w:rPr>
          <w:rFonts w:hint="eastAsia" w:ascii="仿宋_GB2312" w:hAnsi="仿宋_GB2312" w:eastAsia="仿宋_GB2312" w:cs="仿宋_GB2312"/>
          <w:b w:val="0"/>
          <w:bCs w:val="0"/>
          <w:sz w:val="32"/>
          <w:szCs w:val="32"/>
          <w:highlight w:val="none"/>
          <w:lang w:val="en-US" w:eastAsia="zh-CN"/>
        </w:rPr>
        <w:t>不定时开展安保、清洁等现场督查，</w:t>
      </w:r>
      <w:r>
        <w:rPr>
          <w:rFonts w:hint="eastAsia" w:ascii="仿宋_GB2312" w:hAnsi="仿宋_GB2312" w:eastAsia="仿宋_GB2312" w:cs="仿宋_GB2312"/>
          <w:b w:val="0"/>
          <w:bCs w:val="0"/>
          <w:spacing w:val="0"/>
          <w:kern w:val="2"/>
          <w:sz w:val="32"/>
          <w:szCs w:val="32"/>
          <w:highlight w:val="none"/>
          <w:lang w:val="en-US" w:eastAsia="zh-CN" w:bidi="ar-SA"/>
        </w:rPr>
        <w:t>督促物业公司</w:t>
      </w:r>
      <w:r>
        <w:rPr>
          <w:rFonts w:hint="eastAsia" w:ascii="仿宋_GB2312" w:hAnsi="仿宋_GB2312" w:eastAsia="仿宋_GB2312" w:cs="仿宋_GB2312"/>
          <w:b w:val="0"/>
          <w:bCs w:val="0"/>
          <w:spacing w:val="0"/>
          <w:sz w:val="32"/>
          <w:szCs w:val="32"/>
          <w:highlight w:val="none"/>
          <w:lang w:val="en-US" w:eastAsia="zh-CN"/>
        </w:rPr>
        <w:t>建立每</w:t>
      </w:r>
      <w:r>
        <w:rPr>
          <w:rFonts w:hint="eastAsia" w:ascii="仿宋_GB2312" w:hAnsi="仿宋_GB2312" w:eastAsia="仿宋_GB2312" w:cs="仿宋_GB2312"/>
          <w:b w:val="0"/>
          <w:bCs w:val="0"/>
          <w:sz w:val="32"/>
          <w:szCs w:val="32"/>
          <w:highlight w:val="none"/>
          <w:lang w:val="en-US" w:eastAsia="zh-CN"/>
        </w:rPr>
        <w:t>日巡查、每周总结工作机制，</w:t>
      </w:r>
      <w:r>
        <w:rPr>
          <w:rFonts w:hint="eastAsia" w:ascii="仿宋_GB2312" w:hAnsi="仿宋_GB2312" w:eastAsia="仿宋_GB2312" w:cs="仿宋_GB2312"/>
          <w:sz w:val="32"/>
          <w:szCs w:val="32"/>
          <w:highlight w:val="none"/>
          <w:lang w:val="en-US" w:eastAsia="zh-CN"/>
        </w:rPr>
        <w:t>严格强化值班值守制度，</w:t>
      </w:r>
      <w:r>
        <w:rPr>
          <w:rFonts w:hint="eastAsia" w:ascii="仿宋_GB2312" w:hAnsi="仿宋_GB2312" w:eastAsia="仿宋_GB2312" w:cs="仿宋_GB2312"/>
          <w:spacing w:val="0"/>
          <w:kern w:val="2"/>
          <w:sz w:val="32"/>
          <w:szCs w:val="32"/>
          <w:highlight w:val="none"/>
          <w:lang w:val="en-US" w:eastAsia="zh-CN" w:bidi="ar-SA"/>
        </w:rPr>
        <w:t>加大巡检力度，持续提升物业精细化管理水平，推动服务保障高质高标，</w:t>
      </w:r>
      <w:r>
        <w:rPr>
          <w:rFonts w:hint="eastAsia" w:ascii="仿宋_GB2312" w:hAnsi="仿宋_GB2312" w:eastAsia="仿宋_GB2312" w:cs="仿宋_GB2312"/>
          <w:b w:val="0"/>
          <w:bCs w:val="0"/>
          <w:sz w:val="32"/>
          <w:szCs w:val="32"/>
          <w:highlight w:val="none"/>
          <w:lang w:val="en-US" w:eastAsia="zh-CN"/>
        </w:rPr>
        <w:t>有力保障集中办公区有序、安全、高效运转</w:t>
      </w:r>
      <w:r>
        <w:rPr>
          <w:rFonts w:hint="eastAsia" w:ascii="仿宋_GB2312" w:hAnsi="仿宋_GB2312" w:eastAsia="仿宋_GB2312" w:cs="仿宋_GB2312"/>
          <w:sz w:val="32"/>
          <w:szCs w:val="32"/>
          <w:highlight w:val="none"/>
          <w:lang w:val="en-US" w:eastAsia="zh-CN"/>
        </w:rPr>
        <w:t>。</w:t>
      </w:r>
    </w:p>
    <w:p>
      <w:pPr>
        <w:spacing w:line="578" w:lineRule="exact"/>
        <w:ind w:firstLine="632"/>
        <w:contextualSpacing/>
        <w:jc w:val="left"/>
        <w:rPr>
          <w:szCs w:val="32"/>
          <w:shd w:val="clear" w:color="auto" w:fill="FFFFFF"/>
          <w:lang w:val="zh-CN"/>
        </w:rPr>
      </w:pPr>
      <w:r>
        <w:rPr>
          <w:szCs w:val="32"/>
          <w:shd w:val="clear" w:color="auto" w:fill="FFFFFF"/>
        </w:rPr>
        <w:t>2</w:t>
      </w:r>
      <w:r>
        <w:rPr>
          <w:rFonts w:hint="eastAsia"/>
          <w:szCs w:val="32"/>
          <w:shd w:val="clear" w:color="auto" w:fill="FFFFFF"/>
        </w:rPr>
        <w:t>、</w:t>
      </w:r>
      <w:r>
        <w:rPr>
          <w:szCs w:val="32"/>
          <w:shd w:val="clear" w:color="auto" w:fill="FFFFFF"/>
          <w:lang w:val="zh-CN"/>
        </w:rPr>
        <w:t>预算管理。</w:t>
      </w:r>
      <w:r>
        <w:rPr>
          <w:rFonts w:hint="eastAsia" w:ascii="仿宋" w:hAnsi="仿宋" w:eastAsia="仿宋" w:cs="仿宋_GB2312"/>
          <w:szCs w:val="32"/>
        </w:rPr>
        <w:t>严格按照财政部门预算编制通知和有关要求，按时完成2024年预算编制工作，并按时提交部门预算草案和编制说明。按规定编制预算，预算编制全面、科学。</w:t>
      </w:r>
    </w:p>
    <w:p>
      <w:pPr>
        <w:spacing w:line="578" w:lineRule="exact"/>
        <w:ind w:firstLine="632"/>
        <w:contextualSpacing/>
        <w:jc w:val="left"/>
        <w:rPr>
          <w:rFonts w:ascii="仿宋" w:hAnsi="仿宋" w:eastAsia="仿宋" w:cs="仿宋"/>
          <w:szCs w:val="32"/>
        </w:rPr>
      </w:pPr>
      <w:r>
        <w:rPr>
          <w:szCs w:val="32"/>
          <w:shd w:val="clear" w:color="auto" w:fill="FFFFFF"/>
        </w:rPr>
        <w:t>3</w:t>
      </w:r>
      <w:r>
        <w:rPr>
          <w:rFonts w:hint="eastAsia"/>
          <w:szCs w:val="32"/>
          <w:shd w:val="clear" w:color="auto" w:fill="FFFFFF"/>
        </w:rPr>
        <w:t>、</w:t>
      </w:r>
      <w:r>
        <w:rPr>
          <w:szCs w:val="32"/>
          <w:shd w:val="clear" w:color="auto" w:fill="FFFFFF"/>
          <w:lang w:val="zh-CN"/>
        </w:rPr>
        <w:t>财务管理。</w:t>
      </w:r>
      <w:r>
        <w:rPr>
          <w:rFonts w:hint="eastAsia" w:ascii="仿宋" w:hAnsi="仿宋" w:eastAsia="仿宋" w:cs="仿宋"/>
          <w:szCs w:val="32"/>
        </w:rPr>
        <w:t>为进一步加强财务管理，规范公务支付业务，减少现金支付结算，提高支付透明度，强化资金安全，制定了《财务管理制度》等内部控制制度，包括：预算管理、采购管理、结算管理、资产管理、财务机构、财务监督等管理事项。</w:t>
      </w:r>
    </w:p>
    <w:p>
      <w:pPr>
        <w:spacing w:line="578" w:lineRule="exact"/>
        <w:ind w:firstLine="632"/>
        <w:contextualSpacing/>
        <w:jc w:val="left"/>
        <w:rPr>
          <w:szCs w:val="32"/>
          <w:lang w:val="zh-CN"/>
        </w:rPr>
      </w:pPr>
      <w:r>
        <w:rPr>
          <w:szCs w:val="32"/>
          <w:shd w:val="clear" w:color="auto" w:fill="FFFFFF"/>
        </w:rPr>
        <w:t>4</w:t>
      </w:r>
      <w:r>
        <w:rPr>
          <w:rFonts w:hint="eastAsia"/>
          <w:szCs w:val="32"/>
          <w:shd w:val="clear" w:color="auto" w:fill="FFFFFF"/>
        </w:rPr>
        <w:t>、</w:t>
      </w:r>
      <w:r>
        <w:rPr>
          <w:szCs w:val="32"/>
          <w:shd w:val="clear" w:color="auto" w:fill="FFFFFF"/>
          <w:lang w:val="zh-CN"/>
        </w:rPr>
        <w:t>资产管理。</w:t>
      </w:r>
      <w:r>
        <w:rPr>
          <w:szCs w:val="32"/>
          <w:lang w:val="zh-CN"/>
        </w:rPr>
        <w:t>围绕人均资产变化率、资产利用率、资产盘活率进行绩效分析。</w:t>
      </w:r>
    </w:p>
    <w:p>
      <w:pPr>
        <w:spacing w:line="578" w:lineRule="exact"/>
        <w:ind w:firstLine="632"/>
        <w:contextualSpacing/>
        <w:jc w:val="left"/>
        <w:rPr>
          <w:szCs w:val="32"/>
          <w:shd w:val="clear" w:color="auto" w:fill="FFFFFF"/>
        </w:rPr>
      </w:pPr>
      <w:r>
        <w:rPr>
          <w:rFonts w:hint="eastAsia"/>
          <w:color w:val="auto"/>
          <w:szCs w:val="32"/>
          <w:lang w:val="zh-CN"/>
        </w:rPr>
        <w:t>截止</w:t>
      </w:r>
      <w:r>
        <w:rPr>
          <w:rFonts w:hint="eastAsia"/>
          <w:color w:val="auto"/>
          <w:szCs w:val="32"/>
        </w:rPr>
        <w:t>2024年末，资产总值</w:t>
      </w:r>
      <w:r>
        <w:rPr>
          <w:rFonts w:hint="eastAsia"/>
          <w:color w:val="auto"/>
          <w:szCs w:val="32"/>
          <w:lang w:val="en-US" w:eastAsia="zh-CN"/>
        </w:rPr>
        <w:t>1461.34</w:t>
      </w:r>
      <w:r>
        <w:rPr>
          <w:rFonts w:hint="eastAsia"/>
          <w:color w:val="auto"/>
          <w:szCs w:val="32"/>
        </w:rPr>
        <w:t>万元，比2023年</w:t>
      </w:r>
      <w:r>
        <w:rPr>
          <w:rFonts w:hint="eastAsia"/>
          <w:color w:val="auto"/>
          <w:szCs w:val="32"/>
          <w:lang w:eastAsia="zh-CN"/>
        </w:rPr>
        <w:t>减少</w:t>
      </w:r>
      <w:r>
        <w:rPr>
          <w:rFonts w:hint="eastAsia"/>
          <w:color w:val="auto"/>
          <w:szCs w:val="32"/>
          <w:lang w:val="en-US" w:eastAsia="zh-CN"/>
        </w:rPr>
        <w:t>34.4</w:t>
      </w:r>
      <w:r>
        <w:rPr>
          <w:rFonts w:hint="eastAsia"/>
          <w:color w:val="auto"/>
          <w:szCs w:val="32"/>
        </w:rPr>
        <w:t>万元，</w:t>
      </w:r>
      <w:r>
        <w:rPr>
          <w:rFonts w:hint="eastAsia"/>
          <w:color w:val="auto"/>
          <w:szCs w:val="32"/>
          <w:lang w:eastAsia="zh-CN"/>
        </w:rPr>
        <w:t>下降</w:t>
      </w:r>
      <w:r>
        <w:rPr>
          <w:rFonts w:hint="eastAsia"/>
          <w:color w:val="auto"/>
          <w:szCs w:val="32"/>
          <w:lang w:val="en-US" w:eastAsia="zh-CN"/>
        </w:rPr>
        <w:t>2.3</w:t>
      </w:r>
      <w:r>
        <w:rPr>
          <w:rFonts w:hint="eastAsia"/>
          <w:color w:val="auto"/>
          <w:szCs w:val="32"/>
        </w:rPr>
        <w:t>%。</w:t>
      </w:r>
      <w:r>
        <w:rPr>
          <w:rFonts w:hint="eastAsia"/>
          <w:color w:val="auto"/>
          <w:szCs w:val="32"/>
          <w:lang w:val="zh-CN"/>
        </w:rPr>
        <w:t>为了提高资产利用率，保证资产管理的安全性，将资产管理的各个权利和责任明确，提升单位资产管理</w:t>
      </w:r>
      <w:r>
        <w:rPr>
          <w:rFonts w:hint="eastAsia"/>
          <w:szCs w:val="32"/>
          <w:lang w:val="zh-CN"/>
        </w:rPr>
        <w:t>的科学性。建立闲置资产盘活台账，落实专人专责，加大对办公设备、办公家具等闲置可用资产的回收力度，进一步提高资产使用率。单位</w:t>
      </w:r>
      <w:r>
        <w:rPr>
          <w:szCs w:val="32"/>
        </w:rPr>
        <w:t>无截留、挤占、挪用、虚列支出等情况</w:t>
      </w:r>
      <w:r>
        <w:rPr>
          <w:rFonts w:hint="eastAsia"/>
          <w:szCs w:val="32"/>
        </w:rPr>
        <w:t>。</w:t>
      </w:r>
    </w:p>
    <w:p>
      <w:pPr>
        <w:spacing w:line="578" w:lineRule="exact"/>
        <w:ind w:firstLine="632"/>
        <w:contextualSpacing/>
        <w:jc w:val="left"/>
        <w:rPr>
          <w:rFonts w:eastAsia="楷体_GB2312"/>
          <w:szCs w:val="32"/>
          <w:shd w:val="clear" w:color="auto" w:fill="FFFFFF"/>
        </w:rPr>
      </w:pPr>
      <w:r>
        <w:rPr>
          <w:rFonts w:hint="eastAsia"/>
          <w:szCs w:val="32"/>
          <w:shd w:val="clear" w:color="auto" w:fill="FFFFFF"/>
        </w:rPr>
        <w:t>5、</w:t>
      </w:r>
      <w:r>
        <w:rPr>
          <w:szCs w:val="32"/>
          <w:shd w:val="clear" w:color="auto" w:fill="FFFFFF"/>
          <w:lang w:val="zh-CN"/>
        </w:rPr>
        <w:t>采购管理。</w:t>
      </w:r>
      <w:r>
        <w:rPr>
          <w:rFonts w:hint="eastAsia"/>
          <w:szCs w:val="32"/>
        </w:rPr>
        <w:t>落实促进中小企业发展等政府采购政策，科学编制政府采购预算，建立本单位政府采购内部控制制度，实现“阳光采购”，确保采购过程公开透明，提高采购效率。</w:t>
      </w:r>
    </w:p>
    <w:p>
      <w:pPr>
        <w:spacing w:line="578" w:lineRule="exact"/>
        <w:ind w:firstLine="632"/>
        <w:contextualSpacing/>
        <w:jc w:val="left"/>
        <w:rPr>
          <w:rFonts w:eastAsia="楷体_GB2312"/>
          <w:color w:val="FF0000"/>
          <w:szCs w:val="32"/>
          <w:shd w:val="clear" w:color="auto" w:fill="FFFFFF"/>
          <w:lang w:val="zh-CN"/>
        </w:rPr>
      </w:pPr>
    </w:p>
    <w:p>
      <w:pPr>
        <w:widowControl/>
        <w:spacing w:line="578" w:lineRule="exact"/>
        <w:ind w:firstLine="632"/>
        <w:contextualSpacing/>
        <w:jc w:val="left"/>
        <w:rPr>
          <w:szCs w:val="32"/>
        </w:rPr>
      </w:pPr>
      <w:r>
        <w:rPr>
          <w:rFonts w:eastAsia="楷体_GB2312"/>
          <w:b/>
          <w:bCs/>
          <w:color w:val="000000"/>
          <w:szCs w:val="32"/>
          <w:shd w:val="clear" w:color="auto" w:fill="FFFFFF"/>
          <w:lang w:val="zh-CN"/>
        </w:rPr>
        <w:t>（二）部门预算项目绩效分析</w:t>
      </w:r>
      <w:r>
        <w:rPr>
          <w:rFonts w:eastAsia="楷体_GB2312"/>
          <w:color w:val="000000"/>
          <w:szCs w:val="32"/>
          <w:shd w:val="clear" w:color="auto" w:fill="FFFFFF"/>
          <w:lang w:val="zh-CN"/>
        </w:rPr>
        <w:t>。</w:t>
      </w:r>
      <w:r>
        <w:rPr>
          <w:szCs w:val="32"/>
          <w:lang w:val="zh-CN"/>
        </w:rPr>
        <w:t>填报以下数据，并根据部门预算绩效评价指标体系</w:t>
      </w:r>
      <w:r>
        <w:rPr>
          <w:rFonts w:hint="eastAsia"/>
          <w:szCs w:val="32"/>
          <w:lang w:val="zh-CN"/>
        </w:rPr>
        <w:t>“</w:t>
      </w:r>
      <w:r>
        <w:rPr>
          <w:szCs w:val="32"/>
          <w:lang w:val="zh-CN"/>
        </w:rPr>
        <w:t>项目绩效</w:t>
      </w:r>
      <w:r>
        <w:rPr>
          <w:rFonts w:hint="eastAsia"/>
          <w:szCs w:val="32"/>
          <w:lang w:val="zh-CN"/>
        </w:rPr>
        <w:t>”</w:t>
      </w:r>
      <w:r>
        <w:rPr>
          <w:szCs w:val="32"/>
          <w:lang w:val="zh-CN"/>
        </w:rPr>
        <w:t>涉及二、三级指标进行逐项绩效分析并评分，依次包括项目</w:t>
      </w:r>
      <w:r>
        <w:rPr>
          <w:szCs w:val="32"/>
        </w:rPr>
        <w:t>决策、项目执行、目标实现等情况。</w:t>
      </w:r>
    </w:p>
    <w:p>
      <w:pPr>
        <w:adjustRightInd w:val="0"/>
        <w:snapToGrid w:val="0"/>
        <w:spacing w:line="560" w:lineRule="exact"/>
        <w:ind w:firstLine="640" w:firstLineChars="200"/>
        <w:contextualSpacing/>
        <w:jc w:val="left"/>
        <w:rPr>
          <w:rFonts w:ascii="仿宋" w:hAnsi="仿宋" w:eastAsia="仿宋" w:cs="仿宋"/>
          <w:color w:val="auto"/>
          <w:szCs w:val="32"/>
        </w:rPr>
      </w:pPr>
      <w:r>
        <w:rPr>
          <w:rFonts w:hint="eastAsia" w:ascii="仿宋" w:hAnsi="仿宋" w:eastAsia="仿宋" w:cs="仿宋"/>
          <w:color w:val="auto"/>
          <w:szCs w:val="32"/>
        </w:rPr>
        <w:t>常年项目绩效分析。</w:t>
      </w:r>
      <w:r>
        <w:rPr>
          <w:rFonts w:hint="eastAsia" w:ascii="仿宋" w:hAnsi="仿宋" w:eastAsia="仿宋" w:cs="仿宋"/>
          <w:color w:val="auto"/>
          <w:szCs w:val="32"/>
          <w:lang w:val="zh-CN"/>
        </w:rPr>
        <w:t>该类项目总数</w:t>
      </w:r>
      <w:r>
        <w:rPr>
          <w:rFonts w:hint="eastAsia" w:ascii="仿宋" w:hAnsi="仿宋" w:eastAsia="仿宋" w:cs="仿宋"/>
          <w:color w:val="auto"/>
          <w:szCs w:val="32"/>
          <w:lang w:val="en-US" w:eastAsia="zh-CN"/>
        </w:rPr>
        <w:t>8</w:t>
      </w:r>
      <w:r>
        <w:rPr>
          <w:rFonts w:hint="eastAsia" w:ascii="仿宋" w:hAnsi="仿宋" w:eastAsia="仿宋" w:cs="仿宋"/>
          <w:color w:val="auto"/>
          <w:szCs w:val="32"/>
          <w:lang w:val="zh-CN"/>
        </w:rPr>
        <w:t>个，涉及预算总金额</w:t>
      </w:r>
      <w:r>
        <w:rPr>
          <w:rFonts w:hint="eastAsia" w:ascii="仿宋" w:hAnsi="仿宋" w:eastAsia="仿宋" w:cs="仿宋"/>
          <w:color w:val="auto"/>
          <w:szCs w:val="32"/>
        </w:rPr>
        <w:t xml:space="preserve">   </w:t>
      </w:r>
      <w:r>
        <w:rPr>
          <w:rFonts w:hint="eastAsia" w:ascii="仿宋" w:hAnsi="仿宋" w:eastAsia="仿宋" w:cs="仿宋"/>
          <w:color w:val="auto"/>
          <w:szCs w:val="32"/>
          <w:lang w:val="en-US" w:eastAsia="zh-CN"/>
        </w:rPr>
        <w:t>1075.56</w:t>
      </w:r>
      <w:r>
        <w:rPr>
          <w:rFonts w:hint="eastAsia" w:ascii="仿宋" w:hAnsi="仿宋" w:eastAsia="仿宋" w:cs="仿宋"/>
          <w:color w:val="auto"/>
          <w:szCs w:val="32"/>
          <w:lang w:val="zh-CN"/>
        </w:rPr>
        <w:t>万元，1—1</w:t>
      </w:r>
      <w:r>
        <w:rPr>
          <w:rFonts w:hint="eastAsia" w:ascii="仿宋" w:hAnsi="仿宋" w:eastAsia="仿宋" w:cs="仿宋"/>
          <w:color w:val="auto"/>
          <w:szCs w:val="32"/>
        </w:rPr>
        <w:t>2</w:t>
      </w:r>
      <w:r>
        <w:rPr>
          <w:rFonts w:hint="eastAsia" w:ascii="仿宋" w:hAnsi="仿宋" w:eastAsia="仿宋" w:cs="仿宋"/>
          <w:color w:val="auto"/>
          <w:szCs w:val="32"/>
          <w:lang w:val="zh-CN"/>
        </w:rPr>
        <w:t>月预算执行总体进度为</w:t>
      </w:r>
      <w:r>
        <w:rPr>
          <w:rFonts w:hint="eastAsia" w:ascii="仿宋" w:hAnsi="仿宋" w:eastAsia="仿宋" w:cs="仿宋"/>
          <w:color w:val="auto"/>
          <w:szCs w:val="32"/>
        </w:rPr>
        <w:t xml:space="preserve"> 100 </w:t>
      </w:r>
      <w:r>
        <w:rPr>
          <w:rFonts w:hint="eastAsia" w:ascii="仿宋" w:hAnsi="仿宋" w:eastAsia="仿宋" w:cs="仿宋"/>
          <w:color w:val="auto"/>
          <w:szCs w:val="32"/>
          <w:lang w:val="zh-CN"/>
        </w:rPr>
        <w:t>%，其中：预算结余率大于</w:t>
      </w:r>
      <w:r>
        <w:rPr>
          <w:rFonts w:hint="eastAsia" w:ascii="仿宋" w:hAnsi="仿宋" w:eastAsia="仿宋" w:cs="仿宋"/>
          <w:color w:val="auto"/>
          <w:szCs w:val="32"/>
        </w:rPr>
        <w:t>10%</w:t>
      </w:r>
      <w:r>
        <w:rPr>
          <w:rFonts w:hint="eastAsia" w:ascii="仿宋" w:hAnsi="仿宋" w:eastAsia="仿宋" w:cs="仿宋"/>
          <w:color w:val="auto"/>
          <w:szCs w:val="32"/>
          <w:lang w:val="zh-CN"/>
        </w:rPr>
        <w:t>的项目共计</w:t>
      </w:r>
      <w:r>
        <w:rPr>
          <w:rFonts w:hint="eastAsia" w:ascii="仿宋" w:hAnsi="仿宋" w:eastAsia="仿宋" w:cs="仿宋"/>
          <w:color w:val="auto"/>
          <w:szCs w:val="32"/>
        </w:rPr>
        <w:t xml:space="preserve"> 0 </w:t>
      </w:r>
      <w:r>
        <w:rPr>
          <w:rFonts w:hint="eastAsia" w:ascii="仿宋" w:hAnsi="仿宋" w:eastAsia="仿宋" w:cs="仿宋"/>
          <w:color w:val="auto"/>
          <w:szCs w:val="32"/>
          <w:lang w:val="zh-CN"/>
        </w:rPr>
        <w:t>个。</w:t>
      </w:r>
    </w:p>
    <w:p>
      <w:pPr>
        <w:widowControl/>
        <w:spacing w:line="578" w:lineRule="exact"/>
        <w:ind w:firstLine="632"/>
        <w:contextualSpacing/>
        <w:jc w:val="left"/>
        <w:rPr>
          <w:color w:val="auto"/>
          <w:szCs w:val="32"/>
          <w:lang w:val="zh-CN"/>
        </w:rPr>
      </w:pPr>
      <w:r>
        <w:rPr>
          <w:rFonts w:hint="eastAsia" w:ascii="仿宋" w:hAnsi="仿宋" w:eastAsia="仿宋" w:cs="仿宋"/>
          <w:color w:val="auto"/>
          <w:szCs w:val="32"/>
        </w:rPr>
        <w:t>阶段（一次性）项目绩效分析。</w:t>
      </w:r>
      <w:r>
        <w:rPr>
          <w:rFonts w:hint="eastAsia" w:ascii="仿宋" w:hAnsi="仿宋" w:eastAsia="仿宋" w:cs="仿宋"/>
          <w:color w:val="auto"/>
          <w:szCs w:val="32"/>
          <w:lang w:val="zh-CN"/>
        </w:rPr>
        <w:t>该类项目总数</w:t>
      </w:r>
      <w:r>
        <w:rPr>
          <w:rFonts w:hint="eastAsia" w:ascii="仿宋" w:hAnsi="仿宋" w:eastAsia="仿宋" w:cs="仿宋"/>
          <w:color w:val="auto"/>
          <w:szCs w:val="32"/>
          <w:lang w:val="en-US" w:eastAsia="zh-CN"/>
        </w:rPr>
        <w:t>0</w:t>
      </w:r>
      <w:r>
        <w:rPr>
          <w:rFonts w:hint="eastAsia" w:ascii="仿宋" w:hAnsi="仿宋" w:eastAsia="仿宋" w:cs="仿宋"/>
          <w:color w:val="auto"/>
          <w:szCs w:val="32"/>
          <w:lang w:val="zh-CN"/>
        </w:rPr>
        <w:t>个，涉及预算总金额</w:t>
      </w:r>
      <w:r>
        <w:rPr>
          <w:rFonts w:hint="eastAsia" w:ascii="仿宋" w:hAnsi="仿宋" w:eastAsia="仿宋" w:cs="仿宋"/>
          <w:color w:val="auto"/>
          <w:szCs w:val="32"/>
          <w:lang w:val="en-US" w:eastAsia="zh-CN"/>
        </w:rPr>
        <w:t>0</w:t>
      </w:r>
      <w:r>
        <w:rPr>
          <w:rFonts w:hint="eastAsia" w:ascii="仿宋" w:hAnsi="仿宋" w:eastAsia="仿宋" w:cs="仿宋"/>
          <w:color w:val="auto"/>
          <w:szCs w:val="32"/>
          <w:lang w:val="zh-CN"/>
        </w:rPr>
        <w:t>万元，1—1</w:t>
      </w:r>
      <w:r>
        <w:rPr>
          <w:rFonts w:hint="eastAsia" w:ascii="仿宋" w:hAnsi="仿宋" w:eastAsia="仿宋" w:cs="仿宋"/>
          <w:color w:val="auto"/>
          <w:szCs w:val="32"/>
        </w:rPr>
        <w:t>2</w:t>
      </w:r>
      <w:r>
        <w:rPr>
          <w:rFonts w:hint="eastAsia" w:ascii="仿宋" w:hAnsi="仿宋" w:eastAsia="仿宋" w:cs="仿宋"/>
          <w:color w:val="auto"/>
          <w:szCs w:val="32"/>
          <w:lang w:val="zh-CN"/>
        </w:rPr>
        <w:t>月预算执行总体进度为</w:t>
      </w:r>
      <w:r>
        <w:rPr>
          <w:rFonts w:hint="eastAsia" w:ascii="仿宋" w:hAnsi="仿宋" w:eastAsia="仿宋" w:cs="仿宋"/>
          <w:color w:val="auto"/>
          <w:szCs w:val="32"/>
        </w:rPr>
        <w:t xml:space="preserve"> 100 </w:t>
      </w:r>
      <w:r>
        <w:rPr>
          <w:rFonts w:hint="eastAsia" w:ascii="仿宋" w:hAnsi="仿宋" w:eastAsia="仿宋" w:cs="仿宋"/>
          <w:color w:val="auto"/>
          <w:szCs w:val="32"/>
          <w:lang w:val="zh-CN"/>
        </w:rPr>
        <w:t>%，其中：预算结余率大于</w:t>
      </w:r>
      <w:r>
        <w:rPr>
          <w:rFonts w:hint="eastAsia" w:ascii="仿宋" w:hAnsi="仿宋" w:eastAsia="仿宋" w:cs="仿宋"/>
          <w:color w:val="auto"/>
          <w:szCs w:val="32"/>
        </w:rPr>
        <w:t>10%</w:t>
      </w:r>
      <w:r>
        <w:rPr>
          <w:rFonts w:hint="eastAsia" w:ascii="仿宋" w:hAnsi="仿宋" w:eastAsia="仿宋" w:cs="仿宋"/>
          <w:color w:val="auto"/>
          <w:szCs w:val="32"/>
          <w:lang w:val="zh-CN"/>
        </w:rPr>
        <w:t>的项目共计</w:t>
      </w:r>
      <w:r>
        <w:rPr>
          <w:rFonts w:hint="eastAsia" w:ascii="仿宋" w:hAnsi="仿宋" w:eastAsia="仿宋" w:cs="仿宋"/>
          <w:color w:val="auto"/>
          <w:szCs w:val="32"/>
        </w:rPr>
        <w:t>0</w:t>
      </w:r>
      <w:r>
        <w:rPr>
          <w:rFonts w:hint="eastAsia" w:ascii="仿宋" w:hAnsi="仿宋" w:eastAsia="仿宋" w:cs="仿宋"/>
          <w:color w:val="auto"/>
          <w:szCs w:val="32"/>
          <w:lang w:val="zh-CN"/>
        </w:rPr>
        <w:t>个。</w:t>
      </w:r>
    </w:p>
    <w:p>
      <w:pPr>
        <w:spacing w:line="578" w:lineRule="exact"/>
        <w:ind w:firstLine="632"/>
        <w:contextualSpacing/>
        <w:jc w:val="left"/>
        <w:rPr>
          <w:color w:val="000000"/>
          <w:szCs w:val="32"/>
          <w:lang w:val="zh-CN"/>
        </w:rPr>
      </w:pPr>
      <w:r>
        <w:rPr>
          <w:rFonts w:hint="eastAsia"/>
          <w:color w:val="000000"/>
          <w:szCs w:val="32"/>
          <w:shd w:val="clear" w:color="auto" w:fill="FFFFFF"/>
        </w:rPr>
        <w:t>1、</w:t>
      </w:r>
      <w:r>
        <w:rPr>
          <w:color w:val="000000"/>
          <w:szCs w:val="32"/>
          <w:shd w:val="clear" w:color="auto" w:fill="FFFFFF"/>
          <w:lang w:val="zh-CN"/>
        </w:rPr>
        <w:t>项目决策。</w:t>
      </w:r>
      <w:r>
        <w:rPr>
          <w:rStyle w:val="230"/>
          <w:rFonts w:hint="eastAsia" w:ascii="仿宋_GB2312" w:hAnsi="仿宋_GB2312" w:eastAsia="仿宋_GB2312" w:cs="仿宋_GB2312"/>
          <w:b w:val="0"/>
          <w:bCs w:val="0"/>
          <w:color w:val="auto"/>
          <w:sz w:val="32"/>
          <w:szCs w:val="32"/>
          <w:lang w:val="en-US" w:eastAsia="zh-CN"/>
        </w:rPr>
        <w:t>严格执行派车审核、调度流程，严防超标用车</w:t>
      </w:r>
      <w:r>
        <w:rPr>
          <w:rStyle w:val="230"/>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spacing w:val="0"/>
          <w:w w:val="100"/>
          <w:kern w:val="0"/>
          <w:sz w:val="32"/>
          <w:szCs w:val="32"/>
          <w:lang w:val="en-US" w:eastAsia="zh-CN"/>
        </w:rPr>
        <w:t>规范机关食堂经营管理</w:t>
      </w:r>
      <w:r>
        <w:rPr>
          <w:rFonts w:hint="eastAsia" w:ascii="仿宋_GB2312" w:hAnsi="仿宋_GB2312" w:cs="仿宋_GB2312"/>
          <w:b w:val="0"/>
          <w:bCs w:val="0"/>
          <w:spacing w:val="0"/>
          <w:w w:val="100"/>
          <w:kern w:val="0"/>
          <w:sz w:val="32"/>
          <w:szCs w:val="32"/>
          <w:lang w:val="en-US" w:eastAsia="zh-CN"/>
        </w:rPr>
        <w:t>。</w:t>
      </w:r>
      <w:r>
        <w:rPr>
          <w:rFonts w:hint="eastAsia" w:ascii="仿宋_GB2312" w:hAnsi="仿宋_GB2312" w:eastAsia="仿宋_GB2312" w:cs="仿宋_GB2312"/>
          <w:kern w:val="2"/>
          <w:sz w:val="32"/>
          <w:szCs w:val="32"/>
          <w:lang w:val="en-US" w:eastAsia="zh-CN" w:bidi="ar-SA"/>
        </w:rPr>
        <w:t>开展节能减排</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通过省能耗统计系统平台监督指导公共机构用能情况。</w:t>
      </w:r>
      <w:r>
        <w:rPr>
          <w:rStyle w:val="230"/>
          <w:rFonts w:hint="eastAsia" w:ascii="仿宋_GB2312" w:hAnsi="仿宋_GB2312" w:eastAsia="仿宋_GB2312" w:cs="仿宋_GB2312"/>
          <w:b w:val="0"/>
          <w:bCs w:val="0"/>
          <w:color w:val="auto"/>
          <w:sz w:val="32"/>
          <w:szCs w:val="32"/>
          <w:lang w:val="en-US" w:eastAsia="zh-CN"/>
        </w:rPr>
        <w:t>开展202</w:t>
      </w:r>
      <w:r>
        <w:rPr>
          <w:rStyle w:val="230"/>
          <w:rFonts w:hint="eastAsia" w:ascii="仿宋_GB2312" w:hAnsi="仿宋_GB2312" w:cs="仿宋_GB2312"/>
          <w:b w:val="0"/>
          <w:bCs w:val="0"/>
          <w:color w:val="auto"/>
          <w:sz w:val="32"/>
          <w:szCs w:val="32"/>
          <w:lang w:val="en-US" w:eastAsia="zh-CN"/>
        </w:rPr>
        <w:t>4</w:t>
      </w:r>
      <w:r>
        <w:rPr>
          <w:rStyle w:val="230"/>
          <w:rFonts w:hint="eastAsia" w:ascii="仿宋_GB2312" w:hAnsi="仿宋_GB2312" w:eastAsia="仿宋_GB2312" w:cs="仿宋_GB2312"/>
          <w:b w:val="0"/>
          <w:bCs w:val="0"/>
          <w:color w:val="auto"/>
          <w:sz w:val="32"/>
          <w:szCs w:val="32"/>
          <w:lang w:val="en-US" w:eastAsia="zh-CN"/>
        </w:rPr>
        <w:t>年度全区党政机关办公用房信息统计，抓紧、抓实办公用房专项督查、调剂调配、隐患排查</w:t>
      </w:r>
      <w:r>
        <w:rPr>
          <w:rStyle w:val="230"/>
          <w:rFonts w:hint="eastAsia" w:ascii="仿宋_GB2312" w:hAnsi="仿宋_GB2312" w:cs="仿宋_GB2312"/>
          <w:b w:val="0"/>
          <w:bCs w:val="0"/>
          <w:color w:val="auto"/>
          <w:sz w:val="32"/>
          <w:szCs w:val="32"/>
          <w:lang w:val="en-US" w:eastAsia="zh-CN"/>
        </w:rPr>
        <w:t>。</w:t>
      </w:r>
      <w:r>
        <w:rPr>
          <w:rFonts w:hint="eastAsia" w:ascii="仿宋" w:hAnsi="仿宋" w:eastAsia="仿宋" w:cs="仿宋"/>
          <w:color w:val="000000"/>
          <w:szCs w:val="32"/>
          <w:shd w:val="clear" w:color="auto" w:fill="FFFFFF"/>
          <w:lang w:val="zh-CN"/>
        </w:rPr>
        <w:t>通过规范化，系统化的流程，成立专业研究小组全面评估项目可行性、必要性和合理性，提出具体实施方案和预算安排，专家评审后经单位领导审批同意后项目开始实施。</w:t>
      </w:r>
      <w:r>
        <w:rPr>
          <w:rFonts w:ascii="Times New Roman" w:hAnsi="Times New Roman"/>
          <w:color w:val="000000"/>
          <w:szCs w:val="32"/>
          <w:lang w:val="zh-CN"/>
        </w:rPr>
        <w:t>项目入库</w:t>
      </w:r>
      <w:r>
        <w:rPr>
          <w:rFonts w:hint="eastAsia" w:ascii="Times New Roman" w:hAnsi="Times New Roman"/>
          <w:color w:val="000000"/>
          <w:szCs w:val="32"/>
          <w:lang w:val="zh-CN"/>
        </w:rPr>
        <w:t>全部到位</w:t>
      </w:r>
      <w:r>
        <w:rPr>
          <w:rStyle w:val="230"/>
          <w:rFonts w:hint="eastAsia" w:ascii="仿宋_GB2312" w:hAnsi="仿宋_GB2312" w:cs="仿宋_GB2312"/>
          <w:color w:val="000000"/>
          <w:szCs w:val="32"/>
        </w:rPr>
        <w:t>。</w:t>
      </w:r>
    </w:p>
    <w:p>
      <w:pPr>
        <w:spacing w:line="578" w:lineRule="exact"/>
        <w:ind w:firstLine="632"/>
        <w:contextualSpacing/>
        <w:jc w:val="left"/>
      </w:pPr>
      <w:r>
        <w:rPr>
          <w:rFonts w:hint="eastAsia"/>
          <w:color w:val="000000"/>
          <w:szCs w:val="32"/>
          <w:shd w:val="clear" w:color="auto" w:fill="FFFFFF"/>
        </w:rPr>
        <w:t>2、</w:t>
      </w:r>
      <w:r>
        <w:rPr>
          <w:color w:val="000000"/>
          <w:szCs w:val="32"/>
          <w:shd w:val="clear" w:color="auto" w:fill="FFFFFF"/>
        </w:rPr>
        <w:t>项目执行</w:t>
      </w:r>
      <w:r>
        <w:rPr>
          <w:color w:val="000000"/>
          <w:szCs w:val="32"/>
          <w:shd w:val="clear" w:color="auto" w:fill="FFFFFF"/>
          <w:lang w:val="zh-CN"/>
        </w:rPr>
        <w:t>。</w:t>
      </w:r>
      <w:r>
        <w:rPr>
          <w:rFonts w:hint="eastAsia"/>
          <w:color w:val="000000"/>
        </w:rPr>
        <w:t>项目资金年初预算</w:t>
      </w:r>
      <w:r>
        <w:rPr>
          <w:rFonts w:hint="eastAsia"/>
          <w:color w:val="000000"/>
          <w:lang w:val="en-US" w:eastAsia="zh-CN"/>
        </w:rPr>
        <w:t>1100.32</w:t>
      </w:r>
      <w:r>
        <w:rPr>
          <w:rFonts w:hint="eastAsia" w:ascii="仿宋" w:hAnsi="仿宋" w:eastAsia="仿宋"/>
          <w:color w:val="000000"/>
          <w:szCs w:val="32"/>
        </w:rPr>
        <w:t>万元，使用</w:t>
      </w:r>
      <w:r>
        <w:rPr>
          <w:rFonts w:hint="eastAsia" w:ascii="仿宋" w:hAnsi="仿宋" w:eastAsia="仿宋"/>
          <w:color w:val="000000"/>
          <w:szCs w:val="32"/>
          <w:lang w:val="en-US" w:eastAsia="zh-CN"/>
        </w:rPr>
        <w:t>1076.16</w:t>
      </w:r>
      <w:r>
        <w:rPr>
          <w:rFonts w:hint="eastAsia" w:ascii="仿宋" w:hAnsi="仿宋" w:eastAsia="仿宋"/>
          <w:color w:val="000000"/>
          <w:szCs w:val="32"/>
        </w:rPr>
        <w:t>万元（其中：预算支出</w:t>
      </w:r>
      <w:r>
        <w:rPr>
          <w:rFonts w:hint="eastAsia" w:ascii="仿宋" w:hAnsi="仿宋" w:eastAsia="仿宋"/>
          <w:color w:val="000000"/>
          <w:szCs w:val="32"/>
          <w:lang w:val="en-US" w:eastAsia="zh-CN"/>
        </w:rPr>
        <w:t>1100.32</w:t>
      </w:r>
      <w:r>
        <w:rPr>
          <w:rFonts w:hint="eastAsia" w:ascii="仿宋" w:hAnsi="仿宋" w:eastAsia="仿宋"/>
          <w:color w:val="000000"/>
          <w:szCs w:val="32"/>
        </w:rPr>
        <w:t>万元，年度调</w:t>
      </w:r>
      <w:r>
        <w:rPr>
          <w:rFonts w:hint="eastAsia" w:ascii="仿宋" w:hAnsi="仿宋" w:eastAsia="仿宋"/>
          <w:color w:val="000000"/>
          <w:szCs w:val="32"/>
          <w:lang w:val="en-US" w:eastAsia="zh-CN"/>
        </w:rPr>
        <w:t>减</w:t>
      </w:r>
      <w:r>
        <w:rPr>
          <w:rFonts w:hint="eastAsia" w:ascii="仿宋" w:hAnsi="仿宋" w:eastAsia="仿宋"/>
          <w:color w:val="000000"/>
          <w:szCs w:val="32"/>
        </w:rPr>
        <w:t>预算</w:t>
      </w:r>
      <w:r>
        <w:rPr>
          <w:rFonts w:hint="eastAsia" w:ascii="仿宋" w:hAnsi="仿宋" w:eastAsia="仿宋"/>
          <w:color w:val="000000"/>
          <w:szCs w:val="32"/>
          <w:lang w:val="en-US" w:eastAsia="zh-CN"/>
        </w:rPr>
        <w:t>24.16</w:t>
      </w:r>
      <w:r>
        <w:rPr>
          <w:rFonts w:hint="eastAsia" w:ascii="仿宋" w:hAnsi="仿宋" w:eastAsia="仿宋"/>
          <w:color w:val="000000"/>
          <w:szCs w:val="32"/>
        </w:rPr>
        <w:t>万元)。</w:t>
      </w:r>
    </w:p>
    <w:p>
      <w:pPr>
        <w:pStyle w:val="3"/>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ascii="Times New Roman" w:hAnsi="Times New Roman"/>
          <w:szCs w:val="32"/>
        </w:rPr>
      </w:pPr>
      <w:r>
        <w:rPr>
          <w:color w:val="000000"/>
          <w:szCs w:val="32"/>
          <w:shd w:val="clear" w:color="auto" w:fill="FFFFFF"/>
        </w:rPr>
        <w:t>3</w:t>
      </w:r>
      <w:r>
        <w:rPr>
          <w:rFonts w:hint="eastAsia"/>
          <w:color w:val="000000"/>
          <w:szCs w:val="32"/>
          <w:shd w:val="clear" w:color="auto" w:fill="FFFFFF"/>
        </w:rPr>
        <w:t>、</w:t>
      </w:r>
      <w:r>
        <w:rPr>
          <w:color w:val="000000"/>
          <w:szCs w:val="32"/>
          <w:shd w:val="clear" w:color="auto" w:fill="FFFFFF"/>
          <w:lang w:val="zh-CN"/>
        </w:rPr>
        <w:t>目标实现。</w:t>
      </w:r>
      <w:r>
        <w:rPr>
          <w:rFonts w:hint="eastAsia" w:ascii="仿宋_GB2312" w:hAnsi="仿宋_GB2312" w:eastAsia="仿宋_GB2312" w:cs="仿宋_GB2312"/>
          <w:kern w:val="2"/>
          <w:sz w:val="32"/>
          <w:szCs w:val="32"/>
          <w:highlight w:val="none"/>
          <w:lang w:val="en-US" w:eastAsia="zh-CN" w:bidi="ar-SA"/>
        </w:rPr>
        <w:t>结合我</w:t>
      </w:r>
      <w:r>
        <w:rPr>
          <w:rFonts w:hint="eastAsia" w:ascii="仿宋_GB2312" w:hAnsi="仿宋_GB2312" w:eastAsia="仿宋_GB2312" w:cs="仿宋_GB2312"/>
          <w:sz w:val="32"/>
          <w:szCs w:val="32"/>
          <w:highlight w:val="none"/>
        </w:rPr>
        <w:t>区实际，制发了《202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年度公共机构节能工作要点》</w:t>
      </w:r>
      <w:r>
        <w:rPr>
          <w:rFonts w:hint="eastAsia" w:ascii="仿宋_GB2312" w:hAnsi="仿宋_GB2312" w:eastAsia="仿宋_GB2312" w:cs="仿宋_GB2312"/>
          <w:sz w:val="32"/>
          <w:szCs w:val="32"/>
          <w:highlight w:val="none"/>
          <w:lang w:eastAsia="zh-CN"/>
        </w:rPr>
        <w:t>等文件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明确目标考核细则。</w:t>
      </w:r>
      <w:r>
        <w:rPr>
          <w:rFonts w:hint="eastAsia" w:ascii="仿宋_GB2312" w:hAnsi="仿宋_GB2312" w:eastAsia="仿宋_GB2312" w:cs="仿宋_GB2312"/>
          <w:spacing w:val="0"/>
          <w:kern w:val="2"/>
          <w:sz w:val="32"/>
          <w:szCs w:val="32"/>
          <w:highlight w:val="none"/>
          <w:lang w:val="en-US" w:eastAsia="zh-CN" w:bidi="ar-SA"/>
        </w:rPr>
        <w:t>深入践行绿色</w:t>
      </w:r>
      <w:r>
        <w:rPr>
          <w:rFonts w:hint="eastAsia" w:ascii="仿宋_GB2312" w:hAnsi="仿宋_GB2312" w:eastAsia="仿宋_GB2312" w:cs="仿宋_GB2312"/>
          <w:kern w:val="2"/>
          <w:sz w:val="32"/>
          <w:szCs w:val="32"/>
          <w:highlight w:val="none"/>
          <w:lang w:val="en-US" w:eastAsia="zh-CN" w:bidi="ar-SA"/>
        </w:rPr>
        <w:t>低碳</w:t>
      </w:r>
      <w:r>
        <w:rPr>
          <w:rFonts w:hint="eastAsia" w:ascii="仿宋_GB2312" w:hAnsi="仿宋_GB2312" w:eastAsia="仿宋_GB2312" w:cs="仿宋_GB2312"/>
          <w:spacing w:val="0"/>
          <w:kern w:val="2"/>
          <w:sz w:val="32"/>
          <w:szCs w:val="32"/>
          <w:highlight w:val="none"/>
          <w:lang w:val="en-US" w:eastAsia="zh-CN" w:bidi="ar-SA"/>
        </w:rPr>
        <w:t>发展理念，</w:t>
      </w:r>
      <w:r>
        <w:rPr>
          <w:rFonts w:hint="eastAsia" w:ascii="仿宋_GB2312" w:hAnsi="仿宋_GB2312" w:eastAsia="仿宋_GB2312" w:cs="仿宋_GB2312"/>
          <w:sz w:val="32"/>
          <w:szCs w:val="32"/>
          <w:highlight w:val="none"/>
          <w:lang w:eastAsia="zh-CN"/>
        </w:rPr>
        <w:t>开展生活垃圾分类专项检查，</w:t>
      </w:r>
      <w:r>
        <w:rPr>
          <w:rFonts w:hint="eastAsia" w:ascii="仿宋_GB2312" w:hAnsi="仿宋_GB2312" w:eastAsia="仿宋_GB2312" w:cs="仿宋_GB2312"/>
          <w:kern w:val="2"/>
          <w:sz w:val="32"/>
          <w:szCs w:val="32"/>
          <w:highlight w:val="none"/>
          <w:lang w:val="en-US" w:eastAsia="zh-CN" w:bidi="ar-SA"/>
        </w:rPr>
        <w:t>督促、指导相关单位及时更换生活垃圾分类设备122个，更改垃圾桶分类标识229个，持续提升资源利用率。强化反食品浪费工作管理，推进食品采购、餐厨垃圾处理等环节节约减损，开展反食品浪费工作成效评估，自评率达100%、现场抽查率达到40%以上</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eastAsia="zh-CN"/>
        </w:rPr>
        <w:t>坚持</w:t>
      </w:r>
      <w:r>
        <w:rPr>
          <w:rFonts w:hint="eastAsia" w:ascii="仿宋_GB2312" w:hAnsi="仿宋_GB2312" w:eastAsia="仿宋_GB2312" w:cs="仿宋_GB2312"/>
          <w:spacing w:val="0"/>
          <w:kern w:val="2"/>
          <w:sz w:val="32"/>
          <w:szCs w:val="32"/>
          <w:highlight w:val="none"/>
          <w:lang w:val="en-US" w:eastAsia="zh-CN" w:bidi="ar-SA"/>
        </w:rPr>
        <w:t>“走在前、作表率”，加快建设节能技改步伐，</w:t>
      </w:r>
      <w:r>
        <w:rPr>
          <w:rFonts w:hint="eastAsia" w:ascii="仿宋_GB2312" w:hAnsi="仿宋_GB2312" w:eastAsia="仿宋_GB2312" w:cs="仿宋_GB2312"/>
          <w:sz w:val="32"/>
          <w:szCs w:val="32"/>
          <w:highlight w:val="none"/>
          <w:lang w:eastAsia="zh-CN"/>
        </w:rPr>
        <w:t>全区完成既有建筑改造</w:t>
      </w:r>
      <w:r>
        <w:rPr>
          <w:rFonts w:hint="eastAsia" w:ascii="仿宋_GB2312" w:hAnsi="仿宋_GB2312" w:eastAsia="仿宋_GB2312" w:cs="仿宋_GB2312"/>
          <w:sz w:val="32"/>
          <w:szCs w:val="32"/>
          <w:highlight w:val="none"/>
          <w:lang w:val="en-US" w:eastAsia="zh-CN"/>
        </w:rPr>
        <w:t>2880㎡，空调改造1684㎡。随机抽查机关公务用车使用情况，抽查覆盖面达60%，督促各相关单位</w:t>
      </w:r>
      <w:r>
        <w:rPr>
          <w:rFonts w:hint="eastAsia" w:ascii="仿宋_GB2312" w:hAnsi="仿宋_GB2312" w:eastAsia="仿宋_GB2312" w:cs="仿宋_GB2312"/>
          <w:kern w:val="2"/>
          <w:sz w:val="32"/>
          <w:szCs w:val="32"/>
          <w:highlight w:val="none"/>
          <w:lang w:val="en-US" w:eastAsia="zh-CN" w:bidi="ar-SA"/>
        </w:rPr>
        <w:t>严格落实公车管理平台派车等制度，不定期核查公车行车轨迹、</w:t>
      </w:r>
      <w:r>
        <w:rPr>
          <w:rFonts w:hint="eastAsia" w:ascii="仿宋_GB2312" w:hAnsi="仿宋_GB2312" w:eastAsia="仿宋_GB2312" w:cs="仿宋_GB2312"/>
          <w:b w:val="0"/>
          <w:bCs w:val="0"/>
          <w:sz w:val="32"/>
          <w:szCs w:val="32"/>
          <w:highlight w:val="none"/>
          <w:lang w:eastAsia="zh-CN"/>
        </w:rPr>
        <w:t>节假日停驶封存</w:t>
      </w:r>
      <w:r>
        <w:rPr>
          <w:rFonts w:hint="eastAsia" w:ascii="仿宋_GB2312" w:hAnsi="仿宋_GB2312" w:eastAsia="仿宋_GB2312" w:cs="仿宋_GB2312"/>
          <w:b w:val="0"/>
          <w:bCs w:val="0"/>
          <w:sz w:val="32"/>
          <w:szCs w:val="32"/>
          <w:highlight w:val="none"/>
          <w:lang w:val="en-US" w:eastAsia="zh-CN"/>
        </w:rPr>
        <w:t>情况</w:t>
      </w:r>
      <w:r>
        <w:rPr>
          <w:rFonts w:hint="eastAsia" w:ascii="仿宋_GB2312" w:hAnsi="仿宋_GB2312" w:eastAsia="仿宋_GB2312" w:cs="仿宋_GB2312"/>
          <w:kern w:val="2"/>
          <w:sz w:val="32"/>
          <w:szCs w:val="32"/>
          <w:highlight w:val="none"/>
          <w:lang w:val="en-US" w:eastAsia="zh-CN" w:bidi="ar-SA"/>
        </w:rPr>
        <w:t>，全力保障公务用车有序调度，</w:t>
      </w:r>
      <w:r>
        <w:rPr>
          <w:rFonts w:hint="eastAsia" w:ascii="仿宋_GB2312" w:hAnsi="仿宋_GB2312" w:eastAsia="仿宋_GB2312" w:cs="仿宋_GB2312"/>
          <w:b w:val="0"/>
          <w:bCs w:val="0"/>
          <w:kern w:val="2"/>
          <w:sz w:val="32"/>
          <w:szCs w:val="32"/>
          <w:highlight w:val="none"/>
          <w:lang w:val="en-US" w:eastAsia="zh-CN"/>
        </w:rPr>
        <w:t>针对发现的个别单位派车不规范、定点停放等，</w:t>
      </w:r>
      <w:r>
        <w:rPr>
          <w:rFonts w:hint="eastAsia" w:ascii="仿宋_GB2312" w:hAnsi="仿宋_GB2312" w:eastAsia="仿宋_GB2312" w:cs="仿宋_GB2312"/>
          <w:b w:val="0"/>
          <w:bCs w:val="0"/>
          <w:kern w:val="2"/>
          <w:sz w:val="32"/>
          <w:szCs w:val="32"/>
          <w:highlight w:val="none"/>
          <w:lang w:eastAsia="zh-CN"/>
        </w:rPr>
        <w:t>发出问题整改通知书</w:t>
      </w:r>
      <w:r>
        <w:rPr>
          <w:rFonts w:hint="eastAsia" w:ascii="仿宋_GB2312" w:hAnsi="仿宋_GB2312" w:eastAsia="仿宋_GB2312" w:cs="仿宋_GB2312"/>
          <w:b w:val="0"/>
          <w:bCs w:val="0"/>
          <w:kern w:val="2"/>
          <w:sz w:val="32"/>
          <w:szCs w:val="32"/>
          <w:highlight w:val="none"/>
          <w:lang w:val="en-US" w:eastAsia="zh-CN"/>
        </w:rPr>
        <w:t>4</w:t>
      </w:r>
      <w:r>
        <w:rPr>
          <w:rFonts w:hint="eastAsia" w:ascii="仿宋_GB2312" w:hAnsi="仿宋_GB2312" w:eastAsia="仿宋_GB2312" w:cs="仿宋_GB2312"/>
          <w:b w:val="0"/>
          <w:bCs w:val="0"/>
          <w:kern w:val="2"/>
          <w:sz w:val="32"/>
          <w:szCs w:val="32"/>
          <w:highlight w:val="none"/>
          <w:lang w:eastAsia="zh-CN"/>
        </w:rPr>
        <w:t>份</w:t>
      </w:r>
      <w:r>
        <w:rPr>
          <w:rFonts w:hint="eastAsia" w:ascii="仿宋_GB2312" w:hAnsi="仿宋_GB2312" w:eastAsia="仿宋_GB2312" w:cs="仿宋_GB2312"/>
          <w:kern w:val="2"/>
          <w:sz w:val="32"/>
          <w:szCs w:val="32"/>
          <w:highlight w:val="none"/>
          <w:lang w:val="en-US" w:eastAsia="zh-CN" w:bidi="ar-SA"/>
        </w:rPr>
        <w:t>；强化公车安全出行管理，切实将安全保障工作抓早抓小、抓细抓实。2024年1-10月，全区一般公务用车运行费同比下降8%，</w:t>
      </w:r>
      <w:r>
        <w:rPr>
          <w:rFonts w:hint="eastAsia" w:ascii="仿宋_GB2312" w:hAnsi="仿宋_GB2312" w:eastAsia="仿宋_GB2312" w:cs="仿宋_GB2312"/>
          <w:sz w:val="32"/>
          <w:szCs w:val="32"/>
          <w:highlight w:val="none"/>
          <w:lang w:val="en-US" w:eastAsia="zh-CN"/>
        </w:rPr>
        <w:t>维修费同比下降13%</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zh-CN" w:bidi="ar-SA"/>
        </w:rPr>
        <w:t>2024年以来，</w:t>
      </w:r>
      <w:r>
        <w:rPr>
          <w:rFonts w:hint="eastAsia" w:ascii="仿宋_GB2312" w:hAnsi="仿宋_GB2312" w:eastAsia="仿宋_GB2312" w:cs="仿宋_GB2312"/>
          <w:b w:val="0"/>
          <w:bCs w:val="0"/>
          <w:sz w:val="32"/>
          <w:szCs w:val="32"/>
          <w:highlight w:val="none"/>
          <w:lang w:eastAsia="zh-CN"/>
        </w:rPr>
        <w:t>共</w:t>
      </w:r>
      <w:r>
        <w:rPr>
          <w:rFonts w:hint="eastAsia" w:ascii="仿宋_GB2312" w:hAnsi="仿宋_GB2312" w:eastAsia="仿宋_GB2312" w:cs="仿宋_GB2312"/>
          <w:b w:val="0"/>
          <w:bCs w:val="0"/>
          <w:sz w:val="32"/>
          <w:szCs w:val="32"/>
          <w:highlight w:val="none"/>
          <w:lang w:val="en-US" w:eastAsia="zh-CN"/>
        </w:rPr>
        <w:t>组织指导公务接待105批次、2168人次。其中，完成接待部级以上重要领导莅安调研10批次；完成</w:t>
      </w:r>
      <w:r>
        <w:rPr>
          <w:rFonts w:hint="eastAsia" w:ascii="仿宋_GB2312" w:hAnsi="仿宋_GB2312" w:eastAsia="仿宋_GB2312" w:cs="仿宋_GB2312"/>
          <w:b w:val="0"/>
          <w:bCs w:val="0"/>
          <w:snapToGrid/>
          <w:kern w:val="2"/>
          <w:sz w:val="32"/>
          <w:szCs w:val="32"/>
          <w:highlight w:val="none"/>
          <w:lang w:val="en-US" w:eastAsia="zh-CN"/>
        </w:rPr>
        <w:t>共建和美乡村诗画海龙凯歌四川美术学院师生“走进海龙凯歌”</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lang w:eastAsia="zh-CN"/>
        </w:rPr>
        <w:t>大型活动接待服务</w:t>
      </w:r>
      <w:r>
        <w:rPr>
          <w:rFonts w:hint="eastAsia" w:ascii="仿宋_GB2312" w:hAnsi="仿宋_GB2312" w:eastAsia="仿宋_GB2312" w:cs="仿宋_GB2312"/>
          <w:b w:val="0"/>
          <w:bCs w:val="0"/>
          <w:sz w:val="32"/>
          <w:szCs w:val="32"/>
          <w:highlight w:val="none"/>
          <w:lang w:val="en-US" w:eastAsia="zh-CN"/>
        </w:rPr>
        <w:t>5次；完成各类会务服务146场次，参会人员14560人次。圆满完成全区各项公务接待工作，得到了各级来宾的一致好</w:t>
      </w:r>
      <w:r>
        <w:rPr>
          <w:rFonts w:hint="eastAsia" w:ascii="仿宋_GB2312" w:hAnsi="仿宋_GB2312" w:eastAsia="仿宋_GB2312" w:cs="仿宋_GB2312"/>
          <w:b w:val="0"/>
          <w:bCs w:val="0"/>
          <w:sz w:val="32"/>
          <w:szCs w:val="32"/>
          <w:lang w:val="en-US" w:eastAsia="zh-CN"/>
        </w:rPr>
        <w:t>评。</w:t>
      </w:r>
      <w:r>
        <w:rPr>
          <w:rFonts w:hint="eastAsia" w:ascii="仿宋_GB2312" w:hAnsi="仿宋_GB2312" w:eastAsia="仿宋_GB2312" w:cs="仿宋_GB2312"/>
          <w:b w:val="0"/>
          <w:bCs w:val="0"/>
          <w:kern w:val="2"/>
          <w:sz w:val="32"/>
          <w:szCs w:val="32"/>
          <w:highlight w:val="none"/>
          <w:lang w:val="en-US" w:eastAsia="zh-CN" w:bidi="ar-SA"/>
        </w:rPr>
        <w:t>加强集中办公区日常运维维护管理，</w:t>
      </w:r>
      <w:r>
        <w:rPr>
          <w:rFonts w:hint="eastAsia" w:ascii="仿宋_GB2312" w:hAnsi="仿宋_GB2312" w:eastAsia="仿宋_GB2312" w:cs="仿宋_GB2312"/>
          <w:spacing w:val="0"/>
          <w:kern w:val="2"/>
          <w:sz w:val="32"/>
          <w:szCs w:val="32"/>
          <w:highlight w:val="none"/>
          <w:lang w:val="en-US" w:eastAsia="zh-CN" w:bidi="ar-SA"/>
        </w:rPr>
        <w:t>细化日常监管，实施柔刚写字楼一楼大厅立柱改造等项目30余个，安装实时监控系统6个，</w:t>
      </w:r>
      <w:r>
        <w:rPr>
          <w:rFonts w:hint="eastAsia" w:ascii="仿宋_GB2312" w:hAnsi="仿宋_GB2312" w:eastAsia="仿宋_GB2312" w:cs="仿宋_GB2312"/>
          <w:sz w:val="32"/>
          <w:szCs w:val="32"/>
          <w:highlight w:val="none"/>
          <w:lang w:val="en-US" w:eastAsia="zh-CN"/>
        </w:rPr>
        <w:t>更换消防指示牌54处，更换灭火器220具，报警组机1台；</w:t>
      </w:r>
      <w:r>
        <w:rPr>
          <w:rFonts w:hint="eastAsia" w:ascii="仿宋_GB2312" w:hAnsi="仿宋_GB2312" w:eastAsia="仿宋_GB2312" w:cs="仿宋_GB2312"/>
          <w:spacing w:val="0"/>
          <w:kern w:val="2"/>
          <w:sz w:val="32"/>
          <w:szCs w:val="32"/>
          <w:highlight w:val="none"/>
          <w:lang w:val="en-US" w:eastAsia="zh-CN" w:bidi="ar-SA"/>
        </w:rPr>
        <w:t>全方位加强物业履约监管，</w:t>
      </w:r>
      <w:r>
        <w:rPr>
          <w:rFonts w:hint="eastAsia" w:ascii="仿宋_GB2312" w:hAnsi="仿宋_GB2312" w:eastAsia="仿宋_GB2312" w:cs="仿宋_GB2312"/>
          <w:b w:val="0"/>
          <w:bCs w:val="0"/>
          <w:sz w:val="32"/>
          <w:szCs w:val="32"/>
          <w:highlight w:val="none"/>
          <w:lang w:val="en-US" w:eastAsia="zh-CN"/>
        </w:rPr>
        <w:t>不定时开展安保、清洁等现场督查，</w:t>
      </w:r>
      <w:r>
        <w:rPr>
          <w:rFonts w:hint="eastAsia" w:ascii="仿宋_GB2312" w:hAnsi="仿宋_GB2312" w:eastAsia="仿宋_GB2312" w:cs="仿宋_GB2312"/>
          <w:b w:val="0"/>
          <w:bCs w:val="0"/>
          <w:spacing w:val="0"/>
          <w:kern w:val="2"/>
          <w:sz w:val="32"/>
          <w:szCs w:val="32"/>
          <w:highlight w:val="none"/>
          <w:lang w:val="en-US" w:eastAsia="zh-CN" w:bidi="ar-SA"/>
        </w:rPr>
        <w:t>督促物业公司</w:t>
      </w:r>
      <w:r>
        <w:rPr>
          <w:rFonts w:hint="eastAsia" w:ascii="仿宋_GB2312" w:hAnsi="仿宋_GB2312" w:eastAsia="仿宋_GB2312" w:cs="仿宋_GB2312"/>
          <w:b w:val="0"/>
          <w:bCs w:val="0"/>
          <w:spacing w:val="0"/>
          <w:sz w:val="32"/>
          <w:szCs w:val="32"/>
          <w:highlight w:val="none"/>
          <w:lang w:val="en-US" w:eastAsia="zh-CN"/>
        </w:rPr>
        <w:t>建立每</w:t>
      </w:r>
      <w:r>
        <w:rPr>
          <w:rFonts w:hint="eastAsia" w:ascii="仿宋_GB2312" w:hAnsi="仿宋_GB2312" w:eastAsia="仿宋_GB2312" w:cs="仿宋_GB2312"/>
          <w:b w:val="0"/>
          <w:bCs w:val="0"/>
          <w:sz w:val="32"/>
          <w:szCs w:val="32"/>
          <w:highlight w:val="none"/>
          <w:lang w:val="en-US" w:eastAsia="zh-CN"/>
        </w:rPr>
        <w:t>日巡查、每周总结工作机制，</w:t>
      </w:r>
      <w:r>
        <w:rPr>
          <w:rFonts w:hint="eastAsia" w:ascii="仿宋_GB2312" w:hAnsi="仿宋_GB2312" w:eastAsia="仿宋_GB2312" w:cs="仿宋_GB2312"/>
          <w:sz w:val="32"/>
          <w:szCs w:val="32"/>
          <w:highlight w:val="none"/>
          <w:lang w:val="en-US" w:eastAsia="zh-CN"/>
        </w:rPr>
        <w:t>严格强化值班值守制度，</w:t>
      </w:r>
      <w:r>
        <w:rPr>
          <w:rFonts w:hint="eastAsia" w:ascii="仿宋_GB2312" w:hAnsi="仿宋_GB2312" w:eastAsia="仿宋_GB2312" w:cs="仿宋_GB2312"/>
          <w:spacing w:val="0"/>
          <w:kern w:val="2"/>
          <w:sz w:val="32"/>
          <w:szCs w:val="32"/>
          <w:highlight w:val="none"/>
          <w:lang w:val="en-US" w:eastAsia="zh-CN" w:bidi="ar-SA"/>
        </w:rPr>
        <w:t>加大巡检力度，持续提升物业精细化管理水平，推动服务保障高质高标，</w:t>
      </w:r>
      <w:r>
        <w:rPr>
          <w:rFonts w:hint="eastAsia" w:ascii="仿宋_GB2312" w:hAnsi="仿宋_GB2312" w:eastAsia="仿宋_GB2312" w:cs="仿宋_GB2312"/>
          <w:b w:val="0"/>
          <w:bCs w:val="0"/>
          <w:sz w:val="32"/>
          <w:szCs w:val="32"/>
          <w:highlight w:val="none"/>
          <w:lang w:val="en-US" w:eastAsia="zh-CN"/>
        </w:rPr>
        <w:t>有力保障集中办公区有序、安全、高效运转</w:t>
      </w:r>
      <w:r>
        <w:rPr>
          <w:rFonts w:hint="eastAsia" w:ascii="仿宋_GB2312" w:hAnsi="仿宋_GB2312" w:eastAsia="仿宋_GB2312" w:cs="仿宋_GB2312"/>
          <w:sz w:val="32"/>
          <w:szCs w:val="32"/>
          <w:highlight w:val="none"/>
          <w:lang w:val="en-US" w:eastAsia="zh-CN"/>
        </w:rPr>
        <w:t>。</w:t>
      </w:r>
    </w:p>
    <w:p>
      <w:pPr>
        <w:spacing w:line="578" w:lineRule="exact"/>
        <w:contextualSpacing/>
        <w:jc w:val="left"/>
        <w:rPr>
          <w:rFonts w:ascii="Times New Roman" w:hAnsi="Times New Roman"/>
          <w:szCs w:val="32"/>
        </w:rPr>
      </w:pPr>
      <w:r>
        <w:rPr>
          <w:rFonts w:hint="eastAsia" w:ascii="Times New Roman" w:hAnsi="Times New Roman"/>
          <w:szCs w:val="32"/>
        </w:rPr>
        <w:t xml:space="preserve">   </w:t>
      </w:r>
      <w:r>
        <w:rPr>
          <w:rFonts w:eastAsia="楷体_GB2312"/>
          <w:b/>
          <w:bCs/>
          <w:color w:val="000000"/>
          <w:szCs w:val="32"/>
          <w:shd w:val="clear" w:color="auto" w:fill="FFFFFF"/>
          <w:lang w:val="zh-CN"/>
        </w:rPr>
        <w:t>（</w:t>
      </w:r>
      <w:r>
        <w:rPr>
          <w:rFonts w:hint="eastAsia" w:eastAsia="楷体_GB2312"/>
          <w:b/>
          <w:bCs/>
          <w:color w:val="000000"/>
          <w:szCs w:val="32"/>
          <w:shd w:val="clear" w:color="auto" w:fill="FFFFFF"/>
          <w:lang w:val="zh-CN"/>
        </w:rPr>
        <w:t>三</w:t>
      </w:r>
      <w:r>
        <w:rPr>
          <w:rFonts w:eastAsia="楷体_GB2312"/>
          <w:b/>
          <w:bCs/>
          <w:color w:val="000000"/>
          <w:szCs w:val="32"/>
          <w:shd w:val="clear" w:color="auto" w:fill="FFFFFF"/>
          <w:lang w:val="zh-CN"/>
        </w:rPr>
        <w:t>）绩效结果应用情况</w:t>
      </w:r>
      <w:r>
        <w:rPr>
          <w:rFonts w:eastAsia="楷体_GB2312"/>
          <w:color w:val="000000"/>
          <w:szCs w:val="32"/>
          <w:shd w:val="clear" w:color="auto" w:fill="FFFFFF"/>
          <w:lang w:val="zh-CN"/>
        </w:rPr>
        <w:t>。</w:t>
      </w:r>
      <w:r>
        <w:rPr>
          <w:rFonts w:hint="eastAsia" w:ascii="仿宋" w:hAnsi="仿宋" w:eastAsia="仿宋" w:cs="仿宋"/>
          <w:color w:val="000000"/>
          <w:szCs w:val="32"/>
          <w:lang w:val="zh-CN"/>
        </w:rPr>
        <w:t>在今后编制预算时，</w:t>
      </w:r>
      <w:r>
        <w:rPr>
          <w:rFonts w:hint="eastAsia" w:ascii="仿宋" w:hAnsi="仿宋" w:eastAsia="仿宋" w:cs="仿宋"/>
          <w:color w:val="000000"/>
          <w:szCs w:val="32"/>
        </w:rPr>
        <w:t>根据信息公开</w:t>
      </w:r>
      <w:r>
        <w:rPr>
          <w:rFonts w:hint="eastAsia" w:ascii="仿宋" w:hAnsi="仿宋" w:eastAsia="仿宋" w:cs="仿宋"/>
          <w:color w:val="000000"/>
          <w:szCs w:val="32"/>
          <w:lang w:val="zh-CN"/>
        </w:rPr>
        <w:t>按要求将</w:t>
      </w:r>
      <w:r>
        <w:rPr>
          <w:rFonts w:hint="eastAsia" w:ascii="仿宋" w:hAnsi="仿宋" w:eastAsia="仿宋" w:cs="仿宋"/>
          <w:color w:val="000000"/>
          <w:szCs w:val="32"/>
        </w:rPr>
        <w:t>我单位</w:t>
      </w:r>
      <w:r>
        <w:rPr>
          <w:rFonts w:hint="eastAsia" w:ascii="仿宋" w:hAnsi="仿宋" w:eastAsia="仿宋" w:cs="仿宋"/>
          <w:color w:val="000000"/>
          <w:szCs w:val="32"/>
          <w:lang w:val="zh-CN"/>
        </w:rPr>
        <w:t>整体绩效自评情况和</w:t>
      </w:r>
      <w:r>
        <w:rPr>
          <w:rFonts w:hint="eastAsia" w:ascii="仿宋" w:hAnsi="仿宋" w:eastAsia="仿宋" w:cs="仿宋"/>
          <w:color w:val="000000"/>
          <w:szCs w:val="32"/>
        </w:rPr>
        <w:t>自</w:t>
      </w:r>
      <w:r>
        <w:rPr>
          <w:rFonts w:hint="eastAsia" w:ascii="仿宋" w:hAnsi="仿宋" w:eastAsia="仿宋" w:cs="仿宋"/>
          <w:color w:val="000000"/>
          <w:szCs w:val="32"/>
          <w:lang w:val="zh-CN"/>
        </w:rPr>
        <w:t>行组织的评价情况向社会公开；根据整改</w:t>
      </w:r>
      <w:r>
        <w:rPr>
          <w:rFonts w:hint="eastAsia" w:ascii="仿宋" w:hAnsi="仿宋" w:eastAsia="仿宋" w:cs="仿宋"/>
          <w:color w:val="000000"/>
          <w:szCs w:val="32"/>
        </w:rPr>
        <w:t>反馈</w:t>
      </w:r>
      <w:r>
        <w:rPr>
          <w:rFonts w:hint="eastAsia" w:ascii="仿宋" w:hAnsi="仿宋" w:eastAsia="仿宋" w:cs="仿宋"/>
          <w:color w:val="000000"/>
          <w:szCs w:val="32"/>
          <w:lang w:val="zh-CN"/>
        </w:rPr>
        <w:t>问题、完善政策、改进管理的情况</w:t>
      </w:r>
      <w:r>
        <w:rPr>
          <w:rFonts w:hint="eastAsia" w:ascii="仿宋" w:hAnsi="仿宋" w:eastAsia="仿宋" w:cs="仿宋"/>
          <w:color w:val="000000"/>
          <w:szCs w:val="32"/>
        </w:rPr>
        <w:t>并及时向财政部门反馈结果应用情况</w:t>
      </w:r>
      <w:r>
        <w:rPr>
          <w:rFonts w:hint="eastAsia" w:ascii="仿宋" w:hAnsi="仿宋" w:eastAsia="仿宋" w:cs="仿宋"/>
          <w:color w:val="000000"/>
          <w:szCs w:val="32"/>
          <w:lang w:val="zh-CN"/>
        </w:rPr>
        <w:t>；将绩效自评价结果作为改进预算管理和安排以后年度预算的重要依据</w:t>
      </w:r>
      <w:r>
        <w:rPr>
          <w:rFonts w:hint="eastAsia" w:ascii="仿宋_GB2312" w:cs="仿宋"/>
          <w:color w:val="000000"/>
          <w:szCs w:val="32"/>
          <w:lang w:val="zh-CN"/>
        </w:rPr>
        <w:t>。</w:t>
      </w:r>
    </w:p>
    <w:p>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四、评价结论及建议</w:t>
      </w:r>
    </w:p>
    <w:p>
      <w:pPr>
        <w:spacing w:line="576" w:lineRule="exact"/>
        <w:ind w:firstLine="632"/>
        <w:jc w:val="left"/>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（一）评价结论。</w:t>
      </w:r>
    </w:p>
    <w:p>
      <w:pPr>
        <w:spacing w:line="576" w:lineRule="exact"/>
        <w:ind w:firstLine="632"/>
        <w:jc w:val="left"/>
        <w:rPr>
          <w:szCs w:val="32"/>
        </w:rPr>
      </w:pPr>
      <w:r>
        <w:rPr>
          <w:rFonts w:hint="eastAsia" w:ascii="仿宋" w:hAnsi="仿宋" w:eastAsia="仿宋" w:cs="仿宋"/>
          <w:color w:val="000000"/>
          <w:szCs w:val="32"/>
        </w:rPr>
        <w:t>项目目标申报科学合理，资金使用合规，绩效目标完成情况良好，自评得分</w:t>
      </w:r>
      <w:r>
        <w:rPr>
          <w:rFonts w:hint="eastAsia" w:ascii="仿宋" w:hAnsi="仿宋" w:eastAsia="仿宋" w:cs="仿宋"/>
          <w:color w:val="000000"/>
          <w:szCs w:val="32"/>
          <w:lang w:val="en-US" w:eastAsia="zh-CN"/>
        </w:rPr>
        <w:t>98</w:t>
      </w:r>
      <w:r>
        <w:rPr>
          <w:rFonts w:hint="eastAsia" w:ascii="仿宋" w:hAnsi="仿宋" w:eastAsia="仿宋" w:cs="仿宋"/>
          <w:color w:val="000000"/>
          <w:szCs w:val="32"/>
        </w:rPr>
        <w:t>分</w:t>
      </w:r>
      <w:r>
        <w:rPr>
          <w:szCs w:val="32"/>
          <w:shd w:val="clear" w:color="auto" w:fill="FFFFFF"/>
        </w:rPr>
        <w:t>。</w:t>
      </w:r>
    </w:p>
    <w:p>
      <w:pPr>
        <w:spacing w:line="576" w:lineRule="exact"/>
        <w:ind w:firstLine="643" w:firstLineChars="200"/>
        <w:rPr>
          <w:b/>
          <w:bCs/>
          <w:szCs w:val="32"/>
        </w:rPr>
      </w:pPr>
      <w:r>
        <w:rPr>
          <w:rFonts w:hint="eastAsia" w:eastAsia="楷体_GB2312"/>
          <w:b/>
          <w:bCs/>
          <w:color w:val="000000"/>
          <w:szCs w:val="32"/>
          <w:shd w:val="clear" w:color="auto" w:fill="FFFFFF"/>
          <w:lang w:val="zh-CN"/>
        </w:rPr>
        <w:t>（二）</w:t>
      </w:r>
      <w:r>
        <w:rPr>
          <w:rFonts w:eastAsia="楷体_GB2312"/>
          <w:b/>
          <w:bCs/>
          <w:color w:val="000000"/>
          <w:szCs w:val="32"/>
          <w:shd w:val="clear" w:color="auto" w:fill="FFFFFF"/>
          <w:lang w:val="zh-CN"/>
        </w:rPr>
        <w:t>存在问题。</w:t>
      </w:r>
    </w:p>
    <w:p>
      <w:pPr>
        <w:spacing w:line="576" w:lineRule="exact"/>
        <w:ind w:firstLine="632"/>
        <w:rPr>
          <w:rFonts w:ascii="仿宋" w:hAnsi="仿宋" w:eastAsia="仿宋" w:cs="仿宋"/>
          <w:color w:val="000000"/>
          <w:szCs w:val="32"/>
          <w:shd w:val="clear" w:color="auto" w:fill="FFFFFF"/>
        </w:rPr>
      </w:pPr>
      <w:r>
        <w:rPr>
          <w:rFonts w:hint="eastAsia" w:ascii="仿宋" w:hAnsi="仿宋" w:eastAsia="仿宋" w:cs="仿宋"/>
          <w:color w:val="000000"/>
          <w:szCs w:val="32"/>
        </w:rPr>
        <w:t>部门整体支出绩效目标需进一步细化。业务类支出未能根据部门职能及当年度工作规划等进行细化，不利于部门整体支出绩效评价工作的开展。</w:t>
      </w:r>
    </w:p>
    <w:p>
      <w:pPr>
        <w:spacing w:line="578" w:lineRule="exact"/>
        <w:ind w:firstLine="632"/>
        <w:contextualSpacing/>
        <w:jc w:val="left"/>
        <w:rPr>
          <w:szCs w:val="32"/>
          <w:lang w:bidi="ar"/>
        </w:rPr>
      </w:pPr>
    </w:p>
    <w:p>
      <w:pPr>
        <w:widowControl/>
        <w:numPr>
          <w:ilvl w:val="0"/>
          <w:numId w:val="7"/>
        </w:numPr>
        <w:spacing w:line="578" w:lineRule="exact"/>
        <w:ind w:firstLine="632"/>
        <w:contextualSpacing/>
        <w:jc w:val="left"/>
        <w:rPr>
          <w:szCs w:val="32"/>
          <w:shd w:val="clear" w:color="auto" w:fill="FFFFFF"/>
        </w:rPr>
      </w:pPr>
      <w:r>
        <w:rPr>
          <w:rFonts w:eastAsia="楷体_GB2312"/>
          <w:b/>
          <w:bCs/>
          <w:color w:val="000000"/>
          <w:szCs w:val="32"/>
          <w:shd w:val="clear" w:color="auto" w:fill="FFFFFF"/>
          <w:lang w:val="zh-CN"/>
        </w:rPr>
        <w:t>改进建议。</w:t>
      </w:r>
      <w:bookmarkStart w:id="110" w:name="_Hlk110546638"/>
      <w:r>
        <w:rPr>
          <w:rFonts w:hint="eastAsia"/>
          <w:szCs w:val="32"/>
          <w:shd w:val="clear" w:color="auto" w:fill="FFFFFF"/>
        </w:rPr>
        <w:t>一是优化预算编制，加强预算执行力。进一步提高预算编制到位率，做准做全基本支出预算，做全项目支出预算，加强预算支出的审核、跟踪及预算执行情况分析，提高预算编制严谨性和可控性。二是进一步加强对绩效目标监控的重视。定期对预算执行情况进行监督，使绩效目标监控与政府工作、财务工作挂钩，做到及时监控，及时控制，避免疏忽。三是应立足实际，坚持推行精细化管理，强化预算绩效目标管理、细化绩效目标，并将绩效目标细化分解为具体工作计划，同时，计划应明确规定在一定时间内完成的目标、任务和应达到的要求，任务和要求应具体明确任务数量、质量。严格执行财务管理制度，做到了财务处理及时，会计核算规范，严格按照计划进度支付。</w:t>
      </w:r>
      <w:bookmarkEnd w:id="108"/>
    </w:p>
    <w:p>
      <w:pPr>
        <w:widowControl/>
        <w:numPr>
          <w:ilvl w:val="0"/>
          <w:numId w:val="0"/>
        </w:numPr>
        <w:spacing w:line="578" w:lineRule="exact"/>
        <w:contextualSpacing/>
        <w:jc w:val="left"/>
        <w:rPr>
          <w:rFonts w:hint="eastAsia"/>
          <w:szCs w:val="32"/>
          <w:shd w:val="clear" w:color="auto" w:fill="FFFFFF"/>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pPr>
        <w:rPr>
          <w:rFonts w:hint="default" w:ascii="Times New Roman" w:hAnsi="Times New Roman" w:cs="Times New Roman"/>
          <w:color w:val="FF0000"/>
          <w:kern w:val="0"/>
          <w:sz w:val="32"/>
          <w:szCs w:val="32"/>
          <w:highlight w:val="yellow"/>
          <w:shd w:val="clear" w:color="auto" w:fill="FFFFFF"/>
          <w:lang w:val="zh-CN"/>
        </w:rPr>
      </w:pPr>
    </w:p>
    <w:p>
      <w:pPr>
        <w:rPr>
          <w:rFonts w:hint="default" w:ascii="Times New Roman" w:hAnsi="Times New Roman" w:cs="Times New Roman"/>
          <w:color w:val="FF0000"/>
          <w:kern w:val="0"/>
          <w:sz w:val="32"/>
          <w:szCs w:val="32"/>
          <w:highlight w:val="yellow"/>
          <w:shd w:val="clear" w:color="auto" w:fill="FFFFFF"/>
          <w:lang w:val="zh-CN"/>
        </w:rPr>
      </w:pPr>
    </w:p>
    <w:p>
      <w:pPr>
        <w:pStyle w:val="2"/>
        <w:ind w:left="632"/>
      </w:pPr>
    </w:p>
    <w:p>
      <w:pPr>
        <w:pStyle w:val="196"/>
        <w:spacing w:line="560" w:lineRule="exact"/>
        <w:rPr>
          <w:rFonts w:ascii="Times New Roman"/>
          <w:lang w:val="zh-CN"/>
        </w:rPr>
      </w:pPr>
    </w:p>
    <w:p>
      <w:pPr>
        <w:pStyle w:val="196"/>
        <w:spacing w:line="560" w:lineRule="exact"/>
        <w:rPr>
          <w:rFonts w:ascii="Times New Roman"/>
          <w:lang w:val="zh-CN"/>
        </w:rPr>
      </w:pPr>
    </w:p>
    <w:p>
      <w:pPr>
        <w:pStyle w:val="196"/>
        <w:spacing w:line="560" w:lineRule="exact"/>
        <w:rPr>
          <w:rFonts w:ascii="Times New Roman"/>
          <w:lang w:val="zh-CN"/>
        </w:rPr>
      </w:pPr>
    </w:p>
    <w:p>
      <w:pPr>
        <w:pStyle w:val="196"/>
        <w:spacing w:line="560" w:lineRule="exact"/>
        <w:rPr>
          <w:rFonts w:ascii="Times New Roman"/>
          <w:lang w:val="zh-CN"/>
        </w:rPr>
      </w:pPr>
    </w:p>
    <w:p>
      <w:pPr>
        <w:pStyle w:val="196"/>
        <w:spacing w:line="560" w:lineRule="exact"/>
        <w:rPr>
          <w:rFonts w:ascii="Times New Roman"/>
          <w:lang w:val="zh-CN"/>
        </w:rPr>
        <w:sectPr>
          <w:footerReference r:id="rId5" w:type="default"/>
          <w:pgSz w:w="11906" w:h="16838" w:orient="landscape"/>
          <w:pgMar w:top="1803" w:right="1440" w:bottom="1803" w:left="1440" w:header="851" w:footer="1701" w:gutter="0"/>
          <w:pgNumType w:fmt="decimal" w:start="1" w:chapStyle="1"/>
          <w:cols w:space="1701" w:num="1"/>
        </w:sectPr>
      </w:pPr>
    </w:p>
    <w:p>
      <w:pPr>
        <w:pStyle w:val="196"/>
        <w:spacing w:line="560" w:lineRule="exact"/>
        <w:rPr>
          <w:rFonts w:ascii="Times New Roman"/>
          <w:lang w:val="zh-CN"/>
        </w:rPr>
      </w:pPr>
    </w:p>
    <w:tbl>
      <w:tblPr>
        <w:tblStyle w:val="35"/>
        <w:tblW w:w="5000" w:type="pct"/>
        <w:tblInd w:w="0" w:type="dxa"/>
        <w:shd w:val="clear" w:color="auto" w:fill="auto"/>
        <w:tblLayout w:type="autofit"/>
        <w:tblCellMar>
          <w:top w:w="0" w:type="dxa"/>
          <w:left w:w="0" w:type="dxa"/>
          <w:bottom w:w="0" w:type="dxa"/>
          <w:right w:w="0" w:type="dxa"/>
        </w:tblCellMar>
      </w:tblPr>
      <w:tblGrid>
        <w:gridCol w:w="888"/>
        <w:gridCol w:w="825"/>
        <w:gridCol w:w="1724"/>
        <w:gridCol w:w="639"/>
        <w:gridCol w:w="2040"/>
        <w:gridCol w:w="6013"/>
        <w:gridCol w:w="544"/>
        <w:gridCol w:w="589"/>
      </w:tblGrid>
      <w:tr>
        <w:tblPrEx>
          <w:shd w:val="clear" w:color="auto" w:fill="auto"/>
          <w:tblCellMar>
            <w:top w:w="0" w:type="dxa"/>
            <w:left w:w="0" w:type="dxa"/>
            <w:bottom w:w="0" w:type="dxa"/>
            <w:right w:w="0" w:type="dxa"/>
          </w:tblCellMar>
        </w:tblPrEx>
        <w:trPr>
          <w:trHeight w:val="645"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8"/>
                <w:szCs w:val="48"/>
                <w:u w:val="none"/>
              </w:rPr>
            </w:pPr>
            <w:r>
              <w:rPr>
                <w:rFonts w:hint="default" w:ascii="方正小标宋简体" w:hAnsi="方正小标宋简体" w:eastAsia="方正小标宋简体" w:cs="方正小标宋简体"/>
                <w:i w:val="0"/>
                <w:color w:val="000000"/>
                <w:kern w:val="0"/>
                <w:sz w:val="48"/>
                <w:szCs w:val="48"/>
                <w:u w:val="none"/>
                <w:lang w:val="en-US" w:eastAsia="zh-CN" w:bidi="ar"/>
              </w:rPr>
              <w:t>部门整体支出绩效自评表</w:t>
            </w:r>
          </w:p>
        </w:tc>
      </w:tr>
      <w:tr>
        <w:tblPrEx>
          <w:tblCellMar>
            <w:top w:w="0" w:type="dxa"/>
            <w:left w:w="0" w:type="dxa"/>
            <w:bottom w:w="0" w:type="dxa"/>
            <w:right w:w="0" w:type="dxa"/>
          </w:tblCellMar>
        </w:tblPrEx>
        <w:trPr>
          <w:trHeight w:val="520" w:hRule="atLeast"/>
        </w:trPr>
        <w:tc>
          <w:tcPr>
            <w:tcW w:w="153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绩效指标</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22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评分说明</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自评得分</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285" w:hRule="atLeast"/>
        </w:trPr>
        <w:tc>
          <w:tcPr>
            <w:tcW w:w="33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指标分值</w:t>
            </w: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2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64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（56分）</w:t>
            </w:r>
          </w:p>
        </w:tc>
        <w:tc>
          <w:tcPr>
            <w:tcW w:w="31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区行政中心、附属楼地及和谐公园的建设、管理、维护、缮管理工作</w:t>
            </w:r>
          </w:p>
        </w:tc>
        <w:tc>
          <w:tcPr>
            <w:tcW w:w="24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69"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部门整体绩效目标中选定4-6个核心职能目标，反映该项职能目标完成效果情况</w:t>
            </w:r>
          </w:p>
        </w:tc>
        <w:tc>
          <w:tcPr>
            <w:tcW w:w="2267"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20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0"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管理机关公务用车的运行维护</w:t>
            </w:r>
          </w:p>
        </w:tc>
        <w:tc>
          <w:tcPr>
            <w:tcW w:w="24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9"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6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负责机关食堂正常运行</w:t>
            </w:r>
          </w:p>
        </w:tc>
        <w:tc>
          <w:tcPr>
            <w:tcW w:w="24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9"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6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对区级机关单位的后勤服务进行业务指导</w:t>
            </w:r>
          </w:p>
        </w:tc>
        <w:tc>
          <w:tcPr>
            <w:tcW w:w="24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9"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6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区政府重要公务服务、招商引资等相关职责；区委区政府大型会务、统筹指导全区公务服务</w:t>
            </w:r>
          </w:p>
        </w:tc>
        <w:tc>
          <w:tcPr>
            <w:tcW w:w="24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9"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67"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6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（31分）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该项指标得分=（1-财政拨款预算偏离度）×100%×8。偏离度=|预算执行数-调整预算数|÷调整预算数。</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6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部门1至12月预算执行情况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该项指标得分=（1-部门整体预算结余率）×100%×8部门整体预算结余率为当年年终部门预算注销金额和结转金额占部门预算总金额的比率。</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1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该项指标得分=基础分值+加分值。</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2.加分值。一般性支出财政拨款年初预算较上年每压减1%得0.2分，累计不超过1分；一般性支出财政拨款预算执行较上年每压减1%得0.4分，累计不超过2分。</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该项指标得分=（超最低使用年限的办公家具账面原值÷办公家具账面原值×100%×1.5）+（超最低使用年限的办公设备账面原值÷办公设备账面原值×100%×1.5）。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74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（56分）</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对适宜由中小企业提供的采购项目和采购包，预留采购份额专门面向中小企业采购，并在采购预算中单独列示，不符合要求的扣3分。</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该项指标得分=当年政府采购实际支付总金额÷（当年政府采购总预算数-当年已完成采购项目节约金额）×100%×3。</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2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（44分）</w:t>
            </w:r>
          </w:p>
        </w:tc>
        <w:tc>
          <w:tcPr>
            <w:tcW w:w="31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该项指标得分=4-规定时间未入财政库部门预算阶段项目（含一次性项目）数量÷最终安排部门预算阶段项目（含一次性项目）总数×100%×4。（默认满分）</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该项指标得分=4-实际列支内容与绩效目标设置方向不相符的部门预算阶段项目（含一次性项目）数量÷部门预算阶段项目（含一次性项目）总数×100%×5。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（17分）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该项指标得分=完成绩效目标数量指标的部门预算阶段项目（含一次性项目）数量÷部门预算阶段项目（含一次性项目）总数×100%×6。</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7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6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该项指标得分=完成绩效目标效益指标的部门预算阶段项目（含一次性项目）数量÷部门预算阶段项目（含一次性项目）总数×100%×5。</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8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部门未制定内部财务管理制度等制度机制的,财务管理制度未得到落实，发现一处扣1分，扣完为止。</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部门未合理设置财务工作岗位，职责权限不明确，未严格实行不相容岗位分离，发现一处扣1分，扣完为止。</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8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部门资金使用不符合相关财务管理制度规定的，发现一处扣1分，扣完为止。</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预算绩效存在问题</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预算管理和绩效管理工作存在问题</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22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评价工作开展过程中，被评价对象拖延推诿、提交资料不及时等拒不配合评价工作的，每发现一次扣1分，扣完为止。</w:t>
            </w:r>
          </w:p>
        </w:tc>
        <w:tc>
          <w:tcPr>
            <w:tcW w:w="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129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分值</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96"/>
        <w:spacing w:line="560" w:lineRule="exact"/>
        <w:ind w:firstLine="0"/>
        <w:rPr>
          <w:rFonts w:ascii="Times New Roman"/>
          <w:lang w:val="zh-CN"/>
        </w:rPr>
      </w:pPr>
    </w:p>
    <w:p>
      <w:pPr>
        <w:pStyle w:val="196"/>
        <w:spacing w:line="560" w:lineRule="exact"/>
        <w:ind w:firstLine="0"/>
        <w:rPr>
          <w:rFonts w:ascii="Times New Roman"/>
          <w:lang w:val="zh-CN"/>
        </w:rPr>
        <w:sectPr>
          <w:pgSz w:w="16838" w:h="11906" w:orient="landscape"/>
          <w:pgMar w:top="1440" w:right="1803" w:bottom="1440" w:left="1803" w:header="851" w:footer="1701" w:gutter="0"/>
          <w:pgNumType w:fmt="decimal"/>
          <w:cols w:space="1701" w:num="1"/>
        </w:sectPr>
      </w:pPr>
    </w:p>
    <w:p>
      <w:pPr>
        <w:pStyle w:val="196"/>
        <w:spacing w:line="560" w:lineRule="exact"/>
        <w:rPr>
          <w:rFonts w:ascii="Times New Roman"/>
          <w:lang w:val="zh-CN"/>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8"/>
        <w:gridCol w:w="1039"/>
        <w:gridCol w:w="1359"/>
        <w:gridCol w:w="396"/>
        <w:gridCol w:w="974"/>
        <w:gridCol w:w="396"/>
        <w:gridCol w:w="846"/>
        <w:gridCol w:w="486"/>
        <w:gridCol w:w="396"/>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51090422T000000393739-公务服务经费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做好全区干部职工早中晚餐服务工作，做好区级公务接待工作以及招商引资接待工作</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做好全区干部职工早中晚餐服务工作，做好区级公务接待工作以及招商引资接待工作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做好全区干部职工早中晚餐服务工作，做好区级公务接待工作以及招商引资接待工作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359.97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359.97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359.97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359.97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统一就餐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食堂运行情况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机关工作人员满意度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公务服务费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食堂运行费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做好全区干部职工早中晚餐服务工作，做好区级公务接待工作以及招商引资接待工作自评94分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项目负责人：伍娟</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pStyle w:val="196"/>
        <w:ind w:left="632" w:firstLine="632"/>
        <w:rPr>
          <w:rFonts w:ascii="Times New Roman" w:eastAsia="黑体"/>
          <w:shd w:val="clear" w:color="auto" w:fill="FFFFFF"/>
          <w:lang w:val="zh-CN"/>
        </w:rPr>
      </w:pPr>
    </w:p>
    <w:p>
      <w:pPr>
        <w:pStyle w:val="196"/>
        <w:ind w:left="632" w:firstLine="632"/>
        <w:rPr>
          <w:rFonts w:ascii="Times New Roman" w:eastAsia="黑体"/>
          <w:shd w:val="clear" w:color="auto" w:fill="FFFFFF"/>
          <w:lang w:val="zh-CN"/>
        </w:rPr>
      </w:pPr>
    </w:p>
    <w:p>
      <w:pPr>
        <w:pStyle w:val="196"/>
        <w:ind w:left="0" w:leftChars="0" w:firstLine="0" w:firstLineChars="0"/>
        <w:rPr>
          <w:rFonts w:ascii="Times New Roman" w:eastAsia="黑体"/>
          <w:shd w:val="clear" w:color="auto" w:fill="FFFFFF"/>
          <w:lang w:val="zh-CN"/>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00"/>
        <w:gridCol w:w="1025"/>
        <w:gridCol w:w="1339"/>
        <w:gridCol w:w="396"/>
        <w:gridCol w:w="958"/>
        <w:gridCol w:w="396"/>
        <w:gridCol w:w="846"/>
        <w:gridCol w:w="486"/>
        <w:gridCol w:w="486"/>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51090422T000000393850-柔刚写字楼和商务中心运行费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做好柔刚写字楼及商务中心的日常维护工作，保障两栋大楼的正常运行</w:t>
            </w:r>
          </w:p>
        </w:tc>
        <w:tc>
          <w:tcPr>
            <w:tcW w:w="16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做好柔刚写字楼及商务中心的日常维护工作，保障两栋大楼的正常运行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做好柔刚写字楼及商务中心的日常维护工作，保障两栋大楼的正常运行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183.21</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183.21</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183.21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柔刚商务中心</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维护情况</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机关工作人员后勤保障</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机关工作人员满意度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运维费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2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做好柔刚写字楼及商务中心的日常维护工作，保障两栋大楼的正常运行自评94分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项目负责人：张毅</w:t>
            </w:r>
          </w:p>
        </w:tc>
        <w:tc>
          <w:tcPr>
            <w:tcW w:w="24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pStyle w:val="196"/>
        <w:ind w:left="632" w:firstLine="632"/>
        <w:rPr>
          <w:rFonts w:ascii="Times New Roman" w:eastAsia="黑体"/>
          <w:shd w:val="clear" w:color="auto" w:fill="FFFFFF"/>
          <w:lang w:val="zh-CN"/>
        </w:rPr>
      </w:pPr>
    </w:p>
    <w:p>
      <w:pPr>
        <w:pStyle w:val="196"/>
        <w:ind w:firstLine="0"/>
        <w:rPr>
          <w:rFonts w:ascii="Times New Roman" w:eastAsia="黑体"/>
          <w:shd w:val="clear" w:color="auto" w:fill="FFFFFF"/>
          <w:lang w:val="zh-CN"/>
        </w:rPr>
      </w:pPr>
    </w:p>
    <w:p>
      <w:pPr>
        <w:pStyle w:val="196"/>
        <w:ind w:left="632" w:firstLine="632"/>
        <w:rPr>
          <w:rFonts w:ascii="Times New Roman" w:eastAsia="黑体"/>
          <w:shd w:val="clear" w:color="auto" w:fill="FFFFFF"/>
          <w:lang w:val="zh-CN"/>
        </w:rPr>
      </w:pPr>
    </w:p>
    <w:p>
      <w:pPr>
        <w:spacing w:line="580" w:lineRule="exact"/>
        <w:rPr>
          <w:rStyle w:val="198"/>
          <w:rFonts w:eastAsia="黑体"/>
          <w:b w:val="0"/>
          <w:bCs w:val="0"/>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8"/>
        <w:gridCol w:w="1039"/>
        <w:gridCol w:w="1359"/>
        <w:gridCol w:w="396"/>
        <w:gridCol w:w="974"/>
        <w:gridCol w:w="396"/>
        <w:gridCol w:w="846"/>
        <w:gridCol w:w="486"/>
        <w:gridCol w:w="396"/>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111"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51090422T000000394105-租金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保障全区办公人员日常办公，以及人才公寓人员的入住</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保障全区办公人员日常办公，以及人才公寓人员的入住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保障全区办公人员日常办公，以及人才公寓人员的入住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柔刚写字楼面积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保障全区办公人员办公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正常办公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入驻单位满意度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柔刚写字楼及商务中心租金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保障全区办公人员日常办公，以及人才公寓人员的入住。自评93分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项目负责人：张毅</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spacing w:line="560" w:lineRule="exact"/>
        <w:rPr>
          <w:rFonts w:eastAsia="黑体"/>
          <w:sz w:val="44"/>
          <w:szCs w:val="44"/>
        </w:rPr>
      </w:pPr>
    </w:p>
    <w:p>
      <w:pPr>
        <w:spacing w:line="560" w:lineRule="exact"/>
        <w:jc w:val="center"/>
        <w:outlineLvl w:val="0"/>
        <w:rPr>
          <w:rFonts w:eastAsia="方正小标宋简体"/>
          <w:sz w:val="44"/>
          <w:szCs w:val="44"/>
        </w:rPr>
      </w:pPr>
      <w:bookmarkStart w:id="112" w:name="_Toc14542"/>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9"/>
        <w:gridCol w:w="1040"/>
        <w:gridCol w:w="1358"/>
        <w:gridCol w:w="396"/>
        <w:gridCol w:w="975"/>
        <w:gridCol w:w="396"/>
        <w:gridCol w:w="846"/>
        <w:gridCol w:w="486"/>
        <w:gridCol w:w="396"/>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51090422T000000394283-公务用车运行平台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完成党政机关公务用车的监督、管理。</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完成党政机关公务用车的监督、管理。）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完成党政机关公务用车的监督、管理。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区内保留公务用车调配管理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系统事故发生率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项目完成时间节点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落实公车改革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公务用车运行平台经费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完成党政机关公务用车的监督、管理。自评94分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项目负责人：张毅</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9"/>
        <w:gridCol w:w="1040"/>
        <w:gridCol w:w="1358"/>
        <w:gridCol w:w="396"/>
        <w:gridCol w:w="975"/>
        <w:gridCol w:w="396"/>
        <w:gridCol w:w="846"/>
        <w:gridCol w:w="486"/>
        <w:gridCol w:w="396"/>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51090422T000000394351-公务用车购置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保障党政机关领导公务日常运行。</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按照年初计划采购公务用车4辆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按照年初计划采购公务用车4辆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85.43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85.43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85.43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85.43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购置公务用轿车4辆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购置公务用车MPV2辆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项目完成时间节点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保障党政机关日常公务运行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公务用车正常运行</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按照年初计划采购公务用车4辆，自评97分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项目负责人：张斌</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spacing w:line="560" w:lineRule="exact"/>
        <w:jc w:val="center"/>
        <w:outlineLvl w:val="0"/>
        <w:rPr>
          <w:rFonts w:eastAsia="方正小标宋简体"/>
          <w:sz w:val="44"/>
          <w:szCs w:val="44"/>
        </w:rPr>
      </w:pPr>
    </w:p>
    <w:p>
      <w:pPr>
        <w:spacing w:line="560" w:lineRule="exact"/>
        <w:jc w:val="both"/>
        <w:outlineLvl w:val="0"/>
        <w:rPr>
          <w:rFonts w:eastAsia="方正小标宋简体"/>
          <w:sz w:val="44"/>
          <w:szCs w:val="44"/>
        </w:rPr>
      </w:pPr>
    </w:p>
    <w:tbl>
      <w:tblPr>
        <w:tblStyle w:val="35"/>
        <w:tblW w:w="5000" w:type="pct"/>
        <w:tblInd w:w="0" w:type="dxa"/>
        <w:shd w:val="clear" w:color="auto" w:fill="auto"/>
        <w:tblLayout w:type="autofit"/>
        <w:tblCellMar>
          <w:top w:w="0" w:type="dxa"/>
          <w:left w:w="0" w:type="dxa"/>
          <w:bottom w:w="0" w:type="dxa"/>
          <w:right w:w="0" w:type="dxa"/>
        </w:tblCellMar>
      </w:tblPr>
      <w:tblGrid>
        <w:gridCol w:w="438"/>
        <w:gridCol w:w="1317"/>
        <w:gridCol w:w="1139"/>
        <w:gridCol w:w="1453"/>
        <w:gridCol w:w="335"/>
        <w:gridCol w:w="1076"/>
        <w:gridCol w:w="335"/>
        <w:gridCol w:w="703"/>
        <w:gridCol w:w="322"/>
        <w:gridCol w:w="292"/>
        <w:gridCol w:w="1646"/>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51090424T000011690348-机关食堂运行费</w:t>
            </w:r>
          </w:p>
        </w:tc>
      </w:tr>
      <w:tr>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遂宁市安居区机关事务服务中心</w:t>
            </w:r>
          </w:p>
        </w:tc>
      </w:tr>
      <w:tr>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完成机关食堂服务、运行。</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完成机关食堂服务、运行。</w:t>
            </w:r>
          </w:p>
        </w:tc>
      </w:tr>
      <w:tr>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完成机关食堂服务、运行。</w:t>
            </w:r>
          </w:p>
        </w:tc>
      </w:tr>
      <w:tr>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162.88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162.88</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162.88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162.88</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68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机关食堂服务费</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正常运行率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保障干部职工食堂用餐</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机关干部职工满意度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机关食堂服务费</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完成机关食堂服务、运行。自评95分</w:t>
            </w:r>
          </w:p>
        </w:tc>
      </w:tr>
      <w:tr>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无问题</w:t>
            </w:r>
          </w:p>
        </w:tc>
      </w:tr>
      <w:tr>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无问题</w:t>
            </w:r>
          </w:p>
        </w:tc>
      </w:tr>
      <w:tr>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项目负责人：李节</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财务负责人：施盛娣</w:t>
            </w:r>
          </w:p>
        </w:tc>
      </w:tr>
    </w:tbl>
    <w:p>
      <w:pPr>
        <w:rPr>
          <w:rFonts w:eastAsia="方正小标宋简体"/>
          <w:sz w:val="44"/>
          <w:szCs w:val="44"/>
        </w:rPr>
      </w:pPr>
    </w:p>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9"/>
        <w:gridCol w:w="1040"/>
        <w:gridCol w:w="1358"/>
        <w:gridCol w:w="396"/>
        <w:gridCol w:w="975"/>
        <w:gridCol w:w="396"/>
        <w:gridCol w:w="846"/>
        <w:gridCol w:w="486"/>
        <w:gridCol w:w="396"/>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51090422T000000394402-公共机构节能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完成2024年公共机构能耗平台点位建设，完成3000平方机油建筑节能改造，做好公共机构节能宣传</w:t>
            </w:r>
          </w:p>
        </w:tc>
        <w:tc>
          <w:tcPr>
            <w:tcW w:w="16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完成2024年公共机构能耗平台点位建设，完成3000平方机油建筑节能改造，做好公共机构节能宣传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完成2024年公共机构能耗平台点位建设，完成3000平方机油建筑节能改造，做好公共机构节能宣传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监测平台布点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项目完成时间节点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全面监控公共机构单位水、电、气等能耗数据。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全面监控公共机构单位水、电、气等能耗数据。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技术服务费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完成2024年公共机构能耗平台点位建设，完成3000平方机油建筑节能改造，做好公共机构节能宣传，自评94分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项目负责人：赵庆</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rPr>
          <w:rFonts w:eastAsia="方正小标宋简体"/>
          <w:sz w:val="44"/>
          <w:szCs w:val="44"/>
        </w:rPr>
      </w:pPr>
    </w:p>
    <w:p>
      <w:pPr>
        <w:pStyle w:val="42"/>
        <w:numPr>
          <w:ilvl w:val="0"/>
          <w:numId w:val="0"/>
        </w:numPr>
        <w:ind w:left="360" w:hanging="360"/>
      </w:pPr>
    </w:p>
    <w:p>
      <w:pPr>
        <w:pStyle w:val="42"/>
        <w:numPr>
          <w:ilvl w:val="0"/>
          <w:numId w:val="0"/>
        </w:numPr>
        <w:ind w:left="360" w:hanging="360"/>
      </w:pPr>
    </w:p>
    <w:p>
      <w:pPr>
        <w:pStyle w:val="42"/>
        <w:numPr>
          <w:ilvl w:val="0"/>
          <w:numId w:val="0"/>
        </w:numPr>
        <w:ind w:left="360" w:hanging="360"/>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18"/>
        <w:gridCol w:w="1039"/>
        <w:gridCol w:w="1358"/>
        <w:gridCol w:w="396"/>
        <w:gridCol w:w="975"/>
        <w:gridCol w:w="396"/>
        <w:gridCol w:w="846"/>
        <w:gridCol w:w="486"/>
        <w:gridCol w:w="396"/>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51090424T000011110528-引凤楼租金及运行费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保障引凤楼运行</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保障引凤楼运行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保障引凤楼运行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引凤楼运行单位数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正常运行率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2024年12月31日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保障干部职工后勤保障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机关干部职工满意度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引风楼租金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保障引凤楼运行。自评96分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项目负责人：张毅</w:t>
            </w:r>
          </w:p>
        </w:tc>
        <w:tc>
          <w:tcPr>
            <w:tcW w:w="2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财务负责人：施盛娣</w:t>
            </w:r>
          </w:p>
        </w:tc>
      </w:tr>
    </w:tbl>
    <w:p>
      <w:pPr>
        <w:pStyle w:val="42"/>
        <w:numPr>
          <w:ilvl w:val="0"/>
          <w:numId w:val="0"/>
        </w:numPr>
        <w:ind w:left="360" w:hanging="360"/>
      </w:pPr>
    </w:p>
    <w:p>
      <w:pPr>
        <w:pStyle w:val="42"/>
        <w:numPr>
          <w:ilvl w:val="0"/>
          <w:numId w:val="0"/>
        </w:numPr>
        <w:ind w:left="360" w:hanging="360"/>
      </w:pPr>
    </w:p>
    <w:p>
      <w:pPr>
        <w:pStyle w:val="42"/>
        <w:numPr>
          <w:ilvl w:val="0"/>
          <w:numId w:val="0"/>
        </w:numPr>
        <w:ind w:left="360" w:hanging="360"/>
      </w:pPr>
    </w:p>
    <w:p>
      <w:pPr>
        <w:pStyle w:val="6"/>
        <w:rPr>
          <w:rFonts w:eastAsia="方正小标宋简体"/>
          <w:sz w:val="44"/>
          <w:szCs w:val="44"/>
        </w:rPr>
      </w:pPr>
    </w:p>
    <w:p>
      <w:pPr>
        <w:rPr>
          <w:rFonts w:ascii="Times New Roman" w:hAnsi="Times New Roman"/>
          <w:color w:val="000000"/>
          <w:szCs w:val="32"/>
          <w:shd w:val="clear" w:color="auto" w:fill="FFFFFF"/>
          <w:lang w:val="zh-CN"/>
        </w:rPr>
      </w:pPr>
    </w:p>
    <w:p>
      <w:pPr>
        <w:spacing w:line="560" w:lineRule="exact"/>
        <w:jc w:val="both"/>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jc w:val="center"/>
        <w:outlineLvl w:val="0"/>
        <w:rPr>
          <w:rFonts w:eastAsia="方正小标宋简体"/>
          <w:sz w:val="44"/>
          <w:szCs w:val="44"/>
        </w:rPr>
      </w:pPr>
    </w:p>
    <w:p>
      <w:pPr>
        <w:spacing w:line="560" w:lineRule="exact"/>
        <w:ind w:firstLine="3080" w:firstLineChars="700"/>
        <w:jc w:val="both"/>
        <w:outlineLvl w:val="0"/>
        <w:rPr>
          <w:rFonts w:eastAsia="方正小标宋简体"/>
        </w:rPr>
      </w:pPr>
      <w:r>
        <w:rPr>
          <w:rFonts w:eastAsia="方正小标宋简体"/>
          <w:sz w:val="44"/>
          <w:szCs w:val="44"/>
        </w:rPr>
        <w:t>第</w:t>
      </w:r>
      <w:r>
        <w:rPr>
          <w:rStyle w:val="198"/>
          <w:rFonts w:eastAsia="方正小标宋简体"/>
          <w:b w:val="0"/>
          <w:bCs w:val="0"/>
        </w:rPr>
        <w:t>五部分 附表</w:t>
      </w:r>
      <w:bookmarkEnd w:id="110"/>
      <w:bookmarkEnd w:id="111"/>
      <w:bookmarkEnd w:id="112"/>
    </w:p>
    <w:p>
      <w:pPr>
        <w:pStyle w:val="192"/>
        <w:spacing w:before="0" w:after="0" w:line="560" w:lineRule="exact"/>
        <w:outlineLvl w:val="9"/>
        <w:rPr>
          <w:rFonts w:ascii="Times New Roman" w:hAnsi="Times New Roman"/>
          <w:b w:val="0"/>
          <w:i w:val="0"/>
        </w:rPr>
      </w:pPr>
    </w:p>
    <w:p>
      <w:pPr>
        <w:pStyle w:val="192"/>
        <w:spacing w:before="0" w:after="0" w:line="560" w:lineRule="exact"/>
        <w:rPr>
          <w:rFonts w:ascii="Times New Roman" w:hAnsi="Times New Roman"/>
          <w:b w:val="0"/>
          <w:i w:val="0"/>
        </w:rPr>
      </w:pPr>
      <w:bookmarkStart w:id="113" w:name="_Toc12137"/>
      <w:r>
        <w:rPr>
          <w:rFonts w:ascii="Times New Roman" w:hAnsi="Times New Roman"/>
          <w:b w:val="0"/>
          <w:i w:val="0"/>
        </w:rPr>
        <w:t>一、收</w:t>
      </w:r>
      <w:r>
        <w:rPr>
          <w:rStyle w:val="199"/>
          <w:rFonts w:ascii="Times New Roman" w:hAnsi="Times New Roman"/>
          <w:b w:val="0"/>
          <w:i w:val="0"/>
        </w:rPr>
        <w:t>入支出决算总表</w:t>
      </w:r>
      <w:bookmarkEnd w:id="113"/>
    </w:p>
    <w:p>
      <w:pPr>
        <w:pStyle w:val="192"/>
        <w:spacing w:before="0" w:after="0" w:line="560" w:lineRule="exact"/>
        <w:rPr>
          <w:rFonts w:ascii="Times New Roman" w:hAnsi="Times New Roman"/>
          <w:b w:val="0"/>
          <w:i w:val="0"/>
        </w:rPr>
      </w:pPr>
      <w:bookmarkStart w:id="114" w:name="_Toc1841"/>
      <w:r>
        <w:rPr>
          <w:rFonts w:ascii="Times New Roman" w:hAnsi="Times New Roman"/>
          <w:b w:val="0"/>
          <w:i w:val="0"/>
        </w:rPr>
        <w:t>二、收</w:t>
      </w:r>
      <w:r>
        <w:rPr>
          <w:rStyle w:val="199"/>
          <w:rFonts w:ascii="Times New Roman" w:hAnsi="Times New Roman"/>
          <w:b w:val="0"/>
          <w:i w:val="0"/>
        </w:rPr>
        <w:t>入决算表</w:t>
      </w:r>
      <w:bookmarkEnd w:id="114"/>
    </w:p>
    <w:p>
      <w:pPr>
        <w:pStyle w:val="192"/>
        <w:spacing w:before="0" w:after="0" w:line="560" w:lineRule="exact"/>
        <w:rPr>
          <w:rFonts w:ascii="Times New Roman" w:hAnsi="Times New Roman"/>
          <w:b w:val="0"/>
          <w:i w:val="0"/>
        </w:rPr>
      </w:pPr>
      <w:bookmarkStart w:id="115" w:name="_Toc10180"/>
      <w:r>
        <w:rPr>
          <w:rStyle w:val="199"/>
          <w:rFonts w:ascii="Times New Roman" w:hAnsi="Times New Roman"/>
          <w:b w:val="0"/>
          <w:i w:val="0"/>
        </w:rPr>
        <w:t>三、</w:t>
      </w:r>
      <w:r>
        <w:rPr>
          <w:rFonts w:ascii="Times New Roman" w:hAnsi="Times New Roman"/>
          <w:b w:val="0"/>
          <w:i w:val="0"/>
        </w:rPr>
        <w:t>支</w:t>
      </w:r>
      <w:r>
        <w:rPr>
          <w:rStyle w:val="199"/>
          <w:rFonts w:ascii="Times New Roman" w:hAnsi="Times New Roman"/>
          <w:b w:val="0"/>
          <w:i w:val="0"/>
        </w:rPr>
        <w:t>出决算表</w:t>
      </w:r>
      <w:bookmarkEnd w:id="115"/>
    </w:p>
    <w:p>
      <w:pPr>
        <w:pStyle w:val="192"/>
        <w:spacing w:before="0" w:after="0" w:line="560" w:lineRule="exact"/>
        <w:rPr>
          <w:rFonts w:ascii="Times New Roman" w:hAnsi="Times New Roman"/>
          <w:b w:val="0"/>
          <w:i w:val="0"/>
        </w:rPr>
      </w:pPr>
      <w:bookmarkStart w:id="116" w:name="_Toc32314"/>
      <w:r>
        <w:rPr>
          <w:rStyle w:val="199"/>
          <w:rFonts w:ascii="Times New Roman" w:hAnsi="Times New Roman"/>
          <w:b w:val="0"/>
          <w:i w:val="0"/>
        </w:rPr>
        <w:t>四、</w:t>
      </w:r>
      <w:r>
        <w:rPr>
          <w:rFonts w:ascii="Times New Roman" w:hAnsi="Times New Roman"/>
          <w:b w:val="0"/>
          <w:i w:val="0"/>
        </w:rPr>
        <w:t>财</w:t>
      </w:r>
      <w:r>
        <w:rPr>
          <w:rStyle w:val="199"/>
          <w:rFonts w:ascii="Times New Roman" w:hAnsi="Times New Roman"/>
          <w:b w:val="0"/>
          <w:i w:val="0"/>
        </w:rPr>
        <w:t>政拨款收入支出决算总表</w:t>
      </w:r>
      <w:bookmarkEnd w:id="116"/>
    </w:p>
    <w:p>
      <w:pPr>
        <w:pStyle w:val="192"/>
        <w:spacing w:before="0" w:after="0" w:line="560" w:lineRule="exact"/>
        <w:rPr>
          <w:rStyle w:val="199"/>
          <w:rFonts w:ascii="Times New Roman" w:hAnsi="Times New Roman"/>
          <w:b w:val="0"/>
          <w:i w:val="0"/>
        </w:rPr>
      </w:pPr>
      <w:bookmarkStart w:id="117" w:name="_Toc637"/>
      <w:r>
        <w:rPr>
          <w:rStyle w:val="199"/>
          <w:rFonts w:ascii="Times New Roman" w:hAnsi="Times New Roman"/>
          <w:b w:val="0"/>
          <w:i w:val="0"/>
        </w:rPr>
        <w:t>五、</w:t>
      </w:r>
      <w:r>
        <w:rPr>
          <w:rFonts w:ascii="Times New Roman" w:hAnsi="Times New Roman"/>
          <w:b w:val="0"/>
          <w:i w:val="0"/>
        </w:rPr>
        <w:t>财</w:t>
      </w:r>
      <w:r>
        <w:rPr>
          <w:rStyle w:val="199"/>
          <w:rFonts w:ascii="Times New Roman" w:hAnsi="Times New Roman"/>
          <w:b w:val="0"/>
          <w:i w:val="0"/>
        </w:rPr>
        <w:t>政拨款支出决算明细表</w:t>
      </w:r>
      <w:bookmarkEnd w:id="117"/>
    </w:p>
    <w:p>
      <w:pPr>
        <w:pStyle w:val="192"/>
        <w:spacing w:before="0" w:after="0" w:line="560" w:lineRule="exact"/>
        <w:rPr>
          <w:rFonts w:ascii="Times New Roman" w:hAnsi="Times New Roman"/>
          <w:b w:val="0"/>
          <w:i w:val="0"/>
        </w:rPr>
      </w:pPr>
      <w:bookmarkStart w:id="118" w:name="_Toc3636"/>
      <w:r>
        <w:rPr>
          <w:rStyle w:val="199"/>
          <w:rFonts w:ascii="Times New Roman" w:hAnsi="Times New Roman"/>
          <w:b w:val="0"/>
          <w:i w:val="0"/>
        </w:rPr>
        <w:t>六、</w:t>
      </w:r>
      <w:r>
        <w:rPr>
          <w:rFonts w:ascii="Times New Roman" w:hAnsi="Times New Roman"/>
          <w:b w:val="0"/>
          <w:i w:val="0"/>
        </w:rPr>
        <w:t>一</w:t>
      </w:r>
      <w:r>
        <w:rPr>
          <w:rStyle w:val="199"/>
          <w:rFonts w:ascii="Times New Roman" w:hAnsi="Times New Roman"/>
          <w:b w:val="0"/>
          <w:i w:val="0"/>
        </w:rPr>
        <w:t>般公共预算财政拨款支出决算表</w:t>
      </w:r>
      <w:bookmarkEnd w:id="118"/>
    </w:p>
    <w:p>
      <w:pPr>
        <w:pStyle w:val="192"/>
        <w:spacing w:before="0" w:after="0" w:line="560" w:lineRule="exact"/>
        <w:rPr>
          <w:rFonts w:ascii="Times New Roman" w:hAnsi="Times New Roman"/>
          <w:b w:val="0"/>
          <w:i w:val="0"/>
        </w:rPr>
      </w:pPr>
      <w:bookmarkStart w:id="119" w:name="_Toc21307"/>
      <w:r>
        <w:rPr>
          <w:rStyle w:val="199"/>
          <w:rFonts w:ascii="Times New Roman" w:hAnsi="Times New Roman"/>
          <w:b w:val="0"/>
          <w:i w:val="0"/>
        </w:rPr>
        <w:t>七、</w:t>
      </w:r>
      <w:r>
        <w:rPr>
          <w:rFonts w:ascii="Times New Roman" w:hAnsi="Times New Roman"/>
          <w:b w:val="0"/>
          <w:i w:val="0"/>
        </w:rPr>
        <w:t>一</w:t>
      </w:r>
      <w:r>
        <w:rPr>
          <w:rStyle w:val="199"/>
          <w:rFonts w:ascii="Times New Roman" w:hAnsi="Times New Roman"/>
          <w:b w:val="0"/>
          <w:i w:val="0"/>
        </w:rPr>
        <w:t>般公共预算财政拨款支出决算明细表</w:t>
      </w:r>
      <w:bookmarkEnd w:id="119"/>
    </w:p>
    <w:p>
      <w:pPr>
        <w:pStyle w:val="192"/>
        <w:spacing w:before="0" w:after="0" w:line="560" w:lineRule="exact"/>
        <w:rPr>
          <w:rFonts w:ascii="Times New Roman" w:hAnsi="Times New Roman"/>
          <w:b w:val="0"/>
          <w:i w:val="0"/>
        </w:rPr>
      </w:pPr>
      <w:bookmarkStart w:id="120" w:name="_Toc30350"/>
      <w:r>
        <w:rPr>
          <w:rStyle w:val="199"/>
          <w:rFonts w:ascii="Times New Roman" w:hAnsi="Times New Roman"/>
          <w:b w:val="0"/>
          <w:i w:val="0"/>
        </w:rPr>
        <w:t>八、</w:t>
      </w:r>
      <w:r>
        <w:rPr>
          <w:rFonts w:ascii="Times New Roman" w:hAnsi="Times New Roman"/>
          <w:b w:val="0"/>
          <w:i w:val="0"/>
        </w:rPr>
        <w:t>一</w:t>
      </w:r>
      <w:r>
        <w:rPr>
          <w:rStyle w:val="199"/>
          <w:rFonts w:ascii="Times New Roman" w:hAnsi="Times New Roman"/>
          <w:b w:val="0"/>
          <w:i w:val="0"/>
        </w:rPr>
        <w:t>般公共预算财政拨款基本支出决算表</w:t>
      </w:r>
      <w:bookmarkEnd w:id="120"/>
    </w:p>
    <w:p>
      <w:pPr>
        <w:pStyle w:val="192"/>
        <w:spacing w:before="0" w:after="0" w:line="560" w:lineRule="exact"/>
        <w:rPr>
          <w:rFonts w:ascii="Times New Roman" w:hAnsi="Times New Roman"/>
          <w:b w:val="0"/>
          <w:i w:val="0"/>
        </w:rPr>
      </w:pPr>
      <w:bookmarkStart w:id="121" w:name="_Toc29843"/>
      <w:r>
        <w:rPr>
          <w:rStyle w:val="199"/>
          <w:rFonts w:ascii="Times New Roman" w:hAnsi="Times New Roman"/>
          <w:b w:val="0"/>
          <w:i w:val="0"/>
        </w:rPr>
        <w:t>九、</w:t>
      </w:r>
      <w:r>
        <w:rPr>
          <w:rFonts w:ascii="Times New Roman" w:hAnsi="Times New Roman"/>
          <w:b w:val="0"/>
          <w:i w:val="0"/>
        </w:rPr>
        <w:t>一</w:t>
      </w:r>
      <w:r>
        <w:rPr>
          <w:rStyle w:val="199"/>
          <w:rFonts w:ascii="Times New Roman" w:hAnsi="Times New Roman"/>
          <w:b w:val="0"/>
          <w:i w:val="0"/>
        </w:rPr>
        <w:t>般公共预算财政拨款项目支出决算表</w:t>
      </w:r>
      <w:bookmarkEnd w:id="121"/>
    </w:p>
    <w:p>
      <w:pPr>
        <w:pStyle w:val="192"/>
        <w:spacing w:before="0" w:after="0" w:line="560" w:lineRule="exact"/>
        <w:rPr>
          <w:rFonts w:ascii="Times New Roman" w:hAnsi="Times New Roman"/>
          <w:b w:val="0"/>
          <w:i w:val="0"/>
        </w:rPr>
      </w:pPr>
      <w:bookmarkStart w:id="122" w:name="_Toc17657"/>
      <w:r>
        <w:rPr>
          <w:rStyle w:val="199"/>
          <w:rFonts w:ascii="Times New Roman" w:hAnsi="Times New Roman"/>
          <w:b w:val="0"/>
          <w:i w:val="0"/>
        </w:rPr>
        <w:t>十、</w:t>
      </w:r>
      <w:r>
        <w:rPr>
          <w:rFonts w:ascii="Times New Roman" w:hAnsi="Times New Roman"/>
          <w:b w:val="0"/>
          <w:i w:val="0"/>
        </w:rPr>
        <w:t>政</w:t>
      </w:r>
      <w:r>
        <w:rPr>
          <w:rStyle w:val="199"/>
          <w:rFonts w:ascii="Times New Roman" w:hAnsi="Times New Roman"/>
          <w:b w:val="0"/>
          <w:i w:val="0"/>
        </w:rPr>
        <w:t>府性基金预算财政拨款收入支出决算表</w:t>
      </w:r>
      <w:bookmarkEnd w:id="122"/>
    </w:p>
    <w:p>
      <w:pPr>
        <w:pStyle w:val="192"/>
        <w:spacing w:before="0" w:after="0" w:line="560" w:lineRule="exact"/>
        <w:rPr>
          <w:rFonts w:ascii="Times New Roman" w:hAnsi="Times New Roman"/>
          <w:b w:val="0"/>
          <w:i w:val="0"/>
        </w:rPr>
      </w:pPr>
      <w:bookmarkStart w:id="123" w:name="_Toc11540"/>
      <w:r>
        <w:rPr>
          <w:rStyle w:val="199"/>
          <w:rFonts w:ascii="Times New Roman" w:hAnsi="Times New Roman"/>
          <w:b w:val="0"/>
          <w:i w:val="0"/>
        </w:rPr>
        <w:t>十一、</w:t>
      </w:r>
      <w:r>
        <w:rPr>
          <w:rFonts w:ascii="Times New Roman" w:hAnsi="Times New Roman"/>
          <w:b w:val="0"/>
          <w:i w:val="0"/>
        </w:rPr>
        <w:t>国</w:t>
      </w:r>
      <w:r>
        <w:rPr>
          <w:rStyle w:val="199"/>
          <w:rFonts w:ascii="Times New Roman" w:hAnsi="Times New Roman"/>
          <w:b w:val="0"/>
          <w:i w:val="0"/>
        </w:rPr>
        <w:t>有资本经营预算财政拨款收入支出决算表</w:t>
      </w:r>
      <w:bookmarkEnd w:id="123"/>
    </w:p>
    <w:p>
      <w:pPr>
        <w:pStyle w:val="192"/>
        <w:spacing w:before="0" w:after="0" w:line="560" w:lineRule="exact"/>
        <w:rPr>
          <w:rFonts w:ascii="Times New Roman" w:hAnsi="Times New Roman"/>
          <w:b w:val="0"/>
          <w:i w:val="0"/>
        </w:rPr>
      </w:pPr>
      <w:bookmarkStart w:id="124" w:name="_Toc32462"/>
      <w:r>
        <w:rPr>
          <w:rStyle w:val="199"/>
          <w:rFonts w:ascii="Times New Roman" w:hAnsi="Times New Roman"/>
          <w:b w:val="0"/>
          <w:i w:val="0"/>
        </w:rPr>
        <w:t>十二、国有资本经营预算财政拨款支出决算表</w:t>
      </w:r>
      <w:bookmarkEnd w:id="124"/>
    </w:p>
    <w:p>
      <w:pPr>
        <w:pStyle w:val="192"/>
        <w:spacing w:before="0" w:after="0" w:line="560" w:lineRule="exact"/>
        <w:rPr>
          <w:rStyle w:val="199"/>
          <w:rFonts w:ascii="Times New Roman" w:hAnsi="Times New Roman"/>
          <w:b w:val="0"/>
          <w:i w:val="0"/>
        </w:rPr>
      </w:pPr>
      <w:bookmarkStart w:id="125" w:name="_Toc27058"/>
      <w:r>
        <w:rPr>
          <w:rStyle w:val="199"/>
          <w:rFonts w:ascii="Times New Roman" w:hAnsi="Times New Roman"/>
          <w:b w:val="0"/>
          <w:i w:val="0"/>
        </w:rPr>
        <w:t>十三、财政拨款“三公”经费支出决算表</w:t>
      </w:r>
      <w:bookmarkEnd w:id="125"/>
    </w:p>
    <w:p>
      <w:pPr>
        <w:spacing w:line="540" w:lineRule="exact"/>
      </w:pPr>
    </w:p>
    <w:p>
      <w:pPr>
        <w:tabs>
          <w:tab w:val="left" w:pos="970"/>
        </w:tabs>
        <w:spacing w:line="20" w:lineRule="exact"/>
        <w:jc w:val="left"/>
      </w:pPr>
      <w:r>
        <w:tab/>
      </w:r>
    </w:p>
    <w:p>
      <w:pPr>
        <w:spacing w:line="20" w:lineRule="exact"/>
        <w:jc w:val="left"/>
      </w:pPr>
    </w:p>
    <w:sectPr>
      <w:pgSz w:w="11906" w:h="16838" w:orient="landscape"/>
      <w:pgMar w:top="1803" w:right="1440" w:bottom="1803" w:left="1440" w:header="851" w:footer="1701" w:gutter="0"/>
      <w:pgNumType w:fmt="decimal"/>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9C8FAD-62F9-47ED-A03D-A06337973D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2B0104B-616F-4C59-B60A-B00F4621ED26}"/>
  </w:font>
  <w:font w:name="仿宋_GB2312">
    <w:panose1 w:val="02010609030101010101"/>
    <w:charset w:val="86"/>
    <w:family w:val="modern"/>
    <w:pitch w:val="default"/>
    <w:sig w:usb0="00000001" w:usb1="080E0000" w:usb2="00000000" w:usb3="00000000" w:csb0="00040000" w:csb1="00000000"/>
    <w:embedRegular r:id="rId3" w:fontKey="{BFC49F82-EF30-4E84-8FC8-3953307A72F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4" w:fontKey="{71042F53-4A3B-4899-91CF-C76DD680FB0A}"/>
  </w:font>
  <w:font w:name="仿宋">
    <w:panose1 w:val="02010609060101010101"/>
    <w:charset w:val="86"/>
    <w:family w:val="modern"/>
    <w:pitch w:val="default"/>
    <w:sig w:usb0="800002BF" w:usb1="38CF7CFA" w:usb2="00000016" w:usb3="00000000" w:csb0="00040001" w:csb1="00000000"/>
    <w:embedRegular r:id="rId5" w:fontKey="{B4DF62BB-4BF2-4D2C-8B10-CDABBF62DE79}"/>
  </w:font>
  <w:font w:name="??">
    <w:altName w:val="微软雅黑"/>
    <w:panose1 w:val="00000000000000000000"/>
    <w:charset w:val="00"/>
    <w:family w:val="roman"/>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0" w:usb1="00000000" w:usb2="00000000" w:usb3="00000000" w:csb0="00000000" w:csb1="00000000"/>
    <w:embedRegular r:id="rId6" w:fontKey="{727C28FA-529D-4DC1-A0A0-E60402426445}"/>
  </w:font>
  <w:font w:name="微软雅黑">
    <w:panose1 w:val="020B0503020204020204"/>
    <w:charset w:val="86"/>
    <w:family w:val="swiss"/>
    <w:pitch w:val="default"/>
    <w:sig w:usb0="80000287" w:usb1="280F3C52" w:usb2="00000016" w:usb3="00000000" w:csb0="0004001F" w:csb1="00000000"/>
    <w:embedRegular r:id="rId7" w:fontKey="{532F0FE9-7D63-406B-A930-63134092F1BC}"/>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3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366"/>
                            <w:docPartObj>
                              <w:docPartGallery w:val="autotext"/>
                            </w:docPartObj>
                          </w:sdtPr>
                          <w:sdtContent>
                            <w:p>
                              <w:pPr>
                                <w:pStyle w:val="25"/>
                                <w:jc w:val="center"/>
                              </w:pPr>
                              <w:r>
                                <w:fldChar w:fldCharType="begin"/>
                              </w:r>
                              <w:r>
                                <w:instrText xml:space="preserve">PAGE   \* MERGEFORMAT</w:instrText>
                              </w:r>
                              <w:r>
                                <w:fldChar w:fldCharType="separate"/>
                              </w:r>
                              <w:r>
                                <w:rPr>
                                  <w:lang w:val="zh-CN"/>
                                </w:rPr>
                                <w:t>12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sdt>
                    <w:sdtPr>
                      <w:id w:val="147483366"/>
                      <w:docPartObj>
                        <w:docPartGallery w:val="autotext"/>
                      </w:docPartObj>
                    </w:sdtPr>
                    <w:sdtContent>
                      <w:p>
                        <w:pPr>
                          <w:pStyle w:val="25"/>
                          <w:jc w:val="center"/>
                        </w:pPr>
                        <w:r>
                          <w:fldChar w:fldCharType="begin"/>
                        </w:r>
                        <w:r>
                          <w:instrText xml:space="preserve">PAGE   \* MERGEFORMAT</w:instrText>
                        </w:r>
                        <w:r>
                          <w:fldChar w:fldCharType="separate"/>
                        </w:r>
                        <w:r>
                          <w:rPr>
                            <w:lang w:val="zh-CN"/>
                          </w:rPr>
                          <w:t>12</w:t>
                        </w:r>
                        <w:r>
                          <w:fldChar w:fldCharType="end"/>
                        </w:r>
                      </w:p>
                    </w:sdtContent>
                  </w:sdt>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7"/>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0D36DF"/>
    <w:multiLevelType w:val="multilevel"/>
    <w:tmpl w:val="9A0D36DF"/>
    <w:lvl w:ilvl="0" w:tentative="0">
      <w:start w:val="1"/>
      <w:numFmt w:val="decimal"/>
      <w:pStyle w:val="42"/>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CD770A2E"/>
    <w:multiLevelType w:val="multilevel"/>
    <w:tmpl w:val="CD770A2E"/>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E03F740E"/>
    <w:multiLevelType w:val="multilevel"/>
    <w:tmpl w:val="E03F740E"/>
    <w:lvl w:ilvl="0" w:tentative="0">
      <w:start w:val="2"/>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EF72B36D"/>
    <w:multiLevelType w:val="singleLevel"/>
    <w:tmpl w:val="EF72B36D"/>
    <w:lvl w:ilvl="0" w:tentative="0">
      <w:start w:val="1"/>
      <w:numFmt w:val="decimal"/>
      <w:pStyle w:val="15"/>
      <w:lvlText w:val="%1."/>
      <w:lvlJc w:val="left"/>
      <w:pPr>
        <w:tabs>
          <w:tab w:val="left" w:pos="360"/>
        </w:tabs>
        <w:ind w:left="360" w:hanging="360"/>
      </w:pPr>
    </w:lvl>
  </w:abstractNum>
  <w:abstractNum w:abstractNumId="4">
    <w:nsid w:val="0ACD7ABF"/>
    <w:multiLevelType w:val="multilevel"/>
    <w:tmpl w:val="0ACD7AB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8A7001"/>
    <w:multiLevelType w:val="multilevel"/>
    <w:tmpl w:val="0E8A7001"/>
    <w:lvl w:ilvl="0" w:tentative="0">
      <w:start w:val="1"/>
      <w:numFmt w:val="japaneseCounting"/>
      <w:lvlText w:val="（%1）"/>
      <w:lvlJc w:val="left"/>
      <w:pPr>
        <w:ind w:left="1712" w:hanging="108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6">
    <w:nsid w:val="0E9B3723"/>
    <w:multiLevelType w:val="multilevel"/>
    <w:tmpl w:val="0E9B3723"/>
    <w:lvl w:ilvl="0" w:tentative="0">
      <w:start w:val="1"/>
      <w:numFmt w:val="japaneseCounting"/>
      <w:suff w:val="space"/>
      <w:lvlText w:val="%1、"/>
      <w:lvlJc w:val="left"/>
      <w:pPr>
        <w:ind w:left="1360" w:hanging="720"/>
      </w:pPr>
      <w:rPr>
        <w:b w:val="0"/>
      </w:r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num w:numId="1">
    <w:abstractNumId w:val="3"/>
  </w:num>
  <w:num w:numId="2">
    <w:abstractNumId w:val="0"/>
  </w:num>
  <w:num w:numId="3">
    <w:abstractNumId w:val="4"/>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mirrorMargin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1E"/>
    <w:rsid w:val="00035412"/>
    <w:rsid w:val="0009432B"/>
    <w:rsid w:val="000E2AB1"/>
    <w:rsid w:val="001065AE"/>
    <w:rsid w:val="0014637F"/>
    <w:rsid w:val="0016243D"/>
    <w:rsid w:val="001719C4"/>
    <w:rsid w:val="0018276F"/>
    <w:rsid w:val="001B1203"/>
    <w:rsid w:val="002552ED"/>
    <w:rsid w:val="0026323F"/>
    <w:rsid w:val="00270EC8"/>
    <w:rsid w:val="00317B79"/>
    <w:rsid w:val="00321D40"/>
    <w:rsid w:val="00332C72"/>
    <w:rsid w:val="003838F3"/>
    <w:rsid w:val="003E3178"/>
    <w:rsid w:val="00437416"/>
    <w:rsid w:val="004562FB"/>
    <w:rsid w:val="004A5490"/>
    <w:rsid w:val="004B02A9"/>
    <w:rsid w:val="004B3696"/>
    <w:rsid w:val="004E2F3D"/>
    <w:rsid w:val="00526BFB"/>
    <w:rsid w:val="00530ED8"/>
    <w:rsid w:val="00573ED5"/>
    <w:rsid w:val="005A2C02"/>
    <w:rsid w:val="005D230C"/>
    <w:rsid w:val="005E481C"/>
    <w:rsid w:val="00617487"/>
    <w:rsid w:val="006A6A8B"/>
    <w:rsid w:val="006C5AE1"/>
    <w:rsid w:val="00771459"/>
    <w:rsid w:val="007A49D9"/>
    <w:rsid w:val="007C27F6"/>
    <w:rsid w:val="007F3C49"/>
    <w:rsid w:val="008041E7"/>
    <w:rsid w:val="00813CD9"/>
    <w:rsid w:val="00840F0D"/>
    <w:rsid w:val="00842736"/>
    <w:rsid w:val="00847B33"/>
    <w:rsid w:val="008518FB"/>
    <w:rsid w:val="00873D3F"/>
    <w:rsid w:val="00882568"/>
    <w:rsid w:val="008C5385"/>
    <w:rsid w:val="00946699"/>
    <w:rsid w:val="00964BAB"/>
    <w:rsid w:val="009706F3"/>
    <w:rsid w:val="009847B9"/>
    <w:rsid w:val="009C32C8"/>
    <w:rsid w:val="009E2A1E"/>
    <w:rsid w:val="00A036D3"/>
    <w:rsid w:val="00AA07EE"/>
    <w:rsid w:val="00AA5C37"/>
    <w:rsid w:val="00AD0D63"/>
    <w:rsid w:val="00AD26F5"/>
    <w:rsid w:val="00AE32FC"/>
    <w:rsid w:val="00AF02A5"/>
    <w:rsid w:val="00B252A6"/>
    <w:rsid w:val="00B774B1"/>
    <w:rsid w:val="00C2519A"/>
    <w:rsid w:val="00C2793E"/>
    <w:rsid w:val="00C41C33"/>
    <w:rsid w:val="00CA16F1"/>
    <w:rsid w:val="00CC6E00"/>
    <w:rsid w:val="00CF7119"/>
    <w:rsid w:val="00D02B44"/>
    <w:rsid w:val="00D46099"/>
    <w:rsid w:val="00D809B4"/>
    <w:rsid w:val="00D836FC"/>
    <w:rsid w:val="00E44325"/>
    <w:rsid w:val="00E84F2C"/>
    <w:rsid w:val="00EA7C6B"/>
    <w:rsid w:val="00EB53B0"/>
    <w:rsid w:val="00EE230E"/>
    <w:rsid w:val="00F057DA"/>
    <w:rsid w:val="00F26249"/>
    <w:rsid w:val="00F57C79"/>
    <w:rsid w:val="00F63645"/>
    <w:rsid w:val="00F927CC"/>
    <w:rsid w:val="00FA7376"/>
    <w:rsid w:val="00FE6DFE"/>
    <w:rsid w:val="00FF0D88"/>
    <w:rsid w:val="07794418"/>
    <w:rsid w:val="0BC84275"/>
    <w:rsid w:val="0E7B2B5B"/>
    <w:rsid w:val="120B6FE3"/>
    <w:rsid w:val="16276078"/>
    <w:rsid w:val="176533C3"/>
    <w:rsid w:val="2235206D"/>
    <w:rsid w:val="23053632"/>
    <w:rsid w:val="25732771"/>
    <w:rsid w:val="257C4A29"/>
    <w:rsid w:val="29693417"/>
    <w:rsid w:val="2C26606D"/>
    <w:rsid w:val="3428168B"/>
    <w:rsid w:val="422F00CF"/>
    <w:rsid w:val="45476B72"/>
    <w:rsid w:val="464508D5"/>
    <w:rsid w:val="4660751E"/>
    <w:rsid w:val="56C17EFE"/>
    <w:rsid w:val="56FBAB84"/>
    <w:rsid w:val="57DFE7EE"/>
    <w:rsid w:val="59EC3AF5"/>
    <w:rsid w:val="5D705170"/>
    <w:rsid w:val="640046FE"/>
    <w:rsid w:val="65254EC6"/>
    <w:rsid w:val="67430BF1"/>
    <w:rsid w:val="6F2020E3"/>
    <w:rsid w:val="70885248"/>
    <w:rsid w:val="73965161"/>
    <w:rsid w:val="7A9B7956"/>
    <w:rsid w:val="7B656CEF"/>
    <w:rsid w:val="7D7465A9"/>
    <w:rsid w:val="EF36F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sz w:val="32"/>
      <w:szCs w:val="24"/>
      <w:lang w:val="en-US" w:eastAsia="zh-CN" w:bidi="ar-SA"/>
    </w:rPr>
  </w:style>
  <w:style w:type="paragraph" w:styleId="5">
    <w:name w:val="heading 1"/>
    <w:basedOn w:val="1"/>
    <w:next w:val="1"/>
    <w:link w:val="43"/>
    <w:qFormat/>
    <w:uiPriority w:val="9"/>
    <w:pPr>
      <w:keepNext/>
      <w:keepLines/>
      <w:spacing w:before="480" w:after="200"/>
      <w:outlineLvl w:val="0"/>
    </w:pPr>
    <w:rPr>
      <w:rFonts w:ascii="等线" w:hAnsi="等线" w:eastAsia="等线" w:cs="等线"/>
      <w:sz w:val="40"/>
      <w:szCs w:val="40"/>
    </w:rPr>
  </w:style>
  <w:style w:type="paragraph" w:styleId="6">
    <w:name w:val="heading 2"/>
    <w:basedOn w:val="1"/>
    <w:next w:val="1"/>
    <w:link w:val="44"/>
    <w:unhideWhenUsed/>
    <w:qFormat/>
    <w:uiPriority w:val="9"/>
    <w:pPr>
      <w:keepNext/>
      <w:keepLines/>
      <w:spacing w:before="360" w:after="200"/>
      <w:outlineLvl w:val="1"/>
    </w:pPr>
    <w:rPr>
      <w:rFonts w:ascii="等线" w:hAnsi="等线" w:eastAsia="等线" w:cs="等线"/>
      <w:sz w:val="34"/>
    </w:rPr>
  </w:style>
  <w:style w:type="paragraph" w:styleId="7">
    <w:name w:val="heading 3"/>
    <w:basedOn w:val="1"/>
    <w:next w:val="1"/>
    <w:link w:val="45"/>
    <w:unhideWhenUsed/>
    <w:qFormat/>
    <w:uiPriority w:val="9"/>
    <w:pPr>
      <w:keepNext/>
      <w:keepLines/>
      <w:spacing w:before="320" w:after="200"/>
      <w:outlineLvl w:val="2"/>
    </w:pPr>
    <w:rPr>
      <w:rFonts w:ascii="等线" w:hAnsi="等线" w:eastAsia="等线" w:cs="等线"/>
      <w:sz w:val="30"/>
      <w:szCs w:val="30"/>
    </w:rPr>
  </w:style>
  <w:style w:type="paragraph" w:styleId="8">
    <w:name w:val="heading 4"/>
    <w:basedOn w:val="1"/>
    <w:next w:val="1"/>
    <w:link w:val="46"/>
    <w:unhideWhenUsed/>
    <w:qFormat/>
    <w:uiPriority w:val="9"/>
    <w:pPr>
      <w:keepNext/>
      <w:keepLines/>
      <w:spacing w:before="320" w:after="200"/>
      <w:outlineLvl w:val="3"/>
    </w:pPr>
    <w:rPr>
      <w:rFonts w:ascii="等线" w:hAnsi="等线" w:eastAsia="等线" w:cs="等线"/>
      <w:b/>
      <w:bCs/>
      <w:sz w:val="26"/>
      <w:szCs w:val="26"/>
    </w:rPr>
  </w:style>
  <w:style w:type="paragraph" w:styleId="9">
    <w:name w:val="heading 5"/>
    <w:basedOn w:val="1"/>
    <w:next w:val="1"/>
    <w:link w:val="47"/>
    <w:unhideWhenUsed/>
    <w:qFormat/>
    <w:uiPriority w:val="9"/>
    <w:pPr>
      <w:keepNext/>
      <w:keepLines/>
      <w:spacing w:before="320" w:after="200"/>
      <w:outlineLvl w:val="4"/>
    </w:pPr>
    <w:rPr>
      <w:rFonts w:ascii="等线" w:hAnsi="等线" w:eastAsia="等线" w:cs="等线"/>
      <w:b/>
      <w:bCs/>
      <w:sz w:val="24"/>
    </w:rPr>
  </w:style>
  <w:style w:type="paragraph" w:styleId="10">
    <w:name w:val="heading 6"/>
    <w:basedOn w:val="1"/>
    <w:next w:val="1"/>
    <w:link w:val="48"/>
    <w:unhideWhenUsed/>
    <w:qFormat/>
    <w:uiPriority w:val="9"/>
    <w:pPr>
      <w:keepNext/>
      <w:keepLines/>
      <w:spacing w:before="320" w:after="200"/>
      <w:outlineLvl w:val="5"/>
    </w:pPr>
    <w:rPr>
      <w:rFonts w:ascii="等线" w:hAnsi="等线" w:eastAsia="等线" w:cs="等线"/>
      <w:b/>
      <w:bCs/>
      <w:sz w:val="22"/>
      <w:szCs w:val="22"/>
    </w:rPr>
  </w:style>
  <w:style w:type="paragraph" w:styleId="11">
    <w:name w:val="heading 7"/>
    <w:basedOn w:val="1"/>
    <w:next w:val="1"/>
    <w:link w:val="49"/>
    <w:unhideWhenUsed/>
    <w:qFormat/>
    <w:uiPriority w:val="9"/>
    <w:pPr>
      <w:keepNext/>
      <w:keepLines/>
      <w:spacing w:before="320" w:after="200"/>
      <w:outlineLvl w:val="6"/>
    </w:pPr>
    <w:rPr>
      <w:rFonts w:ascii="等线" w:hAnsi="等线" w:eastAsia="等线" w:cs="等线"/>
      <w:b/>
      <w:bCs/>
      <w:i/>
      <w:iCs/>
      <w:sz w:val="22"/>
      <w:szCs w:val="22"/>
    </w:rPr>
  </w:style>
  <w:style w:type="paragraph" w:styleId="12">
    <w:name w:val="heading 8"/>
    <w:basedOn w:val="1"/>
    <w:next w:val="1"/>
    <w:link w:val="50"/>
    <w:unhideWhenUsed/>
    <w:qFormat/>
    <w:uiPriority w:val="9"/>
    <w:pPr>
      <w:keepNext/>
      <w:keepLines/>
      <w:spacing w:before="320" w:after="200"/>
      <w:outlineLvl w:val="7"/>
    </w:pPr>
    <w:rPr>
      <w:rFonts w:ascii="等线" w:hAnsi="等线" w:eastAsia="等线" w:cs="等线"/>
      <w:i/>
      <w:iCs/>
      <w:sz w:val="22"/>
      <w:szCs w:val="22"/>
    </w:rPr>
  </w:style>
  <w:style w:type="paragraph" w:styleId="13">
    <w:name w:val="heading 9"/>
    <w:basedOn w:val="1"/>
    <w:next w:val="1"/>
    <w:link w:val="51"/>
    <w:unhideWhenUsed/>
    <w:qFormat/>
    <w:uiPriority w:val="9"/>
    <w:pPr>
      <w:keepNext/>
      <w:keepLines/>
      <w:spacing w:before="320" w:after="200"/>
      <w:outlineLvl w:val="8"/>
    </w:pPr>
    <w:rPr>
      <w:rFonts w:ascii="等线" w:hAnsi="等线" w:eastAsia="等线" w:cs="等线"/>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88"/>
    <w:unhideWhenUsed/>
    <w:qFormat/>
    <w:uiPriority w:val="99"/>
    <w:pPr>
      <w:spacing w:after="40"/>
    </w:pPr>
    <w:rPr>
      <w:sz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14">
    <w:name w:val="toc 7"/>
    <w:basedOn w:val="1"/>
    <w:next w:val="1"/>
    <w:unhideWhenUsed/>
    <w:qFormat/>
    <w:uiPriority w:val="39"/>
    <w:pPr>
      <w:spacing w:after="57"/>
      <w:ind w:left="1701"/>
    </w:pPr>
  </w:style>
  <w:style w:type="paragraph" w:styleId="15">
    <w:name w:val="List Number"/>
    <w:basedOn w:val="1"/>
    <w:semiHidden/>
    <w:unhideWhenUsed/>
    <w:qFormat/>
    <w:uiPriority w:val="99"/>
    <w:pPr>
      <w:numPr>
        <w:ilvl w:val="0"/>
        <w:numId w:val="1"/>
      </w:numPr>
    </w:pPr>
  </w:style>
  <w:style w:type="paragraph" w:styleId="16">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7">
    <w:name w:val="annotation text"/>
    <w:basedOn w:val="1"/>
    <w:semiHidden/>
    <w:unhideWhenUsed/>
    <w:qFormat/>
    <w:uiPriority w:val="99"/>
    <w:pPr>
      <w:jc w:val="left"/>
    </w:pPr>
  </w:style>
  <w:style w:type="paragraph" w:styleId="18">
    <w:name w:val="Body Text"/>
    <w:basedOn w:val="1"/>
    <w:link w:val="228"/>
    <w:unhideWhenUsed/>
    <w:qFormat/>
    <w:uiPriority w:val="99"/>
    <w:pPr>
      <w:spacing w:after="12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next w:val="19"/>
    <w:link w:val="229"/>
    <w:qFormat/>
    <w:uiPriority w:val="99"/>
    <w:rPr>
      <w:rFonts w:ascii="宋体" w:hAnsi="Courier New"/>
      <w:sz w:val="20"/>
      <w:szCs w:val="21"/>
    </w:rPr>
  </w:style>
  <w:style w:type="paragraph" w:styleId="22">
    <w:name w:val="toc 8"/>
    <w:basedOn w:val="1"/>
    <w:next w:val="1"/>
    <w:unhideWhenUsed/>
    <w:qFormat/>
    <w:uiPriority w:val="39"/>
    <w:pPr>
      <w:spacing w:after="57"/>
      <w:ind w:left="1984"/>
    </w:pPr>
  </w:style>
  <w:style w:type="paragraph" w:styleId="23">
    <w:name w:val="endnote text"/>
    <w:basedOn w:val="1"/>
    <w:link w:val="189"/>
    <w:semiHidden/>
    <w:unhideWhenUsed/>
    <w:qFormat/>
    <w:uiPriority w:val="99"/>
    <w:rPr>
      <w:sz w:val="20"/>
    </w:rPr>
  </w:style>
  <w:style w:type="paragraph" w:styleId="24">
    <w:name w:val="Balloon Text"/>
    <w:basedOn w:val="1"/>
    <w:link w:val="227"/>
    <w:semiHidden/>
    <w:unhideWhenUsed/>
    <w:qFormat/>
    <w:uiPriority w:val="99"/>
    <w:rPr>
      <w:sz w:val="18"/>
      <w:szCs w:val="18"/>
    </w:rPr>
  </w:style>
  <w:style w:type="paragraph" w:styleId="25">
    <w:name w:val="footer"/>
    <w:basedOn w:val="1"/>
    <w:next w:val="1"/>
    <w:link w:val="62"/>
    <w:unhideWhenUsed/>
    <w:qFormat/>
    <w:uiPriority w:val="99"/>
    <w:pPr>
      <w:tabs>
        <w:tab w:val="center" w:pos="7143"/>
        <w:tab w:val="right" w:pos="14287"/>
      </w:tabs>
    </w:pPr>
  </w:style>
  <w:style w:type="paragraph" w:styleId="26">
    <w:name w:val="header"/>
    <w:basedOn w:val="1"/>
    <w:link w:val="60"/>
    <w:unhideWhenUsed/>
    <w:qFormat/>
    <w:uiPriority w:val="99"/>
    <w:pPr>
      <w:tabs>
        <w:tab w:val="center" w:pos="7143"/>
        <w:tab w:val="right" w:pos="14287"/>
      </w:tabs>
    </w:pPr>
  </w:style>
  <w:style w:type="paragraph" w:styleId="27">
    <w:name w:val="toc 1"/>
    <w:basedOn w:val="1"/>
    <w:next w:val="1"/>
    <w:unhideWhenUsed/>
    <w:qFormat/>
    <w:uiPriority w:val="39"/>
    <w:pPr>
      <w:spacing w:after="57"/>
    </w:pPr>
  </w:style>
  <w:style w:type="paragraph" w:styleId="28">
    <w:name w:val="toc 4"/>
    <w:basedOn w:val="1"/>
    <w:next w:val="1"/>
    <w:unhideWhenUsed/>
    <w:qFormat/>
    <w:uiPriority w:val="39"/>
    <w:pPr>
      <w:spacing w:after="57"/>
      <w:ind w:left="850"/>
    </w:pPr>
  </w:style>
  <w:style w:type="paragraph" w:styleId="29">
    <w:name w:val="Subtitle"/>
    <w:basedOn w:val="1"/>
    <w:next w:val="1"/>
    <w:link w:val="55"/>
    <w:qFormat/>
    <w:uiPriority w:val="11"/>
    <w:pPr>
      <w:spacing w:before="200" w:after="200"/>
    </w:pPr>
    <w:rPr>
      <w:sz w:val="24"/>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Title"/>
    <w:basedOn w:val="1"/>
    <w:next w:val="1"/>
    <w:link w:val="54"/>
    <w:qFormat/>
    <w:uiPriority w:val="10"/>
    <w:pPr>
      <w:spacing w:before="300" w:after="200"/>
      <w:contextualSpacing/>
    </w:pPr>
    <w:rPr>
      <w:sz w:val="48"/>
      <w:szCs w:val="48"/>
    </w:r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paragraph" w:customStyle="1" w:styleId="42">
    <w:name w:val="列表编号1"/>
    <w:basedOn w:val="1"/>
    <w:qFormat/>
    <w:uiPriority w:val="0"/>
    <w:pPr>
      <w:numPr>
        <w:ilvl w:val="0"/>
        <w:numId w:val="2"/>
      </w:numPr>
    </w:pPr>
  </w:style>
  <w:style w:type="character" w:customStyle="1" w:styleId="43">
    <w:name w:val="标题 1 Char"/>
    <w:link w:val="5"/>
    <w:qFormat/>
    <w:uiPriority w:val="9"/>
    <w:rPr>
      <w:rFonts w:ascii="等线" w:hAnsi="等线" w:eastAsia="等线" w:cs="等线"/>
      <w:sz w:val="40"/>
      <w:szCs w:val="40"/>
    </w:rPr>
  </w:style>
  <w:style w:type="character" w:customStyle="1" w:styleId="44">
    <w:name w:val="标题 2 Char"/>
    <w:link w:val="6"/>
    <w:qFormat/>
    <w:uiPriority w:val="9"/>
    <w:rPr>
      <w:rFonts w:ascii="等线" w:hAnsi="等线" w:eastAsia="等线" w:cs="等线"/>
      <w:sz w:val="34"/>
    </w:rPr>
  </w:style>
  <w:style w:type="character" w:customStyle="1" w:styleId="45">
    <w:name w:val="标题 3 Char"/>
    <w:link w:val="7"/>
    <w:qFormat/>
    <w:uiPriority w:val="9"/>
    <w:rPr>
      <w:rFonts w:ascii="等线" w:hAnsi="等线" w:eastAsia="等线" w:cs="等线"/>
      <w:sz w:val="30"/>
      <w:szCs w:val="30"/>
    </w:rPr>
  </w:style>
  <w:style w:type="character" w:customStyle="1" w:styleId="46">
    <w:name w:val="标题 4 Char"/>
    <w:link w:val="8"/>
    <w:qFormat/>
    <w:uiPriority w:val="9"/>
    <w:rPr>
      <w:rFonts w:ascii="等线" w:hAnsi="等线" w:eastAsia="等线" w:cs="等线"/>
      <w:b/>
      <w:bCs/>
      <w:sz w:val="26"/>
      <w:szCs w:val="26"/>
    </w:rPr>
  </w:style>
  <w:style w:type="character" w:customStyle="1" w:styleId="47">
    <w:name w:val="标题 5 Char"/>
    <w:link w:val="9"/>
    <w:qFormat/>
    <w:uiPriority w:val="9"/>
    <w:rPr>
      <w:rFonts w:ascii="等线" w:hAnsi="等线" w:eastAsia="等线" w:cs="等线"/>
      <w:b/>
      <w:bCs/>
      <w:sz w:val="24"/>
      <w:szCs w:val="24"/>
    </w:rPr>
  </w:style>
  <w:style w:type="character" w:customStyle="1" w:styleId="48">
    <w:name w:val="标题 6 Char"/>
    <w:link w:val="10"/>
    <w:qFormat/>
    <w:uiPriority w:val="9"/>
    <w:rPr>
      <w:rFonts w:ascii="等线" w:hAnsi="等线" w:eastAsia="等线" w:cs="等线"/>
      <w:b/>
      <w:bCs/>
      <w:sz w:val="22"/>
      <w:szCs w:val="22"/>
    </w:rPr>
  </w:style>
  <w:style w:type="character" w:customStyle="1" w:styleId="49">
    <w:name w:val="标题 7 Char"/>
    <w:link w:val="11"/>
    <w:qFormat/>
    <w:uiPriority w:val="9"/>
    <w:rPr>
      <w:rFonts w:ascii="等线" w:hAnsi="等线" w:eastAsia="等线" w:cs="等线"/>
      <w:b/>
      <w:bCs/>
      <w:i/>
      <w:iCs/>
      <w:sz w:val="22"/>
      <w:szCs w:val="22"/>
    </w:rPr>
  </w:style>
  <w:style w:type="character" w:customStyle="1" w:styleId="50">
    <w:name w:val="标题 8 Char"/>
    <w:link w:val="12"/>
    <w:qFormat/>
    <w:uiPriority w:val="9"/>
    <w:rPr>
      <w:rFonts w:ascii="等线" w:hAnsi="等线" w:eastAsia="等线" w:cs="等线"/>
      <w:i/>
      <w:iCs/>
      <w:sz w:val="22"/>
      <w:szCs w:val="22"/>
    </w:rPr>
  </w:style>
  <w:style w:type="character" w:customStyle="1" w:styleId="51">
    <w:name w:val="标题 9 Char"/>
    <w:link w:val="13"/>
    <w:qFormat/>
    <w:uiPriority w:val="9"/>
    <w:rPr>
      <w:rFonts w:ascii="等线" w:hAnsi="等线" w:eastAsia="等线" w:cs="等线"/>
      <w:i/>
      <w:iCs/>
      <w:sz w:val="21"/>
      <w:szCs w:val="21"/>
    </w:rPr>
  </w:style>
  <w:style w:type="paragraph" w:styleId="52">
    <w:name w:val="List Paragraph"/>
    <w:basedOn w:val="1"/>
    <w:qFormat/>
    <w:uiPriority w:val="34"/>
    <w:pPr>
      <w:ind w:left="720"/>
      <w:contextualSpacing/>
    </w:pPr>
  </w:style>
  <w:style w:type="paragraph" w:styleId="53">
    <w:name w:val="No Spacing"/>
    <w:qFormat/>
    <w:uiPriority w:val="1"/>
    <w:rPr>
      <w:rFonts w:ascii="Calibri" w:hAnsi="Calibri" w:eastAsia="宋体" w:cs="Times New Roman"/>
      <w:lang w:val="en-US" w:eastAsia="zh-CN" w:bidi="ar-SA"/>
    </w:rPr>
  </w:style>
  <w:style w:type="character" w:customStyle="1" w:styleId="54">
    <w:name w:val="标题 Char"/>
    <w:link w:val="34"/>
    <w:qFormat/>
    <w:uiPriority w:val="10"/>
    <w:rPr>
      <w:sz w:val="48"/>
      <w:szCs w:val="48"/>
    </w:rPr>
  </w:style>
  <w:style w:type="character" w:customStyle="1" w:styleId="55">
    <w:name w:val="副标题 Char"/>
    <w:link w:val="29"/>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引用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9">
    <w:name w:val="明显引用 Char"/>
    <w:link w:val="58"/>
    <w:qFormat/>
    <w:uiPriority w:val="30"/>
    <w:rPr>
      <w:i/>
    </w:rPr>
  </w:style>
  <w:style w:type="character" w:customStyle="1" w:styleId="60">
    <w:name w:val="页眉 Char"/>
    <w:link w:val="26"/>
    <w:qFormat/>
    <w:uiPriority w:val="99"/>
  </w:style>
  <w:style w:type="character" w:customStyle="1" w:styleId="61">
    <w:name w:val="Footer Char"/>
    <w:qFormat/>
    <w:uiPriority w:val="99"/>
  </w:style>
  <w:style w:type="character" w:customStyle="1" w:styleId="62">
    <w:name w:val="页脚 Char"/>
    <w:link w:val="25"/>
    <w:qFormat/>
    <w:uiPriority w:val="99"/>
  </w:style>
  <w:style w:type="table" w:customStyle="1" w:styleId="6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4">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5">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6">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0">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1">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2">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3">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4">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5">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6">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2">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9">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0">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1">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2">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3">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4">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8">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1">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5">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8">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5">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6">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7">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8">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9">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0">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1">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2">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4">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5">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6">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7">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8">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9">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0">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1">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2">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3">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5">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6">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7">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8">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0">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1">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2">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3">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4">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1">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4">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5">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7">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8">
    <w:name w:val="脚注文本 Char"/>
    <w:link w:val="2"/>
    <w:qFormat/>
    <w:uiPriority w:val="99"/>
    <w:rPr>
      <w:sz w:val="18"/>
    </w:rPr>
  </w:style>
  <w:style w:type="character" w:customStyle="1" w:styleId="189">
    <w:name w:val="尾注文本 Char"/>
    <w:link w:val="23"/>
    <w:qFormat/>
    <w:uiPriority w:val="99"/>
    <w:rPr>
      <w:sz w:val="20"/>
    </w:rPr>
  </w:style>
  <w:style w:type="paragraph" w:customStyle="1" w:styleId="190">
    <w:name w:val="TOC 标题1"/>
    <w:unhideWhenUsed/>
    <w:qFormat/>
    <w:uiPriority w:val="39"/>
    <w:rPr>
      <w:rFonts w:ascii="Calibri" w:hAnsi="Calibri" w:eastAsia="宋体" w:cs="Times New Roman"/>
      <w:lang w:val="en-US" w:eastAsia="zh-CN" w:bidi="ar-SA"/>
    </w:rPr>
  </w:style>
  <w:style w:type="paragraph" w:customStyle="1" w:styleId="191">
    <w:name w:val="标题 11"/>
    <w:basedOn w:val="1"/>
    <w:next w:val="1"/>
    <w:link w:val="198"/>
    <w:qFormat/>
    <w:uiPriority w:val="0"/>
    <w:pPr>
      <w:keepNext/>
      <w:keepLines/>
      <w:spacing w:before="340" w:after="330" w:line="578" w:lineRule="auto"/>
      <w:outlineLvl w:val="0"/>
    </w:pPr>
    <w:rPr>
      <w:b/>
      <w:bCs/>
      <w:sz w:val="44"/>
      <w:szCs w:val="44"/>
    </w:rPr>
  </w:style>
  <w:style w:type="paragraph" w:customStyle="1" w:styleId="192">
    <w:name w:val="标题 21"/>
    <w:basedOn w:val="1"/>
    <w:next w:val="1"/>
    <w:link w:val="199"/>
    <w:qFormat/>
    <w:uiPriority w:val="0"/>
    <w:pPr>
      <w:keepNext/>
      <w:spacing w:before="240" w:after="60"/>
      <w:outlineLvl w:val="1"/>
    </w:pPr>
    <w:rPr>
      <w:rFonts w:ascii="Arial" w:hAnsi="Arial"/>
      <w:b/>
      <w:i/>
    </w:rPr>
  </w:style>
  <w:style w:type="character" w:customStyle="1" w:styleId="193">
    <w:name w:val="默认段落字体1"/>
    <w:semiHidden/>
    <w:qFormat/>
    <w:uiPriority w:val="0"/>
  </w:style>
  <w:style w:type="table" w:customStyle="1" w:styleId="194">
    <w:name w:val="普通表格1"/>
    <w:semiHidden/>
    <w:qFormat/>
    <w:uiPriority w:val="0"/>
    <w:tblPr>
      <w:tblCellMar>
        <w:top w:w="0" w:type="dxa"/>
        <w:left w:w="0" w:type="dxa"/>
        <w:bottom w:w="0" w:type="dxa"/>
        <w:right w:w="0" w:type="dxa"/>
      </w:tblCellMar>
    </w:tblPr>
  </w:style>
  <w:style w:type="paragraph" w:customStyle="1" w:styleId="195">
    <w:name w:val="脚注文本1"/>
    <w:basedOn w:val="1"/>
    <w:next w:val="196"/>
    <w:semiHidden/>
    <w:qFormat/>
    <w:uiPriority w:val="0"/>
    <w:pPr>
      <w:jc w:val="left"/>
    </w:pPr>
    <w:rPr>
      <w:sz w:val="18"/>
      <w:szCs w:val="18"/>
    </w:rPr>
  </w:style>
  <w:style w:type="paragraph" w:customStyle="1" w:styleId="196">
    <w:name w:val="正文首行缩进 21"/>
    <w:basedOn w:val="197"/>
    <w:unhideWhenUsed/>
    <w:qFormat/>
    <w:uiPriority w:val="99"/>
    <w:pPr>
      <w:ind w:firstLine="420"/>
    </w:pPr>
  </w:style>
  <w:style w:type="paragraph" w:customStyle="1" w:styleId="197">
    <w:name w:val="正文文本缩进1"/>
    <w:basedOn w:val="1"/>
    <w:next w:val="196"/>
    <w:qFormat/>
    <w:uiPriority w:val="0"/>
    <w:pPr>
      <w:spacing w:after="120"/>
    </w:pPr>
    <w:rPr>
      <w:rFonts w:ascii="仿宋_GB2312"/>
      <w:szCs w:val="32"/>
    </w:rPr>
  </w:style>
  <w:style w:type="character" w:customStyle="1" w:styleId="198">
    <w:name w:val="标题 1 字符"/>
    <w:link w:val="191"/>
    <w:qFormat/>
    <w:uiPriority w:val="9"/>
    <w:rPr>
      <w:b/>
      <w:bCs/>
      <w:sz w:val="44"/>
      <w:szCs w:val="44"/>
    </w:rPr>
  </w:style>
  <w:style w:type="character" w:customStyle="1" w:styleId="199">
    <w:name w:val="标题 2 字符"/>
    <w:link w:val="192"/>
    <w:qFormat/>
    <w:uiPriority w:val="9"/>
    <w:rPr>
      <w:rFonts w:ascii="Arial" w:hAnsi="Arial"/>
      <w:b/>
      <w:i/>
    </w:rPr>
  </w:style>
  <w:style w:type="paragraph" w:customStyle="1" w:styleId="200">
    <w:name w:val="批注文字1"/>
    <w:basedOn w:val="1"/>
    <w:link w:val="201"/>
    <w:qFormat/>
    <w:uiPriority w:val="0"/>
    <w:pPr>
      <w:jc w:val="left"/>
    </w:pPr>
  </w:style>
  <w:style w:type="character" w:customStyle="1" w:styleId="201">
    <w:name w:val="批注文字 字符"/>
    <w:link w:val="200"/>
    <w:qFormat/>
    <w:uiPriority w:val="0"/>
    <w:rPr>
      <w:rFonts w:eastAsia="仿宋_GB2312"/>
      <w:sz w:val="32"/>
      <w:szCs w:val="24"/>
    </w:rPr>
  </w:style>
  <w:style w:type="paragraph" w:customStyle="1" w:styleId="202">
    <w:name w:val="正文文本1"/>
    <w:basedOn w:val="1"/>
    <w:qFormat/>
    <w:uiPriority w:val="0"/>
    <w:pPr>
      <w:spacing w:before="93"/>
    </w:pPr>
    <w:rPr>
      <w:rFonts w:ascii="仿宋_GB2312"/>
      <w:sz w:val="30"/>
    </w:rPr>
  </w:style>
  <w:style w:type="paragraph" w:customStyle="1" w:styleId="203">
    <w:name w:val="日期1"/>
    <w:basedOn w:val="1"/>
    <w:next w:val="1"/>
    <w:qFormat/>
    <w:uiPriority w:val="0"/>
    <w:pPr>
      <w:ind w:left="100"/>
    </w:pPr>
  </w:style>
  <w:style w:type="paragraph" w:customStyle="1" w:styleId="204">
    <w:name w:val="正文文本缩进 21"/>
    <w:basedOn w:val="1"/>
    <w:qFormat/>
    <w:uiPriority w:val="0"/>
    <w:pPr>
      <w:spacing w:line="360" w:lineRule="auto"/>
      <w:ind w:firstLine="630"/>
    </w:pPr>
    <w:rPr>
      <w:rFonts w:ascii="楷体_GB2312" w:eastAsia="楷体_GB2312"/>
      <w:sz w:val="30"/>
    </w:rPr>
  </w:style>
  <w:style w:type="paragraph" w:customStyle="1" w:styleId="205">
    <w:name w:val="批注框文本1"/>
    <w:basedOn w:val="1"/>
    <w:semiHidden/>
    <w:qFormat/>
    <w:uiPriority w:val="0"/>
    <w:rPr>
      <w:sz w:val="18"/>
      <w:szCs w:val="18"/>
    </w:rPr>
  </w:style>
  <w:style w:type="paragraph" w:customStyle="1" w:styleId="206">
    <w:name w:val="页脚1"/>
    <w:basedOn w:val="1"/>
    <w:qFormat/>
    <w:uiPriority w:val="0"/>
    <w:pPr>
      <w:tabs>
        <w:tab w:val="center" w:pos="4153"/>
        <w:tab w:val="right" w:pos="8306"/>
      </w:tabs>
      <w:jc w:val="left"/>
    </w:pPr>
    <w:rPr>
      <w:sz w:val="18"/>
      <w:szCs w:val="18"/>
    </w:rPr>
  </w:style>
  <w:style w:type="paragraph" w:customStyle="1" w:styleId="20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8">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9">
    <w:name w:val="目录 21"/>
    <w:basedOn w:val="1"/>
    <w:next w:val="1"/>
    <w:unhideWhenUsed/>
    <w:qFormat/>
    <w:uiPriority w:val="39"/>
    <w:pPr>
      <w:tabs>
        <w:tab w:val="right" w:leader="dot" w:pos="8296"/>
      </w:tabs>
      <w:ind w:left="420"/>
    </w:pPr>
  </w:style>
  <w:style w:type="paragraph" w:customStyle="1" w:styleId="210">
    <w:name w:val="批注主题1"/>
    <w:basedOn w:val="200"/>
    <w:next w:val="200"/>
    <w:link w:val="211"/>
    <w:qFormat/>
    <w:uiPriority w:val="0"/>
    <w:rPr>
      <w:b/>
      <w:bCs/>
    </w:rPr>
  </w:style>
  <w:style w:type="character" w:customStyle="1" w:styleId="211">
    <w:name w:val="批注主题 字符"/>
    <w:link w:val="210"/>
    <w:qFormat/>
    <w:uiPriority w:val="0"/>
    <w:rPr>
      <w:rFonts w:eastAsia="仿宋_GB2312"/>
      <w:b/>
      <w:bCs/>
      <w:sz w:val="32"/>
      <w:szCs w:val="24"/>
    </w:rPr>
  </w:style>
  <w:style w:type="table" w:customStyle="1" w:styleId="212">
    <w:name w:val="网格型1"/>
    <w:basedOn w:val="194"/>
    <w:qFormat/>
    <w:uiPriority w:val="0"/>
    <w:pPr>
      <w:widowControl w:val="0"/>
      <w:jc w:val="both"/>
    </w:pPr>
    <w:tblPr>
      <w:tblCellMar>
        <w:top w:w="0" w:type="dxa"/>
        <w:left w:w="0" w:type="dxa"/>
        <w:bottom w:w="0" w:type="dxa"/>
        <w:right w:w="0" w:type="dxa"/>
      </w:tblCellMar>
    </w:tblPr>
  </w:style>
  <w:style w:type="character" w:customStyle="1" w:styleId="213">
    <w:name w:val="要点1"/>
    <w:qFormat/>
    <w:uiPriority w:val="0"/>
    <w:rPr>
      <w:b/>
      <w:bCs/>
    </w:rPr>
  </w:style>
  <w:style w:type="character" w:customStyle="1" w:styleId="214">
    <w:name w:val="页码1"/>
    <w:qFormat/>
    <w:uiPriority w:val="0"/>
  </w:style>
  <w:style w:type="character" w:customStyle="1" w:styleId="215">
    <w:name w:val="超链接1"/>
    <w:unhideWhenUsed/>
    <w:qFormat/>
    <w:uiPriority w:val="99"/>
    <w:rPr>
      <w:color w:val="0000FF"/>
      <w:u w:val="single"/>
    </w:rPr>
  </w:style>
  <w:style w:type="character" w:customStyle="1" w:styleId="216">
    <w:name w:val="批注引用1"/>
    <w:qFormat/>
    <w:uiPriority w:val="0"/>
    <w:rPr>
      <w:sz w:val="21"/>
      <w:szCs w:val="21"/>
    </w:rPr>
  </w:style>
  <w:style w:type="paragraph" w:customStyle="1" w:styleId="217">
    <w:name w:val="章标题"/>
    <w:basedOn w:val="1"/>
    <w:next w:val="218"/>
    <w:qFormat/>
    <w:uiPriority w:val="0"/>
    <w:pPr>
      <w:widowControl/>
      <w:spacing w:before="158" w:after="153" w:line="323" w:lineRule="atLeast"/>
      <w:ind w:right="-120"/>
      <w:jc w:val="center"/>
    </w:pPr>
    <w:rPr>
      <w:color w:val="FF0000"/>
      <w:sz w:val="18"/>
      <w:szCs w:val="18"/>
    </w:rPr>
  </w:style>
  <w:style w:type="paragraph" w:customStyle="1" w:styleId="218">
    <w:name w:val="节标题"/>
    <w:basedOn w:val="1"/>
    <w:next w:val="1"/>
    <w:qFormat/>
    <w:uiPriority w:val="0"/>
    <w:pPr>
      <w:widowControl/>
      <w:spacing w:line="289" w:lineRule="atLeast"/>
      <w:jc w:val="center"/>
    </w:pPr>
    <w:rPr>
      <w:color w:val="000000"/>
      <w:sz w:val="28"/>
      <w:szCs w:val="28"/>
    </w:rPr>
  </w:style>
  <w:style w:type="paragraph" w:customStyle="1" w:styleId="219">
    <w:name w:val="Char Char3 Char Char Char Char Char Char Char Char"/>
    <w:basedOn w:val="1"/>
    <w:next w:val="1"/>
    <w:qFormat/>
    <w:uiPriority w:val="0"/>
    <w:pPr>
      <w:spacing w:line="240" w:lineRule="atLeast"/>
      <w:ind w:left="420" w:firstLine="420"/>
      <w:jc w:val="left"/>
    </w:pPr>
    <w:rPr>
      <w:rFonts w:eastAsia="宋体"/>
      <w:sz w:val="21"/>
      <w:szCs w:val="21"/>
    </w:rPr>
  </w:style>
  <w:style w:type="paragraph" w:customStyle="1" w:styleId="220">
    <w:name w:val="列表段落"/>
    <w:basedOn w:val="1"/>
    <w:qFormat/>
    <w:uiPriority w:val="34"/>
    <w:pPr>
      <w:ind w:firstLine="420"/>
    </w:pPr>
  </w:style>
  <w:style w:type="paragraph" w:customStyle="1" w:styleId="221">
    <w:name w:val="Default"/>
    <w:qFormat/>
    <w:uiPriority w:val="0"/>
    <w:pPr>
      <w:widowControl w:val="0"/>
    </w:pPr>
    <w:rPr>
      <w:rFonts w:ascii="仿宋" w:hAnsi="Calibri" w:eastAsia="仿宋" w:cs="仿宋"/>
      <w:color w:val="000000"/>
      <w:sz w:val="24"/>
      <w:szCs w:val="24"/>
      <w:lang w:val="en-US" w:eastAsia="zh-CN" w:bidi="ar-SA"/>
    </w:rPr>
  </w:style>
  <w:style w:type="paragraph" w:customStyle="1" w:styleId="222">
    <w:name w:val="四号正文"/>
    <w:basedOn w:val="1"/>
    <w:qFormat/>
    <w:uiPriority w:val="0"/>
    <w:pPr>
      <w:spacing w:line="360" w:lineRule="auto"/>
    </w:pPr>
    <w:rPr>
      <w:rFonts w:ascii="??" w:hAnsi="??" w:eastAsia="宋体"/>
      <w:color w:val="000000"/>
      <w:sz w:val="28"/>
      <w:szCs w:val="21"/>
      <w:lang w:val="zh-CN"/>
    </w:rPr>
  </w:style>
  <w:style w:type="paragraph" w:customStyle="1" w:styleId="223">
    <w:name w:val="修订1"/>
    <w:unhideWhenUsed/>
    <w:qFormat/>
    <w:uiPriority w:val="99"/>
    <w:rPr>
      <w:rFonts w:ascii="Calibri" w:hAnsi="Calibri" w:eastAsia="仿宋_GB2312" w:cs="Times New Roman"/>
      <w:sz w:val="32"/>
      <w:szCs w:val="24"/>
      <w:lang w:val="en-US" w:eastAsia="zh-CN" w:bidi="ar-SA"/>
    </w:rPr>
  </w:style>
  <w:style w:type="paragraph" w:customStyle="1" w:styleId="224">
    <w:name w:val="WPSOffice手动目录 1"/>
    <w:qFormat/>
    <w:uiPriority w:val="0"/>
    <w:rPr>
      <w:rFonts w:asciiTheme="minorHAnsi" w:hAnsiTheme="minorHAnsi" w:eastAsiaTheme="minorEastAsia" w:cstheme="minorBidi"/>
      <w:lang w:val="en-US" w:eastAsia="zh-CN" w:bidi="ar-SA"/>
    </w:rPr>
  </w:style>
  <w:style w:type="paragraph" w:customStyle="1" w:styleId="22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2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27">
    <w:name w:val="批注框文本 Char"/>
    <w:basedOn w:val="37"/>
    <w:link w:val="24"/>
    <w:semiHidden/>
    <w:qFormat/>
    <w:uiPriority w:val="99"/>
    <w:rPr>
      <w:rFonts w:ascii="Calibri" w:hAnsi="Calibri" w:eastAsia="仿宋_GB2312" w:cs="Times New Roman"/>
      <w:sz w:val="18"/>
      <w:szCs w:val="18"/>
    </w:rPr>
  </w:style>
  <w:style w:type="character" w:customStyle="1" w:styleId="228">
    <w:name w:val="正文文本 Char"/>
    <w:basedOn w:val="37"/>
    <w:link w:val="18"/>
    <w:qFormat/>
    <w:uiPriority w:val="99"/>
    <w:rPr>
      <w:rFonts w:ascii="Calibri" w:hAnsi="Calibri" w:eastAsia="仿宋_GB2312" w:cs="Times New Roman"/>
      <w:sz w:val="32"/>
      <w:szCs w:val="24"/>
    </w:rPr>
  </w:style>
  <w:style w:type="character" w:customStyle="1" w:styleId="229">
    <w:name w:val="纯文本 Char"/>
    <w:basedOn w:val="37"/>
    <w:link w:val="21"/>
    <w:qFormat/>
    <w:uiPriority w:val="99"/>
    <w:rPr>
      <w:rFonts w:ascii="宋体" w:hAnsi="Courier New" w:eastAsia="仿宋_GB2312" w:cs="Times New Roman"/>
      <w:szCs w:val="21"/>
    </w:rPr>
  </w:style>
  <w:style w:type="character" w:customStyle="1" w:styleId="230">
    <w:name w:val="NormalCharacter"/>
    <w:qFormat/>
    <w:uiPriority w:val="0"/>
  </w:style>
  <w:style w:type="character" w:customStyle="1" w:styleId="231">
    <w:name w:val="font01"/>
    <w:basedOn w:val="37"/>
    <w:qFormat/>
    <w:uiPriority w:val="0"/>
    <w:rPr>
      <w:rFonts w:hint="eastAsia" w:ascii="宋体" w:hAnsi="宋体" w:eastAsia="宋体" w:cs="宋体"/>
      <w:color w:val="000000"/>
      <w:sz w:val="22"/>
      <w:szCs w:val="22"/>
      <w:u w:val="none"/>
    </w:rPr>
  </w:style>
  <w:style w:type="character" w:customStyle="1" w:styleId="232">
    <w:name w:val="font21"/>
    <w:basedOn w:val="37"/>
    <w:qFormat/>
    <w:uiPriority w:val="0"/>
    <w:rPr>
      <w:rFonts w:hint="eastAsia" w:ascii="宋体" w:hAnsi="宋体" w:eastAsia="宋体" w:cs="宋体"/>
      <w:color w:val="FF0000"/>
      <w:sz w:val="22"/>
      <w:szCs w:val="22"/>
      <w:u w:val="none"/>
    </w:rPr>
  </w:style>
  <w:style w:type="paragraph" w:customStyle="1" w:styleId="233">
    <w:name w:val="常用样式（方正仿宋简）"/>
    <w:next w:val="25"/>
    <w:qFormat/>
    <w:uiPriority w:val="99"/>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a:t>
            </a:r>
            <a:endParaRPr lang="zh-CN" altLang="en-US"/>
          </a:p>
        </c:rich>
      </c:tx>
      <c:layout/>
      <c:overlay val="0"/>
      <c:spPr>
        <a:noFill/>
        <a:ln>
          <a:noFill/>
        </a:ln>
        <a:effectLst/>
      </c:spPr>
    </c:title>
    <c:autoTitleDeleted val="0"/>
    <c:plotArea>
      <c:layout>
        <c:manualLayout>
          <c:layoutTarget val="inner"/>
          <c:xMode val="edge"/>
          <c:yMode val="edge"/>
          <c:x val="0.0707"/>
          <c:y val="0.122"/>
          <c:w val="0.9018"/>
          <c:h val="0.717233333333333"/>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收入（万元）</c:v>
                </c:pt>
                <c:pt idx="1">
                  <c:v>支出（万元）</c:v>
                </c:pt>
              </c:strCache>
            </c:strRef>
          </c:cat>
          <c:val>
            <c:numRef>
              <c:f>Sheet1!$B$2:$B$5</c:f>
              <c:numCache>
                <c:formatCode>General</c:formatCode>
                <c:ptCount val="4"/>
                <c:pt idx="0">
                  <c:v>1466.78</c:v>
                </c:pt>
                <c:pt idx="1">
                  <c:v>1466.78</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收入（万元）</c:v>
                </c:pt>
                <c:pt idx="1">
                  <c:v>支出（万元）</c:v>
                </c:pt>
              </c:strCache>
            </c:strRef>
          </c:cat>
          <c:val>
            <c:numRef>
              <c:f>Sheet1!$C$2:$C$5</c:f>
              <c:numCache>
                <c:formatCode>General</c:formatCode>
                <c:ptCount val="4"/>
                <c:pt idx="0">
                  <c:v>1563.63</c:v>
                </c:pt>
                <c:pt idx="1">
                  <c:v>1563.63</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2"/>
                <c:pt idx="0">
                  <c:v>收入（万元）</c:v>
                </c:pt>
                <c:pt idx="1">
                  <c:v>支出（万元）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305642112"/>
        <c:axId val="328188288"/>
      </c:barChart>
      <c:catAx>
        <c:axId val="3056421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188288"/>
        <c:crosses val="autoZero"/>
        <c:auto val="1"/>
        <c:lblAlgn val="ctr"/>
        <c:lblOffset val="100"/>
        <c:noMultiLvlLbl val="0"/>
      </c:catAx>
      <c:valAx>
        <c:axId val="32818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6421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0.07%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1"/>
                <c:pt idx="0">
                  <c:v>一般公共预算财政拨款收入</c:v>
                </c:pt>
              </c:strCache>
            </c:strRef>
          </c:cat>
          <c:val>
            <c:numRef>
              <c:f>Sheet1!$B$2:$B$5</c:f>
              <c:numCache>
                <c:formatCode>General</c:formatCode>
                <c:ptCount val="4"/>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26113691679185"/>
                  <c:y val="-0.130771441556258"/>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26.63%</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73.37%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26.63</c:v>
                </c:pt>
                <c:pt idx="1">
                  <c:v>73.37</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2"/>
                <c:pt idx="0">
                  <c:v>收入（万元）</c:v>
                </c:pt>
                <c:pt idx="1">
                  <c:v>支出（万元）</c:v>
                </c:pt>
              </c:strCache>
            </c:strRef>
          </c:cat>
          <c:val>
            <c:numRef>
              <c:f>Sheet1!$B$2:$B$6</c:f>
              <c:numCache>
                <c:formatCode>General</c:formatCode>
                <c:ptCount val="5"/>
                <c:pt idx="0">
                  <c:v>1466.78</c:v>
                </c:pt>
                <c:pt idx="1">
                  <c:v>1466.78</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2"/>
                <c:pt idx="0">
                  <c:v>收入（万元）</c:v>
                </c:pt>
                <c:pt idx="1">
                  <c:v>支出（万元）</c:v>
                </c:pt>
              </c:strCache>
            </c:strRef>
          </c:cat>
          <c:val>
            <c:numRef>
              <c:f>Sheet1!$C$2:$C$6</c:f>
              <c:numCache>
                <c:formatCode>General</c:formatCode>
                <c:ptCount val="5"/>
                <c:pt idx="0">
                  <c:v>1563.63</c:v>
                </c:pt>
                <c:pt idx="1">
                  <c:v>1563.63</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2"/>
                <c:pt idx="0">
                  <c:v>收入（万元）</c:v>
                </c:pt>
                <c:pt idx="1">
                  <c:v>支出（万元）</c:v>
                </c:pt>
              </c:strCache>
            </c:strRef>
          </c:cat>
          <c:val>
            <c:numRef>
              <c:f>Sheet1!$D$2:$D$6</c:f>
              <c:numCache>
                <c:formatCode>General</c:formatCode>
                <c:ptCount val="5"/>
              </c:numCache>
            </c:numRef>
          </c:val>
        </c:ser>
        <c:dLbls>
          <c:showLegendKey val="0"/>
          <c:showVal val="1"/>
          <c:showCatName val="0"/>
          <c:showSerName val="0"/>
          <c:showPercent val="0"/>
          <c:showBubbleSize val="0"/>
        </c:dLbls>
        <c:gapWidth val="219"/>
        <c:overlap val="-27"/>
        <c:axId val="306455296"/>
        <c:axId val="306456832"/>
      </c:barChart>
      <c:catAx>
        <c:axId val="30645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456832"/>
        <c:crosses val="autoZero"/>
        <c:auto val="1"/>
        <c:lblAlgn val="ctr"/>
        <c:lblOffset val="100"/>
        <c:noMultiLvlLbl val="0"/>
      </c:catAx>
      <c:valAx>
        <c:axId val="30645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4552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1466.78</c:v>
                </c:pt>
                <c:pt idx="1">
                  <c:v>1527.71</c:v>
                </c:pt>
              </c:numCache>
            </c:numRef>
          </c:val>
        </c:ser>
        <c:dLbls>
          <c:showLegendKey val="0"/>
          <c:showVal val="0"/>
          <c:showCatName val="0"/>
          <c:showSerName val="0"/>
          <c:showPercent val="0"/>
          <c:showBubbleSize val="0"/>
        </c:dLbls>
        <c:gapWidth val="219"/>
        <c:overlap val="-27"/>
        <c:axId val="306006272"/>
        <c:axId val="306020352"/>
      </c:barChart>
      <c:catAx>
        <c:axId val="30600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020352"/>
        <c:crosses val="autoZero"/>
        <c:auto val="1"/>
        <c:lblAlgn val="ctr"/>
        <c:lblOffset val="100"/>
        <c:noMultiLvlLbl val="0"/>
      </c:catAx>
      <c:valAx>
        <c:axId val="306020352"/>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w="9525">
            <a:no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006272"/>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97.62%</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1.09%</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0.53%</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0.76%</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13.64%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strCache>
            </c:strRef>
          </c:cat>
          <c:val>
            <c:numRef>
              <c:f>Sheet1!$B$2:$B$6</c:f>
              <c:numCache>
                <c:formatCode>General</c:formatCode>
                <c:ptCount val="5"/>
                <c:pt idx="0">
                  <c:v>97.62</c:v>
                </c:pt>
                <c:pt idx="1">
                  <c:v>1.09</c:v>
                </c:pt>
                <c:pt idx="2">
                  <c:v>0.53</c:v>
                </c:pt>
                <c:pt idx="3">
                  <c:v>0.76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0939254721797"/>
          <c:y val="0.0492148602068173"/>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layout>
                <c:manualLayout>
                  <c:x val="0.0365426247580991"/>
                  <c:y val="-0.14251958816423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100 %</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delete val="1"/>
            </c:dLbl>
            <c:numFmt formatCode="#,##0_ &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91A9F-610E-4D99-8A6A-4C6B4EB2D0F4}">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47</Pages>
  <Words>10138</Words>
  <Characters>10878</Characters>
  <Lines>269</Lines>
  <Paragraphs>75</Paragraphs>
  <TotalTime>24</TotalTime>
  <ScaleCrop>false</ScaleCrop>
  <LinksUpToDate>false</LinksUpToDate>
  <CharactersWithSpaces>11007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2015-09-11T18:15:00Z</dcterms:created>
  <dc:creator>Lenovo</dc:creator>
  <cp:lastModifiedBy>Administrator</cp:lastModifiedBy>
  <dcterms:modified xsi:type="dcterms:W3CDTF">2025-08-26T02:33:45Z</dcterms:modified>
  <dc:title>遂宁市</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KSOTemplateDocerSaveRecord">
    <vt:lpwstr>eyJoZGlkIjoiMmY5ZTQzZDQ3NTQ1N2U0ODgyNTA0ZWM1YWUwZGE0NGIifQ==</vt:lpwstr>
  </property>
  <property fmtid="{D5CDD505-2E9C-101B-9397-08002B2CF9AE}" pid="4" name="ICV">
    <vt:lpwstr>03B007DBE3484C2DAE7CBC06AB34E5C2_13</vt:lpwstr>
  </property>
</Properties>
</file>