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77425"/>
      <w:bookmarkStart w:id="1" w:name="_Toc15396597"/>
      <w:bookmarkStart w:id="2" w:name="_Toc15377193"/>
      <w:bookmarkStart w:id="3" w:name="_Toc15378441"/>
      <w:bookmarkStart w:id="4" w:name="_Toc15396475"/>
      <w:bookmarkStart w:id="5" w:name="_Toc15306267"/>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77426"/>
      <w:bookmarkStart w:id="8" w:name="_Toc15396598"/>
      <w:bookmarkStart w:id="9" w:name="_Toc15377194"/>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w:t>
      </w:r>
    </w:p>
    <w:p>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遂宁市安居区石洞镇中心小学校</w:t>
      </w: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rPr>
        <w:t>日</w:t>
      </w:r>
    </w:p>
    <w:p>
      <w:pPr>
        <w:rPr>
          <w:rFonts w:hint="eastAsia"/>
        </w:rPr>
      </w:pP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10"/>
          <w:szCs w:val="10"/>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16</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pPr>
        <w:rPr>
          <w:rFonts w:hint="eastAsia"/>
        </w:rPr>
      </w:pPr>
    </w:p>
    <w:p>
      <w:pPr>
        <w:rPr>
          <w:rFonts w:hint="eastAsia" w:ascii="Times New Roman" w:hAnsi="Times New Roman" w:eastAsia="方正小标宋简体" w:cs="方正小标宋简体"/>
          <w:b w:val="0"/>
          <w:color w:val="auto"/>
          <w:highlight w:val="none"/>
        </w:rPr>
      </w:pPr>
      <w:bookmarkStart w:id="12" w:name="_Toc7692"/>
      <w:bookmarkStart w:id="13" w:name="_Toc17098"/>
      <w:bookmarkStart w:id="14" w:name="_Toc25258"/>
      <w:bookmarkStart w:id="15" w:name="_Toc15377196"/>
      <w:bookmarkStart w:id="16" w:name="_Toc15396599"/>
      <w:bookmarkStart w:id="17" w:name="_Toc30734"/>
      <w:r>
        <w:rPr>
          <w:rFonts w:hint="eastAsia" w:ascii="Times New Roman" w:hAnsi="Times New Roman" w:eastAsia="方正小标宋简体" w:cs="方正小标宋简体"/>
          <w:b w:val="0"/>
          <w:color w:val="auto"/>
          <w:highlight w:val="none"/>
        </w:rPr>
        <w:br w:type="page"/>
      </w:r>
    </w:p>
    <w:p>
      <w:pPr>
        <w:pStyle w:val="5"/>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bookmarkEnd w:id="14"/>
      <w:bookmarkEnd w:id="15"/>
      <w:bookmarkEnd w:id="16"/>
      <w:bookmarkEnd w:id="17"/>
    </w:p>
    <w:p>
      <w:pPr>
        <w:pStyle w:val="6"/>
        <w:rPr>
          <w:rFonts w:hint="eastAsia" w:ascii="Times New Roman" w:hAnsi="Times New Roman" w:eastAsia="黑体"/>
          <w:b w:val="0"/>
          <w:color w:val="auto"/>
          <w:highlight w:val="none"/>
          <w:lang w:eastAsia="zh-CN"/>
        </w:rPr>
      </w:pPr>
      <w:bookmarkStart w:id="18" w:name="_Toc15377197"/>
      <w:bookmarkStart w:id="19" w:name="_Toc15396600"/>
      <w:bookmarkStart w:id="20" w:name="_Toc608"/>
      <w:bookmarkStart w:id="21" w:name="_Toc32062"/>
      <w:bookmarkStart w:id="22" w:name="_Toc2573"/>
      <w:bookmarkStart w:id="23" w:name="_Toc29961"/>
      <w:r>
        <w:rPr>
          <w:rFonts w:hint="eastAsia" w:ascii="Times New Roman" w:hAnsi="Times New Roman" w:eastAsia="黑体"/>
          <w:b w:val="0"/>
          <w:color w:val="auto"/>
          <w:highlight w:val="none"/>
        </w:rPr>
        <w:t>一、</w:t>
      </w:r>
      <w:bookmarkEnd w:id="18"/>
      <w:bookmarkEnd w:id="19"/>
      <w:r>
        <w:rPr>
          <w:rFonts w:hint="eastAsia" w:ascii="Times New Roman" w:hAnsi="Times New Roman" w:eastAsia="黑体"/>
          <w:b w:val="0"/>
          <w:color w:val="auto"/>
          <w:highlight w:val="none"/>
          <w:lang w:eastAsia="zh-CN"/>
        </w:rPr>
        <w:t>部门职责</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eastAsia="zh-CN"/>
        </w:rPr>
      </w:pPr>
      <w:r>
        <w:rPr>
          <w:rFonts w:hint="eastAsia" w:ascii="仿宋_GB2312" w:hAnsi="仿宋" w:eastAsia="仿宋_GB2312"/>
          <w:sz w:val="32"/>
          <w:szCs w:val="32"/>
          <w:lang w:eastAsia="zh-CN"/>
        </w:rPr>
        <w:t>四川省</w:t>
      </w:r>
      <w:r>
        <w:rPr>
          <w:rFonts w:hint="eastAsia" w:ascii="仿宋_GB2312" w:hAnsi="仿宋" w:eastAsia="仿宋_GB2312"/>
          <w:sz w:val="32"/>
          <w:szCs w:val="32"/>
        </w:rPr>
        <w:t>遂宁市安居区石洞镇中心小学校地处遂宁市安居区</w:t>
      </w:r>
      <w:r>
        <w:rPr>
          <w:rFonts w:hint="eastAsia" w:ascii="仿宋_GB2312" w:hAnsi="仿宋" w:eastAsia="仿宋_GB2312"/>
          <w:sz w:val="32"/>
          <w:szCs w:val="32"/>
          <w:lang w:val="en-US" w:eastAsia="zh-CN"/>
        </w:rPr>
        <w:t>石洞</w:t>
      </w:r>
      <w:r>
        <w:rPr>
          <w:rFonts w:hint="eastAsia" w:ascii="仿宋_GB2312" w:hAnsi="仿宋" w:eastAsia="仿宋_GB2312"/>
          <w:sz w:val="32"/>
          <w:szCs w:val="32"/>
          <w:lang w:eastAsia="zh-CN"/>
        </w:rPr>
        <w:t>镇</w:t>
      </w:r>
      <w:r>
        <w:rPr>
          <w:rFonts w:hint="eastAsia" w:ascii="仿宋_GB2312" w:hAnsi="仿宋" w:eastAsia="仿宋_GB2312"/>
          <w:sz w:val="32"/>
          <w:szCs w:val="32"/>
          <w:lang w:val="en-US" w:eastAsia="zh-CN"/>
        </w:rPr>
        <w:t>桥北街道</w:t>
      </w:r>
      <w:r>
        <w:rPr>
          <w:rFonts w:hint="eastAsia" w:ascii="仿宋_GB2312" w:hAnsi="仿宋" w:eastAsia="仿宋_GB2312"/>
          <w:sz w:val="32"/>
          <w:szCs w:val="32"/>
        </w:rPr>
        <w:t>，占地面积</w:t>
      </w:r>
      <w:r>
        <w:rPr>
          <w:rFonts w:hint="eastAsia" w:ascii="仿宋_GB2312" w:hAnsi="仿宋" w:eastAsia="仿宋_GB2312"/>
          <w:sz w:val="32"/>
          <w:szCs w:val="32"/>
          <w:lang w:val="en-US" w:eastAsia="zh-CN"/>
        </w:rPr>
        <w:t>52000多</w:t>
      </w:r>
      <w:r>
        <w:rPr>
          <w:rFonts w:hint="eastAsia" w:ascii="仿宋_GB2312" w:hAnsi="仿宋" w:eastAsia="仿宋_GB2312"/>
          <w:sz w:val="32"/>
          <w:szCs w:val="32"/>
        </w:rPr>
        <w:t>平方米，</w:t>
      </w:r>
      <w:r>
        <w:rPr>
          <w:rFonts w:hint="eastAsia" w:ascii="仿宋_GB2312" w:hAnsi="仿宋" w:eastAsia="仿宋_GB2312"/>
          <w:sz w:val="32"/>
          <w:szCs w:val="32"/>
          <w:lang w:eastAsia="zh-CN"/>
        </w:rPr>
        <w:t>我校</w:t>
      </w:r>
      <w:r>
        <w:rPr>
          <w:rFonts w:hint="eastAsia" w:ascii="仿宋_GB2312" w:hAnsi="仿宋" w:eastAsia="仿宋_GB2312"/>
          <w:sz w:val="32"/>
          <w:szCs w:val="32"/>
        </w:rPr>
        <w:t>主要服务区域为</w:t>
      </w:r>
      <w:r>
        <w:rPr>
          <w:rFonts w:hint="eastAsia" w:ascii="仿宋_GB2312" w:hAnsi="仿宋" w:eastAsia="仿宋_GB2312"/>
          <w:sz w:val="32"/>
          <w:szCs w:val="32"/>
          <w:lang w:eastAsia="zh-CN"/>
        </w:rPr>
        <w:t>四川省</w:t>
      </w:r>
      <w:r>
        <w:rPr>
          <w:rFonts w:hint="eastAsia" w:ascii="仿宋_GB2312" w:hAnsi="仿宋" w:eastAsia="仿宋_GB2312"/>
          <w:sz w:val="32"/>
          <w:szCs w:val="32"/>
        </w:rPr>
        <w:t>遂宁市</w:t>
      </w:r>
      <w:r>
        <w:rPr>
          <w:rFonts w:hint="eastAsia" w:ascii="仿宋_GB2312" w:hAnsi="仿宋" w:eastAsia="仿宋_GB2312"/>
          <w:sz w:val="32"/>
          <w:szCs w:val="32"/>
          <w:lang w:eastAsia="zh-CN"/>
        </w:rPr>
        <w:t>安居区石洞镇</w:t>
      </w:r>
      <w:r>
        <w:rPr>
          <w:rFonts w:hint="eastAsia" w:ascii="仿宋_GB2312" w:hAnsi="仿宋" w:eastAsia="仿宋_GB2312"/>
          <w:sz w:val="32"/>
          <w:szCs w:val="32"/>
        </w:rPr>
        <w:t>所辖行政区及附近区域</w:t>
      </w:r>
      <w:r>
        <w:rPr>
          <w:rFonts w:hint="eastAsia" w:ascii="仿宋_GB2312" w:hAnsi="仿宋" w:eastAsia="仿宋_GB2312"/>
          <w:sz w:val="32"/>
          <w:szCs w:val="32"/>
          <w:lang w:eastAsia="zh-CN"/>
        </w:rPr>
        <w:t>。我校正确贯彻执行党和国家的教育方针、政策、法规；实施小学义务教育，促进基础教育发展，负责小学学历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w:t>
      </w:r>
      <w:r>
        <w:rPr>
          <w:rFonts w:hint="eastAsia" w:ascii="仿宋_GB2312" w:hAnsi="仿宋" w:eastAsia="仿宋_GB2312"/>
          <w:sz w:val="32"/>
          <w:szCs w:val="32"/>
          <w:lang w:val="en-US" w:eastAsia="zh-CN"/>
        </w:rPr>
        <w:t>身</w:t>
      </w:r>
      <w:r>
        <w:rPr>
          <w:rFonts w:hint="eastAsia" w:ascii="仿宋_GB2312" w:hAnsi="仿宋" w:eastAsia="仿宋_GB2312"/>
          <w:sz w:val="32"/>
          <w:szCs w:val="32"/>
          <w:lang w:eastAsia="zh-CN"/>
        </w:rPr>
        <w:t>安全。</w:t>
      </w:r>
    </w:p>
    <w:p>
      <w:pPr>
        <w:pStyle w:val="6"/>
        <w:rPr>
          <w:rStyle w:val="30"/>
          <w:rFonts w:ascii="Times New Roman" w:hAnsi="Times New Roman"/>
          <w:b w:val="0"/>
          <w:bCs w:val="0"/>
          <w:color w:val="auto"/>
          <w:highlight w:val="none"/>
        </w:rPr>
      </w:pPr>
      <w:bookmarkStart w:id="24" w:name="_Toc27863"/>
      <w:bookmarkStart w:id="25" w:name="_Toc15396601"/>
      <w:bookmarkStart w:id="26" w:name="_Toc4106"/>
      <w:bookmarkStart w:id="27" w:name="_Toc6822"/>
      <w:bookmarkStart w:id="28" w:name="_Toc15377200"/>
      <w:bookmarkStart w:id="29" w:name="_Toc21179"/>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24"/>
      <w:bookmarkEnd w:id="25"/>
      <w:bookmarkEnd w:id="26"/>
      <w:bookmarkEnd w:id="27"/>
      <w:bookmarkEnd w:id="28"/>
      <w:bookmarkEnd w:id="29"/>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我校为独立编制机构1</w:t>
      </w:r>
      <w:r>
        <w:rPr>
          <w:rFonts w:hint="eastAsia" w:ascii="仿宋_GB2312" w:hAnsi="仿宋" w:eastAsia="仿宋_GB2312"/>
          <w:sz w:val="32"/>
          <w:szCs w:val="32"/>
          <w:lang w:eastAsia="zh-CN"/>
        </w:rPr>
        <w:t>个</w:t>
      </w:r>
      <w:r>
        <w:rPr>
          <w:rFonts w:hint="eastAsia" w:ascii="仿宋_GB2312" w:hAnsi="仿宋" w:eastAsia="仿宋_GB2312"/>
          <w:sz w:val="32"/>
          <w:szCs w:val="32"/>
        </w:rPr>
        <w:t>，独立核算机构1</w:t>
      </w:r>
      <w:r>
        <w:rPr>
          <w:rFonts w:hint="eastAsia" w:ascii="仿宋_GB2312" w:hAnsi="仿宋" w:eastAsia="仿宋_GB2312"/>
          <w:sz w:val="32"/>
          <w:szCs w:val="32"/>
          <w:lang w:eastAsia="zh-CN"/>
        </w:rPr>
        <w:t>个</w:t>
      </w:r>
      <w:r>
        <w:rPr>
          <w:rFonts w:hint="eastAsia" w:ascii="仿宋_GB2312" w:hAnsi="仿宋" w:eastAsia="仿宋_GB2312"/>
          <w:sz w:val="32"/>
          <w:szCs w:val="32"/>
        </w:rPr>
        <w:t>。</w:t>
      </w:r>
    </w:p>
    <w:p>
      <w:pPr>
        <w:ind w:firstLine="800" w:firstLineChars="250"/>
        <w:rPr>
          <w:rFonts w:ascii="Times New Roman" w:hAnsi="Times New Roman" w:eastAsia="仿宋_GB2312"/>
          <w:color w:val="auto"/>
          <w:kern w:val="0"/>
          <w:sz w:val="32"/>
          <w:szCs w:val="32"/>
          <w:highlight w:val="none"/>
        </w:rPr>
      </w:pPr>
      <w:r>
        <w:rPr>
          <w:rFonts w:hint="eastAsia" w:ascii="仿宋_GB2312" w:hAnsi="仿宋" w:eastAsia="仿宋_GB2312"/>
          <w:sz w:val="32"/>
          <w:szCs w:val="32"/>
        </w:rPr>
        <w:t>我校现有在编教师</w:t>
      </w:r>
      <w:r>
        <w:rPr>
          <w:rFonts w:hint="eastAsia" w:ascii="仿宋_GB2312" w:hAnsi="仿宋" w:eastAsia="仿宋_GB2312"/>
          <w:sz w:val="32"/>
          <w:szCs w:val="32"/>
          <w:lang w:val="en-US" w:eastAsia="zh-CN"/>
        </w:rPr>
        <w:t>41</w:t>
      </w:r>
      <w:r>
        <w:rPr>
          <w:rFonts w:hint="eastAsia" w:ascii="仿宋_GB2312" w:hAnsi="仿宋" w:eastAsia="仿宋_GB2312"/>
          <w:sz w:val="32"/>
          <w:szCs w:val="32"/>
        </w:rPr>
        <w:t>人，遗属</w:t>
      </w:r>
      <w:r>
        <w:rPr>
          <w:rFonts w:hint="eastAsia" w:ascii="仿宋_GB2312" w:hAnsi="仿宋" w:eastAsia="仿宋_GB2312"/>
          <w:sz w:val="32"/>
          <w:szCs w:val="32"/>
          <w:lang w:val="en-US" w:eastAsia="zh-CN"/>
        </w:rPr>
        <w:t>17</w:t>
      </w:r>
      <w:r>
        <w:rPr>
          <w:rFonts w:hint="eastAsia" w:ascii="仿宋_GB2312" w:hAnsi="仿宋" w:eastAsia="仿宋_GB2312"/>
          <w:sz w:val="32"/>
          <w:szCs w:val="32"/>
        </w:rPr>
        <w:t>人</w:t>
      </w:r>
      <w:r>
        <w:rPr>
          <w:rFonts w:hint="eastAsia" w:ascii="仿宋_GB2312" w:hAnsi="仿宋" w:eastAsia="仿宋_GB2312"/>
          <w:sz w:val="32"/>
          <w:szCs w:val="32"/>
          <w:lang w:eastAsia="zh-CN"/>
        </w:rPr>
        <w:t>，退休教师</w:t>
      </w:r>
      <w:r>
        <w:rPr>
          <w:rFonts w:hint="eastAsia" w:ascii="仿宋_GB2312" w:hAnsi="仿宋" w:eastAsia="仿宋_GB2312"/>
          <w:sz w:val="32"/>
          <w:szCs w:val="32"/>
          <w:lang w:val="en-US" w:eastAsia="zh-CN"/>
        </w:rPr>
        <w:t>81人，离岗民师3人,</w:t>
      </w:r>
      <w:r>
        <w:rPr>
          <w:rFonts w:hint="eastAsia" w:ascii="仿宋_GB2312" w:hAnsi="仿宋" w:eastAsia="仿宋_GB2312"/>
          <w:sz w:val="32"/>
          <w:szCs w:val="32"/>
        </w:rPr>
        <w:t>学生</w:t>
      </w:r>
      <w:r>
        <w:rPr>
          <w:rFonts w:hint="eastAsia" w:ascii="仿宋_GB2312" w:hAnsi="仿宋" w:eastAsia="仿宋_GB2312"/>
          <w:sz w:val="32"/>
          <w:szCs w:val="32"/>
          <w:lang w:val="en-US" w:eastAsia="zh-CN"/>
        </w:rPr>
        <w:t>203</w:t>
      </w:r>
      <w:r>
        <w:rPr>
          <w:rFonts w:hint="eastAsia" w:ascii="仿宋_GB2312" w:hAnsi="仿宋" w:eastAsia="仿宋_GB2312"/>
          <w:sz w:val="32"/>
          <w:szCs w:val="32"/>
        </w:rPr>
        <w:t>人</w:t>
      </w:r>
      <w:r>
        <w:rPr>
          <w:rFonts w:hint="eastAsia" w:ascii="仿宋_GB2312" w:hAnsi="仿宋" w:eastAsia="仿宋_GB2312"/>
          <w:sz w:val="32"/>
          <w:szCs w:val="32"/>
          <w:lang w:eastAsia="zh-CN"/>
        </w:rPr>
        <w:t>。学校现设有行政办、德育处、教导处、后勤处等部门。</w:t>
      </w:r>
      <w:r>
        <w:rPr>
          <w:rFonts w:ascii="Times New Roman" w:hAnsi="Times New Roman" w:eastAsia="仿宋_GB2312"/>
          <w:color w:val="auto"/>
          <w:sz w:val="32"/>
          <w:szCs w:val="32"/>
          <w:highlight w:val="none"/>
        </w:rPr>
        <w:br w:type="page"/>
      </w:r>
    </w:p>
    <w:p>
      <w:pPr>
        <w:pStyle w:val="5"/>
        <w:jc w:val="center"/>
        <w:rPr>
          <w:rFonts w:hint="eastAsia" w:ascii="Times New Roman" w:hAnsi="Times New Roman" w:eastAsia="方正小标宋简体" w:cs="方正小标宋简体"/>
          <w:b w:val="0"/>
          <w:color w:val="auto"/>
          <w:highlight w:val="none"/>
        </w:rPr>
      </w:pPr>
      <w:bookmarkStart w:id="30" w:name="_Toc30347"/>
      <w:bookmarkStart w:id="31" w:name="_Toc15396602"/>
      <w:bookmarkStart w:id="32" w:name="_Toc15377204"/>
      <w:bookmarkStart w:id="33" w:name="_Toc13244"/>
      <w:bookmarkStart w:id="34" w:name="_Toc783"/>
      <w:bookmarkStart w:id="35" w:name="_Toc268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30"/>
      <w:bookmarkEnd w:id="31"/>
      <w:bookmarkEnd w:id="32"/>
      <w:bookmarkEnd w:id="33"/>
      <w:bookmarkEnd w:id="34"/>
      <w:bookmarkEnd w:id="35"/>
    </w:p>
    <w:p>
      <w:pPr>
        <w:rPr>
          <w:rFonts w:ascii="Times New Roman" w:hAnsi="Times New Roman"/>
          <w:color w:val="auto"/>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6" w:name="_Toc15396603"/>
      <w:bookmarkStart w:id="37" w:name="_Toc430"/>
      <w:bookmarkStart w:id="38" w:name="_Toc9328"/>
      <w:bookmarkStart w:id="39" w:name="_Toc15377205"/>
      <w:bookmarkStart w:id="40" w:name="_Toc5080"/>
      <w:bookmarkStart w:id="41" w:name="_Toc22212"/>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36"/>
      <w:bookmarkEnd w:id="37"/>
      <w:bookmarkEnd w:id="38"/>
      <w:bookmarkEnd w:id="39"/>
      <w:bookmarkEnd w:id="40"/>
      <w:bookmarkEnd w:id="41"/>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904.78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总计各增加86.62万元，增长10.59%。主要变动原因</w:t>
      </w:r>
      <w:r>
        <w:rPr>
          <w:rFonts w:hint="eastAsia" w:eastAsia="仿宋_GB2312" w:cs="仿宋_GB2312"/>
          <w:color w:val="auto"/>
          <w:sz w:val="32"/>
          <w:szCs w:val="32"/>
          <w:highlight w:val="none"/>
          <w:lang w:eastAsia="zh-CN"/>
        </w:rPr>
        <w:t>是人员工资及五险</w:t>
      </w:r>
      <w:r>
        <w:rPr>
          <w:rFonts w:hint="eastAsia" w:eastAsia="仿宋_GB2312" w:cs="仿宋_GB2312"/>
          <w:color w:val="auto"/>
          <w:sz w:val="32"/>
          <w:szCs w:val="32"/>
          <w:highlight w:val="none"/>
          <w:lang w:val="en-US" w:eastAsia="zh-CN"/>
        </w:rPr>
        <w:t>两</w:t>
      </w:r>
      <w:r>
        <w:rPr>
          <w:rFonts w:hint="eastAsia" w:eastAsia="仿宋_GB2312" w:cs="仿宋_GB2312"/>
          <w:color w:val="auto"/>
          <w:sz w:val="32"/>
          <w:szCs w:val="32"/>
          <w:highlight w:val="none"/>
          <w:lang w:eastAsia="zh-CN"/>
        </w:rPr>
        <w:t>金增加</w:t>
      </w:r>
      <w:r>
        <w:rPr>
          <w:rFonts w:hint="eastAsia" w:eastAsia="仿宋_GB2312" w:cs="仿宋_GB2312"/>
          <w:color w:val="auto"/>
          <w:sz w:val="32"/>
          <w:szCs w:val="32"/>
          <w:highlight w:val="none"/>
          <w:lang w:val="en-US" w:eastAsia="zh-CN"/>
        </w:rPr>
        <w:t>导致人员经费增加；本年度新增校舍维修等项目资金，故项目经费增加；</w:t>
      </w:r>
      <w:r>
        <w:rPr>
          <w:rFonts w:hint="eastAsia" w:eastAsia="仿宋_GB2312" w:cs="仿宋_GB2312"/>
          <w:color w:val="auto"/>
          <w:sz w:val="32"/>
          <w:szCs w:val="32"/>
          <w:highlight w:val="none"/>
          <w:lang w:eastAsia="zh-CN"/>
        </w:rPr>
        <w:t>本年度将学生的课后服务费、学生伙食费等收支纳入决算，导致总额增加。</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Times New Roman" w:hAnsi="Times New Roman" w:eastAsia="仿宋_GB2312" w:cs="仿宋_GB2312"/>
          <w:color w:val="auto"/>
          <w:sz w:val="32"/>
          <w:szCs w:val="32"/>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42" w:name="_Toc9070"/>
      <w:bookmarkStart w:id="43" w:name="_Toc15396604"/>
      <w:bookmarkStart w:id="44" w:name="_Toc3394"/>
      <w:bookmarkStart w:id="45" w:name="_Toc2796"/>
      <w:bookmarkStart w:id="46" w:name="_Toc11995"/>
      <w:bookmarkStart w:id="47" w:name="_Toc15377206"/>
      <w:r>
        <w:rPr>
          <w:rFonts w:hint="eastAsia" w:ascii="Times New Roman" w:hAnsi="Times New Roman" w:eastAsia="黑体"/>
          <w:color w:val="auto"/>
          <w:sz w:val="32"/>
          <w:szCs w:val="32"/>
          <w:highlight w:val="none"/>
          <w:lang w:eastAsia="zh-CN"/>
        </w:rPr>
        <w:t>二、收入决算情况说明</w:t>
      </w:r>
      <w:bookmarkEnd w:id="42"/>
      <w:bookmarkEnd w:id="43"/>
      <w:bookmarkEnd w:id="44"/>
      <w:bookmarkEnd w:id="45"/>
      <w:bookmarkEnd w:id="46"/>
      <w:bookmarkEnd w:id="47"/>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904.78万元，其中：一般公共预算财政拨款收入877.47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96.98</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27.31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color w:val="auto"/>
          <w:sz w:val="32"/>
          <w:szCs w:val="32"/>
          <w:highlight w:val="none"/>
          <w:lang w:eastAsia="zh-CN"/>
        </w:rPr>
      </w:pPr>
      <w:r>
        <w:drawing>
          <wp:inline distT="0" distB="0" distL="114300" distR="114300">
            <wp:extent cx="4067175" cy="3270250"/>
            <wp:effectExtent l="4445" t="4445" r="5080" b="2095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left="0" w:leftChars="0" w:firstLine="0" w:firstLineChars="0"/>
        <w:jc w:val="center"/>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48" w:name="_Toc15377207"/>
      <w:bookmarkStart w:id="49" w:name="_Toc27957"/>
      <w:bookmarkStart w:id="50" w:name="_Toc1040"/>
      <w:bookmarkStart w:id="51" w:name="_Toc15396605"/>
      <w:bookmarkStart w:id="52" w:name="_Toc13304"/>
      <w:bookmarkStart w:id="53" w:name="_Toc3816"/>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48"/>
      <w:bookmarkEnd w:id="49"/>
      <w:bookmarkEnd w:id="50"/>
      <w:bookmarkEnd w:id="51"/>
      <w:bookmarkEnd w:id="52"/>
      <w:bookmarkEnd w:id="53"/>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904.78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843.5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93.2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61.2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6.77</w:t>
      </w:r>
      <w:r>
        <w:rPr>
          <w:rFonts w:hint="eastAsia" w:ascii="仿宋_GB2312" w:hAnsi="仿宋_GB2312" w:eastAsia="仿宋_GB2312" w:cs="仿宋_GB2312"/>
          <w:color w:val="auto"/>
          <w:sz w:val="32"/>
          <w:szCs w:val="32"/>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color w:val="auto"/>
          <w:sz w:val="32"/>
          <w:szCs w:val="32"/>
          <w:highlight w:val="none"/>
          <w:lang w:eastAsia="zh-CN"/>
        </w:rPr>
      </w:pPr>
      <w:r>
        <w:drawing>
          <wp:inline distT="0" distB="0" distL="114300" distR="114300">
            <wp:extent cx="4035425" cy="3437890"/>
            <wp:effectExtent l="4445" t="4445" r="1778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left="0" w:leftChars="0" w:firstLine="0" w:firstLineChars="0"/>
        <w:jc w:val="center"/>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spacing w:line="600" w:lineRule="exact"/>
        <w:ind w:firstLine="640" w:firstLineChars="200"/>
        <w:outlineLvl w:val="1"/>
        <w:rPr>
          <w:rStyle w:val="30"/>
          <w:rFonts w:ascii="Times New Roman" w:hAnsi="Times New Roman" w:eastAsia="黑体"/>
          <w:b w:val="0"/>
          <w:color w:val="auto"/>
          <w:highlight w:val="none"/>
        </w:rPr>
      </w:pPr>
      <w:bookmarkStart w:id="54" w:name="_Toc11642"/>
      <w:bookmarkStart w:id="55" w:name="_Toc711"/>
      <w:bookmarkStart w:id="56" w:name="_Toc18867"/>
      <w:bookmarkStart w:id="57" w:name="_Toc19385"/>
      <w:bookmarkStart w:id="58" w:name="_Toc15377208"/>
      <w:bookmarkStart w:id="59"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54"/>
      <w:bookmarkEnd w:id="55"/>
      <w:bookmarkEnd w:id="56"/>
      <w:bookmarkEnd w:id="57"/>
      <w:bookmarkEnd w:id="58"/>
      <w:bookmarkEnd w:id="59"/>
    </w:p>
    <w:p>
      <w:pPr>
        <w:spacing w:line="600" w:lineRule="exact"/>
        <w:ind w:firstLine="640"/>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877.47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万元。与2023年度相比，财政拨款收入总计、支出总计各增加59.31万元，增长7.25%。主要变动原因是人员工资及五险两金增加导致人员经费增加；本年度新增校舍维修</w:t>
      </w:r>
      <w:r>
        <w:rPr>
          <w:rFonts w:hint="eastAsia"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项目资金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故项目</w:t>
      </w:r>
      <w:r>
        <w:rPr>
          <w:rFonts w:hint="eastAsia" w:eastAsia="仿宋_GB2312" w:cs="仿宋_GB2312"/>
          <w:color w:val="auto"/>
          <w:kern w:val="2"/>
          <w:sz w:val="32"/>
          <w:szCs w:val="32"/>
          <w:highlight w:val="none"/>
          <w:lang w:val="en-US" w:eastAsia="zh-CN" w:bidi="ar-SA"/>
        </w:rPr>
        <w:t>经</w:t>
      </w:r>
      <w:r>
        <w:rPr>
          <w:rFonts w:hint="eastAsia" w:ascii="Times New Roman" w:hAnsi="Times New Roman" w:eastAsia="仿宋_GB2312" w:cs="仿宋_GB2312"/>
          <w:color w:val="auto"/>
          <w:kern w:val="2"/>
          <w:sz w:val="32"/>
          <w:szCs w:val="32"/>
          <w:highlight w:val="none"/>
          <w:lang w:val="en-US" w:eastAsia="zh-CN" w:bidi="ar-SA"/>
        </w:rPr>
        <w:t>费增加</w:t>
      </w:r>
      <w:r>
        <w:rPr>
          <w:rFonts w:hint="eastAsia" w:eastAsia="仿宋_GB2312" w:cs="仿宋_GB2312"/>
          <w:color w:val="auto"/>
          <w:kern w:val="2"/>
          <w:sz w:val="32"/>
          <w:szCs w:val="32"/>
          <w:highlight w:val="none"/>
          <w:lang w:val="en-US" w:eastAsia="zh-CN" w:bidi="ar-SA"/>
        </w:rPr>
        <w:t>。故本年度的收入支出决算数校上年有所增加。</w:t>
      </w:r>
    </w:p>
    <w:p>
      <w:pPr>
        <w:pStyle w:val="2"/>
        <w:ind w:left="0" w:leftChars="0" w:firstLine="0" w:firstLineChars="0"/>
        <w:jc w:val="center"/>
        <w:outlineLvl w:val="9"/>
        <w:rPr>
          <w:rFonts w:hint="eastAsia"/>
          <w:lang w:val="en-US" w:eastAsia="zh-CN"/>
        </w:rPr>
      </w:pPr>
      <w:r>
        <w:drawing>
          <wp:inline distT="0" distB="0" distL="114300" distR="114300">
            <wp:extent cx="4572000" cy="2743200"/>
            <wp:effectExtent l="4445" t="4445" r="14605" b="1460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left="0" w:leftChars="0" w:firstLine="0" w:firstLineChars="0"/>
        <w:jc w:val="center"/>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pStyle w:val="2"/>
        <w:rPr>
          <w:rFonts w:hint="eastAsia"/>
          <w:lang w:val="en-US" w:eastAsia="zh-CN"/>
        </w:rPr>
      </w:pPr>
    </w:p>
    <w:p>
      <w:pPr>
        <w:spacing w:line="600" w:lineRule="exact"/>
        <w:ind w:firstLine="640" w:firstLineChars="200"/>
        <w:outlineLvl w:val="1"/>
        <w:rPr>
          <w:rStyle w:val="30"/>
          <w:rFonts w:hint="eastAsia" w:ascii="Times New Roman" w:hAnsi="Times New Roman" w:eastAsia="黑体"/>
          <w:b w:val="0"/>
          <w:color w:val="auto"/>
          <w:highlight w:val="none"/>
        </w:rPr>
      </w:pPr>
      <w:bookmarkStart w:id="60" w:name="_Toc15377209"/>
      <w:bookmarkStart w:id="61" w:name="_Toc14444"/>
      <w:bookmarkStart w:id="62" w:name="_Toc28087"/>
      <w:bookmarkStart w:id="63" w:name="_Toc8894"/>
      <w:bookmarkStart w:id="64" w:name="_Toc15396607"/>
      <w:bookmarkStart w:id="65" w:name="_Toc8888"/>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60"/>
      <w:bookmarkEnd w:id="61"/>
      <w:bookmarkEnd w:id="62"/>
      <w:bookmarkEnd w:id="63"/>
      <w:bookmarkEnd w:id="64"/>
      <w:bookmarkEnd w:id="65"/>
    </w:p>
    <w:p>
      <w:pPr>
        <w:pStyle w:val="2"/>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6" w:name="_Toc27834"/>
      <w:bookmarkStart w:id="6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66"/>
      <w:bookmarkEnd w:id="6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877.47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96.98</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59.31万元，增长7.25%。主要变动原因人员工资及五险两金增加导致人员经费增加；本年度新增校舍维修等项目资金，故项目经费增加。故本年度的收入支出决算数校上年有所增加。</w:t>
      </w:r>
    </w:p>
    <w:p>
      <w:pPr>
        <w:pStyle w:val="2"/>
        <w:rPr>
          <w:rFonts w:hint="eastAsia"/>
          <w:lang w:val="en-US" w:eastAsia="zh-CN"/>
        </w:rPr>
      </w:pPr>
    </w:p>
    <w:p>
      <w:pPr>
        <w:pStyle w:val="2"/>
        <w:ind w:left="0" w:leftChars="0" w:firstLine="0" w:firstLineChars="0"/>
        <w:jc w:val="center"/>
        <w:rPr>
          <w:rFonts w:hint="eastAsia"/>
          <w:lang w:val="en-US" w:eastAsia="zh-CN"/>
        </w:rPr>
      </w:pPr>
      <w:r>
        <w:drawing>
          <wp:inline distT="0" distB="0" distL="114300" distR="114300">
            <wp:extent cx="4926330" cy="3124200"/>
            <wp:effectExtent l="4445" t="4445" r="22225" b="1460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8" w:name="_Toc25714"/>
      <w:bookmarkStart w:id="6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68"/>
      <w:bookmarkEnd w:id="69"/>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877.47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教育支出679.62万元，占</w:t>
      </w:r>
      <w:r>
        <w:rPr>
          <w:rFonts w:hint="eastAsia" w:eastAsia="仿宋_GB2312" w:cs="仿宋_GB2312"/>
          <w:color w:val="auto"/>
          <w:kern w:val="2"/>
          <w:sz w:val="32"/>
          <w:szCs w:val="32"/>
          <w:highlight w:val="none"/>
          <w:lang w:val="en-US" w:eastAsia="zh-CN" w:bidi="ar-SA"/>
        </w:rPr>
        <w:t>77.45</w:t>
      </w:r>
      <w:r>
        <w:rPr>
          <w:rFonts w:hint="eastAsia" w:ascii="Times New Roman" w:hAnsi="Times New Roman" w:eastAsia="仿宋_GB2312" w:cs="仿宋_GB2312"/>
          <w:color w:val="auto"/>
          <w:kern w:val="2"/>
          <w:sz w:val="32"/>
          <w:szCs w:val="32"/>
          <w:highlight w:val="none"/>
          <w:lang w:val="en-US" w:eastAsia="zh-CN" w:bidi="ar-SA"/>
        </w:rPr>
        <w:t>%；社会保障和就业支出110.66万元，占</w:t>
      </w:r>
      <w:r>
        <w:rPr>
          <w:rFonts w:hint="eastAsia" w:eastAsia="仿宋_GB2312" w:cs="仿宋_GB2312"/>
          <w:color w:val="auto"/>
          <w:kern w:val="2"/>
          <w:sz w:val="32"/>
          <w:szCs w:val="32"/>
          <w:highlight w:val="none"/>
          <w:lang w:val="en-US" w:eastAsia="zh-CN" w:bidi="ar-SA"/>
        </w:rPr>
        <w:t>12.61</w:t>
      </w:r>
      <w:r>
        <w:rPr>
          <w:rFonts w:hint="eastAsia" w:ascii="Times New Roman" w:hAnsi="Times New Roman" w:eastAsia="仿宋_GB2312" w:cs="仿宋_GB2312"/>
          <w:color w:val="auto"/>
          <w:kern w:val="2"/>
          <w:sz w:val="32"/>
          <w:szCs w:val="32"/>
          <w:highlight w:val="none"/>
          <w:lang w:val="en-US" w:eastAsia="zh-CN" w:bidi="ar-SA"/>
        </w:rPr>
        <w:t>%；卫生健康支出33.18万元，占</w:t>
      </w:r>
      <w:r>
        <w:rPr>
          <w:rFonts w:hint="eastAsia" w:eastAsia="仿宋_GB2312" w:cs="仿宋_GB2312"/>
          <w:color w:val="auto"/>
          <w:kern w:val="2"/>
          <w:sz w:val="32"/>
          <w:szCs w:val="32"/>
          <w:highlight w:val="none"/>
          <w:lang w:val="en-US" w:eastAsia="zh-CN" w:bidi="ar-SA"/>
        </w:rPr>
        <w:t>3.78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54.01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6.16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240" w:lineRule="auto"/>
        <w:ind w:left="0" w:leftChars="0" w:firstLine="0" w:firstLineChars="0"/>
        <w:jc w:val="center"/>
      </w:pPr>
      <w:r>
        <w:drawing>
          <wp:inline distT="0" distB="0" distL="114300" distR="114300">
            <wp:extent cx="4597400" cy="3516630"/>
            <wp:effectExtent l="4445" t="4445" r="8255" b="222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240" w:lineRule="auto"/>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0" w:name="_Toc15680"/>
      <w:bookmarkStart w:id="7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70"/>
      <w:bookmarkEnd w:id="7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72" w:name="_Toc15377444"/>
      <w:bookmarkStart w:id="73" w:name="_Toc15378460"/>
      <w:bookmarkStart w:id="74"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877.47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72"/>
      <w:bookmarkEnd w:id="73"/>
      <w:bookmarkEnd w:id="74"/>
    </w:p>
    <w:p>
      <w:pPr>
        <w:spacing w:line="600" w:lineRule="exact"/>
        <w:ind w:firstLine="640" w:firstLineChars="200"/>
        <w:rPr>
          <w:rFonts w:hint="eastAsia"/>
          <w:lang w:val="en-US" w:eastAsia="zh-CN"/>
        </w:rPr>
      </w:pPr>
      <w:r>
        <w:rPr>
          <w:rStyle w:val="18"/>
          <w:rFonts w:hint="eastAsia" w:ascii="仿宋" w:hAnsi="仿宋" w:eastAsia="仿宋_GB2312"/>
          <w:b w:val="0"/>
          <w:bCs/>
          <w:color w:val="000000"/>
          <w:sz w:val="32"/>
          <w:szCs w:val="32"/>
        </w:rPr>
        <w:t>1.教育</w:t>
      </w:r>
      <w:r>
        <w:rPr>
          <w:rStyle w:val="18"/>
          <w:rFonts w:hint="eastAsia" w:ascii="仿宋" w:hAnsi="仿宋" w:eastAsia="仿宋_GB2312"/>
          <w:b w:val="0"/>
          <w:bCs/>
          <w:color w:val="000000"/>
          <w:sz w:val="32"/>
          <w:szCs w:val="32"/>
          <w:lang w:val="en-US" w:eastAsia="zh-CN"/>
        </w:rPr>
        <w:t>205</w:t>
      </w:r>
      <w:r>
        <w:rPr>
          <w:rStyle w:val="18"/>
          <w:rFonts w:hint="eastAsia" w:ascii="仿宋" w:hAnsi="仿宋" w:eastAsia="仿宋_GB2312"/>
          <w:b w:val="0"/>
          <w:bCs/>
          <w:color w:val="000000"/>
          <w:sz w:val="32"/>
          <w:szCs w:val="32"/>
        </w:rPr>
        <w:t>: 支出决算为</w:t>
      </w:r>
      <w:r>
        <w:rPr>
          <w:rStyle w:val="18"/>
          <w:rFonts w:hint="eastAsia" w:ascii="仿宋" w:hAnsi="仿宋" w:eastAsia="仿宋_GB2312"/>
          <w:b w:val="0"/>
          <w:bCs/>
          <w:color w:val="000000"/>
          <w:sz w:val="32"/>
          <w:szCs w:val="32"/>
          <w:lang w:val="en-US" w:eastAsia="zh-CN"/>
        </w:rPr>
        <w:t>679.62</w:t>
      </w:r>
      <w:r>
        <w:rPr>
          <w:rStyle w:val="18"/>
          <w:rFonts w:hint="eastAsia" w:ascii="仿宋" w:hAnsi="仿宋" w:eastAsia="仿宋_GB2312"/>
          <w:b w:val="0"/>
          <w:bCs/>
          <w:color w:val="000000"/>
          <w:sz w:val="32"/>
          <w:szCs w:val="32"/>
        </w:rPr>
        <w:t>万元，完成预算</w:t>
      </w:r>
      <w:r>
        <w:rPr>
          <w:rStyle w:val="18"/>
          <w:rFonts w:hint="eastAsia" w:ascii="仿宋" w:hAnsi="仿宋" w:eastAsia="仿宋_GB2312"/>
          <w:b w:val="0"/>
          <w:bCs/>
          <w:color w:val="000000"/>
          <w:sz w:val="32"/>
          <w:szCs w:val="32"/>
          <w:lang w:val="en-US" w:eastAsia="zh-CN"/>
        </w:rPr>
        <w:t>100</w:t>
      </w:r>
      <w:r>
        <w:rPr>
          <w:rStyle w:val="18"/>
          <w:rFonts w:ascii="仿宋" w:hAnsi="仿宋" w:eastAsia="仿宋_GB2312"/>
          <w:b w:val="0"/>
          <w:bCs/>
          <w:color w:val="000000"/>
          <w:sz w:val="32"/>
          <w:szCs w:val="32"/>
        </w:rPr>
        <w:t>%</w:t>
      </w:r>
      <w:r>
        <w:rPr>
          <w:rStyle w:val="18"/>
          <w:rFonts w:hint="eastAsia" w:ascii="仿宋" w:hAnsi="仿宋" w:eastAsia="仿宋_GB2312"/>
          <w:b w:val="0"/>
          <w:bCs/>
          <w:color w:val="000000"/>
          <w:sz w:val="32"/>
          <w:szCs w:val="32"/>
          <w:lang w:val="en-US" w:eastAsia="zh-CN"/>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（1） </w:t>
      </w:r>
      <w:r>
        <w:rPr>
          <w:rFonts w:hint="eastAsia" w:ascii="Times New Roman" w:hAnsi="Times New Roman" w:eastAsia="仿宋_GB2312" w:cs="仿宋_GB2312"/>
          <w:color w:val="auto"/>
          <w:kern w:val="2"/>
          <w:sz w:val="32"/>
          <w:szCs w:val="32"/>
          <w:highlight w:val="none"/>
          <w:lang w:val="en-US" w:eastAsia="zh-CN" w:bidi="ar-SA"/>
        </w:rPr>
        <w:t>教育</w:t>
      </w:r>
      <w:r>
        <w:rPr>
          <w:rFonts w:hint="eastAsia" w:eastAsia="仿宋_GB2312" w:cs="仿宋_GB2312"/>
          <w:color w:val="auto"/>
          <w:kern w:val="2"/>
          <w:sz w:val="32"/>
          <w:szCs w:val="32"/>
          <w:highlight w:val="none"/>
          <w:lang w:val="en-US" w:eastAsia="zh-CN" w:bidi="ar-SA"/>
        </w:rPr>
        <w:t>205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普通教育02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学前教育01</w:t>
      </w:r>
      <w:r>
        <w:rPr>
          <w:rFonts w:hint="eastAsia" w:ascii="Times New Roman" w:hAnsi="Times New Roman" w:eastAsia="仿宋_GB2312" w:cs="仿宋_GB2312"/>
          <w:color w:val="auto"/>
          <w:kern w:val="2"/>
          <w:sz w:val="32"/>
          <w:szCs w:val="32"/>
          <w:highlight w:val="none"/>
          <w:lang w:val="en-US" w:eastAsia="zh-CN" w:bidi="ar-SA"/>
        </w:rPr>
        <w:t>（项）: 支出决算为6.17万元，完成预算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教育</w:t>
      </w:r>
      <w:r>
        <w:rPr>
          <w:rFonts w:hint="eastAsia" w:eastAsia="仿宋_GB2312" w:cs="仿宋_GB2312"/>
          <w:color w:val="auto"/>
          <w:kern w:val="2"/>
          <w:sz w:val="32"/>
          <w:szCs w:val="32"/>
          <w:highlight w:val="none"/>
          <w:lang w:val="en-US" w:eastAsia="zh-CN" w:bidi="ar-SA"/>
        </w:rPr>
        <w:t>205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普通教育02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小学教育02</w:t>
      </w:r>
      <w:r>
        <w:rPr>
          <w:rFonts w:hint="eastAsia" w:ascii="Times New Roman" w:hAnsi="Times New Roman" w:eastAsia="仿宋_GB2312" w:cs="仿宋_GB2312"/>
          <w:color w:val="auto"/>
          <w:kern w:val="2"/>
          <w:sz w:val="32"/>
          <w:szCs w:val="32"/>
          <w:highlight w:val="none"/>
          <w:lang w:val="en-US" w:eastAsia="zh-CN" w:bidi="ar-SA"/>
        </w:rPr>
        <w:t>（项）: 支出决算为667.88万元，完成预算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（3）教育</w:t>
      </w:r>
      <w:r>
        <w:rPr>
          <w:rFonts w:hint="eastAsia" w:eastAsia="仿宋_GB2312" w:cs="仿宋_GB2312"/>
          <w:color w:val="auto"/>
          <w:kern w:val="2"/>
          <w:sz w:val="32"/>
          <w:szCs w:val="32"/>
          <w:highlight w:val="none"/>
          <w:lang w:val="en-US" w:eastAsia="zh-CN" w:bidi="ar-SA"/>
        </w:rPr>
        <w:t>205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普通教育02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其他普通教育支出99</w:t>
      </w:r>
      <w:r>
        <w:rPr>
          <w:rFonts w:hint="eastAsia" w:ascii="Times New Roman" w:hAnsi="Times New Roman" w:eastAsia="仿宋_GB2312" w:cs="仿宋_GB2312"/>
          <w:color w:val="auto"/>
          <w:kern w:val="2"/>
          <w:sz w:val="32"/>
          <w:szCs w:val="32"/>
          <w:highlight w:val="none"/>
          <w:lang w:val="en-US" w:eastAsia="zh-CN" w:bidi="ar-SA"/>
        </w:rPr>
        <w:t>（项）: 支出决算为0.15万元，完成预算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（4）教育</w:t>
      </w:r>
      <w:r>
        <w:rPr>
          <w:rFonts w:hint="eastAsia" w:eastAsia="仿宋_GB2312" w:cs="仿宋_GB2312"/>
          <w:color w:val="auto"/>
          <w:kern w:val="2"/>
          <w:sz w:val="32"/>
          <w:szCs w:val="32"/>
          <w:highlight w:val="none"/>
          <w:lang w:val="en-US" w:eastAsia="zh-CN" w:bidi="ar-SA"/>
        </w:rPr>
        <w:t>205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教育费附加安排的支出09</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其他教育费附加安排的支出99</w:t>
      </w:r>
      <w:r>
        <w:rPr>
          <w:rFonts w:hint="eastAsia" w:ascii="Times New Roman" w:hAnsi="Times New Roman" w:eastAsia="仿宋_GB2312" w:cs="仿宋_GB2312"/>
          <w:color w:val="auto"/>
          <w:kern w:val="2"/>
          <w:sz w:val="32"/>
          <w:szCs w:val="32"/>
          <w:highlight w:val="none"/>
          <w:lang w:val="en-US" w:eastAsia="zh-CN" w:bidi="ar-SA"/>
        </w:rPr>
        <w:t>（项）: 支出决算为3.89万元，完成预算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教育</w:t>
      </w:r>
      <w:r>
        <w:rPr>
          <w:rFonts w:hint="eastAsia" w:eastAsia="仿宋_GB2312" w:cs="仿宋_GB2312"/>
          <w:color w:val="auto"/>
          <w:kern w:val="2"/>
          <w:sz w:val="32"/>
          <w:szCs w:val="32"/>
          <w:highlight w:val="none"/>
          <w:lang w:val="en-US" w:eastAsia="zh-CN" w:bidi="ar-SA"/>
        </w:rPr>
        <w:t>205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其他教育支出99</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其他教育支出99</w:t>
      </w:r>
      <w:r>
        <w:rPr>
          <w:rFonts w:hint="eastAsia" w:ascii="Times New Roman" w:hAnsi="Times New Roman" w:eastAsia="仿宋_GB2312" w:cs="仿宋_GB2312"/>
          <w:color w:val="auto"/>
          <w:kern w:val="2"/>
          <w:sz w:val="32"/>
          <w:szCs w:val="32"/>
          <w:highlight w:val="none"/>
          <w:lang w:val="en-US" w:eastAsia="zh-CN" w:bidi="ar-SA"/>
        </w:rPr>
        <w:t>（项）: 支出决算为1.53万元，完成预算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firstLineChars="200"/>
        <w:rPr>
          <w:rFonts w:hint="eastAsia" w:eastAsia="仿宋_GB2312" w:cs="仿宋_GB2312"/>
          <w:color w:val="auto"/>
          <w:kern w:val="2"/>
          <w:sz w:val="32"/>
          <w:szCs w:val="32"/>
          <w:highlight w:val="none"/>
          <w:lang w:val="en-US" w:eastAsia="zh-CN" w:bidi="ar-SA"/>
        </w:rPr>
      </w:pPr>
      <w:r>
        <w:rPr>
          <w:rStyle w:val="18"/>
          <w:rFonts w:hint="eastAsia" w:ascii="仿宋" w:hAnsi="仿宋" w:eastAsia="仿宋_GB2312"/>
          <w:b w:val="0"/>
          <w:bCs/>
          <w:color w:val="000000"/>
          <w:sz w:val="32"/>
          <w:szCs w:val="32"/>
          <w:lang w:val="en-US" w:eastAsia="zh-CN"/>
        </w:rPr>
        <w:t>2</w:t>
      </w:r>
      <w:r>
        <w:rPr>
          <w:rStyle w:val="18"/>
          <w:rFonts w:hint="eastAsia" w:ascii="仿宋" w:hAnsi="仿宋" w:eastAsia="仿宋_GB2312"/>
          <w:b w:val="0"/>
          <w:bCs/>
          <w:color w:val="000000"/>
          <w:sz w:val="32"/>
          <w:szCs w:val="32"/>
        </w:rPr>
        <w:t>.社会保障和就业</w:t>
      </w:r>
      <w:r>
        <w:rPr>
          <w:rStyle w:val="18"/>
          <w:rFonts w:hint="eastAsia" w:ascii="仿宋" w:hAnsi="仿宋" w:eastAsia="仿宋_GB2312"/>
          <w:b w:val="0"/>
          <w:bCs/>
          <w:color w:val="000000"/>
          <w:sz w:val="32"/>
          <w:szCs w:val="32"/>
          <w:lang w:val="en-US" w:eastAsia="zh-CN"/>
        </w:rPr>
        <w:t>208</w:t>
      </w:r>
      <w:r>
        <w:rPr>
          <w:rStyle w:val="18"/>
          <w:rFonts w:hint="eastAsia" w:ascii="仿宋" w:hAnsi="仿宋" w:eastAsia="仿宋_GB2312"/>
          <w:b w:val="0"/>
          <w:bCs/>
          <w:color w:val="000000"/>
          <w:sz w:val="32"/>
          <w:szCs w:val="32"/>
        </w:rPr>
        <w:t>: 支出决算为</w:t>
      </w:r>
      <w:r>
        <w:rPr>
          <w:rStyle w:val="18"/>
          <w:rFonts w:hint="eastAsia" w:ascii="仿宋" w:hAnsi="仿宋" w:eastAsia="仿宋_GB2312"/>
          <w:b w:val="0"/>
          <w:bCs/>
          <w:color w:val="000000"/>
          <w:sz w:val="32"/>
          <w:szCs w:val="32"/>
          <w:lang w:val="en-US" w:eastAsia="zh-CN"/>
        </w:rPr>
        <w:t>110.66</w:t>
      </w:r>
      <w:r>
        <w:rPr>
          <w:rStyle w:val="18"/>
          <w:rFonts w:hint="eastAsia" w:ascii="仿宋" w:hAnsi="仿宋" w:eastAsia="仿宋_GB2312"/>
          <w:b w:val="0"/>
          <w:bCs/>
          <w:color w:val="000000"/>
          <w:sz w:val="32"/>
          <w:szCs w:val="32"/>
        </w:rPr>
        <w:t>万元，完成预算</w:t>
      </w:r>
      <w:r>
        <w:rPr>
          <w:rStyle w:val="18"/>
          <w:rFonts w:hint="eastAsia" w:ascii="仿宋" w:hAnsi="仿宋" w:eastAsia="仿宋_GB2312"/>
          <w:b w:val="0"/>
          <w:bCs/>
          <w:color w:val="000000"/>
          <w:sz w:val="32"/>
          <w:szCs w:val="32"/>
          <w:lang w:val="en-US" w:eastAsia="zh-CN"/>
        </w:rPr>
        <w:t>100</w:t>
      </w:r>
      <w:r>
        <w:rPr>
          <w:rStyle w:val="18"/>
          <w:rFonts w:ascii="仿宋" w:hAnsi="仿宋" w:eastAsia="仿宋_GB2312"/>
          <w:b w:val="0"/>
          <w:bCs/>
          <w:color w:val="000000"/>
          <w:sz w:val="32"/>
          <w:szCs w:val="32"/>
        </w:rPr>
        <w:t>%</w:t>
      </w:r>
      <w:r>
        <w:rPr>
          <w:rStyle w:val="18"/>
          <w:rFonts w:hint="eastAsia" w:ascii="仿宋" w:hAnsi="仿宋" w:eastAsia="仿宋_GB2312"/>
          <w:b w:val="0"/>
          <w:bCs/>
          <w:color w:val="000000"/>
          <w:sz w:val="32"/>
          <w:szCs w:val="32"/>
          <w:lang w:val="en-US" w:eastAsia="zh-CN"/>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（1） </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事业单位离退休02</w:t>
      </w:r>
      <w:r>
        <w:rPr>
          <w:rFonts w:hint="eastAsia" w:ascii="Times New Roman" w:hAnsi="Times New Roman" w:eastAsia="仿宋_GB2312" w:cs="仿宋_GB2312"/>
          <w:color w:val="auto"/>
          <w:kern w:val="2"/>
          <w:sz w:val="32"/>
          <w:szCs w:val="32"/>
          <w:highlight w:val="none"/>
          <w:lang w:val="en-US" w:eastAsia="zh-CN" w:bidi="ar-SA"/>
        </w:rPr>
        <w:t>（项）: 支出决算为16.07万元，完成预算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 xml:space="preserve">（2） </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机关事业单位基本养老保险缴费支出05</w:t>
      </w:r>
      <w:r>
        <w:rPr>
          <w:rFonts w:hint="eastAsia" w:ascii="Times New Roman" w:hAnsi="Times New Roman" w:eastAsia="仿宋_GB2312" w:cs="仿宋_GB2312"/>
          <w:color w:val="auto"/>
          <w:kern w:val="2"/>
          <w:sz w:val="32"/>
          <w:szCs w:val="32"/>
          <w:highlight w:val="none"/>
          <w:lang w:val="en-US" w:eastAsia="zh-CN" w:bidi="ar-SA"/>
        </w:rPr>
        <w:t>（项）: 支出决算为71.05万元，完成预算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（3） </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其他行政事业单位养老支出99</w:t>
      </w:r>
      <w:r>
        <w:rPr>
          <w:rFonts w:hint="eastAsia" w:ascii="Times New Roman" w:hAnsi="Times New Roman" w:eastAsia="仿宋_GB2312" w:cs="仿宋_GB2312"/>
          <w:color w:val="auto"/>
          <w:kern w:val="2"/>
          <w:sz w:val="32"/>
          <w:szCs w:val="32"/>
          <w:highlight w:val="none"/>
          <w:lang w:val="en-US" w:eastAsia="zh-CN" w:bidi="ar-SA"/>
        </w:rPr>
        <w:t>（项）: 支出决算为17.02万元，完成预算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（4） </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其他社会保障和就业支出99</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其他社会保障和就业支出99</w:t>
      </w:r>
      <w:r>
        <w:rPr>
          <w:rFonts w:hint="eastAsia" w:ascii="Times New Roman" w:hAnsi="Times New Roman" w:eastAsia="仿宋_GB2312" w:cs="仿宋_GB2312"/>
          <w:color w:val="auto"/>
          <w:kern w:val="2"/>
          <w:sz w:val="32"/>
          <w:szCs w:val="32"/>
          <w:highlight w:val="none"/>
          <w:lang w:val="en-US" w:eastAsia="zh-CN" w:bidi="ar-SA"/>
        </w:rPr>
        <w:t>（项）: 支出决算为6.52万元，完成预算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3.卫生健康210:支出决</w:t>
      </w:r>
      <w:r>
        <w:rPr>
          <w:rStyle w:val="18"/>
          <w:rFonts w:hint="eastAsia" w:ascii="仿宋" w:hAnsi="仿宋" w:eastAsia="仿宋_GB2312"/>
          <w:b w:val="0"/>
          <w:bCs/>
          <w:color w:val="000000"/>
          <w:sz w:val="32"/>
          <w:szCs w:val="32"/>
        </w:rPr>
        <w:t>算为</w:t>
      </w:r>
      <w:r>
        <w:rPr>
          <w:rStyle w:val="18"/>
          <w:rFonts w:hint="eastAsia" w:ascii="仿宋" w:hAnsi="仿宋" w:eastAsia="仿宋_GB2312"/>
          <w:b w:val="0"/>
          <w:bCs/>
          <w:color w:val="000000"/>
          <w:sz w:val="32"/>
          <w:szCs w:val="32"/>
          <w:lang w:val="en-US" w:eastAsia="zh-CN"/>
        </w:rPr>
        <w:t>33.18</w:t>
      </w:r>
      <w:r>
        <w:rPr>
          <w:rStyle w:val="18"/>
          <w:rFonts w:hint="eastAsia" w:ascii="仿宋" w:hAnsi="仿宋" w:eastAsia="仿宋_GB2312"/>
          <w:b w:val="0"/>
          <w:bCs/>
          <w:color w:val="000000"/>
          <w:sz w:val="32"/>
          <w:szCs w:val="32"/>
        </w:rPr>
        <w:t>万元，完成预算</w:t>
      </w:r>
      <w:r>
        <w:rPr>
          <w:rStyle w:val="18"/>
          <w:rFonts w:hint="eastAsia" w:ascii="仿宋" w:hAnsi="仿宋" w:eastAsia="仿宋_GB2312"/>
          <w:b w:val="0"/>
          <w:bCs/>
          <w:color w:val="000000"/>
          <w:sz w:val="32"/>
          <w:szCs w:val="32"/>
          <w:lang w:val="en-US" w:eastAsia="zh-CN"/>
        </w:rPr>
        <w:t>100</w:t>
      </w:r>
      <w:r>
        <w:rPr>
          <w:rStyle w:val="18"/>
          <w:rFonts w:ascii="仿宋" w:hAnsi="仿宋" w:eastAsia="仿宋_GB2312"/>
          <w:b w:val="0"/>
          <w:bCs/>
          <w:color w:val="000000"/>
          <w:sz w:val="32"/>
          <w:szCs w:val="32"/>
        </w:rPr>
        <w:t>%</w:t>
      </w:r>
      <w:r>
        <w:rPr>
          <w:rStyle w:val="18"/>
          <w:rFonts w:hint="eastAsia" w:ascii="仿宋" w:hAnsi="仿宋" w:eastAsia="仿宋_GB2312"/>
          <w:b w:val="0"/>
          <w:bCs/>
          <w:color w:val="000000"/>
          <w:sz w:val="32"/>
          <w:szCs w:val="32"/>
          <w:lang w:val="en-US" w:eastAsia="zh-CN"/>
        </w:rPr>
        <w:t>。</w:t>
      </w:r>
    </w:p>
    <w:p>
      <w:pPr>
        <w:spacing w:line="600" w:lineRule="exact"/>
        <w:ind w:firstLine="640" w:firstLineChars="200"/>
        <w:rPr>
          <w:rStyle w:val="18"/>
          <w:rFonts w:hint="eastAsia" w:ascii="仿宋" w:hAnsi="仿宋" w:eastAsia="仿宋_GB2312"/>
          <w:b w:val="0"/>
          <w:bCs/>
          <w:color w:val="000000"/>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卫生健康支出210（类）</w:t>
      </w:r>
      <w:r>
        <w:rPr>
          <w:rFonts w:hint="eastAsia" w:eastAsia="仿宋_GB2312" w:cs="仿宋_GB2312"/>
          <w:color w:val="auto"/>
          <w:kern w:val="2"/>
          <w:sz w:val="32"/>
          <w:szCs w:val="32"/>
          <w:highlight w:val="none"/>
          <w:lang w:val="en-US" w:eastAsia="zh-CN" w:bidi="ar-SA"/>
        </w:rPr>
        <w:t>行政事业单位医疗11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事业单</w:t>
      </w:r>
      <w:r>
        <w:rPr>
          <w:rStyle w:val="18"/>
          <w:rFonts w:hint="eastAsia" w:ascii="仿宋" w:hAnsi="仿宋" w:eastAsia="仿宋_GB2312"/>
          <w:b w:val="0"/>
          <w:bCs/>
          <w:color w:val="000000"/>
          <w:sz w:val="32"/>
          <w:szCs w:val="32"/>
          <w:lang w:val="en-US" w:eastAsia="zh-CN"/>
        </w:rPr>
        <w:t>位医疗02（项）: 支出决算为33.18万元，完成预算100%。</w:t>
      </w:r>
    </w:p>
    <w:p>
      <w:pPr>
        <w:spacing w:line="600" w:lineRule="exact"/>
        <w:ind w:firstLine="640" w:firstLineChars="200"/>
        <w:rPr>
          <w:rStyle w:val="18"/>
          <w:rFonts w:hint="eastAsia" w:ascii="仿宋" w:hAnsi="仿宋" w:eastAsia="仿宋_GB2312"/>
          <w:b w:val="0"/>
          <w:bCs/>
          <w:color w:val="000000"/>
          <w:sz w:val="32"/>
          <w:szCs w:val="32"/>
          <w:lang w:val="en-US" w:eastAsia="zh-CN"/>
        </w:rPr>
      </w:pPr>
      <w:r>
        <w:rPr>
          <w:rStyle w:val="18"/>
          <w:rFonts w:hint="eastAsia" w:ascii="仿宋" w:hAnsi="仿宋" w:eastAsia="仿宋_GB2312"/>
          <w:b w:val="0"/>
          <w:bCs/>
          <w:color w:val="000000"/>
          <w:sz w:val="32"/>
          <w:szCs w:val="32"/>
          <w:lang w:val="en-US" w:eastAsia="zh-CN"/>
        </w:rPr>
        <w:t>4.</w:t>
      </w:r>
      <w:r>
        <w:rPr>
          <w:rStyle w:val="18"/>
          <w:rFonts w:hint="eastAsia" w:ascii="仿宋" w:hAnsi="仿宋" w:eastAsia="仿宋_GB2312"/>
          <w:b w:val="0"/>
          <w:bCs/>
          <w:color w:val="000000"/>
          <w:sz w:val="32"/>
          <w:szCs w:val="32"/>
        </w:rPr>
        <w:t>住房保障支出</w:t>
      </w:r>
      <w:r>
        <w:rPr>
          <w:rStyle w:val="18"/>
          <w:rFonts w:hint="eastAsia" w:ascii="仿宋" w:hAnsi="仿宋" w:eastAsia="仿宋_GB2312"/>
          <w:b w:val="0"/>
          <w:bCs/>
          <w:color w:val="000000"/>
          <w:sz w:val="32"/>
          <w:szCs w:val="32"/>
          <w:lang w:val="en-US" w:eastAsia="zh-CN"/>
        </w:rPr>
        <w:t>221</w:t>
      </w:r>
      <w:r>
        <w:rPr>
          <w:rStyle w:val="18"/>
          <w:rFonts w:hint="eastAsia" w:ascii="仿宋" w:hAnsi="仿宋" w:eastAsia="仿宋_GB2312"/>
          <w:b w:val="0"/>
          <w:bCs/>
          <w:color w:val="000000"/>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54.01</w:t>
      </w:r>
      <w:r>
        <w:rPr>
          <w:rStyle w:val="18"/>
          <w:rFonts w:hint="eastAsia" w:ascii="仿宋" w:hAnsi="仿宋" w:eastAsia="仿宋_GB2312"/>
          <w:b w:val="0"/>
          <w:bCs/>
          <w:color w:val="000000"/>
          <w:sz w:val="32"/>
          <w:szCs w:val="32"/>
        </w:rPr>
        <w:t>万元，完成预算</w:t>
      </w:r>
      <w:r>
        <w:rPr>
          <w:rStyle w:val="18"/>
          <w:rFonts w:hint="eastAsia" w:ascii="仿宋" w:hAnsi="仿宋" w:eastAsia="仿宋_GB2312"/>
          <w:b w:val="0"/>
          <w:bCs/>
          <w:color w:val="000000"/>
          <w:sz w:val="32"/>
          <w:szCs w:val="32"/>
          <w:lang w:val="en-US" w:eastAsia="zh-CN"/>
        </w:rPr>
        <w:t>100</w:t>
      </w:r>
      <w:r>
        <w:rPr>
          <w:rStyle w:val="18"/>
          <w:rFonts w:ascii="仿宋" w:hAnsi="仿宋" w:eastAsia="仿宋_GB2312"/>
          <w:b w:val="0"/>
          <w:bCs/>
          <w:color w:val="000000"/>
          <w:sz w:val="32"/>
          <w:szCs w:val="32"/>
        </w:rPr>
        <w:t>%</w:t>
      </w:r>
      <w:r>
        <w:rPr>
          <w:rStyle w:val="18"/>
          <w:rFonts w:hint="eastAsia" w:ascii="仿宋" w:hAnsi="仿宋" w:eastAsia="仿宋_GB2312"/>
          <w:b w:val="0"/>
          <w:bCs/>
          <w:color w:val="000000"/>
          <w:sz w:val="32"/>
          <w:szCs w:val="32"/>
          <w:lang w:val="en-US"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住房保障支出221（类）</w:t>
      </w:r>
      <w:r>
        <w:rPr>
          <w:rFonts w:hint="eastAsia" w:eastAsia="仿宋_GB2312" w:cs="仿宋_GB2312"/>
          <w:color w:val="auto"/>
          <w:kern w:val="2"/>
          <w:sz w:val="32"/>
          <w:szCs w:val="32"/>
          <w:highlight w:val="none"/>
          <w:lang w:val="en-US" w:eastAsia="zh-CN" w:bidi="ar-SA"/>
        </w:rPr>
        <w:t>住房改革支出02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住房公积金01</w:t>
      </w:r>
      <w:r>
        <w:rPr>
          <w:rFonts w:hint="eastAsia" w:ascii="Times New Roman" w:hAnsi="Times New Roman" w:eastAsia="仿宋_GB2312" w:cs="仿宋_GB2312"/>
          <w:color w:val="auto"/>
          <w:kern w:val="2"/>
          <w:sz w:val="32"/>
          <w:szCs w:val="32"/>
          <w:highlight w:val="none"/>
          <w:lang w:val="en-US" w:eastAsia="zh-CN" w:bidi="ar-SA"/>
        </w:rPr>
        <w:t>（项）: 支出决算为54.01万元，完成预算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tabs>
          <w:tab w:val="right" w:pos="8306"/>
        </w:tabs>
        <w:spacing w:line="600" w:lineRule="exact"/>
        <w:ind w:firstLine="640"/>
        <w:outlineLvl w:val="1"/>
        <w:rPr>
          <w:rStyle w:val="30"/>
          <w:rFonts w:ascii="Times New Roman" w:hAnsi="Times New Roman"/>
          <w:color w:val="auto"/>
          <w:highlight w:val="none"/>
        </w:rPr>
      </w:pPr>
      <w:bookmarkStart w:id="75" w:name="_Toc28520"/>
      <w:bookmarkStart w:id="76" w:name="_Toc24066"/>
      <w:bookmarkStart w:id="77" w:name="_Toc15377214"/>
      <w:bookmarkStart w:id="78" w:name="_Toc28921"/>
      <w:bookmarkStart w:id="79" w:name="_Toc15396608"/>
      <w:bookmarkStart w:id="80" w:name="_Toc15323"/>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75"/>
      <w:bookmarkEnd w:id="76"/>
      <w:bookmarkEnd w:id="77"/>
      <w:bookmarkEnd w:id="78"/>
      <w:bookmarkEnd w:id="79"/>
      <w:bookmarkEnd w:id="80"/>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843.5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789.35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54.1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2"/>
        <w:rPr>
          <w:rFonts w:hint="eastAsia"/>
          <w:lang w:val="en-US" w:eastAsia="zh-CN"/>
        </w:rPr>
      </w:pPr>
    </w:p>
    <w:p>
      <w:pPr>
        <w:spacing w:line="600" w:lineRule="exact"/>
        <w:ind w:firstLine="640"/>
        <w:outlineLvl w:val="1"/>
        <w:rPr>
          <w:rStyle w:val="30"/>
          <w:rFonts w:ascii="Times New Roman" w:hAnsi="Times New Roman" w:eastAsia="黑体"/>
          <w:b w:val="0"/>
          <w:color w:val="auto"/>
          <w:highlight w:val="none"/>
        </w:rPr>
      </w:pPr>
      <w:bookmarkStart w:id="81" w:name="_Toc15558"/>
      <w:bookmarkStart w:id="82" w:name="_Toc15377215"/>
      <w:bookmarkStart w:id="83"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81"/>
      <w:bookmarkEnd w:id="82"/>
      <w:bookmarkEnd w:id="8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8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8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30"/>
          <w:rFonts w:ascii="Times New Roman" w:hAnsi="Times New Roman" w:eastAsia="黑体"/>
          <w:color w:val="auto"/>
          <w:highlight w:val="none"/>
        </w:rPr>
      </w:pPr>
      <w:bookmarkStart w:id="86" w:name="_Toc15377218"/>
      <w:bookmarkStart w:id="87" w:name="_Toc15396610"/>
      <w:bookmarkStart w:id="88" w:name="_Toc8921"/>
      <w:bookmarkStart w:id="89" w:name="_Toc8436"/>
      <w:bookmarkStart w:id="90" w:name="_Toc10132"/>
      <w:bookmarkStart w:id="91" w:name="_Toc21862"/>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86"/>
      <w:bookmarkEnd w:id="87"/>
      <w:bookmarkEnd w:id="88"/>
      <w:bookmarkEnd w:id="89"/>
      <w:bookmarkEnd w:id="90"/>
      <w:bookmarkEnd w:id="91"/>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与2023年度持平。</w:t>
      </w:r>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92" w:name="_Toc13439"/>
      <w:bookmarkStart w:id="93" w:name="_Toc742"/>
      <w:bookmarkStart w:id="94" w:name="_Toc15377219"/>
      <w:bookmarkStart w:id="95" w:name="_Toc17773"/>
      <w:bookmarkStart w:id="96" w:name="_Toc15396611"/>
      <w:bookmarkStart w:id="97" w:name="_Toc1226"/>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92"/>
      <w:bookmarkEnd w:id="93"/>
      <w:bookmarkEnd w:id="94"/>
      <w:bookmarkEnd w:id="95"/>
      <w:bookmarkEnd w:id="96"/>
      <w:bookmarkEnd w:id="9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98" w:name="_Toc15377221"/>
      <w:bookmarkStart w:id="99" w:name="_Toc6293"/>
      <w:bookmarkStart w:id="100" w:name="_Toc15396612"/>
      <w:bookmarkStart w:id="101" w:name="_Toc32141"/>
      <w:bookmarkStart w:id="102" w:name="_Toc17089"/>
      <w:bookmarkStart w:id="103" w:name="_Toc15830"/>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98"/>
      <w:bookmarkEnd w:id="99"/>
      <w:bookmarkEnd w:id="100"/>
      <w:bookmarkEnd w:id="101"/>
      <w:bookmarkEnd w:id="102"/>
      <w:bookmarkEnd w:id="10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04" w:name="_Toc15377222"/>
      <w:bookmarkStart w:id="105" w:name="_Toc4699"/>
      <w:r>
        <w:rPr>
          <w:rFonts w:hint="eastAsia" w:ascii="Times New Roman" w:hAnsi="Times New Roman" w:eastAsia="楷体_GB2312" w:cs="楷体_GB2312"/>
          <w:b/>
          <w:color w:val="auto"/>
          <w:sz w:val="32"/>
          <w:szCs w:val="32"/>
          <w:highlight w:val="none"/>
        </w:rPr>
        <w:t>（一）机关运行经费支出情况</w:t>
      </w:r>
      <w:bookmarkEnd w:id="104"/>
      <w:bookmarkEnd w:id="10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遂宁市安居区石洞镇中心小学校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与2023年度决算数持平。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06" w:name="_Toc15377223"/>
      <w:bookmarkStart w:id="107" w:name="_Toc10367"/>
      <w:r>
        <w:rPr>
          <w:rFonts w:hint="eastAsia" w:ascii="Times New Roman" w:hAnsi="Times New Roman" w:eastAsia="楷体_GB2312" w:cs="楷体_GB2312"/>
          <w:b/>
          <w:color w:val="auto"/>
          <w:sz w:val="32"/>
          <w:szCs w:val="32"/>
          <w:highlight w:val="none"/>
        </w:rPr>
        <w:t>（二）政府采购支出情况</w:t>
      </w:r>
      <w:bookmarkEnd w:id="106"/>
      <w:bookmarkEnd w:id="10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108" w:name="_Toc15377224"/>
      <w:bookmarkStart w:id="109" w:name="_Toc32746"/>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遂宁市安居区东禅镇中心小学校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（三）国有资产占有使用情况</w:t>
      </w:r>
      <w:bookmarkEnd w:id="108"/>
      <w:bookmarkEnd w:id="10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遂宁市安居区石洞镇中心小学校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10" w:name="_Toc29200"/>
      <w:r>
        <w:rPr>
          <w:rFonts w:hint="eastAsia" w:ascii="Times New Roman" w:hAnsi="Times New Roman" w:eastAsia="楷体_GB2312" w:cs="楷体_GB2312"/>
          <w:b/>
          <w:color w:val="auto"/>
          <w:sz w:val="32"/>
          <w:szCs w:val="32"/>
          <w:highlight w:val="none"/>
        </w:rPr>
        <w:t>（四）预算绩效管理情况</w:t>
      </w:r>
      <w:bookmarkEnd w:id="11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单位在2024年度预算编制阶段，组织对幼儿保教费、义务教育家庭经济困难学生生活补助、幼儿资助及幼儿发展资金、校舍维修、城乡义务教育-免作业本费、义教免作业本费（省市区级）等</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年我单位部门整体（含部门预算项目）绩效自评报告，幼儿保教费、义务教育家庭经济困难学生生活补助、幼儿资助及幼儿发展资金、校舍维修、城乡义务教育-免作业本费、义教免作业本费（省市区级）等预算项目绩效自评报告。其中，2024年我单位部门整体（含部门预算项目）绩效自评得分为9</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分，绩效自评综述绩效自评综述严格执行相关政策，保障工资及时发放、足额发放，预算编制科学合理，减少结余资金，广泛听取意见，认真总结分析,搜集完善各类资料。进一步深化课程改革，提高教育质量，努力改善办学条件，促进教育均衡发展。幼儿保教费预算项目绩效自评得分为100分，绩效自评综述保障了学校家庭经济困难学生正常入学，减轻其家庭经济负担。义务教育家庭经济困难学生生活补助预算项目绩效自评得分为100分，绩效自评综述保障了学校家庭经济困难学生正常入学，减轻其家庭经济负担。幼儿资助及幼儿发展资金预算项目绩效自评得分为100分，绩效自评综述保障了学校家庭经济困难学生正常入学，减轻其家庭经济负担，促进学校健康发展。校舍维修预算项目绩效自评得分为100分，绩效自评综述严格执行预算，及时申请支付资金，促进学校健康发展。城乡义务教育-免作业本费预算项目绩效自评得分为100分，绩效自评综述严格执行预算，及时申请支付资金，保证学生作业本按时发放。义教免作业本费（省市区级）预算项目绩效自评得分为100分，绩效自评综述严格执行预算，及时申请支付资金，保证学生作业本按时发放。</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绩效自评表详见第四部分附件。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111" w:name="_Toc15396613"/>
      <w:bookmarkStart w:id="112" w:name="_Toc15377225"/>
      <w:r>
        <w:rPr>
          <w:rFonts w:hint="eastAsia" w:ascii="Times New Roman" w:hAnsi="Times New Roman" w:eastAsia="黑体"/>
          <w:color w:val="auto"/>
          <w:sz w:val="44"/>
          <w:szCs w:val="44"/>
          <w:highlight w:val="none"/>
        </w:rPr>
        <w:br w:type="page"/>
      </w: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113" w:name="_Toc957"/>
      <w:bookmarkStart w:id="114" w:name="_Toc3584"/>
      <w:bookmarkStart w:id="115" w:name="_Toc8347"/>
      <w:bookmarkStart w:id="116" w:name="_Toc26626"/>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111"/>
      <w:bookmarkEnd w:id="112"/>
      <w:bookmarkEnd w:id="113"/>
      <w:bookmarkEnd w:id="114"/>
      <w:bookmarkEnd w:id="115"/>
      <w:bookmarkEnd w:id="116"/>
    </w:p>
    <w:p>
      <w:pPr>
        <w:spacing w:line="600" w:lineRule="exact"/>
        <w:jc w:val="left"/>
        <w:rPr>
          <w:rFonts w:ascii="Times New Roman" w:hAnsi="Times New Roman"/>
          <w:b/>
          <w:color w:val="auto"/>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w:t>
      </w:r>
      <w:r>
        <w:rPr>
          <w:rFonts w:hint="eastAsia" w:ascii="仿宋" w:hAnsi="仿宋" w:eastAsia="仿宋_GB2312"/>
          <w:sz w:val="32"/>
          <w:szCs w:val="32"/>
        </w:rPr>
        <w:t>学前教育保教费收入</w:t>
      </w:r>
      <w:r>
        <w:rPr>
          <w:rFonts w:hint="eastAsia" w:ascii="仿宋_GB2312" w:eastAsia="仿宋_GB2312"/>
          <w:color w:val="auto"/>
          <w:sz w:val="32"/>
          <w:szCs w:val="32"/>
          <w:highlight w:val="none"/>
        </w:rPr>
        <w:t>等。</w:t>
      </w:r>
    </w:p>
    <w:p>
      <w:pPr>
        <w:pStyle w:val="27"/>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hint="eastAsia" w:ascii="仿宋" w:hAnsi="仿宋" w:eastAsia="仿宋_GB2312"/>
          <w:sz w:val="32"/>
          <w:szCs w:val="32"/>
        </w:rPr>
        <w:t>主要是利息收入、捐赠收入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560" w:lineRule="exact"/>
        <w:ind w:firstLine="640" w:firstLineChars="200"/>
        <w:rPr>
          <w:rFonts w:ascii="仿宋" w:hAnsi="仿宋" w:eastAsia="仿宋_GB2312"/>
          <w:sz w:val="32"/>
          <w:szCs w:val="32"/>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 w:hAnsi="仿宋" w:eastAsia="仿宋_GB2312"/>
          <w:sz w:val="32"/>
          <w:szCs w:val="32"/>
        </w:rPr>
        <w:t>教育（205类）教育管理事务（01款）行政运行（01项）</w:t>
      </w:r>
      <w:r>
        <w:rPr>
          <w:rFonts w:ascii="仿宋" w:hAnsi="仿宋" w:eastAsia="仿宋_GB2312"/>
          <w:sz w:val="32"/>
          <w:szCs w:val="32"/>
        </w:rPr>
        <w:t xml:space="preserve">: </w:t>
      </w:r>
      <w:r>
        <w:rPr>
          <w:rFonts w:hint="eastAsia" w:ascii="仿宋" w:hAnsi="仿宋" w:eastAsia="仿宋_GB2312"/>
          <w:sz w:val="32"/>
          <w:szCs w:val="32"/>
        </w:rPr>
        <w:t>反映行政单位（包括实行公务员管理的事业单位）的基本支出。</w:t>
      </w:r>
    </w:p>
    <w:p>
      <w:pPr>
        <w:ind w:firstLine="640" w:firstLineChars="200"/>
        <w:rPr>
          <w:rFonts w:hint="eastAsia" w:ascii="仿宋" w:hAnsi="仿宋" w:eastAsia="仿宋_GB2312"/>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 w:hAnsi="仿宋" w:eastAsia="仿宋_GB2312"/>
          <w:sz w:val="32"/>
          <w:szCs w:val="32"/>
        </w:rPr>
        <w:t>教育（205类）教育管理事务（01款）一般行政管理事务（02项）</w:t>
      </w:r>
      <w:r>
        <w:rPr>
          <w:rFonts w:ascii="仿宋" w:hAnsi="仿宋" w:eastAsia="仿宋_GB2312"/>
          <w:sz w:val="32"/>
          <w:szCs w:val="32"/>
        </w:rPr>
        <w:t xml:space="preserve">: </w:t>
      </w:r>
      <w:r>
        <w:rPr>
          <w:rFonts w:hint="eastAsia" w:ascii="仿宋" w:hAnsi="仿宋" w:eastAsia="仿宋_GB2312"/>
          <w:sz w:val="32"/>
          <w:szCs w:val="32"/>
        </w:rPr>
        <w:t>反映行政单位（包括实行公务员管理的事业单位）未单独设置项级科目的其</w:t>
      </w:r>
      <w:r>
        <w:rPr>
          <w:rFonts w:hint="eastAsia" w:ascii="仿宋" w:hAnsi="仿宋" w:eastAsia="仿宋_GB2312"/>
          <w:sz w:val="32"/>
          <w:szCs w:val="32"/>
          <w:lang w:val="en-US" w:eastAsia="zh-CN"/>
        </w:rPr>
        <w:t>他</w:t>
      </w:r>
      <w:r>
        <w:rPr>
          <w:rFonts w:hint="eastAsia" w:ascii="仿宋" w:hAnsi="仿宋" w:eastAsia="仿宋_GB2312"/>
          <w:sz w:val="32"/>
          <w:szCs w:val="32"/>
        </w:rPr>
        <w:t>项目支出。</w:t>
      </w:r>
    </w:p>
    <w:p>
      <w:pPr>
        <w:spacing w:line="560" w:lineRule="exact"/>
        <w:ind w:firstLine="640" w:firstLineChars="200"/>
        <w:rPr>
          <w:rFonts w:ascii="仿宋" w:hAnsi="仿宋" w:eastAsia="仿宋_GB2312"/>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 w:hAnsi="仿宋" w:eastAsia="仿宋_GB2312"/>
          <w:sz w:val="32"/>
          <w:szCs w:val="32"/>
        </w:rPr>
        <w:t>教育（205类）教育管理事务（01款）其他教育管理事务支出（99项）</w:t>
      </w:r>
      <w:r>
        <w:rPr>
          <w:rFonts w:ascii="仿宋" w:hAnsi="仿宋" w:eastAsia="仿宋_GB2312"/>
          <w:sz w:val="32"/>
          <w:szCs w:val="32"/>
        </w:rPr>
        <w:t xml:space="preserve">: </w:t>
      </w:r>
      <w:r>
        <w:rPr>
          <w:rFonts w:hint="eastAsia" w:ascii="仿宋" w:hAnsi="仿宋" w:eastAsia="仿宋_GB2312"/>
          <w:sz w:val="32"/>
          <w:szCs w:val="32"/>
        </w:rPr>
        <w:t>反映除上述项目以外其</w:t>
      </w:r>
      <w:r>
        <w:rPr>
          <w:rFonts w:hint="eastAsia" w:ascii="仿宋" w:hAnsi="仿宋" w:eastAsia="仿宋_GB2312"/>
          <w:sz w:val="32"/>
          <w:szCs w:val="32"/>
          <w:lang w:val="en-US" w:eastAsia="zh-CN"/>
        </w:rPr>
        <w:t>他</w:t>
      </w:r>
      <w:r>
        <w:rPr>
          <w:rFonts w:hint="eastAsia" w:ascii="仿宋" w:hAnsi="仿宋" w:eastAsia="仿宋_GB2312"/>
          <w:sz w:val="32"/>
          <w:szCs w:val="32"/>
        </w:rPr>
        <w:t>用于教育管理事务方面的支出。</w:t>
      </w:r>
    </w:p>
    <w:p>
      <w:pPr>
        <w:spacing w:line="560" w:lineRule="exact"/>
        <w:ind w:firstLine="640" w:firstLineChars="200"/>
        <w:rPr>
          <w:rFonts w:ascii="仿宋" w:hAnsi="仿宋" w:eastAsia="仿宋_GB2312"/>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 w:hAnsi="仿宋" w:eastAsia="仿宋_GB2312"/>
          <w:sz w:val="32"/>
          <w:szCs w:val="32"/>
        </w:rPr>
        <w:t>教育（205类）普通教育（02款）学前教育（01项）</w:t>
      </w:r>
      <w:r>
        <w:rPr>
          <w:rFonts w:ascii="仿宋" w:hAnsi="仿宋" w:eastAsia="仿宋_GB2312"/>
          <w:sz w:val="32"/>
          <w:szCs w:val="32"/>
        </w:rPr>
        <w:t xml:space="preserve">: </w:t>
      </w:r>
      <w:r>
        <w:rPr>
          <w:rFonts w:hint="eastAsia" w:ascii="仿宋" w:hAnsi="仿宋" w:eastAsia="仿宋_GB2312"/>
          <w:sz w:val="32"/>
          <w:szCs w:val="32"/>
        </w:rPr>
        <w:t>反映各部门举办的学前教育支出。</w:t>
      </w:r>
    </w:p>
    <w:p>
      <w:pPr>
        <w:spacing w:line="560" w:lineRule="exact"/>
        <w:ind w:firstLine="640" w:firstLineChars="200"/>
        <w:rPr>
          <w:rFonts w:ascii="仿宋" w:hAnsi="仿宋" w:eastAsia="仿宋_GB2312"/>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 w:hAnsi="仿宋" w:eastAsia="仿宋_GB2312"/>
          <w:sz w:val="32"/>
          <w:szCs w:val="32"/>
        </w:rPr>
        <w:t>教育（205类）普通教育（02款）小学教育（02项）</w:t>
      </w:r>
      <w:r>
        <w:rPr>
          <w:rFonts w:ascii="仿宋" w:hAnsi="仿宋" w:eastAsia="仿宋_GB2312"/>
          <w:sz w:val="32"/>
          <w:szCs w:val="32"/>
        </w:rPr>
        <w:t xml:space="preserve">: </w:t>
      </w:r>
      <w:r>
        <w:rPr>
          <w:rFonts w:hint="eastAsia" w:ascii="仿宋" w:hAnsi="仿宋" w:eastAsia="仿宋_GB2312"/>
          <w:sz w:val="32"/>
          <w:szCs w:val="32"/>
        </w:rPr>
        <w:t>反映各部门举办的小学教育支出。政府各部门对社会中介组织等举办的小学的资助，如各类捐赠、补贴等，也在本科目中反映。</w:t>
      </w:r>
    </w:p>
    <w:p>
      <w:pPr>
        <w:spacing w:line="560" w:lineRule="exact"/>
        <w:ind w:firstLine="640" w:firstLineChars="200"/>
        <w:rPr>
          <w:rFonts w:ascii="仿宋" w:hAnsi="仿宋" w:eastAsia="仿宋_GB2312"/>
          <w:sz w:val="32"/>
          <w:szCs w:val="32"/>
        </w:rPr>
      </w:pPr>
      <w:r>
        <w:rPr>
          <w:rFonts w:hint="eastAsia" w:ascii="仿宋_GB2312" w:eastAsia="仿宋_GB2312"/>
          <w:color w:val="auto"/>
          <w:sz w:val="32"/>
          <w:szCs w:val="32"/>
          <w:highlight w:val="none"/>
          <w:lang w:val="en-US" w:eastAsia="zh-CN"/>
        </w:rPr>
        <w:t>14.</w:t>
      </w:r>
      <w:r>
        <w:rPr>
          <w:rFonts w:hint="eastAsia" w:ascii="仿宋" w:hAnsi="仿宋" w:eastAsia="仿宋_GB2312"/>
          <w:sz w:val="32"/>
          <w:szCs w:val="32"/>
        </w:rPr>
        <w:t>教育（205类）普通教育（02款）其他普通教育支出（99项）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w:t>
      </w:r>
      <w:r>
        <w:rPr>
          <w:rFonts w:hint="eastAsia" w:ascii="仿宋" w:hAnsi="仿宋" w:eastAsia="仿宋_GB2312"/>
          <w:sz w:val="32"/>
          <w:szCs w:val="32"/>
          <w:lang w:val="en-US" w:eastAsia="zh-CN"/>
        </w:rPr>
        <w:t>他</w:t>
      </w:r>
      <w:r>
        <w:rPr>
          <w:rFonts w:hint="eastAsia" w:ascii="仿宋" w:hAnsi="仿宋" w:eastAsia="仿宋_GB2312"/>
          <w:sz w:val="32"/>
          <w:szCs w:val="32"/>
        </w:rPr>
        <w:t>用于普通教育方面的支出。</w:t>
      </w:r>
    </w:p>
    <w:p>
      <w:pPr>
        <w:ind w:firstLine="640" w:firstLineChars="200"/>
        <w:rPr>
          <w:rFonts w:hint="eastAsia" w:ascii="仿宋" w:hAnsi="仿宋" w:eastAsia="仿宋_GB2312"/>
          <w:sz w:val="32"/>
          <w:szCs w:val="32"/>
        </w:rPr>
      </w:pPr>
      <w:r>
        <w:rPr>
          <w:rFonts w:hint="eastAsia" w:ascii="仿宋_GB2312" w:eastAsia="仿宋_GB2312"/>
          <w:color w:val="auto"/>
          <w:sz w:val="32"/>
          <w:szCs w:val="32"/>
          <w:highlight w:val="none"/>
          <w:lang w:val="en-US" w:eastAsia="zh-CN"/>
        </w:rPr>
        <w:t>15.</w:t>
      </w:r>
      <w:r>
        <w:rPr>
          <w:rFonts w:hint="eastAsia" w:ascii="仿宋" w:hAnsi="仿宋" w:eastAsia="仿宋_GB2312"/>
          <w:sz w:val="32"/>
          <w:szCs w:val="32"/>
        </w:rPr>
        <w:t>教育（205类）其他教育支出（</w:t>
      </w:r>
      <w:r>
        <w:rPr>
          <w:rFonts w:hint="eastAsia" w:ascii="仿宋" w:hAnsi="仿宋" w:eastAsia="仿宋_GB2312"/>
          <w:sz w:val="32"/>
          <w:szCs w:val="32"/>
          <w:lang w:val="en-US" w:eastAsia="zh-CN"/>
        </w:rPr>
        <w:t>0</w:t>
      </w:r>
      <w:r>
        <w:rPr>
          <w:rFonts w:hint="eastAsia" w:ascii="仿宋" w:hAnsi="仿宋" w:eastAsia="仿宋_GB2312"/>
          <w:sz w:val="32"/>
          <w:szCs w:val="32"/>
        </w:rPr>
        <w:t>9款）其他教育支出（99项）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反映除上述项目以外其他教育费附加安排的支出。</w:t>
      </w:r>
    </w:p>
    <w:p>
      <w:pPr>
        <w:ind w:firstLine="640" w:firstLineChars="200"/>
        <w:rPr>
          <w:rFonts w:hint="eastAsia" w:ascii="仿宋" w:hAnsi="仿宋" w:eastAsia="仿宋_GB2312"/>
          <w:sz w:val="32"/>
          <w:szCs w:val="32"/>
        </w:rPr>
      </w:pPr>
      <w:r>
        <w:rPr>
          <w:rFonts w:hint="eastAsia" w:ascii="仿宋_GB2312" w:eastAsia="仿宋_GB2312"/>
          <w:color w:val="auto"/>
          <w:sz w:val="32"/>
          <w:szCs w:val="32"/>
          <w:highlight w:val="none"/>
          <w:lang w:val="en-US" w:eastAsia="zh-CN"/>
        </w:rPr>
        <w:t>16.</w:t>
      </w:r>
      <w:r>
        <w:rPr>
          <w:rFonts w:hint="eastAsia" w:ascii="仿宋" w:hAnsi="仿宋" w:eastAsia="仿宋_GB2312"/>
          <w:sz w:val="32"/>
          <w:szCs w:val="32"/>
        </w:rPr>
        <w:t>教育（205类）其他教育支出（99款）其他教育支出（99项）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w:t>
      </w:r>
      <w:r>
        <w:rPr>
          <w:rFonts w:hint="eastAsia" w:ascii="仿宋" w:hAnsi="仿宋" w:eastAsia="仿宋_GB2312"/>
          <w:sz w:val="32"/>
          <w:szCs w:val="32"/>
          <w:lang w:val="en-US" w:eastAsia="zh-CN"/>
        </w:rPr>
        <w:t>他</w:t>
      </w:r>
      <w:r>
        <w:rPr>
          <w:rFonts w:hint="eastAsia" w:ascii="仿宋" w:hAnsi="仿宋" w:eastAsia="仿宋_GB2312"/>
          <w:sz w:val="32"/>
          <w:szCs w:val="32"/>
        </w:rPr>
        <w:t>教育方面的支出。</w:t>
      </w:r>
    </w:p>
    <w:p>
      <w:pPr>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17.</w:t>
      </w:r>
      <w:r>
        <w:rPr>
          <w:rFonts w:hint="eastAsia" w:ascii="仿宋" w:hAnsi="仿宋" w:eastAsia="仿宋_GB2312"/>
          <w:sz w:val="32"/>
          <w:szCs w:val="32"/>
        </w:rPr>
        <w:t>社会保障和就业（208类）行政事业单位养老支出（05款）事业单位离退休（0</w:t>
      </w:r>
      <w:r>
        <w:rPr>
          <w:rFonts w:hint="eastAsia" w:ascii="仿宋" w:hAnsi="仿宋" w:eastAsia="仿宋_GB2312"/>
          <w:sz w:val="32"/>
          <w:szCs w:val="32"/>
          <w:lang w:val="en-US" w:eastAsia="zh-CN"/>
        </w:rPr>
        <w:t>2</w:t>
      </w:r>
      <w:r>
        <w:rPr>
          <w:rFonts w:hint="eastAsia" w:ascii="仿宋" w:hAnsi="仿宋" w:eastAsia="仿宋_GB2312"/>
          <w:sz w:val="32"/>
          <w:szCs w:val="32"/>
        </w:rPr>
        <w:t>项）</w:t>
      </w:r>
      <w:r>
        <w:rPr>
          <w:rFonts w:ascii="仿宋" w:hAnsi="仿宋" w:eastAsia="仿宋_GB2312"/>
          <w:sz w:val="32"/>
          <w:szCs w:val="32"/>
        </w:rPr>
        <w:t xml:space="preserve">: </w:t>
      </w:r>
      <w:r>
        <w:rPr>
          <w:rFonts w:hint="eastAsia" w:ascii="仿宋" w:hAnsi="仿宋" w:eastAsia="仿宋_GB2312"/>
          <w:sz w:val="32"/>
          <w:szCs w:val="32"/>
        </w:rPr>
        <w:t>反映机关事业单位实施事业单位离退</w:t>
      </w:r>
      <w:r>
        <w:rPr>
          <w:rFonts w:hint="eastAsia" w:ascii="仿宋" w:hAnsi="仿宋" w:eastAsia="仿宋_GB2312"/>
          <w:sz w:val="32"/>
          <w:szCs w:val="32"/>
          <w:lang w:val="en-US" w:eastAsia="zh-CN"/>
        </w:rPr>
        <w:t>休</w:t>
      </w:r>
      <w:r>
        <w:rPr>
          <w:rFonts w:hint="eastAsia" w:ascii="仿宋" w:hAnsi="仿宋" w:eastAsia="仿宋_GB2312"/>
          <w:sz w:val="32"/>
          <w:szCs w:val="32"/>
        </w:rPr>
        <w:t>支出。</w:t>
      </w:r>
    </w:p>
    <w:p>
      <w:pPr>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18.</w:t>
      </w:r>
      <w:r>
        <w:rPr>
          <w:rFonts w:hint="eastAsia" w:ascii="仿宋" w:hAnsi="仿宋" w:eastAsia="仿宋_GB2312"/>
          <w:sz w:val="32"/>
          <w:szCs w:val="32"/>
        </w:rPr>
        <w:t>社会保障和就业（208类）行政事业单位养老支出（05款）机关事业单位基本养老保险缴费支出（05项）</w:t>
      </w:r>
      <w:r>
        <w:rPr>
          <w:rFonts w:ascii="仿宋" w:hAnsi="仿宋" w:eastAsia="仿宋_GB2312"/>
          <w:sz w:val="32"/>
          <w:szCs w:val="32"/>
        </w:rPr>
        <w:t xml:space="preserve">: </w:t>
      </w:r>
      <w:r>
        <w:rPr>
          <w:rFonts w:hint="eastAsia" w:ascii="仿宋" w:hAnsi="仿宋" w:eastAsia="仿宋_GB2312"/>
          <w:sz w:val="32"/>
          <w:szCs w:val="32"/>
        </w:rPr>
        <w:t>反映机关事业单位实施养老保险制度由单位缴纳的基本养老保险费支出。</w:t>
      </w:r>
    </w:p>
    <w:p>
      <w:pPr>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19.</w:t>
      </w:r>
      <w:r>
        <w:rPr>
          <w:rFonts w:hint="eastAsia" w:ascii="仿宋" w:hAnsi="仿宋" w:eastAsia="仿宋_GB2312"/>
          <w:sz w:val="32"/>
          <w:szCs w:val="32"/>
        </w:rPr>
        <w:t>社会保障和就业（20</w:t>
      </w:r>
      <w:bookmarkStart w:id="196" w:name="_GoBack"/>
      <w:bookmarkEnd w:id="196"/>
      <w:r>
        <w:rPr>
          <w:rFonts w:hint="eastAsia" w:ascii="仿宋" w:hAnsi="仿宋" w:eastAsia="仿宋_GB2312"/>
          <w:sz w:val="32"/>
          <w:szCs w:val="32"/>
        </w:rPr>
        <w:t>8类）行政事业单位养老支出（05款）其他行政事业单位养老支出（</w:t>
      </w:r>
      <w:r>
        <w:rPr>
          <w:rFonts w:hint="eastAsia" w:ascii="仿宋" w:hAnsi="仿宋" w:eastAsia="仿宋_GB2312"/>
          <w:sz w:val="32"/>
          <w:szCs w:val="32"/>
          <w:lang w:val="en-US" w:eastAsia="zh-CN"/>
        </w:rPr>
        <w:t>99</w:t>
      </w:r>
      <w:r>
        <w:rPr>
          <w:rFonts w:hint="eastAsia" w:ascii="仿宋" w:hAnsi="仿宋" w:eastAsia="仿宋_GB2312"/>
          <w:sz w:val="32"/>
          <w:szCs w:val="32"/>
        </w:rPr>
        <w:t>项）</w:t>
      </w:r>
      <w:r>
        <w:rPr>
          <w:rFonts w:ascii="仿宋" w:hAnsi="仿宋" w:eastAsia="仿宋_GB2312"/>
          <w:sz w:val="32"/>
          <w:szCs w:val="32"/>
        </w:rPr>
        <w:t xml:space="preserve">: </w:t>
      </w:r>
      <w:r>
        <w:rPr>
          <w:rFonts w:hint="eastAsia" w:ascii="仿宋" w:hAnsi="仿宋" w:eastAsia="仿宋_GB2312"/>
          <w:sz w:val="32"/>
          <w:szCs w:val="32"/>
        </w:rPr>
        <w:t>反映机关事业单位实施养老保险制度其他行政事业单位养老支出支出。</w:t>
      </w:r>
    </w:p>
    <w:p>
      <w:pPr>
        <w:spacing w:line="560" w:lineRule="exact"/>
        <w:ind w:firstLine="640" w:firstLineChars="200"/>
        <w:rPr>
          <w:rFonts w:ascii="仿宋" w:hAnsi="仿宋" w:eastAsia="仿宋_GB2312"/>
          <w:sz w:val="32"/>
          <w:szCs w:val="32"/>
        </w:rPr>
      </w:pPr>
      <w:r>
        <w:rPr>
          <w:rFonts w:hint="eastAsia" w:ascii="仿宋_GB2312" w:eastAsia="仿宋_GB2312"/>
          <w:color w:val="auto"/>
          <w:sz w:val="32"/>
          <w:szCs w:val="32"/>
          <w:highlight w:val="none"/>
          <w:lang w:val="en-US" w:eastAsia="zh-CN"/>
        </w:rPr>
        <w:t>20.</w:t>
      </w:r>
      <w:r>
        <w:rPr>
          <w:rFonts w:hint="eastAsia" w:ascii="仿宋" w:hAnsi="仿宋" w:eastAsia="仿宋_GB2312"/>
          <w:sz w:val="32"/>
          <w:szCs w:val="32"/>
        </w:rPr>
        <w:t>社会保障和就业（208类）其他社会保障和就业支出（99款）其他社会保障和就业支出（</w:t>
      </w:r>
      <w:r>
        <w:rPr>
          <w:rFonts w:hint="eastAsia" w:ascii="仿宋" w:hAnsi="仿宋" w:eastAsia="仿宋_GB2312"/>
          <w:sz w:val="32"/>
          <w:szCs w:val="32"/>
          <w:lang w:val="en-US" w:eastAsia="zh-CN"/>
        </w:rPr>
        <w:t>99</w:t>
      </w:r>
      <w:r>
        <w:rPr>
          <w:rFonts w:hint="eastAsia" w:ascii="仿宋" w:hAnsi="仿宋" w:eastAsia="仿宋_GB2312"/>
          <w:sz w:val="32"/>
          <w:szCs w:val="32"/>
        </w:rPr>
        <w:t>项）</w:t>
      </w:r>
      <w:r>
        <w:rPr>
          <w:rFonts w:ascii="仿宋" w:hAnsi="仿宋" w:eastAsia="仿宋_GB2312"/>
          <w:sz w:val="32"/>
          <w:szCs w:val="32"/>
        </w:rPr>
        <w:t xml:space="preserve">: </w:t>
      </w:r>
      <w:r>
        <w:rPr>
          <w:rFonts w:hint="eastAsia" w:ascii="仿宋" w:hAnsi="仿宋" w:eastAsia="仿宋_GB2312"/>
          <w:sz w:val="32"/>
          <w:szCs w:val="32"/>
        </w:rPr>
        <w:t>反映上述项目以外其他用用于社会保障和就业方面的支出。</w:t>
      </w:r>
    </w:p>
    <w:p>
      <w:pPr>
        <w:spacing w:line="560" w:lineRule="exact"/>
        <w:ind w:firstLine="640" w:firstLineChars="200"/>
        <w:rPr>
          <w:rFonts w:ascii="仿宋" w:hAnsi="仿宋" w:eastAsia="仿宋_GB2312"/>
          <w:sz w:val="32"/>
          <w:szCs w:val="32"/>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 w:hAnsi="仿宋" w:eastAsia="仿宋_GB2312"/>
          <w:sz w:val="32"/>
          <w:szCs w:val="32"/>
        </w:rPr>
        <w:t>卫生健康支出（210类）行政事业单位医疗（11款）事业单位医疗（02项）</w:t>
      </w:r>
      <w:r>
        <w:rPr>
          <w:rFonts w:ascii="仿宋" w:hAnsi="仿宋" w:eastAsia="仿宋_GB2312"/>
          <w:sz w:val="32"/>
          <w:szCs w:val="32"/>
        </w:rPr>
        <w:t>:</w:t>
      </w:r>
      <w:r>
        <w:rPr>
          <w:rFonts w:hint="eastAsia" w:ascii="仿宋" w:hAnsi="仿宋" w:eastAsia="仿宋_GB2312"/>
          <w:sz w:val="32"/>
          <w:szCs w:val="32"/>
        </w:rPr>
        <w:t>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Fonts w:ascii="仿宋" w:hAnsi="仿宋" w:eastAsia="仿宋_GB2312"/>
          <w:sz w:val="32"/>
          <w:szCs w:val="32"/>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 w:hAnsi="仿宋" w:eastAsia="仿宋_GB2312"/>
          <w:sz w:val="32"/>
          <w:szCs w:val="32"/>
        </w:rPr>
        <w:t>住房保障支出（221类）住房改革支出（02款）住房公积金（01项）</w:t>
      </w:r>
      <w:r>
        <w:rPr>
          <w:rFonts w:ascii="仿宋" w:hAnsi="仿宋" w:eastAsia="仿宋_GB2312"/>
          <w:sz w:val="32"/>
          <w:szCs w:val="32"/>
        </w:rPr>
        <w:t>:</w:t>
      </w:r>
      <w:r>
        <w:rPr>
          <w:rFonts w:hint="eastAsia" w:ascii="仿宋" w:hAnsi="仿宋" w:eastAsia="仿宋_GB2312"/>
          <w:sz w:val="32"/>
          <w:szCs w:val="32"/>
        </w:rPr>
        <w:t>反映行政事业单位按人力资源和社会保障部、财政部规定的基本工资和津贴补贴以及规定比例为职工缴纳的住房公积金。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 xml:space="preserve">.项目支出：指在基本支出之外为完成特定行政任务和事业发展目标所发生的支出。 </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27</w:t>
      </w:r>
      <w:r>
        <w:rPr>
          <w:rFonts w:hint="eastAsia" w:ascii="仿宋" w:hAnsi="仿宋" w:eastAsia="仿宋_GB2312"/>
          <w:sz w:val="32"/>
          <w:szCs w:val="32"/>
        </w:rPr>
        <w:t>.工资福利：反映单位开支的在职职工和编制外长期聘用人员的各类劳动报酬，以及为上述人员缴纳的各项社会保险费等。</w:t>
      </w:r>
    </w:p>
    <w:p>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28</w:t>
      </w:r>
      <w:r>
        <w:rPr>
          <w:rFonts w:hint="eastAsia" w:ascii="仿宋" w:hAnsi="仿宋" w:eastAsia="仿宋_GB2312"/>
          <w:sz w:val="32"/>
          <w:szCs w:val="32"/>
        </w:rPr>
        <w:t>.商品和服务：反映单位购买商品和服务的支出，不包括用于购置固定资产、战略性和应急性物资储备等资本支出。</w:t>
      </w:r>
    </w:p>
    <w:p>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29</w:t>
      </w:r>
      <w:r>
        <w:rPr>
          <w:rFonts w:hint="eastAsia" w:ascii="仿宋" w:hAnsi="仿宋" w:eastAsia="仿宋_GB2312"/>
          <w:sz w:val="32"/>
          <w:szCs w:val="32"/>
        </w:rPr>
        <w:t>.对个人和家庭的补助：反映政府用于对个</w:t>
      </w:r>
      <w:r>
        <w:rPr>
          <w:rFonts w:hint="eastAsia" w:ascii="仿宋" w:hAnsi="仿宋" w:eastAsia="仿宋_GB2312"/>
          <w:sz w:val="32"/>
          <w:szCs w:val="32"/>
          <w:lang w:val="en-US" w:eastAsia="zh-CN"/>
        </w:rPr>
        <w:t>人</w:t>
      </w:r>
      <w:r>
        <w:rPr>
          <w:rFonts w:hint="eastAsia" w:ascii="仿宋" w:hAnsi="仿宋" w:eastAsia="仿宋_GB2312"/>
          <w:sz w:val="32"/>
          <w:szCs w:val="32"/>
        </w:rPr>
        <w:t>和家庭的补助支出。</w:t>
      </w:r>
    </w:p>
    <w:p>
      <w:pPr>
        <w:spacing w:line="580" w:lineRule="exact"/>
        <w:ind w:firstLine="640" w:firstLineChars="200"/>
        <w:rPr>
          <w:rFonts w:ascii="仿宋" w:hAnsi="仿宋" w:eastAsia="仿宋_GB2312"/>
          <w:sz w:val="32"/>
          <w:szCs w:val="32"/>
        </w:rPr>
      </w:pPr>
      <w:r>
        <w:rPr>
          <w:rFonts w:hint="eastAsia" w:ascii="仿宋" w:hAnsi="仿宋" w:eastAsia="仿宋_GB2312"/>
          <w:sz w:val="32"/>
          <w:szCs w:val="32"/>
          <w:lang w:val="en-US" w:eastAsia="zh-CN"/>
        </w:rPr>
        <w:t>30</w:t>
      </w:r>
      <w:r>
        <w:rPr>
          <w:rFonts w:hint="eastAsia" w:ascii="仿宋" w:hAnsi="仿宋" w:eastAsia="仿宋_GB2312"/>
          <w:sz w:val="32"/>
          <w:szCs w:val="32"/>
        </w:rPr>
        <w:t>.资本性支出：反映各单位安排的资本性支出。切块由发展改革部门安排的基本建设支出不在此科目反映。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jc w:val="center"/>
        <w:outlineLvl w:val="0"/>
        <w:rPr>
          <w:rStyle w:val="29"/>
          <w:rFonts w:hint="eastAsia" w:ascii="Times New Roman" w:hAnsi="Times New Roman" w:eastAsia="黑体"/>
          <w:b w:val="0"/>
          <w:color w:val="auto"/>
          <w:highlight w:val="none"/>
          <w:lang w:eastAsia="zh-CN"/>
        </w:rPr>
      </w:pPr>
      <w:bookmarkStart w:id="11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118" w:name="_Toc3913"/>
      <w:bookmarkStart w:id="119" w:name="_Toc31599"/>
      <w:bookmarkStart w:id="120" w:name="_Toc15396614"/>
      <w:bookmarkStart w:id="121" w:name="_Toc30133"/>
      <w:bookmarkStart w:id="122" w:name="_Toc11735"/>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18"/>
      <w:bookmarkEnd w:id="119"/>
      <w:bookmarkEnd w:id="120"/>
      <w:bookmarkEnd w:id="121"/>
      <w:bookmarkEnd w:id="122"/>
    </w:p>
    <w:p>
      <w:pPr>
        <w:spacing w:line="600" w:lineRule="exact"/>
        <w:outlineLvl w:val="9"/>
        <w:rPr>
          <w:rFonts w:ascii="仿宋" w:hAnsi="仿宋" w:eastAsia="仿宋_GB2312"/>
          <w:bCs/>
          <w:sz w:val="36"/>
          <w:szCs w:val="36"/>
        </w:rPr>
      </w:pPr>
      <w:bookmarkStart w:id="123" w:name="OLE_LINK1"/>
      <w:bookmarkStart w:id="124" w:name="OLE_LINK2"/>
      <w:r>
        <w:rPr>
          <w:rFonts w:ascii="仿宋" w:hAnsi="仿宋" w:eastAsia="仿宋_GB2312"/>
          <w:bCs/>
          <w:sz w:val="36"/>
          <w:szCs w:val="36"/>
        </w:rPr>
        <w:fldChar w:fldCharType="begin"/>
      </w:r>
      <w:r>
        <w:rPr>
          <w:rFonts w:ascii="仿宋" w:hAnsi="仿宋" w:eastAsia="仿宋_GB2312"/>
          <w:bCs/>
          <w:sz w:val="36"/>
          <w:szCs w:val="36"/>
        </w:rPr>
        <w:instrText xml:space="preserve"> </w:instrText>
      </w:r>
      <w:r>
        <w:rPr>
          <w:rFonts w:hint="eastAsia" w:ascii="仿宋" w:hAnsi="仿宋" w:eastAsia="仿宋_GB2312"/>
          <w:bCs/>
          <w:sz w:val="36"/>
          <w:szCs w:val="36"/>
        </w:rPr>
        <w:instrText xml:space="preserve">LINK </w:instrText>
      </w:r>
      <w:r>
        <w:rPr>
          <w:rFonts w:ascii="仿宋" w:hAnsi="仿宋" w:eastAsia="仿宋_GB2312"/>
          <w:bCs/>
          <w:sz w:val="36"/>
          <w:szCs w:val="36"/>
        </w:rPr>
        <w:instrText xml:space="preserve">Excel.Sheet.8</w:instrText>
      </w:r>
      <w:r>
        <w:rPr>
          <w:rFonts w:hint="eastAsia" w:ascii="仿宋" w:hAnsi="仿宋" w:eastAsia="仿宋_GB2312"/>
          <w:bCs/>
          <w:sz w:val="36"/>
          <w:szCs w:val="36"/>
        </w:rPr>
        <w:instrText xml:space="preserve"> "E:\\磨幼2023\\2022年决算\\2022年决算公开\\绩效自评表\\（公开5项）磨幼2022绩效自评表 -5.xls" 自评表!R2C1:R102C11 \a \f 4 \h</w:instrText>
      </w:r>
      <w:r>
        <w:rPr>
          <w:rFonts w:ascii="仿宋" w:hAnsi="仿宋" w:eastAsia="仿宋_GB2312"/>
          <w:bCs/>
          <w:sz w:val="36"/>
          <w:szCs w:val="36"/>
        </w:rPr>
        <w:instrText xml:space="preserve">  \* MERGEFORMAT </w:instrText>
      </w:r>
      <w:bookmarkStart w:id="125" w:name="_1753987489"/>
      <w:bookmarkEnd w:id="125"/>
      <w:r>
        <w:rPr>
          <w:rFonts w:ascii="仿宋" w:hAnsi="仿宋" w:eastAsia="仿宋_GB2312"/>
          <w:bCs/>
          <w:sz w:val="36"/>
          <w:szCs w:val="36"/>
        </w:rPr>
        <w:fldChar w:fldCharType="separate"/>
      </w:r>
    </w:p>
    <w:p>
      <w:pPr>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outlineLvl w:val="9"/>
        <w:rPr>
          <w:rFonts w:hint="eastAsia" w:ascii="方正小标宋简体" w:hAnsi="方正小标宋简体" w:eastAsia="方正小标宋简体" w:cs="方正小标宋简体"/>
          <w:b w:val="0"/>
          <w:bCs w:val="0"/>
          <w:sz w:val="36"/>
          <w:szCs w:val="36"/>
        </w:rPr>
      </w:pPr>
      <w:r>
        <w:rPr>
          <w:rFonts w:ascii="仿宋" w:hAnsi="仿宋" w:eastAsia="仿宋_GB2312"/>
          <w:b/>
          <w:bCs/>
          <w:sz w:val="36"/>
          <w:szCs w:val="36"/>
        </w:rPr>
        <w:fldChar w:fldCharType="end"/>
      </w:r>
      <w:bookmarkEnd w:id="123"/>
      <w:bookmarkEnd w:id="124"/>
      <w:r>
        <w:rPr>
          <w:rFonts w:hint="eastAsia" w:ascii="方正小标宋简体" w:hAnsi="方正小标宋简体" w:eastAsia="方正小标宋简体" w:cs="方正小标宋简体"/>
          <w:b w:val="0"/>
          <w:bCs w:val="0"/>
          <w:sz w:val="36"/>
          <w:szCs w:val="36"/>
        </w:rPr>
        <w:t>2024年整体支出绩效</w:t>
      </w:r>
      <w:r>
        <w:rPr>
          <w:rFonts w:hint="eastAsia" w:ascii="方正小标宋简体" w:hAnsi="方正小标宋简体" w:eastAsia="方正小标宋简体" w:cs="方正小标宋简体"/>
          <w:b w:val="0"/>
          <w:bCs w:val="0"/>
          <w:sz w:val="36"/>
          <w:szCs w:val="36"/>
          <w:lang w:val="en-US" w:eastAsia="zh-CN"/>
        </w:rPr>
        <w:t>评价</w:t>
      </w:r>
      <w:r>
        <w:rPr>
          <w:rFonts w:hint="eastAsia" w:ascii="方正小标宋简体" w:hAnsi="方正小标宋简体" w:eastAsia="方正小标宋简体" w:cs="方正小标宋简体"/>
          <w:b w:val="0"/>
          <w:bCs w:val="0"/>
          <w:sz w:val="36"/>
          <w:szCs w:val="36"/>
        </w:rPr>
        <w:t>报告</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zh-CN"/>
        </w:rPr>
      </w:pPr>
      <w:r>
        <w:rPr>
          <w:rFonts w:hint="eastAsia" w:ascii="宋体" w:hAnsi="宋体" w:eastAsia="黑体" w:cs="Times New Roman"/>
          <w:color w:val="000000"/>
          <w:sz w:val="32"/>
          <w:szCs w:val="32"/>
          <w:shd w:val="clear" w:color="auto" w:fill="FFFFFF"/>
          <w:lang w:val="en-US" w:eastAsia="zh-CN"/>
        </w:rPr>
        <w:t>一、</w:t>
      </w:r>
      <w:r>
        <w:rPr>
          <w:rFonts w:hint="eastAsia" w:ascii="宋体" w:hAnsi="宋体" w:eastAsia="黑体" w:cs="Times New Roman"/>
          <w:color w:val="000000"/>
          <w:sz w:val="32"/>
          <w:szCs w:val="32"/>
          <w:shd w:val="clear" w:color="auto" w:fill="FFFFFF"/>
          <w:lang w:val="zh-CN"/>
        </w:rPr>
        <w:t>部门基本情况</w:t>
      </w:r>
    </w:p>
    <w:p>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lang w:val="en-US" w:eastAsia="zh-CN"/>
        </w:rPr>
        <w:t>遂宁市安居区石洞镇中心小学校</w:t>
      </w:r>
      <w:r>
        <w:rPr>
          <w:rFonts w:hint="eastAsia" w:ascii="仿宋" w:hAnsi="仿宋" w:eastAsia="仿宋_GB2312"/>
          <w:sz w:val="32"/>
          <w:szCs w:val="32"/>
        </w:rPr>
        <w:t>是遂宁市安居区农村公办</w:t>
      </w:r>
      <w:r>
        <w:rPr>
          <w:rFonts w:hint="eastAsia" w:ascii="仿宋" w:hAnsi="仿宋" w:eastAsia="仿宋_GB2312"/>
          <w:sz w:val="32"/>
          <w:szCs w:val="32"/>
          <w:lang w:val="en-US" w:eastAsia="zh-CN"/>
        </w:rPr>
        <w:t>小学</w:t>
      </w:r>
      <w:r>
        <w:rPr>
          <w:rFonts w:hint="eastAsia" w:ascii="仿宋" w:hAnsi="仿宋" w:eastAsia="仿宋_GB2312"/>
          <w:sz w:val="32"/>
          <w:szCs w:val="32"/>
        </w:rPr>
        <w:t>，负责辖区内</w:t>
      </w:r>
      <w:r>
        <w:rPr>
          <w:rFonts w:hint="eastAsia" w:ascii="仿宋" w:hAnsi="仿宋" w:eastAsia="仿宋_GB2312"/>
          <w:sz w:val="32"/>
          <w:szCs w:val="32"/>
          <w:lang w:val="en-US" w:eastAsia="zh-CN"/>
        </w:rPr>
        <w:t>7-12</w:t>
      </w:r>
      <w:r>
        <w:rPr>
          <w:rFonts w:hint="eastAsia" w:ascii="仿宋" w:hAnsi="仿宋" w:eastAsia="仿宋_GB2312"/>
          <w:sz w:val="32"/>
          <w:szCs w:val="32"/>
        </w:rPr>
        <w:t>岁</w:t>
      </w:r>
      <w:r>
        <w:rPr>
          <w:rFonts w:hint="eastAsia" w:ascii="仿宋" w:hAnsi="仿宋" w:eastAsia="仿宋_GB2312"/>
          <w:sz w:val="32"/>
          <w:szCs w:val="32"/>
          <w:lang w:val="en-US" w:eastAsia="zh-CN"/>
        </w:rPr>
        <w:t>学生小学义务教育</w:t>
      </w:r>
      <w:r>
        <w:rPr>
          <w:rFonts w:hint="eastAsia" w:ascii="仿宋" w:hAnsi="仿宋" w:eastAsia="仿宋_GB2312"/>
          <w:sz w:val="32"/>
          <w:szCs w:val="32"/>
        </w:rPr>
        <w:t>。</w:t>
      </w:r>
    </w:p>
    <w:p>
      <w:pPr>
        <w:spacing w:line="540" w:lineRule="exact"/>
        <w:ind w:firstLine="640" w:firstLineChars="200"/>
        <w:rPr>
          <w:rFonts w:hint="eastAsia" w:ascii="仿宋" w:hAnsi="仿宋" w:eastAsia="仿宋_GB2312"/>
          <w:sz w:val="32"/>
          <w:szCs w:val="32"/>
        </w:rPr>
      </w:pPr>
      <w:r>
        <w:rPr>
          <w:rFonts w:ascii="仿宋" w:hAnsi="仿宋" w:eastAsia="仿宋_GB2312"/>
          <w:sz w:val="32"/>
          <w:szCs w:val="32"/>
        </w:rPr>
        <w:t>1</w:t>
      </w:r>
      <w:r>
        <w:rPr>
          <w:rFonts w:hint="eastAsia" w:ascii="仿宋" w:hAnsi="仿宋" w:eastAsia="仿宋_GB2312"/>
          <w:sz w:val="32"/>
          <w:szCs w:val="32"/>
        </w:rPr>
        <w:t>、机构组成</w:t>
      </w:r>
    </w:p>
    <w:p>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我</w:t>
      </w:r>
      <w:r>
        <w:rPr>
          <w:rFonts w:hint="eastAsia" w:ascii="仿宋" w:hAnsi="仿宋" w:eastAsia="仿宋_GB2312"/>
          <w:sz w:val="32"/>
          <w:szCs w:val="32"/>
          <w:lang w:val="en-US" w:eastAsia="zh-CN"/>
        </w:rPr>
        <w:t>校</w:t>
      </w:r>
      <w:r>
        <w:rPr>
          <w:rFonts w:hint="eastAsia" w:ascii="仿宋" w:hAnsi="仿宋" w:eastAsia="仿宋_GB2312"/>
          <w:sz w:val="32"/>
          <w:szCs w:val="32"/>
        </w:rPr>
        <w:t>属遂宁市安居区教育和体育局下属二级事业单位，纳入202</w:t>
      </w:r>
      <w:r>
        <w:rPr>
          <w:rFonts w:hint="eastAsia" w:ascii="仿宋" w:hAnsi="仿宋" w:eastAsia="仿宋_GB2312"/>
          <w:sz w:val="32"/>
          <w:szCs w:val="32"/>
          <w:lang w:val="en-US" w:eastAsia="zh-CN"/>
        </w:rPr>
        <w:t>4</w:t>
      </w:r>
      <w:r>
        <w:rPr>
          <w:rFonts w:hint="eastAsia" w:ascii="仿宋" w:hAnsi="仿宋" w:eastAsia="仿宋_GB2312"/>
          <w:sz w:val="32"/>
          <w:szCs w:val="32"/>
        </w:rPr>
        <w:t>年部门决算编报。</w:t>
      </w:r>
    </w:p>
    <w:p>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2、机构职能</w:t>
      </w:r>
    </w:p>
    <w:p>
      <w:pPr>
        <w:spacing w:line="540" w:lineRule="exact"/>
        <w:ind w:firstLine="640" w:firstLineChars="200"/>
        <w:rPr>
          <w:rFonts w:hint="default"/>
          <w:lang w:val="en-US"/>
        </w:rPr>
      </w:pPr>
      <w:r>
        <w:rPr>
          <w:rFonts w:hint="eastAsia" w:ascii="仿宋" w:hAnsi="仿宋" w:eastAsia="仿宋_GB2312"/>
          <w:sz w:val="32"/>
          <w:szCs w:val="32"/>
        </w:rPr>
        <w:t>在尊重</w:t>
      </w:r>
      <w:r>
        <w:rPr>
          <w:rFonts w:hint="eastAsia" w:ascii="仿宋" w:hAnsi="仿宋" w:eastAsia="仿宋_GB2312"/>
          <w:sz w:val="32"/>
          <w:szCs w:val="32"/>
          <w:lang w:val="en-US" w:eastAsia="zh-CN"/>
        </w:rPr>
        <w:t>学生</w:t>
      </w:r>
      <w:r>
        <w:rPr>
          <w:rFonts w:hint="eastAsia" w:ascii="仿宋" w:hAnsi="仿宋" w:eastAsia="仿宋_GB2312"/>
          <w:sz w:val="32"/>
          <w:szCs w:val="32"/>
        </w:rPr>
        <w:t>身心健康发展的基础上，对</w:t>
      </w:r>
      <w:r>
        <w:rPr>
          <w:rFonts w:hint="eastAsia" w:ascii="仿宋" w:hAnsi="仿宋" w:eastAsia="仿宋_GB2312"/>
          <w:sz w:val="32"/>
          <w:szCs w:val="32"/>
          <w:lang w:val="en-US" w:eastAsia="zh-CN"/>
        </w:rPr>
        <w:t>学生</w:t>
      </w:r>
      <w:r>
        <w:rPr>
          <w:rFonts w:hint="eastAsia" w:ascii="仿宋" w:hAnsi="仿宋" w:eastAsia="仿宋_GB2312"/>
          <w:sz w:val="32"/>
          <w:szCs w:val="32"/>
        </w:rPr>
        <w:t>进行五大领域的教育。培养</w:t>
      </w:r>
      <w:r>
        <w:rPr>
          <w:rFonts w:hint="eastAsia" w:ascii="仿宋" w:hAnsi="仿宋" w:eastAsia="仿宋_GB2312"/>
          <w:sz w:val="32"/>
          <w:szCs w:val="32"/>
          <w:lang w:val="en-US" w:eastAsia="zh-CN"/>
        </w:rPr>
        <w:t>学生</w:t>
      </w:r>
      <w:r>
        <w:rPr>
          <w:rFonts w:hint="eastAsia" w:ascii="仿宋" w:hAnsi="仿宋" w:eastAsia="仿宋_GB2312"/>
          <w:sz w:val="32"/>
          <w:szCs w:val="32"/>
        </w:rPr>
        <w:t>良好的行为习惯和个性品质，促进</w:t>
      </w:r>
      <w:r>
        <w:rPr>
          <w:rFonts w:hint="eastAsia" w:ascii="仿宋" w:hAnsi="仿宋" w:eastAsia="仿宋_GB2312"/>
          <w:sz w:val="32"/>
          <w:szCs w:val="32"/>
          <w:lang w:val="en-US" w:eastAsia="zh-CN"/>
        </w:rPr>
        <w:t>学生</w:t>
      </w:r>
      <w:r>
        <w:rPr>
          <w:rFonts w:hint="eastAsia" w:ascii="仿宋" w:hAnsi="仿宋" w:eastAsia="仿宋_GB2312"/>
          <w:sz w:val="32"/>
          <w:szCs w:val="32"/>
        </w:rPr>
        <w:t xml:space="preserve">身心健康和谐的发展。 </w:t>
      </w:r>
      <w:r>
        <w:rPr>
          <w:rFonts w:hint="eastAsia" w:ascii="仿宋" w:hAnsi="仿宋" w:eastAsia="仿宋_GB2312"/>
          <w:sz w:val="32"/>
          <w:szCs w:val="32"/>
          <w:lang w:val="en-US" w:eastAsia="zh-CN"/>
        </w:rPr>
        <w:t>学校</w:t>
      </w:r>
      <w:r>
        <w:rPr>
          <w:rFonts w:hint="eastAsia" w:ascii="仿宋" w:hAnsi="仿宋" w:eastAsia="仿宋_GB2312"/>
          <w:sz w:val="32"/>
          <w:szCs w:val="32"/>
        </w:rPr>
        <w:t>的教育</w:t>
      </w:r>
      <w:r>
        <w:rPr>
          <w:rFonts w:hint="eastAsia" w:ascii="仿宋" w:hAnsi="仿宋" w:eastAsia="仿宋_GB2312"/>
          <w:sz w:val="32"/>
          <w:szCs w:val="32"/>
          <w:lang w:val="en-US" w:eastAsia="zh-CN"/>
        </w:rPr>
        <w:t>全面促进学生德智体全面发展，提升学生能力、知识、技能等全方面发展，适应高速社会发展的需求，为党和人民培养社会主义人才而努力。</w:t>
      </w:r>
    </w:p>
    <w:p>
      <w:pPr>
        <w:spacing w:line="540" w:lineRule="exact"/>
        <w:ind w:firstLine="709"/>
        <w:rPr>
          <w:rFonts w:hint="eastAsia" w:ascii="仿宋" w:hAnsi="仿宋" w:eastAsia="仿宋_GB2312"/>
          <w:sz w:val="32"/>
          <w:szCs w:val="32"/>
        </w:rPr>
      </w:pPr>
      <w:r>
        <w:rPr>
          <w:rFonts w:hint="eastAsia" w:ascii="仿宋" w:hAnsi="仿宋" w:eastAsia="仿宋_GB2312"/>
          <w:sz w:val="32"/>
          <w:szCs w:val="32"/>
        </w:rPr>
        <w:t>3、人员概况</w:t>
      </w:r>
    </w:p>
    <w:p>
      <w:pPr>
        <w:spacing w:line="540" w:lineRule="exact"/>
        <w:ind w:firstLine="640" w:firstLineChars="200"/>
        <w:rPr>
          <w:rFonts w:hint="eastAsia" w:ascii="仿宋" w:hAnsi="仿宋" w:eastAsia="仿宋_GB2312"/>
          <w:sz w:val="32"/>
          <w:szCs w:val="32"/>
        </w:rPr>
      </w:pPr>
      <w:r>
        <w:rPr>
          <w:rFonts w:eastAsia="仿宋_GB2312"/>
          <w:sz w:val="32"/>
          <w:szCs w:val="32"/>
        </w:rPr>
        <w:t>截至</w:t>
      </w:r>
      <w:r>
        <w:rPr>
          <w:rFonts w:hint="eastAsia" w:eastAsia="仿宋_GB2312"/>
          <w:sz w:val="32"/>
          <w:szCs w:val="32"/>
        </w:rPr>
        <w:t>2</w:t>
      </w:r>
      <w:r>
        <w:rPr>
          <w:rFonts w:eastAsia="仿宋_GB2312"/>
          <w:sz w:val="32"/>
          <w:szCs w:val="32"/>
        </w:rPr>
        <w:t>024年末，本</w:t>
      </w:r>
      <w:r>
        <w:rPr>
          <w:rFonts w:hint="eastAsia" w:ascii="仿宋" w:hAnsi="仿宋" w:eastAsia="仿宋_GB2312"/>
          <w:sz w:val="32"/>
          <w:szCs w:val="32"/>
        </w:rPr>
        <w:t>单位编制人数</w:t>
      </w:r>
      <w:r>
        <w:rPr>
          <w:rFonts w:hint="eastAsia" w:ascii="仿宋" w:hAnsi="仿宋" w:eastAsia="仿宋_GB2312"/>
          <w:sz w:val="32"/>
          <w:szCs w:val="32"/>
          <w:lang w:val="en-US" w:eastAsia="zh-CN"/>
        </w:rPr>
        <w:t>41</w:t>
      </w:r>
      <w:r>
        <w:rPr>
          <w:rFonts w:hint="eastAsia" w:ascii="仿宋" w:hAnsi="仿宋" w:eastAsia="仿宋_GB2312"/>
          <w:sz w:val="32"/>
          <w:szCs w:val="32"/>
        </w:rPr>
        <w:t>人，退休教师</w:t>
      </w:r>
      <w:r>
        <w:rPr>
          <w:rFonts w:hint="eastAsia" w:ascii="仿宋" w:hAnsi="仿宋" w:eastAsia="仿宋_GB2312"/>
          <w:sz w:val="32"/>
          <w:szCs w:val="32"/>
          <w:lang w:val="en-US" w:eastAsia="zh-CN"/>
        </w:rPr>
        <w:t>81</w:t>
      </w:r>
      <w:r>
        <w:rPr>
          <w:rFonts w:hint="eastAsia" w:ascii="仿宋" w:hAnsi="仿宋" w:eastAsia="仿宋_GB2312"/>
          <w:sz w:val="32"/>
          <w:szCs w:val="32"/>
        </w:rPr>
        <w:t>人</w:t>
      </w:r>
      <w:r>
        <w:rPr>
          <w:rFonts w:hint="eastAsia" w:ascii="仿宋" w:hAnsi="仿宋" w:eastAsia="仿宋_GB2312"/>
          <w:sz w:val="32"/>
          <w:szCs w:val="32"/>
          <w:lang w:eastAsia="zh-CN"/>
        </w:rPr>
        <w:t>，</w:t>
      </w:r>
      <w:r>
        <w:rPr>
          <w:rFonts w:hint="eastAsia" w:ascii="仿宋" w:hAnsi="仿宋" w:eastAsia="仿宋_GB2312"/>
          <w:sz w:val="32"/>
          <w:szCs w:val="32"/>
          <w:lang w:val="en-US" w:eastAsia="zh-CN"/>
        </w:rPr>
        <w:t>遗属17人，在校学生203人</w:t>
      </w:r>
      <w:r>
        <w:rPr>
          <w:rFonts w:hint="eastAsia" w:ascii="仿宋" w:hAnsi="仿宋" w:eastAsia="仿宋_GB2312"/>
          <w:sz w:val="32"/>
          <w:szCs w:val="32"/>
        </w:rPr>
        <w:t>。</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二、部门资金收支情况</w:t>
      </w:r>
    </w:p>
    <w:p>
      <w:pPr>
        <w:numPr>
          <w:ilvl w:val="0"/>
          <w:numId w:val="1"/>
        </w:numPr>
        <w:spacing w:line="540" w:lineRule="exact"/>
        <w:rPr>
          <w:rFonts w:hint="eastAsia" w:ascii="仿宋" w:hAnsi="仿宋" w:eastAsia="仿宋_GB2312"/>
          <w:sz w:val="32"/>
          <w:szCs w:val="32"/>
        </w:rPr>
      </w:pPr>
      <w:r>
        <w:rPr>
          <w:rFonts w:hint="eastAsia" w:ascii="仿宋" w:hAnsi="仿宋" w:eastAsia="仿宋_GB2312"/>
          <w:sz w:val="32"/>
          <w:szCs w:val="32"/>
        </w:rPr>
        <w:t>收入情况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收入</w:t>
      </w:r>
      <w:r>
        <w:rPr>
          <w:rFonts w:hint="eastAsia" w:ascii="仿宋" w:hAnsi="仿宋" w:eastAsia="仿宋_GB2312"/>
          <w:sz w:val="32"/>
          <w:szCs w:val="32"/>
          <w:lang w:val="en-US" w:eastAsia="zh-CN"/>
        </w:rPr>
        <w:t>904.78</w:t>
      </w:r>
      <w:r>
        <w:rPr>
          <w:rFonts w:ascii="仿宋" w:hAnsi="仿宋" w:eastAsia="仿宋_GB2312"/>
          <w:sz w:val="32"/>
          <w:szCs w:val="32"/>
        </w:rPr>
        <w:t>万元，其中：</w:t>
      </w:r>
      <w:r>
        <w:rPr>
          <w:rFonts w:hint="eastAsia" w:ascii="仿宋" w:hAnsi="仿宋" w:eastAsia="仿宋_GB2312"/>
          <w:sz w:val="32"/>
          <w:szCs w:val="32"/>
        </w:rPr>
        <w:t>一般公共预算财政拨款收入</w:t>
      </w:r>
      <w:r>
        <w:rPr>
          <w:rFonts w:hint="eastAsia" w:ascii="仿宋" w:hAnsi="仿宋" w:eastAsia="仿宋_GB2312"/>
          <w:sz w:val="32"/>
          <w:szCs w:val="32"/>
          <w:lang w:val="en-US" w:eastAsia="zh-CN"/>
        </w:rPr>
        <w:t>877.47</w:t>
      </w:r>
      <w:r>
        <w:rPr>
          <w:rFonts w:ascii="仿宋" w:hAnsi="仿宋" w:eastAsia="仿宋_GB2312"/>
          <w:sz w:val="32"/>
          <w:szCs w:val="32"/>
        </w:rPr>
        <w:t>万</w:t>
      </w:r>
      <w:r>
        <w:rPr>
          <w:rFonts w:hint="eastAsia" w:ascii="仿宋" w:hAnsi="仿宋" w:eastAsia="仿宋_GB2312"/>
          <w:sz w:val="32"/>
          <w:szCs w:val="32"/>
        </w:rPr>
        <w:t>元，</w:t>
      </w:r>
      <w:r>
        <w:rPr>
          <w:rFonts w:hint="eastAsia" w:ascii="仿宋" w:hAnsi="仿宋" w:eastAsia="仿宋_GB2312"/>
          <w:sz w:val="32"/>
          <w:szCs w:val="32"/>
          <w:lang w:val="en-US" w:eastAsia="zh-CN"/>
        </w:rPr>
        <w:t>其他收入</w:t>
      </w:r>
      <w:r>
        <w:rPr>
          <w:rFonts w:hint="eastAsia" w:ascii="仿宋_GB2312" w:eastAsia="仿宋_GB2312"/>
          <w:sz w:val="32"/>
          <w:szCs w:val="32"/>
          <w:lang w:val="en-US" w:eastAsia="zh-CN"/>
        </w:rPr>
        <w:t>27.31</w:t>
      </w:r>
      <w:r>
        <w:rPr>
          <w:rFonts w:ascii="仿宋_GB2312" w:eastAsia="仿宋_GB2312"/>
          <w:sz w:val="32"/>
          <w:szCs w:val="32"/>
        </w:rPr>
        <w:t>万元。</w:t>
      </w:r>
    </w:p>
    <w:p>
      <w:pPr>
        <w:numPr>
          <w:ilvl w:val="0"/>
          <w:numId w:val="1"/>
        </w:numPr>
        <w:spacing w:line="600" w:lineRule="exact"/>
        <w:rPr>
          <w:rFonts w:hint="eastAsia" w:ascii="仿宋" w:hAnsi="仿宋" w:eastAsia="仿宋_GB2312"/>
          <w:sz w:val="32"/>
          <w:szCs w:val="32"/>
        </w:rPr>
      </w:pPr>
      <w:r>
        <w:rPr>
          <w:rFonts w:hint="eastAsia" w:ascii="仿宋" w:hAnsi="仿宋" w:eastAsia="仿宋_GB2312"/>
          <w:sz w:val="32"/>
          <w:szCs w:val="32"/>
        </w:rPr>
        <w:t>支出情况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支出</w:t>
      </w:r>
      <w:r>
        <w:rPr>
          <w:rFonts w:hint="eastAsia" w:ascii="仿宋" w:hAnsi="仿宋" w:eastAsia="仿宋_GB2312"/>
          <w:sz w:val="32"/>
          <w:szCs w:val="32"/>
          <w:lang w:val="en-US" w:eastAsia="zh-CN"/>
        </w:rPr>
        <w:t>904.78</w:t>
      </w:r>
      <w:r>
        <w:rPr>
          <w:rFonts w:ascii="仿宋" w:hAnsi="仿宋" w:eastAsia="仿宋_GB2312"/>
          <w:sz w:val="32"/>
          <w:szCs w:val="32"/>
        </w:rPr>
        <w:t>万</w:t>
      </w:r>
      <w:r>
        <w:rPr>
          <w:rFonts w:hint="eastAsia" w:ascii="仿宋" w:hAnsi="仿宋" w:eastAsia="仿宋_GB2312"/>
          <w:sz w:val="32"/>
          <w:szCs w:val="32"/>
        </w:rPr>
        <w:t>元，其中：基本支出843.50万元，占93.23%；项目支出61.28万元，占6.77%。。</w:t>
      </w:r>
    </w:p>
    <w:p>
      <w:pPr>
        <w:numPr>
          <w:ilvl w:val="0"/>
          <w:numId w:val="1"/>
        </w:numPr>
        <w:spacing w:line="600" w:lineRule="exact"/>
        <w:rPr>
          <w:rFonts w:ascii="仿宋" w:hAnsi="仿宋" w:eastAsia="仿宋_GB2312"/>
          <w:sz w:val="32"/>
          <w:szCs w:val="32"/>
        </w:rPr>
      </w:pPr>
      <w:r>
        <w:rPr>
          <w:rFonts w:ascii="仿宋" w:hAnsi="仿宋" w:eastAsia="仿宋_GB2312"/>
          <w:sz w:val="32"/>
          <w:szCs w:val="32"/>
        </w:rPr>
        <w:t>结余分配和结转结余情况</w:t>
      </w:r>
    </w:p>
    <w:p>
      <w:pPr>
        <w:widowControl/>
        <w:adjustRightInd w:val="0"/>
        <w:snapToGrid w:val="0"/>
        <w:spacing w:line="578" w:lineRule="exact"/>
        <w:ind w:left="709"/>
        <w:contextualSpacing/>
        <w:jc w:val="left"/>
        <w:rPr>
          <w:rFonts w:hint="eastAsia" w:eastAsia="仿宋_GB2312"/>
          <w:color w:val="000000"/>
          <w:kern w:val="0"/>
          <w:szCs w:val="32"/>
          <w:shd w:val="clear" w:color="auto" w:fill="FFFFFF"/>
          <w:lang w:val="zh-CN"/>
        </w:rPr>
      </w:pPr>
      <w:r>
        <w:rPr>
          <w:rFonts w:hint="eastAsia" w:eastAsia="仿宋_GB2312"/>
          <w:sz w:val="32"/>
          <w:szCs w:val="32"/>
        </w:rPr>
        <w:t>2024年决算报表无</w:t>
      </w:r>
      <w:r>
        <w:rPr>
          <w:rFonts w:eastAsia="仿宋_GB2312"/>
          <w:sz w:val="32"/>
          <w:szCs w:val="32"/>
        </w:rPr>
        <w:t>结转结余。</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 xml:space="preserve">三、部门预算绩效分析 </w:t>
      </w:r>
    </w:p>
    <w:p>
      <w:pPr>
        <w:spacing w:line="578" w:lineRule="exact"/>
        <w:ind w:firstLine="643" w:firstLineChars="200"/>
        <w:contextualSpacing/>
        <w:rPr>
          <w:rFonts w:hint="eastAsia" w:ascii="宋体" w:hAnsi="宋体" w:eastAsia="仿宋_GB2312"/>
          <w:b/>
          <w:bCs/>
          <w:color w:val="000000"/>
          <w:sz w:val="32"/>
          <w:szCs w:val="32"/>
          <w:shd w:val="clear" w:color="auto" w:fill="FFFFFF"/>
          <w:lang w:val="zh-CN"/>
        </w:rPr>
      </w:pPr>
      <w:r>
        <w:rPr>
          <w:rFonts w:ascii="宋体" w:hAnsi="宋体" w:eastAsia="楷体_GB2312"/>
          <w:b/>
          <w:bCs/>
          <w:color w:val="000000"/>
          <w:sz w:val="32"/>
          <w:szCs w:val="32"/>
          <w:shd w:val="clear" w:color="auto" w:fill="FFFFFF"/>
          <w:lang w:val="zh-CN"/>
        </w:rPr>
        <w:t>（一）部门预算总体绩效分析。</w:t>
      </w:r>
    </w:p>
    <w:p>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pPr>
        <w:pStyle w:val="15"/>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2024年，我校在各级领导重视与全体教职员工努力下，</w:t>
      </w:r>
      <w:r>
        <w:rPr>
          <w:rFonts w:hint="eastAsia" w:eastAsia="仿宋_GB2312"/>
          <w:color w:val="000000"/>
          <w:sz w:val="32"/>
          <w:szCs w:val="32"/>
          <w:shd w:val="clear" w:color="auto" w:fill="FFFFFF"/>
          <w:lang w:val="zh-CN"/>
        </w:rPr>
        <w:t>抓实党风廉政建设，营造风清气正氛围，强化意识形态教育监督，坚持依法依规办事，开展丰富多彩的校园活动，全面加强教学科研体系建设、后勤保障体系建设</w:t>
      </w:r>
      <w:r>
        <w:rPr>
          <w:rFonts w:hint="eastAsia" w:eastAsia="仿宋_GB2312"/>
          <w:color w:val="000000"/>
          <w:sz w:val="32"/>
          <w:szCs w:val="32"/>
          <w:shd w:val="clear" w:color="auto" w:fill="FFFFFF"/>
          <w:lang w:val="en-US" w:eastAsia="zh-CN"/>
        </w:rPr>
        <w:t>等</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办学条件得以改善，各项工作稳步提升。</w:t>
      </w:r>
      <w:r>
        <w:rPr>
          <w:rFonts w:hint="default" w:ascii="Arial" w:hAnsi="Arial" w:eastAsia="仿宋_GB2312" w:cs="Arial"/>
          <w:color w:val="000000"/>
          <w:sz w:val="32"/>
          <w:szCs w:val="32"/>
          <w:shd w:val="clear" w:color="auto" w:fill="FFFFFF"/>
          <w:lang w:val="zh-CN"/>
        </w:rPr>
        <w:t>​</w:t>
      </w:r>
    </w:p>
    <w:p>
      <w:pPr>
        <w:pStyle w:val="15"/>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pPr>
        <w:spacing w:line="540" w:lineRule="exact"/>
        <w:ind w:firstLine="709"/>
        <w:rPr>
          <w:rFonts w:hint="eastAsia" w:ascii="仿宋" w:hAnsi="仿宋" w:eastAsia="仿宋_GB2312"/>
          <w:sz w:val="32"/>
          <w:szCs w:val="32"/>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r>
        <w:rPr>
          <w:rFonts w:hint="eastAsia" w:ascii="仿宋" w:hAnsi="仿宋" w:eastAsia="仿宋_GB2312"/>
          <w:sz w:val="32"/>
          <w:szCs w:val="32"/>
        </w:rPr>
        <w:t xml:space="preserve"> </w:t>
      </w:r>
    </w:p>
    <w:p>
      <w:pPr>
        <w:spacing w:line="578" w:lineRule="exact"/>
        <w:ind w:firstLine="643" w:firstLineChars="200"/>
        <w:contextualSpacing/>
        <w:rPr>
          <w:rFonts w:hint="eastAsia" w:ascii="宋体" w:hAnsi="宋体" w:eastAsia="楷体_GB2312" w:cs="Times New Roman"/>
          <w:b/>
          <w:bCs/>
          <w:color w:val="000000"/>
          <w:sz w:val="32"/>
          <w:szCs w:val="32"/>
          <w:shd w:val="clear" w:color="auto" w:fill="FFFFFF"/>
          <w:lang w:val="zh-CN"/>
        </w:rPr>
      </w:pPr>
      <w:r>
        <w:rPr>
          <w:rFonts w:ascii="宋体" w:hAnsi="宋体" w:eastAsia="楷体_GB2312" w:cs="Times New Roman"/>
          <w:b/>
          <w:bCs/>
          <w:color w:val="000000"/>
          <w:sz w:val="32"/>
          <w:szCs w:val="32"/>
          <w:shd w:val="clear" w:color="auto" w:fill="FFFFFF"/>
          <w:lang w:val="zh-CN"/>
        </w:rPr>
        <w:t>（</w:t>
      </w:r>
      <w:r>
        <w:rPr>
          <w:rFonts w:hint="eastAsia" w:ascii="宋体" w:hAnsi="宋体" w:eastAsia="楷体_GB2312" w:cs="Times New Roman"/>
          <w:b/>
          <w:bCs/>
          <w:color w:val="000000"/>
          <w:sz w:val="32"/>
          <w:szCs w:val="32"/>
          <w:shd w:val="clear" w:color="auto" w:fill="FFFFFF"/>
          <w:lang w:val="en-US" w:eastAsia="zh-CN"/>
        </w:rPr>
        <w:t>二</w:t>
      </w:r>
      <w:r>
        <w:rPr>
          <w:rFonts w:ascii="宋体" w:hAnsi="宋体" w:eastAsia="楷体_GB2312" w:cs="Times New Roman"/>
          <w:b/>
          <w:bCs/>
          <w:color w:val="000000"/>
          <w:sz w:val="32"/>
          <w:szCs w:val="32"/>
          <w:shd w:val="clear" w:color="auto" w:fill="FFFFFF"/>
          <w:lang w:val="zh-CN"/>
        </w:rPr>
        <w:t>）绩效结果应用情况</w:t>
      </w:r>
      <w:r>
        <w:rPr>
          <w:rFonts w:hint="eastAsia" w:ascii="宋体" w:hAnsi="宋体" w:eastAsia="楷体_GB2312" w:cs="Times New Roman"/>
          <w:b/>
          <w:bCs/>
          <w:color w:val="000000"/>
          <w:sz w:val="32"/>
          <w:szCs w:val="32"/>
          <w:shd w:val="clear" w:color="auto" w:fill="FFFFFF"/>
          <w:lang w:val="zh-CN"/>
        </w:rPr>
        <w:t>。</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pPr>
        <w:widowControl/>
        <w:adjustRightInd w:val="0"/>
        <w:snapToGrid w:val="0"/>
        <w:spacing w:line="560" w:lineRule="exact"/>
        <w:ind w:firstLine="640" w:firstLineChars="200"/>
        <w:contextualSpacing/>
        <w:jc w:val="left"/>
        <w:rPr>
          <w:rFonts w:hint="default" w:eastAsia="仿宋_GB2312"/>
          <w:lang w:val="en-US" w:eastAsia="zh-CN"/>
        </w:rPr>
      </w:pPr>
      <w:r>
        <w:rPr>
          <w:rFonts w:hint="eastAsia" w:ascii="仿宋_GB2312" w:hAnsi="仿宋" w:eastAsia="仿宋_GB2312" w:cs="Times New Roman"/>
          <w:sz w:val="32"/>
          <w:szCs w:val="32"/>
          <w:lang w:val="en-US" w:eastAsia="zh-CN"/>
        </w:rPr>
        <w:t>我单位</w:t>
      </w:r>
      <w:r>
        <w:rPr>
          <w:rFonts w:hint="eastAsia" w:ascii="仿宋_GB2312" w:hAnsi="仿宋" w:eastAsia="仿宋_GB2312" w:cs="Times New Roman"/>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四、评价结论及建议</w:t>
      </w:r>
    </w:p>
    <w:p>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（一）评价结论。</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96</w:t>
      </w:r>
      <w:r>
        <w:rPr>
          <w:rFonts w:hint="eastAsia" w:ascii="仿宋_GB2312" w:hAnsi="仿宋" w:eastAsia="仿宋_GB2312" w:cs="Times New Roman"/>
          <w:sz w:val="32"/>
          <w:szCs w:val="32"/>
        </w:rPr>
        <w:t>分 。</w:t>
      </w:r>
    </w:p>
    <w:p>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二）</w:t>
      </w:r>
      <w:r>
        <w:rPr>
          <w:rFonts w:hint="eastAsia" w:ascii="仿宋_GB2312" w:hAnsi="仿宋" w:eastAsia="仿宋_GB2312" w:cs="Times New Roman"/>
          <w:b/>
          <w:bCs/>
          <w:sz w:val="32"/>
          <w:szCs w:val="32"/>
        </w:rPr>
        <w:t>存在问题。</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1、因</w:t>
      </w:r>
      <w:r>
        <w:rPr>
          <w:rFonts w:hint="eastAsia" w:ascii="仿宋_GB2312" w:hAnsi="仿宋" w:eastAsia="仿宋_GB2312" w:cs="Times New Roman"/>
          <w:sz w:val="32"/>
          <w:szCs w:val="32"/>
        </w:rPr>
        <w:t>人口下降，出生率降低，</w:t>
      </w:r>
      <w:r>
        <w:rPr>
          <w:rFonts w:hint="eastAsia" w:ascii="仿宋_GB2312" w:hAnsi="仿宋" w:eastAsia="仿宋_GB2312" w:cs="Times New Roman"/>
          <w:sz w:val="32"/>
          <w:szCs w:val="32"/>
          <w:lang w:val="en-US" w:eastAsia="zh-CN"/>
        </w:rPr>
        <w:t>招收的学生逐年减少</w:t>
      </w:r>
      <w:r>
        <w:rPr>
          <w:rFonts w:hint="eastAsia" w:ascii="仿宋_GB2312" w:hAnsi="仿宋" w:eastAsia="仿宋_GB2312" w:cs="Times New Roman"/>
          <w:sz w:val="32"/>
          <w:szCs w:val="32"/>
        </w:rPr>
        <w:t>。</w:t>
      </w:r>
    </w:p>
    <w:p>
      <w:pPr>
        <w:widowControl/>
        <w:adjustRightInd w:val="0"/>
        <w:snapToGrid w:val="0"/>
        <w:spacing w:line="560" w:lineRule="exact"/>
        <w:ind w:firstLine="640" w:firstLineChars="200"/>
        <w:contextualSpacing/>
        <w:jc w:val="left"/>
        <w:rPr>
          <w:rFonts w:hint="eastAsia"/>
        </w:rPr>
      </w:pPr>
      <w:r>
        <w:rPr>
          <w:rFonts w:hint="eastAsia" w:ascii="仿宋_GB2312" w:hAnsi="仿宋" w:eastAsia="仿宋_GB2312" w:cs="Times New Roman"/>
          <w:sz w:val="32"/>
          <w:szCs w:val="32"/>
          <w:lang w:val="en-US" w:eastAsia="zh-CN"/>
        </w:rPr>
        <w:t>2、绩效目标编制需进一步规范、完善；绩效监督与评价体系需进一步健全</w:t>
      </w:r>
      <w:r>
        <w:rPr>
          <w:rFonts w:hint="eastAsia" w:ascii="仿宋_GB2312" w:hAnsi="仿宋" w:eastAsia="仿宋_GB2312" w:cs="Times New Roman"/>
          <w:sz w:val="32"/>
          <w:szCs w:val="32"/>
        </w:rPr>
        <w:t>。</w:t>
      </w:r>
    </w:p>
    <w:p>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w:t>
      </w:r>
      <w:r>
        <w:rPr>
          <w:rFonts w:hint="eastAsia" w:ascii="仿宋_GB2312" w:hAnsi="仿宋" w:eastAsia="仿宋_GB2312" w:cs="Times New Roman"/>
          <w:b/>
          <w:bCs/>
          <w:sz w:val="32"/>
          <w:szCs w:val="32"/>
          <w:lang w:val="en-US" w:eastAsia="zh-CN"/>
        </w:rPr>
        <w:t>三</w:t>
      </w:r>
      <w:r>
        <w:rPr>
          <w:rFonts w:hint="eastAsia" w:ascii="仿宋_GB2312" w:hAnsi="仿宋" w:eastAsia="仿宋_GB2312" w:cs="Times New Roman"/>
          <w:b/>
          <w:bCs/>
          <w:sz w:val="32"/>
          <w:szCs w:val="32"/>
        </w:rPr>
        <w:t>）改进建议。</w:t>
      </w:r>
    </w:p>
    <w:p>
      <w:pPr>
        <w:spacing w:line="540" w:lineRule="exact"/>
        <w:ind w:firstLine="640" w:firstLineChars="200"/>
        <w:rPr>
          <w:rFonts w:hint="eastAsia" w:ascii="仿宋_GB2312" w:hAnsi="仿宋" w:eastAsia="仿宋_GB2312" w:cs="Times New Roman"/>
          <w:sz w:val="32"/>
          <w:szCs w:val="32"/>
        </w:rPr>
      </w:pPr>
      <w:r>
        <w:rPr>
          <w:rFonts w:hint="eastAsia" w:ascii="仿宋" w:hAnsi="仿宋" w:eastAsia="仿宋_GB2312"/>
          <w:sz w:val="32"/>
          <w:szCs w:val="32"/>
        </w:rPr>
        <w:t>1、</w:t>
      </w: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pPr>
        <w:spacing w:line="540" w:lineRule="exact"/>
        <w:ind w:firstLine="640" w:firstLineChars="200"/>
        <w:rPr>
          <w:rFonts w:ascii="仿宋" w:hAnsi="仿宋" w:eastAsia="仿宋_GB2312"/>
          <w:sz w:val="32"/>
          <w:szCs w:val="32"/>
        </w:rPr>
      </w:pPr>
      <w:r>
        <w:rPr>
          <w:rFonts w:hint="eastAsia" w:ascii="仿宋_GB2312" w:hAnsi="仿宋" w:eastAsia="仿宋_GB2312" w:cs="Times New Roman"/>
          <w:sz w:val="32"/>
          <w:szCs w:val="32"/>
          <w:lang w:val="en-US" w:eastAsia="zh-CN"/>
        </w:rPr>
        <w:t>2、</w:t>
      </w:r>
      <w:r>
        <w:rPr>
          <w:rFonts w:hint="eastAsia" w:ascii="仿宋" w:hAnsi="仿宋" w:eastAsia="仿宋_GB2312"/>
          <w:sz w:val="32"/>
          <w:szCs w:val="32"/>
        </w:rPr>
        <w:t xml:space="preserve">加强绩效评价管理制度和流程的建设。进一步深化、完善绩效管理体系，建立全过程的预算绩效管理机制。 规范绩效评价管理资料的收集整理。确保相关信息完整、可靠，客观公正地反映项目资金实际使用和产生的绩效状况。  </w:t>
      </w:r>
      <w:r>
        <w:rPr>
          <w:rFonts w:ascii="仿宋"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469" w:beforeLines="150" w:line="540" w:lineRule="exact"/>
        <w:ind w:firstLine="640" w:firstLineChars="200"/>
        <w:textAlignment w:val="auto"/>
        <w:rPr>
          <w:rFonts w:ascii="仿宋" w:hAnsi="仿宋" w:eastAsia="仿宋_GB2312"/>
          <w:sz w:val="32"/>
          <w:szCs w:val="32"/>
        </w:rPr>
      </w:pPr>
      <w:r>
        <w:rPr>
          <w:rFonts w:ascii="仿宋" w:hAnsi="仿宋" w:eastAsia="仿宋_GB2312"/>
          <w:sz w:val="32"/>
          <w:szCs w:val="32"/>
        </w:rPr>
        <w:t>附表：</w:t>
      </w:r>
      <w:r>
        <w:rPr>
          <w:rFonts w:hint="eastAsia" w:ascii="仿宋" w:hAnsi="仿宋" w:eastAsia="仿宋_GB2312"/>
          <w:sz w:val="32"/>
          <w:szCs w:val="32"/>
        </w:rPr>
        <w:t>1、部门整体支出绩效自评表</w:t>
      </w:r>
    </w:p>
    <w:p>
      <w:pPr>
        <w:keepNext w:val="0"/>
        <w:keepLines w:val="0"/>
        <w:pageBreakBefore w:val="0"/>
        <w:kinsoku/>
        <w:wordWrap/>
        <w:overflowPunct/>
        <w:topLinePunct w:val="0"/>
        <w:autoSpaceDE/>
        <w:autoSpaceDN/>
        <w:bidi w:val="0"/>
        <w:spacing w:line="572" w:lineRule="exact"/>
        <w:ind w:firstLine="1600" w:firstLineChars="500"/>
        <w:jc w:val="left"/>
        <w:textAlignment w:val="auto"/>
        <w:outlineLvl w:val="9"/>
        <w:rPr>
          <w:rFonts w:hint="eastAsia" w:eastAsia="黑体" w:cs="黑体"/>
          <w:color w:val="auto"/>
          <w:sz w:val="32"/>
          <w:szCs w:val="32"/>
          <w:highlight w:val="none"/>
          <w:lang w:val="en-US" w:eastAsia="zh-CN"/>
        </w:rPr>
      </w:pPr>
      <w:r>
        <w:rPr>
          <w:rFonts w:hint="eastAsia" w:ascii="仿宋" w:hAnsi="仿宋" w:eastAsia="仿宋_GB2312"/>
          <w:sz w:val="32"/>
          <w:szCs w:val="32"/>
        </w:rPr>
        <w:t>2、部门预算项目支出绩效自评表（2</w:t>
      </w:r>
      <w:r>
        <w:rPr>
          <w:rFonts w:ascii="仿宋" w:hAnsi="仿宋" w:eastAsia="仿宋_GB2312"/>
          <w:sz w:val="32"/>
          <w:szCs w:val="32"/>
        </w:rPr>
        <w:t>024年）</w:t>
      </w:r>
    </w:p>
    <w:p>
      <w:pPr>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br w:type="page"/>
      </w:r>
    </w:p>
    <w:p>
      <w:pPr>
        <w:pStyle w:val="2"/>
        <w:rPr>
          <w:rFonts w:hint="default" w:eastAsia="黑体" w:cs="黑体"/>
          <w:color w:val="auto"/>
          <w:sz w:val="32"/>
          <w:szCs w:val="32"/>
          <w:highlight w:val="none"/>
          <w:lang w:val="en-US" w:eastAsia="zh-CN"/>
        </w:rPr>
      </w:pPr>
      <w:r>
        <w:rPr>
          <w:rFonts w:hint="eastAsia" w:eastAsia="黑体" w:cs="黑体"/>
          <w:color w:val="auto"/>
          <w:sz w:val="32"/>
          <w:szCs w:val="32"/>
          <w:highlight w:val="none"/>
          <w:lang w:val="en-US" w:eastAsia="zh-CN"/>
        </w:rPr>
        <w:t>附表1：</w:t>
      </w:r>
    </w:p>
    <w:tbl>
      <w:tblPr>
        <w:tblStyle w:val="16"/>
        <w:tblW w:w="10243" w:type="dxa"/>
        <w:jc w:val="center"/>
        <w:tblLayout w:type="autofit"/>
        <w:tblCellMar>
          <w:top w:w="0" w:type="dxa"/>
          <w:left w:w="108" w:type="dxa"/>
          <w:bottom w:w="0" w:type="dxa"/>
          <w:right w:w="108" w:type="dxa"/>
        </w:tblCellMar>
      </w:tblPr>
      <w:tblGrid>
        <w:gridCol w:w="699"/>
        <w:gridCol w:w="861"/>
        <w:gridCol w:w="1819"/>
        <w:gridCol w:w="748"/>
        <w:gridCol w:w="2552"/>
        <w:gridCol w:w="2268"/>
        <w:gridCol w:w="729"/>
        <w:gridCol w:w="567"/>
      </w:tblGrid>
      <w:tr>
        <w:tblPrEx>
          <w:tblCellMar>
            <w:top w:w="0" w:type="dxa"/>
            <w:left w:w="108" w:type="dxa"/>
            <w:bottom w:w="0" w:type="dxa"/>
            <w:right w:w="108" w:type="dxa"/>
          </w:tblCellMar>
        </w:tblPrEx>
        <w:trPr>
          <w:trHeight w:val="645" w:hRule="atLeast"/>
          <w:jc w:val="center"/>
        </w:trPr>
        <w:tc>
          <w:tcPr>
            <w:tcW w:w="10243" w:type="dxa"/>
            <w:gridSpan w:val="8"/>
            <w:tcBorders>
              <w:top w:val="nil"/>
              <w:left w:val="nil"/>
              <w:bottom w:val="nil"/>
              <w:right w:val="nil"/>
            </w:tcBorders>
            <w:noWrap w:val="0"/>
            <w:vAlign w:val="center"/>
          </w:tcPr>
          <w:p>
            <w:pPr>
              <w:ind w:firstLine="2880" w:firstLineChars="800"/>
              <w:rPr>
                <w:rFonts w:ascii="黑体" w:hAnsi="黑体" w:eastAsia="黑体" w:cs="黑体"/>
                <w:kern w:val="0"/>
                <w:sz w:val="36"/>
                <w:szCs w:val="36"/>
                <w:shd w:val="clear" w:color="auto" w:fill="FFFFFF"/>
                <w:lang w:val="zh-CN"/>
              </w:rPr>
            </w:pPr>
          </w:p>
        </w:tc>
      </w:tr>
      <w:tr>
        <w:tblPrEx>
          <w:tblCellMar>
            <w:top w:w="0" w:type="dxa"/>
            <w:left w:w="108" w:type="dxa"/>
            <w:bottom w:w="0" w:type="dxa"/>
            <w:right w:w="108" w:type="dxa"/>
          </w:tblCellMar>
        </w:tblPrEx>
        <w:trPr>
          <w:trHeight w:val="519" w:hRule="atLeast"/>
          <w:jc w:val="center"/>
        </w:trPr>
        <w:tc>
          <w:tcPr>
            <w:tcW w:w="412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绩效指标</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指标解释</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评分说明</w:t>
            </w:r>
          </w:p>
        </w:tc>
        <w:tc>
          <w:tcPr>
            <w:tcW w:w="72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 xml:space="preserve">自评 </w:t>
            </w:r>
            <w:r>
              <w:rPr>
                <w:rFonts w:ascii="仿宋" w:hAnsi="仿宋" w:eastAsia="仿宋_GB2312" w:cs="宋体"/>
                <w:kern w:val="0"/>
                <w:szCs w:val="21"/>
              </w:rPr>
              <w:t xml:space="preserve"> </w:t>
            </w:r>
            <w:r>
              <w:rPr>
                <w:rFonts w:hint="eastAsia" w:ascii="仿宋" w:hAnsi="仿宋" w:eastAsia="仿宋_GB2312" w:cs="宋体"/>
                <w:kern w:val="0"/>
                <w:szCs w:val="21"/>
              </w:rPr>
              <w:t>得分</w:t>
            </w:r>
          </w:p>
        </w:tc>
        <w:tc>
          <w:tcPr>
            <w:tcW w:w="56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备注</w:t>
            </w:r>
          </w:p>
        </w:tc>
      </w:tr>
      <w:tr>
        <w:tblPrEx>
          <w:tblCellMar>
            <w:top w:w="0" w:type="dxa"/>
            <w:left w:w="108" w:type="dxa"/>
            <w:bottom w:w="0" w:type="dxa"/>
            <w:right w:w="108" w:type="dxa"/>
          </w:tblCellMar>
        </w:tblPrEx>
        <w:trPr>
          <w:trHeight w:val="498" w:hRule="atLeast"/>
          <w:jc w:val="center"/>
        </w:trPr>
        <w:tc>
          <w:tcPr>
            <w:tcW w:w="699" w:type="dxa"/>
            <w:tcBorders>
              <w:top w:val="nil"/>
              <w:left w:val="single" w:color="auto" w:sz="4" w:space="0"/>
              <w:bottom w:val="single" w:color="auto" w:sz="4" w:space="0"/>
              <w:right w:val="nil"/>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一级指标</w:t>
            </w:r>
          </w:p>
        </w:tc>
        <w:tc>
          <w:tcPr>
            <w:tcW w:w="861"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二级 指标</w:t>
            </w:r>
          </w:p>
        </w:tc>
        <w:tc>
          <w:tcPr>
            <w:tcW w:w="181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三级指标</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指标分值</w:t>
            </w: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Cs w:val="21"/>
              </w:rPr>
            </w:pPr>
          </w:p>
        </w:tc>
        <w:tc>
          <w:tcPr>
            <w:tcW w:w="72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77" w:hRule="atLeast"/>
          <w:jc w:val="center"/>
        </w:trPr>
        <w:tc>
          <w:tcPr>
            <w:tcW w:w="699" w:type="dxa"/>
            <w:vMerge w:val="restart"/>
            <w:tcBorders>
              <w:top w:val="nil"/>
              <w:left w:val="single" w:color="auto" w:sz="4" w:space="0"/>
              <w:right w:val="nil"/>
            </w:tcBorders>
            <w:noWrap w:val="0"/>
            <w:vAlign w:val="center"/>
          </w:tcPr>
          <w:p>
            <w:pPr>
              <w:jc w:val="center"/>
              <w:rPr>
                <w:rFonts w:hint="eastAsia" w:ascii="仿宋" w:hAnsi="仿宋" w:eastAsia="仿宋" w:cs="宋体"/>
                <w:kern w:val="0"/>
                <w:szCs w:val="21"/>
              </w:rPr>
            </w:pPr>
            <w:r>
              <w:rPr>
                <w:rFonts w:hint="eastAsia" w:ascii="仿宋" w:hAnsi="仿宋" w:eastAsia="仿宋_GB2312" w:cs="宋体"/>
                <w:b/>
                <w:bCs/>
                <w:kern w:val="0"/>
                <w:szCs w:val="21"/>
              </w:rPr>
              <w:t>总体绩效</w:t>
            </w:r>
            <w:r>
              <w:rPr>
                <w:rFonts w:hint="eastAsia" w:ascii="仿宋" w:hAnsi="仿宋" w:eastAsia="仿宋_GB2312" w:cs="宋体"/>
                <w:b/>
                <w:bCs/>
                <w:kern w:val="0"/>
                <w:sz w:val="15"/>
                <w:szCs w:val="15"/>
              </w:rPr>
              <w:t>（65分）</w:t>
            </w:r>
          </w:p>
        </w:tc>
        <w:tc>
          <w:tcPr>
            <w:tcW w:w="861" w:type="dxa"/>
            <w:vMerge w:val="restart"/>
            <w:tcBorders>
              <w:top w:val="nil"/>
              <w:left w:val="single" w:color="auto" w:sz="4" w:space="0"/>
              <w:right w:val="single" w:color="auto" w:sz="4" w:space="0"/>
            </w:tcBorders>
            <w:noWrap w:val="0"/>
            <w:vAlign w:val="center"/>
          </w:tcPr>
          <w:p>
            <w:pPr>
              <w:jc w:val="center"/>
              <w:rPr>
                <w:rFonts w:hint="eastAsia" w:ascii="仿宋" w:hAnsi="仿宋" w:eastAsia="仿宋" w:cs="宋体"/>
                <w:b/>
                <w:kern w:val="0"/>
                <w:szCs w:val="21"/>
              </w:rPr>
            </w:pPr>
            <w:r>
              <w:rPr>
                <w:rFonts w:hint="eastAsia" w:ascii="仿宋" w:hAnsi="仿宋" w:eastAsia="仿宋_GB2312" w:cs="宋体"/>
                <w:b/>
                <w:bCs/>
                <w:kern w:val="0"/>
                <w:szCs w:val="21"/>
              </w:rPr>
              <w:t>履职 效能</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20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ascii="仿宋" w:hAnsi="仿宋" w:eastAsia="仿宋_GB2312" w:cs="宋体"/>
                <w:color w:val="000000"/>
                <w:kern w:val="0"/>
                <w:szCs w:val="21"/>
              </w:rPr>
              <w:t>绩效目标合理性</w:t>
            </w:r>
          </w:p>
        </w:tc>
        <w:tc>
          <w:tcPr>
            <w:tcW w:w="748" w:type="dxa"/>
            <w:vMerge w:val="restart"/>
            <w:tcBorders>
              <w:top w:val="nil"/>
              <w:left w:val="nil"/>
              <w:right w:val="single" w:color="auto" w:sz="4" w:space="0"/>
            </w:tcBorders>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_GB2312" w:cs="宋体"/>
                <w:kern w:val="0"/>
                <w:szCs w:val="21"/>
                <w:lang w:val="en-US" w:eastAsia="zh-CN"/>
              </w:rPr>
              <w:t>20</w:t>
            </w:r>
          </w:p>
        </w:tc>
        <w:tc>
          <w:tcPr>
            <w:tcW w:w="2552" w:type="dxa"/>
            <w:vMerge w:val="restart"/>
            <w:tcBorders>
              <w:top w:val="single" w:color="auto" w:sz="4" w:space="0"/>
              <w:left w:val="single" w:color="auto" w:sz="4" w:space="0"/>
              <w:right w:val="single" w:color="auto" w:sz="4" w:space="0"/>
            </w:tcBorders>
            <w:noWrap w:val="0"/>
            <w:vAlign w:val="center"/>
          </w:tcPr>
          <w:p>
            <w:pPr>
              <w:widowControl/>
              <w:jc w:val="left"/>
              <w:rPr>
                <w:rFonts w:ascii="仿宋" w:hAnsi="仿宋" w:eastAsia="仿宋_GB2312" w:cs="宋体"/>
                <w:kern w:val="0"/>
                <w:szCs w:val="21"/>
              </w:rPr>
            </w:pPr>
            <w:r>
              <w:rPr>
                <w:rFonts w:ascii="仿宋" w:hAnsi="仿宋" w:eastAsia="仿宋_GB2312" w:cs="宋体"/>
                <w:kern w:val="0"/>
                <w:szCs w:val="21"/>
              </w:rPr>
              <w:t>是否符合发展规划</w:t>
            </w:r>
          </w:p>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是否清晰可衡量可考核</w:t>
            </w:r>
          </w:p>
        </w:tc>
        <w:tc>
          <w:tcPr>
            <w:tcW w:w="2268"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kern w:val="0"/>
                <w:szCs w:val="21"/>
              </w:rPr>
              <w:t>目标明确、合理</w:t>
            </w:r>
            <w:r>
              <w:rPr>
                <w:rFonts w:hint="eastAsia" w:ascii="仿宋" w:hAnsi="仿宋" w:eastAsia="仿宋_GB2312" w:cs="宋体"/>
                <w:kern w:val="0"/>
                <w:szCs w:val="21"/>
                <w:lang w:eastAsia="zh-CN"/>
              </w:rPr>
              <w:t>，</w:t>
            </w:r>
            <w:r>
              <w:rPr>
                <w:rFonts w:hint="eastAsia" w:ascii="仿宋" w:hAnsi="仿宋" w:eastAsia="仿宋_GB2312" w:cs="宋体"/>
                <w:kern w:val="0"/>
                <w:szCs w:val="21"/>
                <w:lang w:val="en-US" w:eastAsia="zh-CN"/>
              </w:rPr>
              <w:t>教学效果好，社会满意度高，校园无安全事故。</w:t>
            </w:r>
          </w:p>
        </w:tc>
        <w:tc>
          <w:tcPr>
            <w:tcW w:w="729"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20</w:t>
            </w:r>
          </w:p>
        </w:tc>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123"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教学质量达标</w:t>
            </w:r>
          </w:p>
        </w:tc>
        <w:tc>
          <w:tcPr>
            <w:tcW w:w="748" w:type="dxa"/>
            <w:vMerge w:val="continue"/>
            <w:tcBorders>
              <w:left w:val="nil"/>
              <w:bottom w:val="nil"/>
              <w:right w:val="single" w:color="auto" w:sz="4" w:space="0"/>
            </w:tcBorders>
            <w:noWrap w:val="0"/>
            <w:vAlign w:val="center"/>
          </w:tcPr>
          <w:p>
            <w:pPr>
              <w:widowControl/>
              <w:jc w:val="center"/>
              <w:rPr>
                <w:rFonts w:ascii="仿宋" w:hAnsi="仿宋" w:eastAsia="仿宋" w:cs="宋体"/>
                <w:kern w:val="0"/>
                <w:szCs w:val="21"/>
              </w:rPr>
            </w:pPr>
          </w:p>
        </w:tc>
        <w:tc>
          <w:tcPr>
            <w:tcW w:w="2552"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p>
        </w:tc>
        <w:tc>
          <w:tcPr>
            <w:tcW w:w="2268"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p>
        </w:tc>
        <w:tc>
          <w:tcPr>
            <w:tcW w:w="729" w:type="dxa"/>
            <w:vMerge w:val="continue"/>
            <w:tcBorders>
              <w:left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55"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 w:hAnsi="仿宋" w:eastAsia="仿宋" w:cs="宋体"/>
                <w:color w:val="000000"/>
                <w:kern w:val="0"/>
                <w:szCs w:val="21"/>
                <w:lang w:val="en-US" w:eastAsia="zh-CN"/>
              </w:rPr>
            </w:pPr>
            <w:r>
              <w:rPr>
                <w:rFonts w:hint="default" w:ascii="仿宋" w:hAnsi="仿宋" w:eastAsia="仿宋_GB2312" w:cs="宋体"/>
                <w:color w:val="000000"/>
                <w:kern w:val="0"/>
                <w:szCs w:val="21"/>
                <w:lang w:val="en-US" w:eastAsia="zh-CN"/>
              </w:rPr>
              <w:t>校园安全无事故</w:t>
            </w:r>
          </w:p>
        </w:tc>
        <w:tc>
          <w:tcPr>
            <w:tcW w:w="748" w:type="dxa"/>
            <w:vMerge w:val="continue"/>
            <w:tcBorders>
              <w:left w:val="nil"/>
              <w:bottom w:val="nil"/>
              <w:right w:val="single" w:color="auto" w:sz="4" w:space="0"/>
            </w:tcBorders>
            <w:noWrap w:val="0"/>
            <w:vAlign w:val="center"/>
          </w:tcPr>
          <w:p>
            <w:pPr>
              <w:widowControl/>
              <w:jc w:val="center"/>
              <w:rPr>
                <w:rFonts w:ascii="仿宋" w:hAnsi="仿宋" w:eastAsia="仿宋" w:cs="宋体"/>
                <w:kern w:val="0"/>
                <w:szCs w:val="21"/>
              </w:rPr>
            </w:pPr>
          </w:p>
        </w:tc>
        <w:tc>
          <w:tcPr>
            <w:tcW w:w="2552" w:type="dxa"/>
            <w:vMerge w:val="continue"/>
            <w:tcBorders>
              <w:left w:val="single" w:color="auto" w:sz="4" w:space="0"/>
              <w:bottom w:val="nil"/>
              <w:right w:val="single" w:color="auto" w:sz="4" w:space="0"/>
            </w:tcBorders>
            <w:noWrap w:val="0"/>
            <w:vAlign w:val="center"/>
          </w:tcPr>
          <w:p>
            <w:pPr>
              <w:widowControl/>
              <w:jc w:val="left"/>
              <w:rPr>
                <w:rFonts w:ascii="仿宋" w:hAnsi="仿宋" w:eastAsia="仿宋" w:cs="宋体"/>
                <w:color w:val="000000"/>
                <w:kern w:val="0"/>
                <w:szCs w:val="21"/>
              </w:rPr>
            </w:pPr>
          </w:p>
        </w:tc>
        <w:tc>
          <w:tcPr>
            <w:tcW w:w="2268" w:type="dxa"/>
            <w:vMerge w:val="continue"/>
            <w:tcBorders>
              <w:left w:val="single" w:color="auto" w:sz="4" w:space="0"/>
              <w:bottom w:val="nil"/>
              <w:right w:val="single" w:color="auto" w:sz="4" w:space="0"/>
            </w:tcBorders>
            <w:noWrap w:val="0"/>
            <w:vAlign w:val="center"/>
          </w:tcPr>
          <w:p>
            <w:pPr>
              <w:widowControl/>
              <w:jc w:val="left"/>
              <w:rPr>
                <w:rFonts w:ascii="仿宋" w:hAnsi="仿宋" w:eastAsia="仿宋" w:cs="宋体"/>
                <w:color w:val="000000"/>
                <w:kern w:val="0"/>
                <w:szCs w:val="21"/>
              </w:rPr>
            </w:pPr>
          </w:p>
        </w:tc>
        <w:tc>
          <w:tcPr>
            <w:tcW w:w="729" w:type="dxa"/>
            <w:vMerge w:val="continue"/>
            <w:tcBorders>
              <w:left w:val="single" w:color="auto" w:sz="4" w:space="0"/>
              <w:bottom w:val="nil"/>
              <w:right w:val="single" w:color="auto" w:sz="4" w:space="0"/>
            </w:tcBorders>
            <w:noWrap w:val="0"/>
            <w:vAlign w:val="center"/>
          </w:tcPr>
          <w:p>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63"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_GB2312" w:cs="宋体"/>
                <w:b/>
                <w:bCs/>
                <w:kern w:val="0"/>
                <w:szCs w:val="21"/>
              </w:rPr>
              <w:t>预算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（2</w:t>
            </w:r>
            <w:r>
              <w:rPr>
                <w:rFonts w:ascii="仿宋" w:hAnsi="仿宋" w:eastAsia="仿宋_GB2312" w:cs="宋体"/>
                <w:b/>
                <w:bCs/>
                <w:kern w:val="0"/>
                <w:sz w:val="15"/>
                <w:szCs w:val="15"/>
              </w:rPr>
              <w:t>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预算编制质量</w:t>
            </w:r>
          </w:p>
        </w:tc>
        <w:tc>
          <w:tcPr>
            <w:tcW w:w="7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是否纳入预算管理</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90"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支出执行进度</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按时间节点完成支付</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按进度执行</w:t>
            </w:r>
          </w:p>
        </w:tc>
        <w:tc>
          <w:tcPr>
            <w:tcW w:w="729"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46"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重点支出安排率</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是否优先保障重点支出</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97"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预算结转结余</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hint="eastAsia" w:ascii="仿宋" w:hAnsi="仿宋" w:eastAsia="仿宋_GB2312" w:cs="宋体"/>
                <w:color w:val="000000"/>
                <w:kern w:val="0"/>
                <w:szCs w:val="21"/>
              </w:rPr>
              <w:t>年度预算结转结余控制</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无结转结余</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550" w:hRule="atLeast"/>
          <w:jc w:val="center"/>
        </w:trPr>
        <w:tc>
          <w:tcPr>
            <w:tcW w:w="699" w:type="dxa"/>
            <w:vMerge w:val="continue"/>
            <w:tcBorders>
              <w:left w:val="single" w:color="auto" w:sz="4" w:space="0"/>
              <w:right w:val="single" w:color="auto" w:sz="4" w:space="0"/>
            </w:tcBorders>
            <w:noWrap w:val="0"/>
            <w:vAlign w:val="center"/>
          </w:tcPr>
          <w:p>
            <w:pPr>
              <w:jc w:val="center"/>
              <w:rPr>
                <w:rFonts w:ascii="仿宋" w:hAnsi="仿宋" w:eastAsia="仿宋" w:cs="宋体"/>
                <w:b/>
                <w:bCs/>
                <w:kern w:val="0"/>
                <w:szCs w:val="21"/>
              </w:rPr>
            </w:pPr>
          </w:p>
        </w:tc>
        <w:tc>
          <w:tcPr>
            <w:tcW w:w="861" w:type="dxa"/>
            <w:vMerge w:val="restart"/>
            <w:tcBorders>
              <w:top w:val="nil"/>
              <w:left w:val="single" w:color="auto" w:sz="4" w:space="0"/>
              <w:right w:val="single" w:color="auto" w:sz="4" w:space="0"/>
            </w:tcBorders>
            <w:noWrap w:val="0"/>
            <w:vAlign w:val="center"/>
          </w:tcPr>
          <w:p>
            <w:pPr>
              <w:widowControl/>
              <w:jc w:val="center"/>
              <w:rPr>
                <w:rFonts w:hint="eastAsia" w:ascii="仿宋" w:hAnsi="仿宋" w:eastAsia="仿宋" w:cs="宋体"/>
                <w:b/>
                <w:bCs/>
                <w:kern w:val="0"/>
                <w:szCs w:val="21"/>
              </w:rPr>
            </w:pPr>
            <w:r>
              <w:rPr>
                <w:rFonts w:hint="eastAsia" w:ascii="仿宋" w:hAnsi="仿宋" w:eastAsia="仿宋_GB2312" w:cs="宋体"/>
                <w:b/>
                <w:bCs/>
                <w:kern w:val="0"/>
                <w:szCs w:val="21"/>
              </w:rPr>
              <w:t>资产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15</w:t>
            </w:r>
            <w:r>
              <w:rPr>
                <w:rFonts w:hint="eastAsia" w:ascii="仿宋" w:hAnsi="仿宋" w:eastAsia="仿宋_GB2312" w:cs="宋体"/>
                <w:b/>
                <w:bCs/>
                <w:kern w:val="0"/>
                <w:sz w:val="15"/>
                <w:szCs w:val="15"/>
              </w:rPr>
              <w:t>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资产管理规范性</w:t>
            </w:r>
          </w:p>
        </w:tc>
        <w:tc>
          <w:tcPr>
            <w:tcW w:w="748" w:type="dxa"/>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8</w:t>
            </w:r>
          </w:p>
        </w:tc>
        <w:tc>
          <w:tcPr>
            <w:tcW w:w="2552"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制度是否健全，是否完成保存，按要求处置。</w:t>
            </w:r>
          </w:p>
        </w:tc>
        <w:tc>
          <w:tcPr>
            <w:tcW w:w="2268"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制度健全管理规范，无闲置资产</w:t>
            </w:r>
          </w:p>
        </w:tc>
        <w:tc>
          <w:tcPr>
            <w:tcW w:w="72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7</w:t>
            </w:r>
          </w:p>
        </w:tc>
        <w:tc>
          <w:tcPr>
            <w:tcW w:w="567" w:type="dxa"/>
            <w:vMerge w:val="restart"/>
            <w:tcBorders>
              <w:top w:val="nil"/>
              <w:left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89" w:hRule="atLeast"/>
          <w:jc w:val="center"/>
        </w:trPr>
        <w:tc>
          <w:tcPr>
            <w:tcW w:w="699" w:type="dxa"/>
            <w:vMerge w:val="continue"/>
            <w:tcBorders>
              <w:left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861"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资产使用率</w:t>
            </w:r>
          </w:p>
        </w:tc>
        <w:tc>
          <w:tcPr>
            <w:tcW w:w="74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7</w:t>
            </w:r>
          </w:p>
        </w:tc>
        <w:tc>
          <w:tcPr>
            <w:tcW w:w="255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是否充分充分高效使用</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Cs w:val="21"/>
                <w:lang w:eastAsia="zh-CN"/>
              </w:rPr>
            </w:pPr>
            <w:r>
              <w:rPr>
                <w:rFonts w:hint="eastAsia" w:ascii="仿宋" w:hAnsi="仿宋" w:eastAsia="仿宋_GB2312" w:cs="宋体"/>
                <w:color w:val="000000"/>
                <w:kern w:val="0"/>
                <w:szCs w:val="21"/>
                <w:lang w:val="en-US" w:eastAsia="zh-CN"/>
              </w:rPr>
              <w:t>6</w:t>
            </w:r>
          </w:p>
        </w:tc>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801" w:hRule="atLeast"/>
          <w:jc w:val="center"/>
        </w:trPr>
        <w:tc>
          <w:tcPr>
            <w:tcW w:w="699" w:type="dxa"/>
            <w:vMerge w:val="continue"/>
            <w:tcBorders>
              <w:left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_GB2312" w:cs="宋体"/>
                <w:b/>
                <w:bCs/>
                <w:kern w:val="0"/>
                <w:szCs w:val="21"/>
              </w:rPr>
              <w:t>采购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10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政府采购执行率</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政府采购预算的实际执行情况</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按预算和计划执行</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567"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72"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_GB2312" w:cs="宋体"/>
                <w:b/>
                <w:bCs/>
                <w:kern w:val="0"/>
                <w:szCs w:val="21"/>
              </w:rPr>
              <w:t>项目绩效</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（35分）</w:t>
            </w:r>
          </w:p>
        </w:tc>
        <w:tc>
          <w:tcPr>
            <w:tcW w:w="861" w:type="dxa"/>
            <w:vMerge w:val="restart"/>
            <w:tcBorders>
              <w:top w:val="nil"/>
              <w:left w:val="single" w:color="auto" w:sz="4" w:space="0"/>
              <w:bottom w:val="nil"/>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_GB2312" w:cs="宋体"/>
                <w:b/>
                <w:bCs/>
                <w:kern w:val="0"/>
                <w:szCs w:val="21"/>
              </w:rPr>
              <w:t>项目 决策</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决策程序</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决策程序是否规范</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1"/>
              </w:rPr>
            </w:pPr>
          </w:p>
        </w:tc>
      </w:tr>
      <w:tr>
        <w:tblPrEx>
          <w:tblCellMar>
            <w:top w:w="0" w:type="dxa"/>
            <w:left w:w="108" w:type="dxa"/>
            <w:bottom w:w="0" w:type="dxa"/>
            <w:right w:w="108" w:type="dxa"/>
          </w:tblCellMar>
        </w:tblPrEx>
        <w:trPr>
          <w:trHeight w:val="40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目标设置</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是否明确可衡量</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1"/>
              </w:rPr>
            </w:pPr>
          </w:p>
        </w:tc>
      </w:tr>
      <w:tr>
        <w:tblPrEx>
          <w:tblCellMar>
            <w:top w:w="0" w:type="dxa"/>
            <w:left w:w="108" w:type="dxa"/>
            <w:bottom w:w="0" w:type="dxa"/>
            <w:right w:w="108" w:type="dxa"/>
          </w:tblCellMar>
        </w:tblPrEx>
        <w:trPr>
          <w:trHeight w:val="41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项目入库</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是否纳入项目库管理</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0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_GB2312" w:cs="宋体"/>
                <w:b/>
                <w:bCs/>
                <w:kern w:val="0"/>
                <w:szCs w:val="21"/>
              </w:rPr>
              <w:t>项目 执行</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执行同向</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预算与执行一致性</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一致</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2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nil"/>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项目调整</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调整程序是否规范</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1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执行结果</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完成率</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64"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_GB2312" w:cs="宋体"/>
                <w:b/>
                <w:bCs/>
                <w:kern w:val="0"/>
                <w:szCs w:val="21"/>
              </w:rPr>
              <w:t>目标 实现</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（11分）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目标完成</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项目目标完成率</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72"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目标偏离</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偏离度</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实现效果</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项目完成实际效果</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符合项目要求</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_GB2312" w:cs="宋体"/>
                <w:b/>
                <w:bCs/>
                <w:kern w:val="0"/>
                <w:szCs w:val="21"/>
              </w:rPr>
              <w:t>扣分项</w:t>
            </w:r>
          </w:p>
        </w:tc>
        <w:tc>
          <w:tcPr>
            <w:tcW w:w="8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_GB2312" w:cs="宋体"/>
                <w:b/>
                <w:bCs/>
                <w:kern w:val="0"/>
                <w:szCs w:val="21"/>
              </w:rPr>
              <w:t>财务 管理</w:t>
            </w: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财务管理制度</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制度健全与执行情况</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23"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财务岗位设置</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岗位设置合规性</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9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资金使用规范</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资金使用合规性</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1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预算绩效存在问题</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绩效管理中发现的问题</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被评价部门配合度</w:t>
            </w:r>
          </w:p>
        </w:tc>
        <w:tc>
          <w:tcPr>
            <w:tcW w:w="74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评价过程中的部门配合度</w:t>
            </w:r>
          </w:p>
        </w:tc>
        <w:tc>
          <w:tcPr>
            <w:tcW w:w="226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Cs w:val="21"/>
              </w:rPr>
            </w:pPr>
            <w:r>
              <w:rPr>
                <w:rFonts w:ascii="仿宋" w:hAnsi="仿宋" w:eastAsia="仿宋_GB2312" w:cs="宋体"/>
                <w:color w:val="000000"/>
                <w:kern w:val="0"/>
                <w:szCs w:val="21"/>
              </w:rPr>
              <w:t xml:space="preserve">配合不够扣1-2分  </w:t>
            </w:r>
          </w:p>
        </w:tc>
        <w:tc>
          <w:tcPr>
            <w:tcW w:w="7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05" w:hRule="atLeast"/>
          <w:jc w:val="center"/>
        </w:trPr>
        <w:tc>
          <w:tcPr>
            <w:tcW w:w="3379"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分值</w:t>
            </w:r>
          </w:p>
        </w:tc>
        <w:tc>
          <w:tcPr>
            <w:tcW w:w="74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p>
        </w:tc>
        <w:tc>
          <w:tcPr>
            <w:tcW w:w="2552"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226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729" w:type="dxa"/>
            <w:tcBorders>
              <w:top w:val="nil"/>
              <w:left w:val="nil"/>
              <w:bottom w:val="single" w:color="auto" w:sz="4" w:space="0"/>
              <w:right w:val="single" w:color="auto" w:sz="4" w:space="0"/>
            </w:tcBorders>
            <w:noWrap/>
            <w:vAlign w:val="center"/>
          </w:tcPr>
          <w:p>
            <w:pPr>
              <w:widowControl/>
              <w:jc w:val="center"/>
              <w:rPr>
                <w:rFonts w:hint="default" w:ascii="仿宋" w:hAnsi="仿宋" w:eastAsia="仿宋" w:cs="宋体"/>
                <w:color w:val="000000"/>
                <w:kern w:val="0"/>
                <w:szCs w:val="21"/>
              </w:rPr>
            </w:pPr>
            <w:r>
              <w:rPr>
                <w:rFonts w:hint="default" w:ascii="仿宋" w:hAnsi="仿宋" w:eastAsia="仿宋_GB2312" w:cs="宋体"/>
                <w:color w:val="000000"/>
                <w:kern w:val="0"/>
                <w:szCs w:val="21"/>
              </w:rPr>
              <w:fldChar w:fldCharType="begin"/>
            </w:r>
            <w:r>
              <w:rPr>
                <w:rFonts w:hint="default" w:ascii="仿宋" w:hAnsi="仿宋" w:eastAsia="仿宋_GB2312" w:cs="宋体"/>
                <w:color w:val="000000"/>
                <w:kern w:val="0"/>
                <w:szCs w:val="21"/>
              </w:rPr>
              <w:instrText xml:space="preserve"> =sum(above) \# "0" \* MERGEFORMAT </w:instrText>
            </w:r>
            <w:r>
              <w:rPr>
                <w:rFonts w:hint="default" w:ascii="仿宋" w:hAnsi="仿宋" w:eastAsia="仿宋_GB2312" w:cs="宋体"/>
                <w:color w:val="000000"/>
                <w:kern w:val="0"/>
                <w:szCs w:val="21"/>
              </w:rPr>
              <w:fldChar w:fldCharType="separate"/>
            </w:r>
            <w:r>
              <w:t>96</w:t>
            </w:r>
            <w:r>
              <w:rPr>
                <w:rFonts w:hint="default" w:ascii="仿宋" w:hAnsi="仿宋" w:eastAsia="仿宋_GB2312" w:cs="宋体"/>
                <w:color w:val="000000"/>
                <w:kern w:val="0"/>
                <w:szCs w:val="21"/>
              </w:rPr>
              <w:fldChar w:fldCharType="end"/>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p>
        </w:tc>
      </w:tr>
    </w:tbl>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黑体"/>
          <w:color w:val="auto"/>
          <w:sz w:val="32"/>
          <w:szCs w:val="32"/>
          <w:highlight w:val="none"/>
          <w:lang w:val="en-US" w:eastAsia="zh-CN"/>
        </w:rPr>
      </w:pPr>
      <w:r>
        <w:rPr>
          <w:rFonts w:hint="eastAsia" w:eastAsia="黑体" w:cs="黑体"/>
          <w:color w:val="auto"/>
          <w:sz w:val="32"/>
          <w:szCs w:val="32"/>
          <w:highlight w:val="none"/>
          <w:lang w:val="en-US" w:eastAsia="zh-CN"/>
        </w:rPr>
        <w:t>附表2：</w:t>
      </w:r>
    </w:p>
    <w:tbl>
      <w:tblPr>
        <w:tblStyle w:val="16"/>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7"/>
        <w:gridCol w:w="1125"/>
        <w:gridCol w:w="1091"/>
        <w:gridCol w:w="1036"/>
        <w:gridCol w:w="819"/>
        <w:gridCol w:w="1020"/>
        <w:gridCol w:w="985"/>
        <w:gridCol w:w="1052"/>
        <w:gridCol w:w="1044"/>
        <w:gridCol w:w="1020"/>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0468"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51090422T000006631660-幼儿保教费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遂宁市安居区石洞镇中心小学校部门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2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保障学校家庭经济困难学生正常入学，减轻其家庭经济负担</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6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项目负责人：张林</w:t>
            </w:r>
          </w:p>
        </w:tc>
        <w:tc>
          <w:tcPr>
            <w:tcW w:w="5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财务负责人：彭崇兵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567" w:type="dxa"/>
            <w:shd w:val="clear" w:color="auto" w:fill="auto"/>
            <w:vAlign w:val="center"/>
          </w:tcPr>
          <w:p>
            <w:pPr>
              <w:outlineLvl w:val="9"/>
              <w:rPr>
                <w:rFonts w:hint="eastAsia" w:ascii="宋体" w:hAnsi="宋体" w:eastAsia="宋体" w:cs="宋体"/>
                <w:i w:val="0"/>
                <w:color w:val="000000"/>
                <w:sz w:val="22"/>
                <w:szCs w:val="22"/>
                <w:u w:val="none"/>
              </w:rPr>
            </w:pPr>
          </w:p>
        </w:tc>
        <w:tc>
          <w:tcPr>
            <w:tcW w:w="1125" w:type="dxa"/>
            <w:shd w:val="clear" w:color="auto" w:fill="auto"/>
            <w:vAlign w:val="center"/>
          </w:tcPr>
          <w:p>
            <w:pPr>
              <w:outlineLvl w:val="9"/>
              <w:rPr>
                <w:rFonts w:hint="eastAsia" w:ascii="宋体" w:hAnsi="宋体" w:eastAsia="宋体" w:cs="宋体"/>
                <w:i w:val="0"/>
                <w:color w:val="000000"/>
                <w:sz w:val="22"/>
                <w:szCs w:val="22"/>
                <w:u w:val="none"/>
              </w:rPr>
            </w:pPr>
          </w:p>
        </w:tc>
        <w:tc>
          <w:tcPr>
            <w:tcW w:w="1091" w:type="dxa"/>
            <w:shd w:val="clear" w:color="auto" w:fill="auto"/>
            <w:vAlign w:val="center"/>
          </w:tcPr>
          <w:p>
            <w:pPr>
              <w:outlineLvl w:val="9"/>
              <w:rPr>
                <w:rFonts w:hint="eastAsia" w:ascii="宋体" w:hAnsi="宋体" w:eastAsia="宋体" w:cs="宋体"/>
                <w:i w:val="0"/>
                <w:color w:val="000000"/>
                <w:sz w:val="22"/>
                <w:szCs w:val="22"/>
                <w:u w:val="none"/>
              </w:rPr>
            </w:pPr>
          </w:p>
        </w:tc>
        <w:tc>
          <w:tcPr>
            <w:tcW w:w="1036" w:type="dxa"/>
            <w:shd w:val="clear" w:color="auto" w:fill="auto"/>
            <w:vAlign w:val="center"/>
          </w:tcPr>
          <w:p>
            <w:pPr>
              <w:outlineLvl w:val="9"/>
              <w:rPr>
                <w:rFonts w:hint="eastAsia" w:ascii="宋体" w:hAnsi="宋体" w:eastAsia="宋体" w:cs="宋体"/>
                <w:i w:val="0"/>
                <w:color w:val="000000"/>
                <w:sz w:val="22"/>
                <w:szCs w:val="22"/>
                <w:u w:val="none"/>
              </w:rPr>
            </w:pPr>
          </w:p>
        </w:tc>
        <w:tc>
          <w:tcPr>
            <w:tcW w:w="819" w:type="dxa"/>
            <w:shd w:val="clear" w:color="auto" w:fill="auto"/>
            <w:vAlign w:val="center"/>
          </w:tcPr>
          <w:p>
            <w:pPr>
              <w:outlineLvl w:val="9"/>
              <w:rPr>
                <w:rFonts w:hint="eastAsia" w:ascii="宋体" w:hAnsi="宋体" w:eastAsia="宋体" w:cs="宋体"/>
                <w:i w:val="0"/>
                <w:color w:val="000000"/>
                <w:sz w:val="22"/>
                <w:szCs w:val="22"/>
                <w:u w:val="none"/>
              </w:rPr>
            </w:pPr>
          </w:p>
        </w:tc>
        <w:tc>
          <w:tcPr>
            <w:tcW w:w="1020" w:type="dxa"/>
            <w:shd w:val="clear" w:color="auto" w:fill="auto"/>
            <w:vAlign w:val="center"/>
          </w:tcPr>
          <w:p>
            <w:pPr>
              <w:outlineLvl w:val="9"/>
              <w:rPr>
                <w:rFonts w:hint="eastAsia" w:ascii="宋体" w:hAnsi="宋体" w:eastAsia="宋体" w:cs="宋体"/>
                <w:i w:val="0"/>
                <w:color w:val="000000"/>
                <w:sz w:val="22"/>
                <w:szCs w:val="22"/>
                <w:u w:val="none"/>
              </w:rPr>
            </w:pPr>
          </w:p>
        </w:tc>
        <w:tc>
          <w:tcPr>
            <w:tcW w:w="985" w:type="dxa"/>
            <w:shd w:val="clear" w:color="auto" w:fill="auto"/>
            <w:vAlign w:val="center"/>
          </w:tcPr>
          <w:p>
            <w:pPr>
              <w:outlineLvl w:val="9"/>
              <w:rPr>
                <w:rFonts w:hint="eastAsia" w:ascii="宋体" w:hAnsi="宋体" w:eastAsia="宋体" w:cs="宋体"/>
                <w:i w:val="0"/>
                <w:color w:val="000000"/>
                <w:sz w:val="22"/>
                <w:szCs w:val="22"/>
                <w:u w:val="none"/>
              </w:rPr>
            </w:pPr>
          </w:p>
        </w:tc>
        <w:tc>
          <w:tcPr>
            <w:tcW w:w="1052" w:type="dxa"/>
            <w:shd w:val="clear" w:color="auto" w:fill="auto"/>
            <w:vAlign w:val="center"/>
          </w:tcPr>
          <w:p>
            <w:pPr>
              <w:outlineLvl w:val="9"/>
              <w:rPr>
                <w:rFonts w:hint="eastAsia" w:ascii="宋体" w:hAnsi="宋体" w:eastAsia="宋体" w:cs="宋体"/>
                <w:i w:val="0"/>
                <w:color w:val="000000"/>
                <w:sz w:val="22"/>
                <w:szCs w:val="22"/>
                <w:u w:val="none"/>
              </w:rPr>
            </w:pPr>
          </w:p>
        </w:tc>
        <w:tc>
          <w:tcPr>
            <w:tcW w:w="1044" w:type="dxa"/>
            <w:shd w:val="clear" w:color="auto" w:fill="auto"/>
            <w:vAlign w:val="center"/>
          </w:tcPr>
          <w:p>
            <w:pPr>
              <w:outlineLvl w:val="9"/>
              <w:rPr>
                <w:rFonts w:hint="eastAsia" w:ascii="宋体" w:hAnsi="宋体" w:eastAsia="宋体" w:cs="宋体"/>
                <w:i w:val="0"/>
                <w:color w:val="000000"/>
                <w:sz w:val="22"/>
                <w:szCs w:val="22"/>
                <w:u w:val="none"/>
              </w:rPr>
            </w:pPr>
          </w:p>
        </w:tc>
        <w:tc>
          <w:tcPr>
            <w:tcW w:w="1020" w:type="dxa"/>
            <w:shd w:val="clear" w:color="auto" w:fill="auto"/>
            <w:vAlign w:val="center"/>
          </w:tcPr>
          <w:p>
            <w:pPr>
              <w:outlineLvl w:val="9"/>
              <w:rPr>
                <w:rFonts w:hint="eastAsia" w:ascii="宋体" w:hAnsi="宋体" w:eastAsia="宋体" w:cs="宋体"/>
                <w:i w:val="0"/>
                <w:color w:val="000000"/>
                <w:sz w:val="22"/>
                <w:szCs w:val="22"/>
                <w:u w:val="none"/>
              </w:rPr>
            </w:pPr>
          </w:p>
        </w:tc>
        <w:tc>
          <w:tcPr>
            <w:tcW w:w="709" w:type="dxa"/>
            <w:shd w:val="clear" w:color="auto" w:fill="auto"/>
            <w:vAlign w:val="center"/>
          </w:tcPr>
          <w:p>
            <w:pP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468"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遂宁市安居区石洞镇中心小学校部门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2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保障学校家庭经济困难学生正常入学，减轻其家庭经济负担。</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6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项目负责人：张林</w:t>
            </w:r>
          </w:p>
        </w:tc>
        <w:tc>
          <w:tcPr>
            <w:tcW w:w="5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财务负责人：彭崇兵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567" w:type="dxa"/>
            <w:shd w:val="clear" w:color="auto" w:fill="auto"/>
            <w:vAlign w:val="center"/>
          </w:tcPr>
          <w:p>
            <w:pPr>
              <w:outlineLvl w:val="9"/>
              <w:rPr>
                <w:rFonts w:hint="eastAsia" w:ascii="宋体" w:hAnsi="宋体" w:eastAsia="宋体" w:cs="宋体"/>
                <w:i w:val="0"/>
                <w:color w:val="000000"/>
                <w:sz w:val="22"/>
                <w:szCs w:val="22"/>
                <w:u w:val="none"/>
              </w:rPr>
            </w:pPr>
          </w:p>
        </w:tc>
        <w:tc>
          <w:tcPr>
            <w:tcW w:w="1125" w:type="dxa"/>
            <w:shd w:val="clear" w:color="auto" w:fill="auto"/>
            <w:vAlign w:val="center"/>
          </w:tcPr>
          <w:p>
            <w:pPr>
              <w:outlineLvl w:val="9"/>
              <w:rPr>
                <w:rFonts w:hint="eastAsia" w:ascii="宋体" w:hAnsi="宋体" w:eastAsia="宋体" w:cs="宋体"/>
                <w:i w:val="0"/>
                <w:color w:val="000000"/>
                <w:sz w:val="22"/>
                <w:szCs w:val="22"/>
                <w:u w:val="none"/>
              </w:rPr>
            </w:pPr>
          </w:p>
        </w:tc>
        <w:tc>
          <w:tcPr>
            <w:tcW w:w="1091" w:type="dxa"/>
            <w:shd w:val="clear" w:color="auto" w:fill="auto"/>
            <w:vAlign w:val="center"/>
          </w:tcPr>
          <w:p>
            <w:pPr>
              <w:outlineLvl w:val="9"/>
              <w:rPr>
                <w:rFonts w:hint="eastAsia" w:ascii="宋体" w:hAnsi="宋体" w:eastAsia="宋体" w:cs="宋体"/>
                <w:i w:val="0"/>
                <w:color w:val="000000"/>
                <w:sz w:val="22"/>
                <w:szCs w:val="22"/>
                <w:u w:val="none"/>
              </w:rPr>
            </w:pPr>
          </w:p>
        </w:tc>
        <w:tc>
          <w:tcPr>
            <w:tcW w:w="1036" w:type="dxa"/>
            <w:shd w:val="clear" w:color="auto" w:fill="auto"/>
            <w:vAlign w:val="center"/>
          </w:tcPr>
          <w:p>
            <w:pPr>
              <w:outlineLvl w:val="9"/>
              <w:rPr>
                <w:rFonts w:hint="eastAsia" w:ascii="宋体" w:hAnsi="宋体" w:eastAsia="宋体" w:cs="宋体"/>
                <w:i w:val="0"/>
                <w:color w:val="000000"/>
                <w:sz w:val="22"/>
                <w:szCs w:val="22"/>
                <w:u w:val="none"/>
              </w:rPr>
            </w:pPr>
          </w:p>
        </w:tc>
        <w:tc>
          <w:tcPr>
            <w:tcW w:w="819" w:type="dxa"/>
            <w:shd w:val="clear" w:color="auto" w:fill="auto"/>
            <w:vAlign w:val="center"/>
          </w:tcPr>
          <w:p>
            <w:pPr>
              <w:outlineLvl w:val="9"/>
              <w:rPr>
                <w:rFonts w:hint="eastAsia" w:ascii="宋体" w:hAnsi="宋体" w:eastAsia="宋体" w:cs="宋体"/>
                <w:i w:val="0"/>
                <w:color w:val="000000"/>
                <w:sz w:val="22"/>
                <w:szCs w:val="22"/>
                <w:u w:val="none"/>
              </w:rPr>
            </w:pPr>
          </w:p>
        </w:tc>
        <w:tc>
          <w:tcPr>
            <w:tcW w:w="1020" w:type="dxa"/>
            <w:shd w:val="clear" w:color="auto" w:fill="auto"/>
            <w:vAlign w:val="center"/>
          </w:tcPr>
          <w:p>
            <w:pPr>
              <w:outlineLvl w:val="9"/>
              <w:rPr>
                <w:rFonts w:hint="eastAsia" w:ascii="宋体" w:hAnsi="宋体" w:eastAsia="宋体" w:cs="宋体"/>
                <w:i w:val="0"/>
                <w:color w:val="000000"/>
                <w:sz w:val="22"/>
                <w:szCs w:val="22"/>
                <w:u w:val="none"/>
              </w:rPr>
            </w:pPr>
          </w:p>
        </w:tc>
        <w:tc>
          <w:tcPr>
            <w:tcW w:w="985" w:type="dxa"/>
            <w:shd w:val="clear" w:color="auto" w:fill="auto"/>
            <w:vAlign w:val="center"/>
          </w:tcPr>
          <w:p>
            <w:pPr>
              <w:outlineLvl w:val="9"/>
              <w:rPr>
                <w:rFonts w:hint="eastAsia" w:ascii="宋体" w:hAnsi="宋体" w:eastAsia="宋体" w:cs="宋体"/>
                <w:i w:val="0"/>
                <w:color w:val="000000"/>
                <w:sz w:val="22"/>
                <w:szCs w:val="22"/>
                <w:u w:val="none"/>
              </w:rPr>
            </w:pPr>
          </w:p>
        </w:tc>
        <w:tc>
          <w:tcPr>
            <w:tcW w:w="1052" w:type="dxa"/>
            <w:shd w:val="clear" w:color="auto" w:fill="auto"/>
            <w:vAlign w:val="center"/>
          </w:tcPr>
          <w:p>
            <w:pPr>
              <w:outlineLvl w:val="9"/>
              <w:rPr>
                <w:rFonts w:hint="eastAsia" w:ascii="宋体" w:hAnsi="宋体" w:eastAsia="宋体" w:cs="宋体"/>
                <w:i w:val="0"/>
                <w:color w:val="000000"/>
                <w:sz w:val="22"/>
                <w:szCs w:val="22"/>
                <w:u w:val="none"/>
              </w:rPr>
            </w:pPr>
          </w:p>
        </w:tc>
        <w:tc>
          <w:tcPr>
            <w:tcW w:w="1044" w:type="dxa"/>
            <w:shd w:val="clear" w:color="auto" w:fill="auto"/>
            <w:vAlign w:val="center"/>
          </w:tcPr>
          <w:p>
            <w:pPr>
              <w:outlineLvl w:val="9"/>
              <w:rPr>
                <w:rFonts w:hint="eastAsia" w:ascii="宋体" w:hAnsi="宋体" w:eastAsia="宋体" w:cs="宋体"/>
                <w:i w:val="0"/>
                <w:color w:val="000000"/>
                <w:sz w:val="22"/>
                <w:szCs w:val="22"/>
                <w:u w:val="none"/>
              </w:rPr>
            </w:pPr>
          </w:p>
        </w:tc>
        <w:tc>
          <w:tcPr>
            <w:tcW w:w="1020" w:type="dxa"/>
            <w:shd w:val="clear" w:color="auto" w:fill="auto"/>
            <w:vAlign w:val="center"/>
          </w:tcPr>
          <w:p>
            <w:pPr>
              <w:outlineLvl w:val="9"/>
              <w:rPr>
                <w:rFonts w:hint="eastAsia" w:ascii="宋体" w:hAnsi="宋体" w:eastAsia="宋体" w:cs="宋体"/>
                <w:i w:val="0"/>
                <w:color w:val="000000"/>
                <w:sz w:val="22"/>
                <w:szCs w:val="22"/>
                <w:u w:val="none"/>
              </w:rPr>
            </w:pPr>
          </w:p>
        </w:tc>
        <w:tc>
          <w:tcPr>
            <w:tcW w:w="709" w:type="dxa"/>
            <w:shd w:val="clear" w:color="auto" w:fill="auto"/>
            <w:vAlign w:val="center"/>
          </w:tcPr>
          <w:p>
            <w:pP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468"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遂宁市安居区石洞镇中心小学校部门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2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保障学校家庭经济困难学生正常入学，减轻其家庭经济负担，促进学校健康发展。</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加强资金专项管理，提高资金使用效益，确保专款专用，按程序及时按要求支付资金，促进学校健康发展。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4.74</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4.74</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4.74</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4.74</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6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项目负责人：张林</w:t>
            </w:r>
          </w:p>
        </w:tc>
        <w:tc>
          <w:tcPr>
            <w:tcW w:w="5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财务负责人：彭崇兵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567" w:type="dxa"/>
            <w:shd w:val="clear" w:color="auto" w:fill="auto"/>
            <w:vAlign w:val="center"/>
          </w:tcPr>
          <w:p>
            <w:pPr>
              <w:outlineLvl w:val="9"/>
              <w:rPr>
                <w:rFonts w:hint="eastAsia" w:ascii="宋体" w:hAnsi="宋体" w:eastAsia="宋体" w:cs="宋体"/>
                <w:i w:val="0"/>
                <w:color w:val="000000"/>
                <w:sz w:val="22"/>
                <w:szCs w:val="22"/>
                <w:u w:val="none"/>
              </w:rPr>
            </w:pPr>
          </w:p>
        </w:tc>
        <w:tc>
          <w:tcPr>
            <w:tcW w:w="1125" w:type="dxa"/>
            <w:shd w:val="clear" w:color="auto" w:fill="auto"/>
            <w:vAlign w:val="center"/>
          </w:tcPr>
          <w:p>
            <w:pPr>
              <w:outlineLvl w:val="9"/>
              <w:rPr>
                <w:rFonts w:hint="eastAsia" w:ascii="宋体" w:hAnsi="宋体" w:eastAsia="宋体" w:cs="宋体"/>
                <w:i w:val="0"/>
                <w:color w:val="000000"/>
                <w:sz w:val="22"/>
                <w:szCs w:val="22"/>
                <w:u w:val="none"/>
              </w:rPr>
            </w:pPr>
          </w:p>
        </w:tc>
        <w:tc>
          <w:tcPr>
            <w:tcW w:w="1091" w:type="dxa"/>
            <w:shd w:val="clear" w:color="auto" w:fill="auto"/>
            <w:vAlign w:val="center"/>
          </w:tcPr>
          <w:p>
            <w:pPr>
              <w:outlineLvl w:val="9"/>
              <w:rPr>
                <w:rFonts w:hint="eastAsia" w:ascii="宋体" w:hAnsi="宋体" w:eastAsia="宋体" w:cs="宋体"/>
                <w:i w:val="0"/>
                <w:color w:val="000000"/>
                <w:sz w:val="22"/>
                <w:szCs w:val="22"/>
                <w:u w:val="none"/>
              </w:rPr>
            </w:pPr>
          </w:p>
        </w:tc>
        <w:tc>
          <w:tcPr>
            <w:tcW w:w="1036" w:type="dxa"/>
            <w:shd w:val="clear" w:color="auto" w:fill="auto"/>
            <w:vAlign w:val="center"/>
          </w:tcPr>
          <w:p>
            <w:pPr>
              <w:outlineLvl w:val="9"/>
              <w:rPr>
                <w:rFonts w:hint="eastAsia" w:ascii="宋体" w:hAnsi="宋体" w:eastAsia="宋体" w:cs="宋体"/>
                <w:i w:val="0"/>
                <w:color w:val="000000"/>
                <w:sz w:val="22"/>
                <w:szCs w:val="22"/>
                <w:u w:val="none"/>
              </w:rPr>
            </w:pPr>
          </w:p>
        </w:tc>
        <w:tc>
          <w:tcPr>
            <w:tcW w:w="819" w:type="dxa"/>
            <w:shd w:val="clear" w:color="auto" w:fill="auto"/>
            <w:vAlign w:val="center"/>
          </w:tcPr>
          <w:p>
            <w:pPr>
              <w:outlineLvl w:val="9"/>
              <w:rPr>
                <w:rFonts w:hint="eastAsia" w:ascii="宋体" w:hAnsi="宋体" w:eastAsia="宋体" w:cs="宋体"/>
                <w:i w:val="0"/>
                <w:color w:val="000000"/>
                <w:sz w:val="22"/>
                <w:szCs w:val="22"/>
                <w:u w:val="none"/>
              </w:rPr>
            </w:pPr>
          </w:p>
        </w:tc>
        <w:tc>
          <w:tcPr>
            <w:tcW w:w="1020" w:type="dxa"/>
            <w:shd w:val="clear" w:color="auto" w:fill="auto"/>
            <w:vAlign w:val="center"/>
          </w:tcPr>
          <w:p>
            <w:pPr>
              <w:outlineLvl w:val="9"/>
              <w:rPr>
                <w:rFonts w:hint="eastAsia" w:ascii="宋体" w:hAnsi="宋体" w:eastAsia="宋体" w:cs="宋体"/>
                <w:i w:val="0"/>
                <w:color w:val="000000"/>
                <w:sz w:val="22"/>
                <w:szCs w:val="22"/>
                <w:u w:val="none"/>
              </w:rPr>
            </w:pPr>
          </w:p>
        </w:tc>
        <w:tc>
          <w:tcPr>
            <w:tcW w:w="985" w:type="dxa"/>
            <w:shd w:val="clear" w:color="auto" w:fill="auto"/>
            <w:vAlign w:val="center"/>
          </w:tcPr>
          <w:p>
            <w:pPr>
              <w:outlineLvl w:val="9"/>
              <w:rPr>
                <w:rFonts w:hint="eastAsia" w:ascii="宋体" w:hAnsi="宋体" w:eastAsia="宋体" w:cs="宋体"/>
                <w:i w:val="0"/>
                <w:color w:val="000000"/>
                <w:sz w:val="22"/>
                <w:szCs w:val="22"/>
                <w:u w:val="none"/>
              </w:rPr>
            </w:pPr>
          </w:p>
        </w:tc>
        <w:tc>
          <w:tcPr>
            <w:tcW w:w="1052" w:type="dxa"/>
            <w:shd w:val="clear" w:color="auto" w:fill="auto"/>
            <w:vAlign w:val="center"/>
          </w:tcPr>
          <w:p>
            <w:pPr>
              <w:outlineLvl w:val="9"/>
              <w:rPr>
                <w:rFonts w:hint="eastAsia" w:ascii="宋体" w:hAnsi="宋体" w:eastAsia="宋体" w:cs="宋体"/>
                <w:i w:val="0"/>
                <w:color w:val="000000"/>
                <w:sz w:val="22"/>
                <w:szCs w:val="22"/>
                <w:u w:val="none"/>
              </w:rPr>
            </w:pPr>
          </w:p>
        </w:tc>
        <w:tc>
          <w:tcPr>
            <w:tcW w:w="1044" w:type="dxa"/>
            <w:shd w:val="clear" w:color="auto" w:fill="auto"/>
            <w:vAlign w:val="center"/>
          </w:tcPr>
          <w:p>
            <w:pPr>
              <w:outlineLvl w:val="9"/>
              <w:rPr>
                <w:rFonts w:hint="eastAsia" w:ascii="宋体" w:hAnsi="宋体" w:eastAsia="宋体" w:cs="宋体"/>
                <w:i w:val="0"/>
                <w:color w:val="000000"/>
                <w:sz w:val="22"/>
                <w:szCs w:val="22"/>
                <w:u w:val="none"/>
              </w:rPr>
            </w:pPr>
          </w:p>
        </w:tc>
        <w:tc>
          <w:tcPr>
            <w:tcW w:w="1020" w:type="dxa"/>
            <w:shd w:val="clear" w:color="auto" w:fill="auto"/>
            <w:vAlign w:val="center"/>
          </w:tcPr>
          <w:p>
            <w:pPr>
              <w:outlineLvl w:val="9"/>
              <w:rPr>
                <w:rFonts w:hint="eastAsia" w:ascii="宋体" w:hAnsi="宋体" w:eastAsia="宋体" w:cs="宋体"/>
                <w:i w:val="0"/>
                <w:color w:val="000000"/>
                <w:sz w:val="22"/>
                <w:szCs w:val="22"/>
                <w:u w:val="none"/>
              </w:rPr>
            </w:pPr>
          </w:p>
        </w:tc>
        <w:tc>
          <w:tcPr>
            <w:tcW w:w="709" w:type="dxa"/>
            <w:shd w:val="clear" w:color="auto" w:fill="auto"/>
            <w:vAlign w:val="center"/>
          </w:tcPr>
          <w:p>
            <w:pP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468"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遂宁市安居区石洞镇中心小学校部门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2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及时申请支付资金，促进学校健康发展。</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79.04%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79.04%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6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项目负责人：张林</w:t>
            </w:r>
          </w:p>
        </w:tc>
        <w:tc>
          <w:tcPr>
            <w:tcW w:w="5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财务负责人：彭崇兵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567" w:type="dxa"/>
            <w:shd w:val="clear" w:color="auto" w:fill="auto"/>
            <w:vAlign w:val="center"/>
          </w:tcPr>
          <w:p>
            <w:pPr>
              <w:outlineLvl w:val="9"/>
              <w:rPr>
                <w:rFonts w:hint="eastAsia" w:ascii="宋体" w:hAnsi="宋体" w:eastAsia="宋体" w:cs="宋体"/>
                <w:i w:val="0"/>
                <w:color w:val="000000"/>
                <w:sz w:val="22"/>
                <w:szCs w:val="22"/>
                <w:u w:val="none"/>
              </w:rPr>
            </w:pPr>
          </w:p>
        </w:tc>
        <w:tc>
          <w:tcPr>
            <w:tcW w:w="1125" w:type="dxa"/>
            <w:shd w:val="clear" w:color="auto" w:fill="auto"/>
            <w:vAlign w:val="center"/>
          </w:tcPr>
          <w:p>
            <w:pPr>
              <w:outlineLvl w:val="9"/>
              <w:rPr>
                <w:rFonts w:hint="eastAsia" w:ascii="宋体" w:hAnsi="宋体" w:eastAsia="宋体" w:cs="宋体"/>
                <w:i w:val="0"/>
                <w:color w:val="000000"/>
                <w:sz w:val="22"/>
                <w:szCs w:val="22"/>
                <w:u w:val="none"/>
              </w:rPr>
            </w:pPr>
          </w:p>
        </w:tc>
        <w:tc>
          <w:tcPr>
            <w:tcW w:w="1091" w:type="dxa"/>
            <w:shd w:val="clear" w:color="auto" w:fill="auto"/>
            <w:vAlign w:val="center"/>
          </w:tcPr>
          <w:p>
            <w:pPr>
              <w:outlineLvl w:val="9"/>
              <w:rPr>
                <w:rFonts w:hint="eastAsia" w:ascii="宋体" w:hAnsi="宋体" w:eastAsia="宋体" w:cs="宋体"/>
                <w:i w:val="0"/>
                <w:color w:val="000000"/>
                <w:sz w:val="22"/>
                <w:szCs w:val="22"/>
                <w:u w:val="none"/>
              </w:rPr>
            </w:pPr>
          </w:p>
        </w:tc>
        <w:tc>
          <w:tcPr>
            <w:tcW w:w="1036" w:type="dxa"/>
            <w:shd w:val="clear" w:color="auto" w:fill="auto"/>
            <w:vAlign w:val="center"/>
          </w:tcPr>
          <w:p>
            <w:pPr>
              <w:outlineLvl w:val="9"/>
              <w:rPr>
                <w:rFonts w:hint="eastAsia" w:ascii="宋体" w:hAnsi="宋体" w:eastAsia="宋体" w:cs="宋体"/>
                <w:i w:val="0"/>
                <w:color w:val="000000"/>
                <w:sz w:val="22"/>
                <w:szCs w:val="22"/>
                <w:u w:val="none"/>
              </w:rPr>
            </w:pPr>
          </w:p>
        </w:tc>
        <w:tc>
          <w:tcPr>
            <w:tcW w:w="819" w:type="dxa"/>
            <w:shd w:val="clear" w:color="auto" w:fill="auto"/>
            <w:vAlign w:val="center"/>
          </w:tcPr>
          <w:p>
            <w:pPr>
              <w:outlineLvl w:val="9"/>
              <w:rPr>
                <w:rFonts w:hint="eastAsia" w:ascii="宋体" w:hAnsi="宋体" w:eastAsia="宋体" w:cs="宋体"/>
                <w:i w:val="0"/>
                <w:color w:val="000000"/>
                <w:sz w:val="22"/>
                <w:szCs w:val="22"/>
                <w:u w:val="none"/>
              </w:rPr>
            </w:pPr>
          </w:p>
        </w:tc>
        <w:tc>
          <w:tcPr>
            <w:tcW w:w="1020" w:type="dxa"/>
            <w:shd w:val="clear" w:color="auto" w:fill="auto"/>
            <w:vAlign w:val="center"/>
          </w:tcPr>
          <w:p>
            <w:pPr>
              <w:outlineLvl w:val="9"/>
              <w:rPr>
                <w:rFonts w:hint="eastAsia" w:ascii="宋体" w:hAnsi="宋体" w:eastAsia="宋体" w:cs="宋体"/>
                <w:i w:val="0"/>
                <w:color w:val="000000"/>
                <w:sz w:val="22"/>
                <w:szCs w:val="22"/>
                <w:u w:val="none"/>
              </w:rPr>
            </w:pPr>
          </w:p>
        </w:tc>
        <w:tc>
          <w:tcPr>
            <w:tcW w:w="985" w:type="dxa"/>
            <w:shd w:val="clear" w:color="auto" w:fill="auto"/>
            <w:vAlign w:val="center"/>
          </w:tcPr>
          <w:p>
            <w:pPr>
              <w:outlineLvl w:val="9"/>
              <w:rPr>
                <w:rFonts w:hint="eastAsia" w:ascii="宋体" w:hAnsi="宋体" w:eastAsia="宋体" w:cs="宋体"/>
                <w:i w:val="0"/>
                <w:color w:val="000000"/>
                <w:sz w:val="22"/>
                <w:szCs w:val="22"/>
                <w:u w:val="none"/>
              </w:rPr>
            </w:pPr>
          </w:p>
        </w:tc>
        <w:tc>
          <w:tcPr>
            <w:tcW w:w="1052" w:type="dxa"/>
            <w:shd w:val="clear" w:color="auto" w:fill="auto"/>
            <w:vAlign w:val="center"/>
          </w:tcPr>
          <w:p>
            <w:pPr>
              <w:outlineLvl w:val="9"/>
              <w:rPr>
                <w:rFonts w:hint="eastAsia" w:ascii="宋体" w:hAnsi="宋体" w:eastAsia="宋体" w:cs="宋体"/>
                <w:i w:val="0"/>
                <w:color w:val="000000"/>
                <w:sz w:val="22"/>
                <w:szCs w:val="22"/>
                <w:u w:val="none"/>
              </w:rPr>
            </w:pPr>
          </w:p>
        </w:tc>
        <w:tc>
          <w:tcPr>
            <w:tcW w:w="1044" w:type="dxa"/>
            <w:shd w:val="clear" w:color="auto" w:fill="auto"/>
            <w:vAlign w:val="center"/>
          </w:tcPr>
          <w:p>
            <w:pPr>
              <w:outlineLvl w:val="9"/>
              <w:rPr>
                <w:rFonts w:hint="eastAsia" w:ascii="宋体" w:hAnsi="宋体" w:eastAsia="宋体" w:cs="宋体"/>
                <w:i w:val="0"/>
                <w:color w:val="000000"/>
                <w:sz w:val="22"/>
                <w:szCs w:val="22"/>
                <w:u w:val="none"/>
              </w:rPr>
            </w:pPr>
          </w:p>
        </w:tc>
        <w:tc>
          <w:tcPr>
            <w:tcW w:w="1020" w:type="dxa"/>
            <w:shd w:val="clear" w:color="auto" w:fill="auto"/>
            <w:vAlign w:val="center"/>
          </w:tcPr>
          <w:p>
            <w:pPr>
              <w:outlineLvl w:val="9"/>
              <w:rPr>
                <w:rFonts w:hint="eastAsia" w:ascii="宋体" w:hAnsi="宋体" w:eastAsia="宋体" w:cs="宋体"/>
                <w:i w:val="0"/>
                <w:color w:val="000000"/>
                <w:sz w:val="22"/>
                <w:szCs w:val="22"/>
                <w:u w:val="none"/>
              </w:rPr>
            </w:pPr>
          </w:p>
        </w:tc>
        <w:tc>
          <w:tcPr>
            <w:tcW w:w="709" w:type="dxa"/>
            <w:shd w:val="clear" w:color="auto" w:fill="auto"/>
            <w:vAlign w:val="center"/>
          </w:tcPr>
          <w:p>
            <w:pP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468"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51090423T000009404312-城乡义务教育-免作业本费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遂宁市安居区石洞镇中心小学校部门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2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及时申请支付资金，保证学生作业本按时发放。</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0.17</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0.17</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0.17</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0.17</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绩效目标实现指标自评得分100.00分，自评等次为：优，严格执行相关政策，按要求支付，保障资金及时、足额支付到位。保障学校正常运行。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6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项目负责人：张林</w:t>
            </w:r>
          </w:p>
        </w:tc>
        <w:tc>
          <w:tcPr>
            <w:tcW w:w="5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财务负责人：彭崇兵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567" w:type="dxa"/>
            <w:shd w:val="clear" w:color="auto" w:fill="auto"/>
            <w:vAlign w:val="center"/>
          </w:tcPr>
          <w:p>
            <w:pPr>
              <w:outlineLvl w:val="9"/>
              <w:rPr>
                <w:rFonts w:hint="eastAsia" w:ascii="宋体" w:hAnsi="宋体" w:eastAsia="宋体" w:cs="宋体"/>
                <w:i w:val="0"/>
                <w:color w:val="000000"/>
                <w:sz w:val="22"/>
                <w:szCs w:val="22"/>
                <w:u w:val="none"/>
              </w:rPr>
            </w:pPr>
          </w:p>
        </w:tc>
        <w:tc>
          <w:tcPr>
            <w:tcW w:w="1125" w:type="dxa"/>
            <w:shd w:val="clear" w:color="auto" w:fill="auto"/>
            <w:vAlign w:val="center"/>
          </w:tcPr>
          <w:p>
            <w:pPr>
              <w:outlineLvl w:val="9"/>
              <w:rPr>
                <w:rFonts w:hint="eastAsia" w:ascii="宋体" w:hAnsi="宋体" w:eastAsia="宋体" w:cs="宋体"/>
                <w:i w:val="0"/>
                <w:color w:val="000000"/>
                <w:sz w:val="22"/>
                <w:szCs w:val="22"/>
                <w:u w:val="none"/>
              </w:rPr>
            </w:pPr>
          </w:p>
        </w:tc>
        <w:tc>
          <w:tcPr>
            <w:tcW w:w="1091" w:type="dxa"/>
            <w:shd w:val="clear" w:color="auto" w:fill="auto"/>
            <w:vAlign w:val="center"/>
          </w:tcPr>
          <w:p>
            <w:pPr>
              <w:outlineLvl w:val="9"/>
              <w:rPr>
                <w:rFonts w:hint="eastAsia" w:ascii="宋体" w:hAnsi="宋体" w:eastAsia="宋体" w:cs="宋体"/>
                <w:i w:val="0"/>
                <w:color w:val="000000"/>
                <w:sz w:val="22"/>
                <w:szCs w:val="22"/>
                <w:u w:val="none"/>
              </w:rPr>
            </w:pPr>
          </w:p>
        </w:tc>
        <w:tc>
          <w:tcPr>
            <w:tcW w:w="1036" w:type="dxa"/>
            <w:shd w:val="clear" w:color="auto" w:fill="auto"/>
            <w:vAlign w:val="center"/>
          </w:tcPr>
          <w:p>
            <w:pPr>
              <w:outlineLvl w:val="9"/>
              <w:rPr>
                <w:rFonts w:hint="eastAsia" w:ascii="宋体" w:hAnsi="宋体" w:eastAsia="宋体" w:cs="宋体"/>
                <w:i w:val="0"/>
                <w:color w:val="000000"/>
                <w:sz w:val="22"/>
                <w:szCs w:val="22"/>
                <w:u w:val="none"/>
              </w:rPr>
            </w:pPr>
          </w:p>
        </w:tc>
        <w:tc>
          <w:tcPr>
            <w:tcW w:w="819" w:type="dxa"/>
            <w:shd w:val="clear" w:color="auto" w:fill="auto"/>
            <w:vAlign w:val="center"/>
          </w:tcPr>
          <w:p>
            <w:pPr>
              <w:outlineLvl w:val="9"/>
              <w:rPr>
                <w:rFonts w:hint="eastAsia" w:ascii="宋体" w:hAnsi="宋体" w:eastAsia="宋体" w:cs="宋体"/>
                <w:i w:val="0"/>
                <w:color w:val="000000"/>
                <w:sz w:val="22"/>
                <w:szCs w:val="22"/>
                <w:u w:val="none"/>
              </w:rPr>
            </w:pPr>
          </w:p>
        </w:tc>
        <w:tc>
          <w:tcPr>
            <w:tcW w:w="1020" w:type="dxa"/>
            <w:shd w:val="clear" w:color="auto" w:fill="auto"/>
            <w:vAlign w:val="center"/>
          </w:tcPr>
          <w:p>
            <w:pPr>
              <w:outlineLvl w:val="9"/>
              <w:rPr>
                <w:rFonts w:hint="eastAsia" w:ascii="宋体" w:hAnsi="宋体" w:eastAsia="宋体" w:cs="宋体"/>
                <w:i w:val="0"/>
                <w:color w:val="000000"/>
                <w:sz w:val="22"/>
                <w:szCs w:val="22"/>
                <w:u w:val="none"/>
              </w:rPr>
            </w:pPr>
          </w:p>
        </w:tc>
        <w:tc>
          <w:tcPr>
            <w:tcW w:w="985" w:type="dxa"/>
            <w:shd w:val="clear" w:color="auto" w:fill="auto"/>
            <w:vAlign w:val="center"/>
          </w:tcPr>
          <w:p>
            <w:pPr>
              <w:outlineLvl w:val="9"/>
              <w:rPr>
                <w:rFonts w:hint="eastAsia" w:ascii="宋体" w:hAnsi="宋体" w:eastAsia="宋体" w:cs="宋体"/>
                <w:i w:val="0"/>
                <w:color w:val="000000"/>
                <w:sz w:val="22"/>
                <w:szCs w:val="22"/>
                <w:u w:val="none"/>
              </w:rPr>
            </w:pPr>
          </w:p>
        </w:tc>
        <w:tc>
          <w:tcPr>
            <w:tcW w:w="1052" w:type="dxa"/>
            <w:shd w:val="clear" w:color="auto" w:fill="auto"/>
            <w:vAlign w:val="center"/>
          </w:tcPr>
          <w:p>
            <w:pPr>
              <w:outlineLvl w:val="9"/>
              <w:rPr>
                <w:rFonts w:hint="eastAsia" w:ascii="宋体" w:hAnsi="宋体" w:eastAsia="宋体" w:cs="宋体"/>
                <w:i w:val="0"/>
                <w:color w:val="000000"/>
                <w:sz w:val="22"/>
                <w:szCs w:val="22"/>
                <w:u w:val="none"/>
              </w:rPr>
            </w:pPr>
          </w:p>
        </w:tc>
        <w:tc>
          <w:tcPr>
            <w:tcW w:w="1044" w:type="dxa"/>
            <w:shd w:val="clear" w:color="auto" w:fill="auto"/>
            <w:vAlign w:val="center"/>
          </w:tcPr>
          <w:p>
            <w:pPr>
              <w:outlineLvl w:val="9"/>
              <w:rPr>
                <w:rFonts w:hint="eastAsia" w:ascii="宋体" w:hAnsi="宋体" w:eastAsia="宋体" w:cs="宋体"/>
                <w:i w:val="0"/>
                <w:color w:val="000000"/>
                <w:sz w:val="22"/>
                <w:szCs w:val="22"/>
                <w:u w:val="none"/>
              </w:rPr>
            </w:pPr>
          </w:p>
        </w:tc>
        <w:tc>
          <w:tcPr>
            <w:tcW w:w="1020" w:type="dxa"/>
            <w:shd w:val="clear" w:color="auto" w:fill="auto"/>
            <w:vAlign w:val="center"/>
          </w:tcPr>
          <w:p>
            <w:pPr>
              <w:outlineLvl w:val="9"/>
              <w:rPr>
                <w:rFonts w:hint="eastAsia" w:ascii="宋体" w:hAnsi="宋体" w:eastAsia="宋体" w:cs="宋体"/>
                <w:i w:val="0"/>
                <w:color w:val="000000"/>
                <w:sz w:val="22"/>
                <w:szCs w:val="22"/>
                <w:u w:val="none"/>
              </w:rPr>
            </w:pPr>
          </w:p>
        </w:tc>
        <w:tc>
          <w:tcPr>
            <w:tcW w:w="709" w:type="dxa"/>
            <w:shd w:val="clear" w:color="auto" w:fill="auto"/>
            <w:vAlign w:val="center"/>
          </w:tcPr>
          <w:p>
            <w:pP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468"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51090425T000013013564-义教免作业本费（省市区级）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遂宁市安居区石洞镇中心小学校部门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2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遂宁市安居区石洞镇中心小学校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及时申请支付资金，保证学生作业本按时发放。</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87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9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6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项目负责人：张林</w:t>
            </w:r>
          </w:p>
        </w:tc>
        <w:tc>
          <w:tcPr>
            <w:tcW w:w="5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财务负责人：彭崇兵</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2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outlineLvl w:val="0"/>
        <w:rPr>
          <w:rFonts w:hint="eastAsia" w:ascii="Times New Roman" w:hAnsi="Times New Roman" w:eastAsia="仿宋_GB2312"/>
          <w:b w:val="0"/>
          <w:color w:val="auto"/>
          <w:highlight w:val="none"/>
        </w:rPr>
      </w:pPr>
      <w:bookmarkStart w:id="127" w:name="_Toc21418"/>
      <w:bookmarkStart w:id="128" w:name="_Toc5960"/>
      <w:bookmarkStart w:id="129" w:name="_Toc22644"/>
      <w:bookmarkStart w:id="130" w:name="_Toc19197"/>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117"/>
      <w:bookmarkEnd w:id="126"/>
      <w:bookmarkEnd w:id="127"/>
      <w:bookmarkEnd w:id="128"/>
      <w:bookmarkEnd w:id="129"/>
      <w:bookmarkEnd w:id="130"/>
      <w:bookmarkStart w:id="131"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32" w:name="_Toc15151"/>
      <w:bookmarkStart w:id="133" w:name="_Toc10094"/>
      <w:bookmarkStart w:id="134" w:name="_Toc27816"/>
      <w:bookmarkStart w:id="135" w:name="_Toc24499"/>
      <w:r>
        <w:rPr>
          <w:rFonts w:hint="eastAsia" w:ascii="Times New Roman" w:hAnsi="Times New Roman" w:eastAsia="仿宋_GB2312" w:cs="仿宋_GB2312"/>
          <w:color w:val="auto"/>
          <w:sz w:val="32"/>
          <w:szCs w:val="32"/>
          <w:highlight w:val="none"/>
        </w:rPr>
        <w:t>一、收入支出决算总表</w:t>
      </w:r>
      <w:bookmarkEnd w:id="131"/>
      <w:bookmarkEnd w:id="132"/>
      <w:bookmarkEnd w:id="133"/>
      <w:bookmarkEnd w:id="134"/>
      <w:bookmarkEnd w:id="13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36" w:name="_Toc6876"/>
      <w:bookmarkStart w:id="137" w:name="_Toc4031"/>
      <w:bookmarkStart w:id="138" w:name="_Toc4937"/>
      <w:bookmarkStart w:id="139" w:name="_Toc3844"/>
      <w:bookmarkStart w:id="140" w:name="_Toc15396620"/>
      <w:r>
        <w:rPr>
          <w:rFonts w:hint="eastAsia" w:ascii="Times New Roman" w:hAnsi="Times New Roman" w:eastAsia="仿宋_GB2312" w:cs="仿宋_GB2312"/>
          <w:color w:val="auto"/>
          <w:sz w:val="32"/>
          <w:szCs w:val="32"/>
          <w:highlight w:val="none"/>
        </w:rPr>
        <w:t>二、收入决算表</w:t>
      </w:r>
      <w:bookmarkEnd w:id="136"/>
      <w:bookmarkEnd w:id="137"/>
      <w:bookmarkEnd w:id="138"/>
      <w:bookmarkEnd w:id="139"/>
      <w:bookmarkEnd w:id="14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41" w:name="_Toc16581"/>
      <w:bookmarkStart w:id="142" w:name="_Toc3102"/>
      <w:bookmarkStart w:id="143" w:name="_Toc15396621"/>
      <w:bookmarkStart w:id="144" w:name="_Toc26247"/>
      <w:bookmarkStart w:id="145" w:name="_Toc30996"/>
      <w:r>
        <w:rPr>
          <w:rFonts w:hint="eastAsia" w:ascii="Times New Roman" w:hAnsi="Times New Roman" w:eastAsia="仿宋_GB2312" w:cs="仿宋_GB2312"/>
          <w:color w:val="auto"/>
          <w:sz w:val="32"/>
          <w:szCs w:val="32"/>
          <w:highlight w:val="none"/>
        </w:rPr>
        <w:t>三、支出决算表</w:t>
      </w:r>
      <w:bookmarkEnd w:id="141"/>
      <w:bookmarkEnd w:id="142"/>
      <w:bookmarkEnd w:id="143"/>
      <w:bookmarkEnd w:id="144"/>
      <w:bookmarkEnd w:id="14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46" w:name="_Toc15396622"/>
      <w:bookmarkStart w:id="147" w:name="_Toc5175"/>
      <w:bookmarkStart w:id="148" w:name="_Toc26320"/>
      <w:bookmarkStart w:id="149" w:name="_Toc14378"/>
      <w:bookmarkStart w:id="150" w:name="_Toc1244"/>
      <w:r>
        <w:rPr>
          <w:rFonts w:hint="eastAsia" w:ascii="Times New Roman" w:hAnsi="Times New Roman" w:eastAsia="仿宋_GB2312" w:cs="仿宋_GB2312"/>
          <w:color w:val="auto"/>
          <w:sz w:val="32"/>
          <w:szCs w:val="32"/>
          <w:highlight w:val="none"/>
        </w:rPr>
        <w:t>四、财政拨款收入支出决算总表</w:t>
      </w:r>
      <w:bookmarkEnd w:id="146"/>
      <w:bookmarkEnd w:id="147"/>
      <w:bookmarkEnd w:id="148"/>
      <w:bookmarkEnd w:id="149"/>
      <w:bookmarkEnd w:id="1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51" w:name="_Toc11935"/>
      <w:bookmarkStart w:id="152" w:name="_Toc8606"/>
      <w:bookmarkStart w:id="153" w:name="_Toc15480"/>
      <w:bookmarkStart w:id="154" w:name="_Toc15396623"/>
      <w:bookmarkStart w:id="155" w:name="_Toc1581"/>
      <w:r>
        <w:rPr>
          <w:rFonts w:hint="eastAsia" w:ascii="Times New Roman" w:hAnsi="Times New Roman" w:eastAsia="仿宋_GB2312" w:cs="仿宋_GB2312"/>
          <w:color w:val="auto"/>
          <w:sz w:val="32"/>
          <w:szCs w:val="32"/>
          <w:highlight w:val="none"/>
        </w:rPr>
        <w:t>五、财政拨款支出决算明细表</w:t>
      </w:r>
      <w:bookmarkEnd w:id="151"/>
      <w:bookmarkEnd w:id="152"/>
      <w:bookmarkEnd w:id="153"/>
      <w:bookmarkEnd w:id="154"/>
      <w:bookmarkEnd w:id="155"/>
      <w:bookmarkStart w:id="156"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57" w:name="_Toc4716"/>
      <w:bookmarkStart w:id="158" w:name="_Toc14361"/>
      <w:bookmarkStart w:id="159" w:name="_Toc26015"/>
      <w:bookmarkStart w:id="160" w:name="_Toc25666"/>
      <w:r>
        <w:rPr>
          <w:rFonts w:hint="eastAsia" w:ascii="Times New Roman" w:hAnsi="Times New Roman" w:eastAsia="仿宋_GB2312" w:cs="仿宋_GB2312"/>
          <w:color w:val="auto"/>
          <w:sz w:val="32"/>
          <w:szCs w:val="32"/>
          <w:highlight w:val="none"/>
        </w:rPr>
        <w:t>六、一般公共预算财政拨款支出决算表</w:t>
      </w:r>
      <w:bookmarkEnd w:id="156"/>
      <w:bookmarkEnd w:id="157"/>
      <w:bookmarkEnd w:id="158"/>
      <w:bookmarkEnd w:id="159"/>
      <w:bookmarkEnd w:id="1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61" w:name="_Toc13164"/>
      <w:bookmarkStart w:id="162" w:name="_Toc4362"/>
      <w:bookmarkStart w:id="163" w:name="_Toc15396625"/>
      <w:bookmarkStart w:id="164" w:name="_Toc4365"/>
      <w:bookmarkStart w:id="165" w:name="_Toc25819"/>
      <w:r>
        <w:rPr>
          <w:rFonts w:hint="eastAsia" w:ascii="Times New Roman" w:hAnsi="Times New Roman" w:eastAsia="仿宋_GB2312" w:cs="仿宋_GB2312"/>
          <w:color w:val="auto"/>
          <w:sz w:val="32"/>
          <w:szCs w:val="32"/>
          <w:highlight w:val="none"/>
        </w:rPr>
        <w:t>七、一般公共预算财政拨款支出决算明细表</w:t>
      </w:r>
      <w:bookmarkEnd w:id="161"/>
      <w:bookmarkEnd w:id="162"/>
      <w:bookmarkEnd w:id="163"/>
      <w:bookmarkEnd w:id="164"/>
      <w:bookmarkEnd w:id="16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66" w:name="_Toc27238"/>
      <w:bookmarkStart w:id="167" w:name="_Toc15396626"/>
      <w:bookmarkStart w:id="168" w:name="_Toc11846"/>
      <w:bookmarkStart w:id="169" w:name="_Toc18738"/>
      <w:bookmarkStart w:id="170" w:name="_Toc17800"/>
      <w:r>
        <w:rPr>
          <w:rFonts w:hint="eastAsia" w:ascii="Times New Roman" w:hAnsi="Times New Roman" w:eastAsia="仿宋_GB2312" w:cs="仿宋_GB2312"/>
          <w:color w:val="auto"/>
          <w:sz w:val="32"/>
          <w:szCs w:val="32"/>
          <w:highlight w:val="none"/>
        </w:rPr>
        <w:t>八、一般公共预算财政拨款基本支出决算表</w:t>
      </w:r>
      <w:bookmarkEnd w:id="166"/>
      <w:bookmarkEnd w:id="167"/>
      <w:bookmarkEnd w:id="168"/>
      <w:bookmarkEnd w:id="169"/>
      <w:bookmarkEnd w:id="17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71" w:name="_Toc1481"/>
      <w:bookmarkStart w:id="172" w:name="_Toc9374"/>
      <w:bookmarkStart w:id="173" w:name="_Toc15396627"/>
      <w:bookmarkStart w:id="174" w:name="_Toc22221"/>
      <w:bookmarkStart w:id="175" w:name="_Toc9932"/>
      <w:r>
        <w:rPr>
          <w:rFonts w:hint="eastAsia" w:ascii="Times New Roman" w:hAnsi="Times New Roman" w:eastAsia="仿宋_GB2312" w:cs="仿宋_GB2312"/>
          <w:color w:val="auto"/>
          <w:sz w:val="32"/>
          <w:szCs w:val="32"/>
          <w:highlight w:val="none"/>
        </w:rPr>
        <w:t>九、一般公共预算财政拨款项目支出决算表</w:t>
      </w:r>
      <w:bookmarkEnd w:id="171"/>
      <w:bookmarkEnd w:id="172"/>
      <w:bookmarkEnd w:id="173"/>
      <w:bookmarkEnd w:id="174"/>
      <w:bookmarkEnd w:id="17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76" w:name="_Toc15396628"/>
      <w:bookmarkStart w:id="177" w:name="_Toc23482"/>
      <w:bookmarkStart w:id="178" w:name="_Toc5987"/>
      <w:bookmarkStart w:id="179" w:name="_Toc22238"/>
      <w:bookmarkStart w:id="180" w:name="_Toc22429"/>
      <w:r>
        <w:rPr>
          <w:rFonts w:hint="eastAsia" w:ascii="Times New Roman" w:hAnsi="Times New Roman" w:eastAsia="仿宋_GB2312" w:cs="仿宋_GB2312"/>
          <w:color w:val="auto"/>
          <w:sz w:val="32"/>
          <w:szCs w:val="32"/>
          <w:highlight w:val="none"/>
        </w:rPr>
        <w:t>十、</w:t>
      </w:r>
      <w:bookmarkEnd w:id="176"/>
      <w:r>
        <w:rPr>
          <w:rFonts w:hint="eastAsia" w:ascii="Times New Roman" w:hAnsi="Times New Roman" w:eastAsia="仿宋_GB2312" w:cs="仿宋_GB2312"/>
          <w:color w:val="auto"/>
          <w:sz w:val="32"/>
          <w:szCs w:val="32"/>
          <w:highlight w:val="none"/>
        </w:rPr>
        <w:t>政府性基金预算财政拨款收入支出决算表</w:t>
      </w:r>
      <w:bookmarkEnd w:id="177"/>
      <w:bookmarkEnd w:id="178"/>
      <w:bookmarkEnd w:id="179"/>
      <w:bookmarkEnd w:id="18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81" w:name="_Toc15396629"/>
      <w:bookmarkStart w:id="182" w:name="_Toc17413"/>
      <w:bookmarkStart w:id="183" w:name="_Toc29659"/>
      <w:bookmarkStart w:id="184" w:name="_Toc15445"/>
      <w:bookmarkStart w:id="185" w:name="_Toc22241"/>
      <w:r>
        <w:rPr>
          <w:rFonts w:hint="eastAsia" w:ascii="Times New Roman" w:hAnsi="Times New Roman" w:eastAsia="仿宋_GB2312" w:cs="仿宋_GB2312"/>
          <w:color w:val="auto"/>
          <w:sz w:val="32"/>
          <w:szCs w:val="32"/>
          <w:highlight w:val="none"/>
        </w:rPr>
        <w:t>十一、</w:t>
      </w:r>
      <w:bookmarkEnd w:id="18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82"/>
      <w:bookmarkEnd w:id="183"/>
      <w:bookmarkEnd w:id="184"/>
      <w:bookmarkEnd w:id="18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86" w:name="_Toc15396630"/>
      <w:bookmarkStart w:id="187" w:name="_Toc3946"/>
      <w:bookmarkStart w:id="188" w:name="_Toc27902"/>
      <w:bookmarkStart w:id="189" w:name="_Toc14676"/>
      <w:bookmarkStart w:id="190" w:name="_Toc15499"/>
      <w:r>
        <w:rPr>
          <w:rFonts w:hint="eastAsia" w:ascii="Times New Roman" w:hAnsi="Times New Roman" w:eastAsia="仿宋_GB2312" w:cs="仿宋_GB2312"/>
          <w:color w:val="auto"/>
          <w:sz w:val="32"/>
          <w:szCs w:val="32"/>
          <w:highlight w:val="none"/>
        </w:rPr>
        <w:t>十二、</w:t>
      </w:r>
      <w:bookmarkEnd w:id="186"/>
      <w:r>
        <w:rPr>
          <w:rFonts w:hint="eastAsia" w:ascii="Times New Roman" w:hAnsi="Times New Roman" w:eastAsia="仿宋_GB2312" w:cs="仿宋_GB2312"/>
          <w:color w:val="auto"/>
          <w:sz w:val="32"/>
          <w:szCs w:val="32"/>
          <w:highlight w:val="none"/>
          <w:lang w:eastAsia="zh-CN"/>
        </w:rPr>
        <w:t>国有资本经营预算财政拨款支出决算表</w:t>
      </w:r>
      <w:bookmarkEnd w:id="187"/>
      <w:bookmarkEnd w:id="188"/>
      <w:bookmarkEnd w:id="189"/>
      <w:bookmarkEnd w:id="19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191" w:name="_Toc15396631"/>
      <w:bookmarkStart w:id="192" w:name="_Toc30404"/>
      <w:bookmarkStart w:id="193" w:name="_Toc14042"/>
      <w:bookmarkStart w:id="194" w:name="_Toc295"/>
      <w:bookmarkStart w:id="195" w:name="_Toc12150"/>
      <w:r>
        <w:rPr>
          <w:rFonts w:hint="eastAsia" w:ascii="Times New Roman" w:hAnsi="Times New Roman" w:eastAsia="仿宋_GB2312" w:cs="仿宋_GB2312"/>
          <w:color w:val="auto"/>
          <w:sz w:val="32"/>
          <w:szCs w:val="32"/>
          <w:highlight w:val="none"/>
        </w:rPr>
        <w:t>十三、</w:t>
      </w:r>
      <w:bookmarkEnd w:id="191"/>
      <w:r>
        <w:rPr>
          <w:rFonts w:hint="eastAsia" w:ascii="Times New Roman" w:hAnsi="Times New Roman" w:eastAsia="仿宋_GB2312" w:cs="仿宋_GB2312"/>
          <w:color w:val="auto"/>
          <w:sz w:val="32"/>
          <w:szCs w:val="32"/>
          <w:highlight w:val="none"/>
          <w:lang w:eastAsia="zh-CN"/>
        </w:rPr>
        <w:t>财政拨款“三公”经费支出决算表</w:t>
      </w:r>
      <w:bookmarkEnd w:id="192"/>
      <w:bookmarkEnd w:id="193"/>
      <w:bookmarkEnd w:id="194"/>
      <w:bookmarkEnd w:id="195"/>
    </w:p>
    <w:p>
      <w:pPr>
        <w:outlineLvl w:val="9"/>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77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15833"/>
    <w:multiLevelType w:val="multilevel"/>
    <w:tmpl w:val="5C515833"/>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60084E"/>
    <w:rsid w:val="01E74ACC"/>
    <w:rsid w:val="02B61CE5"/>
    <w:rsid w:val="02FEBE30"/>
    <w:rsid w:val="04180F6C"/>
    <w:rsid w:val="04916F1E"/>
    <w:rsid w:val="049A0AA4"/>
    <w:rsid w:val="0549261D"/>
    <w:rsid w:val="061E35DE"/>
    <w:rsid w:val="066E0107"/>
    <w:rsid w:val="072E28A4"/>
    <w:rsid w:val="07996F6E"/>
    <w:rsid w:val="07B20677"/>
    <w:rsid w:val="07DFD8BA"/>
    <w:rsid w:val="082D2C00"/>
    <w:rsid w:val="09867E8F"/>
    <w:rsid w:val="0A2032A3"/>
    <w:rsid w:val="0CA8290A"/>
    <w:rsid w:val="0CEA36C2"/>
    <w:rsid w:val="0D352C95"/>
    <w:rsid w:val="0D35B1ED"/>
    <w:rsid w:val="0D500A28"/>
    <w:rsid w:val="0D512073"/>
    <w:rsid w:val="0E254B6B"/>
    <w:rsid w:val="0F013807"/>
    <w:rsid w:val="0F98263C"/>
    <w:rsid w:val="0FC84F10"/>
    <w:rsid w:val="101860EC"/>
    <w:rsid w:val="101F47CC"/>
    <w:rsid w:val="10C055FF"/>
    <w:rsid w:val="11694EBD"/>
    <w:rsid w:val="11772AA4"/>
    <w:rsid w:val="118107EC"/>
    <w:rsid w:val="118C2F9A"/>
    <w:rsid w:val="127A7CBF"/>
    <w:rsid w:val="1297204D"/>
    <w:rsid w:val="12E24EE2"/>
    <w:rsid w:val="13002AA4"/>
    <w:rsid w:val="13D50BC4"/>
    <w:rsid w:val="14B17F78"/>
    <w:rsid w:val="16247C45"/>
    <w:rsid w:val="165E0673"/>
    <w:rsid w:val="16B831D5"/>
    <w:rsid w:val="16BB723D"/>
    <w:rsid w:val="17E50567"/>
    <w:rsid w:val="18364D72"/>
    <w:rsid w:val="186504BB"/>
    <w:rsid w:val="19A445FC"/>
    <w:rsid w:val="1BE8440E"/>
    <w:rsid w:val="1D155CEE"/>
    <w:rsid w:val="1D1638FE"/>
    <w:rsid w:val="1E312DEB"/>
    <w:rsid w:val="1E681DB1"/>
    <w:rsid w:val="1E740ACF"/>
    <w:rsid w:val="1F19200F"/>
    <w:rsid w:val="1FF35744"/>
    <w:rsid w:val="1FF6BC77"/>
    <w:rsid w:val="2186353C"/>
    <w:rsid w:val="23860B96"/>
    <w:rsid w:val="240371BF"/>
    <w:rsid w:val="244F3473"/>
    <w:rsid w:val="24C97D99"/>
    <w:rsid w:val="25A718F0"/>
    <w:rsid w:val="25BB59F6"/>
    <w:rsid w:val="25D40F83"/>
    <w:rsid w:val="260F557C"/>
    <w:rsid w:val="26970054"/>
    <w:rsid w:val="2739371D"/>
    <w:rsid w:val="27CA454E"/>
    <w:rsid w:val="281408E2"/>
    <w:rsid w:val="281F2462"/>
    <w:rsid w:val="2985554F"/>
    <w:rsid w:val="29FD04D3"/>
    <w:rsid w:val="2A2C4EF9"/>
    <w:rsid w:val="2BFF7BC6"/>
    <w:rsid w:val="2C8A61B5"/>
    <w:rsid w:val="2CC63DB3"/>
    <w:rsid w:val="2D984D48"/>
    <w:rsid w:val="2DF04E50"/>
    <w:rsid w:val="2E586DFA"/>
    <w:rsid w:val="2F040D46"/>
    <w:rsid w:val="2F6B035B"/>
    <w:rsid w:val="2FAE5751"/>
    <w:rsid w:val="2FB1A395"/>
    <w:rsid w:val="2FD9A7D8"/>
    <w:rsid w:val="2FDBF714"/>
    <w:rsid w:val="30AB6865"/>
    <w:rsid w:val="319F7F4E"/>
    <w:rsid w:val="32BD1EF1"/>
    <w:rsid w:val="3304709D"/>
    <w:rsid w:val="33A773CB"/>
    <w:rsid w:val="342C442D"/>
    <w:rsid w:val="349D6851"/>
    <w:rsid w:val="354B3B25"/>
    <w:rsid w:val="35CE561C"/>
    <w:rsid w:val="36AA5135"/>
    <w:rsid w:val="36BE0DA7"/>
    <w:rsid w:val="37441977"/>
    <w:rsid w:val="375A6729"/>
    <w:rsid w:val="376B6AA6"/>
    <w:rsid w:val="376D39B2"/>
    <w:rsid w:val="37E16F03"/>
    <w:rsid w:val="37F53A3B"/>
    <w:rsid w:val="37FB0B15"/>
    <w:rsid w:val="386753F7"/>
    <w:rsid w:val="389B6C89"/>
    <w:rsid w:val="38CF6FE8"/>
    <w:rsid w:val="38D469F0"/>
    <w:rsid w:val="39627CCD"/>
    <w:rsid w:val="397BAF1F"/>
    <w:rsid w:val="3A693D47"/>
    <w:rsid w:val="3AB79AF3"/>
    <w:rsid w:val="3AE834C0"/>
    <w:rsid w:val="3B7EF35A"/>
    <w:rsid w:val="3B9FDB6C"/>
    <w:rsid w:val="3BDD7DCA"/>
    <w:rsid w:val="3BF5BC2F"/>
    <w:rsid w:val="3CE60E4D"/>
    <w:rsid w:val="3CEBA265"/>
    <w:rsid w:val="3D98207C"/>
    <w:rsid w:val="3DEE7CF3"/>
    <w:rsid w:val="3E740A63"/>
    <w:rsid w:val="3E78745D"/>
    <w:rsid w:val="3EE17838"/>
    <w:rsid w:val="3F325FE2"/>
    <w:rsid w:val="3F55381A"/>
    <w:rsid w:val="3F7F7599"/>
    <w:rsid w:val="3FF4CAE0"/>
    <w:rsid w:val="3FF7B227"/>
    <w:rsid w:val="4001675E"/>
    <w:rsid w:val="4019638B"/>
    <w:rsid w:val="40F472A9"/>
    <w:rsid w:val="417D672F"/>
    <w:rsid w:val="44E268DA"/>
    <w:rsid w:val="450D13D7"/>
    <w:rsid w:val="45317D27"/>
    <w:rsid w:val="45506656"/>
    <w:rsid w:val="47770446"/>
    <w:rsid w:val="486A6C7A"/>
    <w:rsid w:val="4A627F82"/>
    <w:rsid w:val="4B0E749A"/>
    <w:rsid w:val="4B2477C4"/>
    <w:rsid w:val="4B3D651A"/>
    <w:rsid w:val="4B4F25DA"/>
    <w:rsid w:val="4B72052F"/>
    <w:rsid w:val="4BC251A7"/>
    <w:rsid w:val="4BE068DB"/>
    <w:rsid w:val="4C2B72E6"/>
    <w:rsid w:val="4D3006A2"/>
    <w:rsid w:val="4D577224"/>
    <w:rsid w:val="4DBF1CEB"/>
    <w:rsid w:val="4DF0007C"/>
    <w:rsid w:val="4E5E17D1"/>
    <w:rsid w:val="4E954D8D"/>
    <w:rsid w:val="4EAB630A"/>
    <w:rsid w:val="4ECE2238"/>
    <w:rsid w:val="4F833267"/>
    <w:rsid w:val="4FE9BD67"/>
    <w:rsid w:val="4FFB052F"/>
    <w:rsid w:val="51286BBD"/>
    <w:rsid w:val="51BF7BCB"/>
    <w:rsid w:val="537E6D0A"/>
    <w:rsid w:val="53F74C96"/>
    <w:rsid w:val="55170BA8"/>
    <w:rsid w:val="55286102"/>
    <w:rsid w:val="553218C9"/>
    <w:rsid w:val="567E1AA5"/>
    <w:rsid w:val="56E47B74"/>
    <w:rsid w:val="57175D52"/>
    <w:rsid w:val="57BD3DD4"/>
    <w:rsid w:val="587D0890"/>
    <w:rsid w:val="58E91EB2"/>
    <w:rsid w:val="58F35C60"/>
    <w:rsid w:val="59B14DBE"/>
    <w:rsid w:val="5ACC12DE"/>
    <w:rsid w:val="5AF92295"/>
    <w:rsid w:val="5B250254"/>
    <w:rsid w:val="5BA947BE"/>
    <w:rsid w:val="5BDD79E6"/>
    <w:rsid w:val="5BF561CA"/>
    <w:rsid w:val="5BFF5DFC"/>
    <w:rsid w:val="5C0327D5"/>
    <w:rsid w:val="5CD71FC4"/>
    <w:rsid w:val="5D1F11B5"/>
    <w:rsid w:val="5D695134"/>
    <w:rsid w:val="5DAE1B18"/>
    <w:rsid w:val="5DE7D9E5"/>
    <w:rsid w:val="5EB92BC7"/>
    <w:rsid w:val="5ECEC941"/>
    <w:rsid w:val="5FBF9FF3"/>
    <w:rsid w:val="5FCD4E2C"/>
    <w:rsid w:val="5FEF394A"/>
    <w:rsid w:val="5FF67715"/>
    <w:rsid w:val="60E87018"/>
    <w:rsid w:val="614275DA"/>
    <w:rsid w:val="62550ACE"/>
    <w:rsid w:val="62BF3928"/>
    <w:rsid w:val="6351014E"/>
    <w:rsid w:val="63B3701E"/>
    <w:rsid w:val="63D07143"/>
    <w:rsid w:val="644C3BBB"/>
    <w:rsid w:val="647F5392"/>
    <w:rsid w:val="64901C8E"/>
    <w:rsid w:val="64C56142"/>
    <w:rsid w:val="65E66580"/>
    <w:rsid w:val="664B1D71"/>
    <w:rsid w:val="664B4E8E"/>
    <w:rsid w:val="67277B67"/>
    <w:rsid w:val="67AA3209"/>
    <w:rsid w:val="698D0931"/>
    <w:rsid w:val="6A7FE5F3"/>
    <w:rsid w:val="6B053271"/>
    <w:rsid w:val="6BDD78B3"/>
    <w:rsid w:val="6C4A05C8"/>
    <w:rsid w:val="6C8742B8"/>
    <w:rsid w:val="6D162F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5E97310"/>
    <w:rsid w:val="76E3355F"/>
    <w:rsid w:val="76F036BA"/>
    <w:rsid w:val="76FF5125"/>
    <w:rsid w:val="773856C7"/>
    <w:rsid w:val="776F6FFA"/>
    <w:rsid w:val="778769C8"/>
    <w:rsid w:val="77A75DCA"/>
    <w:rsid w:val="77DC22F5"/>
    <w:rsid w:val="783E271A"/>
    <w:rsid w:val="78616DE9"/>
    <w:rsid w:val="78E875D7"/>
    <w:rsid w:val="79086DAD"/>
    <w:rsid w:val="79387397"/>
    <w:rsid w:val="79D7FD79"/>
    <w:rsid w:val="79EE5BA4"/>
    <w:rsid w:val="7A671167"/>
    <w:rsid w:val="7A894339"/>
    <w:rsid w:val="7AD284E8"/>
    <w:rsid w:val="7AFF7572"/>
    <w:rsid w:val="7B6C7DFB"/>
    <w:rsid w:val="7BBFBED0"/>
    <w:rsid w:val="7BC3E394"/>
    <w:rsid w:val="7C1F3737"/>
    <w:rsid w:val="7CBFC87B"/>
    <w:rsid w:val="7CFE0F48"/>
    <w:rsid w:val="7D272ABC"/>
    <w:rsid w:val="7D7EC23E"/>
    <w:rsid w:val="7DA23F20"/>
    <w:rsid w:val="7E8ADEBF"/>
    <w:rsid w:val="7EEF11D3"/>
    <w:rsid w:val="7EFE4840"/>
    <w:rsid w:val="7F0971A6"/>
    <w:rsid w:val="7F1D62E7"/>
    <w:rsid w:val="7F3F679B"/>
    <w:rsid w:val="7F4FC4EF"/>
    <w:rsid w:val="7F5E4D54"/>
    <w:rsid w:val="7F6E0135"/>
    <w:rsid w:val="7F79F205"/>
    <w:rsid w:val="7F873DCE"/>
    <w:rsid w:val="7FA30C79"/>
    <w:rsid w:val="7FA79C44"/>
    <w:rsid w:val="7FAF8ABF"/>
    <w:rsid w:val="7FB36445"/>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_\2023-2024&#23545;&#27604;&#25968;&#2545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_\2023-2024&#23545;&#27604;&#25968;&#25454;.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_\2023-2024&#23545;&#27604;&#25968;&#25454;.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'[2023-2024对比数据.xls]Sheet1'!$B$3:$B$4</c:f>
              <c:strCache>
                <c:ptCount val="2"/>
                <c:pt idx="0">
                  <c:v>2023年</c:v>
                </c:pt>
                <c:pt idx="1">
                  <c:v>2024年</c:v>
                </c:pt>
              </c:strCache>
            </c:strRef>
          </c:cat>
          <c:val>
            <c:numRef>
              <c:f>'[2023-2024对比数据.xls]Sheet1'!$C$3:$C$4</c:f>
              <c:numCache>
                <c:formatCode>General</c:formatCode>
                <c:ptCount val="2"/>
                <c:pt idx="0">
                  <c:v>818.16</c:v>
                </c:pt>
                <c:pt idx="1">
                  <c:v>904.78</c:v>
                </c:pt>
              </c:numCache>
            </c:numRef>
          </c:val>
        </c:ser>
        <c:dLbls>
          <c:showLegendKey val="0"/>
          <c:showVal val="0"/>
          <c:showCatName val="0"/>
          <c:showSerName val="0"/>
          <c:showPercent val="0"/>
          <c:showBubbleSize val="0"/>
        </c:dLbls>
        <c:gapWidth val="219"/>
        <c:overlap val="-27"/>
        <c:axId val="358992588"/>
        <c:axId val="880803822"/>
      </c:barChart>
      <c:catAx>
        <c:axId val="3589925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0803822"/>
        <c:crosses val="autoZero"/>
        <c:auto val="1"/>
        <c:lblAlgn val="ctr"/>
        <c:lblOffset val="100"/>
        <c:noMultiLvlLbl val="0"/>
      </c:catAx>
      <c:valAx>
        <c:axId val="8808038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9925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314065639136778"/>
                  <c:y val="-8.8904662929905e-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70428969384525"/>
                  <c:y val="0.0026683473942203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'[2024决算公开-公式-部门预算项目支出绩效自评表.xlsx]Sheet1'!$C$7:$C$9</c15:sqref>
                  </c15:fullRef>
                </c:ext>
              </c:extLst>
              <c:f>'[2024决算公开-公式-部门预算项目支出绩效自评表.xlsx]Sheet1'!$C$7:$C$8</c:f>
              <c:strCache>
                <c:ptCount val="2"/>
                <c:pt idx="0">
                  <c:v>一般公共预算财政拨款收入</c:v>
                </c:pt>
                <c:pt idx="1">
                  <c:v>其他收入</c:v>
                </c:pt>
              </c:strCache>
            </c:strRef>
          </c:cat>
          <c:val>
            <c:numRef>
              <c:extLst>
                <c:ext xmlns:c15="http://schemas.microsoft.com/office/drawing/2012/chart" uri="{02D57815-91ED-43cb-92C2-25804820EDAC}">
                  <c15:fullRef>
                    <c15:sqref>Sheet1!$D$7:$D$9</c15:sqref>
                  </c15:fullRef>
                </c:ext>
              </c:extLst>
              <c:f>'[2024决算公开-公式-部门预算项目支出绩效自评表.xlsx]Sheet1'!$D$7:$D$8</c:f>
              <c:numCache>
                <c:formatCode>General</c:formatCode>
                <c:ptCount val="2"/>
                <c:pt idx="0">
                  <c:v>877.47</c:v>
                </c:pt>
                <c:pt idx="1">
                  <c:v>27.31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231170475553156"/>
                  <c:y val="-0.059056509930657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'[2024决算公开-公式-部门预算项目支出绩效自评表.xlsx]Sheet1'!$B$17:$B$18</c:f>
              <c:strCache>
                <c:ptCount val="2"/>
                <c:pt idx="0">
                  <c:v>基本支出</c:v>
                </c:pt>
                <c:pt idx="1">
                  <c:v>项目支出</c:v>
                </c:pt>
              </c:strCache>
            </c:strRef>
          </c:cat>
          <c:val>
            <c:numRef>
              <c:f>'[2024决算公开-公式-部门预算项目支出绩效自评表.xlsx]Sheet1'!$C$17:$C$18</c:f>
              <c:numCache>
                <c:formatCode>General</c:formatCode>
                <c:ptCount val="2"/>
                <c:pt idx="0">
                  <c:v>843.5</c:v>
                </c:pt>
                <c:pt idx="1">
                  <c:v>61.28</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'[2023-2024对比数据.xls]Sheet1'!$B$41:$B$42</c:f>
              <c:strCache>
                <c:ptCount val="2"/>
                <c:pt idx="0">
                  <c:v>2023年</c:v>
                </c:pt>
                <c:pt idx="1">
                  <c:v>2024年</c:v>
                </c:pt>
              </c:strCache>
            </c:strRef>
          </c:cat>
          <c:val>
            <c:numRef>
              <c:f>'[2023-2024对比数据.xls]Sheet1'!$C$41:$C$42</c:f>
              <c:numCache>
                <c:formatCode>General</c:formatCode>
                <c:ptCount val="2"/>
                <c:pt idx="0">
                  <c:v>818.16</c:v>
                </c:pt>
                <c:pt idx="1">
                  <c:v>877.47</c:v>
                </c:pt>
              </c:numCache>
            </c:numRef>
          </c:val>
        </c:ser>
        <c:dLbls>
          <c:showLegendKey val="0"/>
          <c:showVal val="0"/>
          <c:showCatName val="0"/>
          <c:showSerName val="0"/>
          <c:showPercent val="0"/>
          <c:showBubbleSize val="0"/>
        </c:dLbls>
        <c:gapWidth val="219"/>
        <c:overlap val="-27"/>
        <c:axId val="799188113"/>
        <c:axId val="124744907"/>
      </c:barChart>
      <c:catAx>
        <c:axId val="7991881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4744907"/>
        <c:crosses val="autoZero"/>
        <c:auto val="1"/>
        <c:lblAlgn val="ctr"/>
        <c:lblOffset val="100"/>
        <c:noMultiLvlLbl val="0"/>
      </c:catAx>
      <c:valAx>
        <c:axId val="1247449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91881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'[2023-2024对比数据.xls]Sheet1'!$B$53:$B$54</c:f>
              <c:strCache>
                <c:ptCount val="2"/>
                <c:pt idx="0">
                  <c:v>2023年</c:v>
                </c:pt>
                <c:pt idx="1">
                  <c:v>2024年</c:v>
                </c:pt>
              </c:strCache>
            </c:strRef>
          </c:cat>
          <c:val>
            <c:numRef>
              <c:f>'[2023-2024对比数据.xls]Sheet1'!$C$53:$C$54</c:f>
              <c:numCache>
                <c:formatCode>General</c:formatCode>
                <c:ptCount val="2"/>
                <c:pt idx="0">
                  <c:v>818.16</c:v>
                </c:pt>
                <c:pt idx="1">
                  <c:v>877.47</c:v>
                </c:pt>
              </c:numCache>
            </c:numRef>
          </c:val>
        </c:ser>
        <c:dLbls>
          <c:showLegendKey val="0"/>
          <c:showVal val="0"/>
          <c:showCatName val="0"/>
          <c:showSerName val="0"/>
          <c:showPercent val="0"/>
          <c:showBubbleSize val="0"/>
        </c:dLbls>
        <c:gapWidth val="219"/>
        <c:overlap val="-27"/>
        <c:axId val="696564788"/>
        <c:axId val="625820851"/>
      </c:barChart>
      <c:catAx>
        <c:axId val="6965647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820851"/>
        <c:crosses val="autoZero"/>
        <c:auto val="1"/>
        <c:lblAlgn val="ctr"/>
        <c:lblOffset val="100"/>
        <c:noMultiLvlLbl val="0"/>
      </c:catAx>
      <c:valAx>
        <c:axId val="6258208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65647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630098723885796"/>
                  <c:y val="-0.040909045486582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526952110900791"/>
                  <c:y val="0.11007532538619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69801440795003"/>
                  <c:y val="0.10127094986225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15064974341924"/>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20947812182"/>
                      <c:h val="0.130928252938792"/>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'[2024决算公开-公式-部门预算项目支出绩效自评表.xlsx]Sheet1'!$C$34:$C$37</c:f>
              <c:strCache>
                <c:ptCount val="4"/>
                <c:pt idx="0">
                  <c:v>教育支出</c:v>
                </c:pt>
                <c:pt idx="1">
                  <c:v>社会保障和就业支出</c:v>
                </c:pt>
                <c:pt idx="2">
                  <c:v>卫生健康支出</c:v>
                </c:pt>
                <c:pt idx="3">
                  <c:v>住房保障支出</c:v>
                </c:pt>
              </c:strCache>
            </c:strRef>
          </c:cat>
          <c:val>
            <c:numRef>
              <c:f>'[2024决算公开-公式-部门预算项目支出绩效自评表.xlsx]Sheet1'!$D$34:$D$37</c:f>
              <c:numCache>
                <c:formatCode>General</c:formatCode>
                <c:ptCount val="4"/>
                <c:pt idx="0">
                  <c:v>679.62</c:v>
                </c:pt>
                <c:pt idx="1">
                  <c:v>110.66</c:v>
                </c:pt>
                <c:pt idx="2">
                  <c:v>33.18</c:v>
                </c:pt>
                <c:pt idx="3">
                  <c:v>54.01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6010</Words>
  <Characters>6593</Characters>
  <Lines>61</Lines>
  <Paragraphs>17</Paragraphs>
  <TotalTime>24</TotalTime>
  <ScaleCrop>false</ScaleCrop>
  <LinksUpToDate>false</LinksUpToDate>
  <CharactersWithSpaces>6661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Lenovo</cp:lastModifiedBy>
  <cp:lastPrinted>2025-08-06T17:34:00Z</cp:lastPrinted>
  <dcterms:modified xsi:type="dcterms:W3CDTF">2025-08-28T02:11:34Z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04787F2533EB45DC91BCDE4AB213247F</vt:lpwstr>
  </property>
  <property fmtid="{D5CDD505-2E9C-101B-9397-08002B2CF9AE}" pid="4" name="KSOTemplateDocerSaveRecord">
    <vt:lpwstr>eyJoZGlkIjoiMmYwY2Y1YzI2MDAxNTUxMmU5OGJkZTE3ZWQwMjYyMjIiLCJ1c2VySWQiOiI2NjM0NTAwNTMifQ==</vt:lpwstr>
  </property>
</Properties>
</file>