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25540A">
      <w:pPr>
        <w:pStyle w:val="9"/>
        <w:rPr>
          <w:rFonts w:hint="eastAsia" w:ascii="Times New Roman" w:hAnsi="Times New Roman" w:eastAsia="方正小标宋简体" w:cs="Times New Roman"/>
          <w:color w:val="auto"/>
          <w:kern w:val="2"/>
          <w:sz w:val="72"/>
          <w:szCs w:val="72"/>
          <w:highlight w:val="none"/>
          <w:lang w:val="en-US" w:eastAsia="zh-CN" w:bidi="ar-SA"/>
        </w:rPr>
      </w:pPr>
      <w:bookmarkStart w:id="0" w:name="_Toc15396475"/>
      <w:bookmarkStart w:id="1" w:name="_Toc15306267"/>
      <w:bookmarkStart w:id="2" w:name="_Toc15377425"/>
      <w:bookmarkStart w:id="3" w:name="_Toc15378441"/>
      <w:bookmarkStart w:id="4" w:name="_Toc15396597"/>
      <w:bookmarkStart w:id="5" w:name="_Toc15377193"/>
    </w:p>
    <w:p w14:paraId="69C7EB37">
      <w:pPr>
        <w:pStyle w:val="9"/>
        <w:rPr>
          <w:rFonts w:hint="eastAsia" w:ascii="Times New Roman" w:hAnsi="Times New Roman" w:eastAsia="方正小标宋简体" w:cs="Times New Roman"/>
          <w:color w:val="auto"/>
          <w:kern w:val="2"/>
          <w:sz w:val="72"/>
          <w:szCs w:val="72"/>
          <w:highlight w:val="none"/>
          <w:lang w:val="en-US" w:eastAsia="zh-CN" w:bidi="ar-SA"/>
        </w:rPr>
      </w:pPr>
    </w:p>
    <w:p w14:paraId="45F18625">
      <w:pPr>
        <w:pStyle w:val="9"/>
        <w:rPr>
          <w:rFonts w:hint="eastAsia" w:ascii="Times New Roman" w:hAnsi="Times New Roman" w:eastAsia="方正小标宋简体" w:cs="Times New Roman"/>
          <w:color w:val="auto"/>
          <w:kern w:val="2"/>
          <w:sz w:val="72"/>
          <w:szCs w:val="72"/>
          <w:highlight w:val="none"/>
          <w:lang w:val="en-US" w:eastAsia="zh-CN" w:bidi="ar-SA"/>
        </w:rPr>
      </w:pPr>
    </w:p>
    <w:p w14:paraId="642C7F37">
      <w:pPr>
        <w:pStyle w:val="9"/>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i w:val="0"/>
          <w:iCs w:val="0"/>
          <w:color w:val="auto"/>
          <w:kern w:val="2"/>
          <w:sz w:val="44"/>
          <w:szCs w:val="44"/>
          <w:highlight w:val="none"/>
          <w:lang w:val="en-US" w:eastAsia="zh-CN" w:bidi="ar-SA"/>
        </w:rPr>
      </w:pPr>
      <w:r>
        <w:rPr>
          <w:rFonts w:hint="default" w:ascii="Times New Roman" w:hAnsi="Times New Roman" w:eastAsia="方正小标宋简体" w:cs="Times New Roman"/>
          <w:b w:val="0"/>
          <w:bCs w:val="0"/>
          <w:i w:val="0"/>
          <w:iCs w:val="0"/>
          <w:color w:val="auto"/>
          <w:kern w:val="2"/>
          <w:sz w:val="44"/>
          <w:szCs w:val="44"/>
          <w:highlight w:val="none"/>
          <w:lang w:val="en-US" w:eastAsia="zh-CN" w:bidi="ar-SA"/>
        </w:rPr>
        <w:t>2024年</w:t>
      </w:r>
      <w:r>
        <w:rPr>
          <w:rFonts w:hint="eastAsia" w:ascii="Times New Roman" w:eastAsia="方正小标宋简体" w:cs="Times New Roman"/>
          <w:b w:val="0"/>
          <w:bCs w:val="0"/>
          <w:i w:val="0"/>
          <w:iCs w:val="0"/>
          <w:color w:val="auto"/>
          <w:kern w:val="2"/>
          <w:sz w:val="44"/>
          <w:szCs w:val="44"/>
          <w:highlight w:val="none"/>
          <w:lang w:val="en-US" w:eastAsia="zh-CN" w:bidi="ar-SA"/>
        </w:rPr>
        <w:t>度</w:t>
      </w:r>
    </w:p>
    <w:p w14:paraId="3B9FD7A7">
      <w:pPr>
        <w:pStyle w:val="9"/>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i w:val="0"/>
          <w:iCs w:val="0"/>
          <w:color w:val="auto"/>
          <w:kern w:val="2"/>
          <w:sz w:val="44"/>
          <w:szCs w:val="44"/>
          <w:highlight w:val="none"/>
          <w:lang w:val="en-US" w:eastAsia="zh-CN" w:bidi="ar-SA"/>
        </w:rPr>
      </w:pPr>
      <w:r>
        <w:rPr>
          <w:rFonts w:hint="default" w:ascii="Times New Roman" w:hAnsi="Times New Roman" w:eastAsia="方正小标宋简体" w:cs="Times New Roman"/>
          <w:b w:val="0"/>
          <w:bCs w:val="0"/>
          <w:i w:val="0"/>
          <w:iCs w:val="0"/>
          <w:color w:val="auto"/>
          <w:kern w:val="2"/>
          <w:sz w:val="44"/>
          <w:szCs w:val="44"/>
          <w:highlight w:val="none"/>
          <w:lang w:val="en-US" w:eastAsia="zh-CN" w:bidi="ar-SA"/>
        </w:rPr>
        <w:t>中共遂宁市安居区委巡察工作领导小组</w:t>
      </w:r>
    </w:p>
    <w:p w14:paraId="5180A8C4">
      <w:pPr>
        <w:pStyle w:val="9"/>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imes New Roman" w:hAnsi="Times New Roman"/>
        </w:rPr>
      </w:pPr>
      <w:r>
        <w:rPr>
          <w:rFonts w:hint="default" w:ascii="Times New Roman" w:hAnsi="Times New Roman" w:eastAsia="方正小标宋简体" w:cs="Times New Roman"/>
          <w:b w:val="0"/>
          <w:bCs w:val="0"/>
          <w:i w:val="0"/>
          <w:iCs w:val="0"/>
          <w:color w:val="auto"/>
          <w:kern w:val="2"/>
          <w:sz w:val="44"/>
          <w:szCs w:val="44"/>
          <w:highlight w:val="none"/>
          <w:lang w:val="en-US" w:eastAsia="zh-CN" w:bidi="ar-SA"/>
        </w:rPr>
        <w:t>办公室部门决算</w:t>
      </w:r>
    </w:p>
    <w:p w14:paraId="7778E3C6">
      <w:pPr>
        <w:pStyle w:val="9"/>
        <w:jc w:val="center"/>
        <w:rPr>
          <w:rFonts w:hint="eastAsia" w:ascii="Times New Roman" w:hAnsi="Times New Roman" w:eastAsia="方正小标宋简体" w:cs="Times New Roman"/>
          <w:color w:val="auto"/>
          <w:kern w:val="2"/>
          <w:sz w:val="44"/>
          <w:szCs w:val="44"/>
          <w:highlight w:val="none"/>
          <w:lang w:val="en-US" w:eastAsia="zh-CN" w:bidi="ar-SA"/>
        </w:rPr>
      </w:pPr>
    </w:p>
    <w:p w14:paraId="7E7019A6">
      <w:pPr>
        <w:pStyle w:val="9"/>
        <w:jc w:val="center"/>
        <w:rPr>
          <w:rFonts w:hint="eastAsia" w:ascii="Times New Roman" w:hAnsi="Times New Roman" w:eastAsia="方正小标宋简体" w:cs="Times New Roman"/>
          <w:color w:val="auto"/>
          <w:kern w:val="2"/>
          <w:sz w:val="44"/>
          <w:szCs w:val="44"/>
          <w:highlight w:val="none"/>
          <w:lang w:val="en-US" w:eastAsia="zh-CN" w:bidi="ar-SA"/>
        </w:rPr>
      </w:pPr>
    </w:p>
    <w:p w14:paraId="7B25C6DE">
      <w:pPr>
        <w:pStyle w:val="9"/>
        <w:jc w:val="center"/>
        <w:rPr>
          <w:rFonts w:hint="eastAsia" w:ascii="Times New Roman" w:hAnsi="Times New Roman" w:eastAsia="方正小标宋简体" w:cs="Times New Roman"/>
          <w:color w:val="auto"/>
          <w:kern w:val="2"/>
          <w:sz w:val="44"/>
          <w:szCs w:val="44"/>
          <w:highlight w:val="none"/>
          <w:lang w:val="en-US" w:eastAsia="zh-CN" w:bidi="ar-SA"/>
        </w:rPr>
      </w:pPr>
    </w:p>
    <w:p w14:paraId="251AD10E">
      <w:pPr>
        <w:pStyle w:val="9"/>
        <w:jc w:val="center"/>
        <w:rPr>
          <w:rFonts w:hint="eastAsia"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bookmarkEnd w:id="5"/>
    <w:p w14:paraId="7A743CB9">
      <w:pPr>
        <w:widowControl/>
        <w:jc w:val="center"/>
        <w:rPr>
          <w:rFonts w:hint="eastAsia" w:ascii="Times New Roman" w:hAnsi="Times New Roman" w:eastAsia="黑体"/>
          <w:color w:val="auto"/>
          <w:sz w:val="48"/>
          <w:szCs w:val="48"/>
          <w:highlight w:val="none"/>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p w14:paraId="043F30DA">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14:paraId="4737A049">
      <w:pPr>
        <w:widowControl/>
        <w:jc w:val="center"/>
        <w:rPr>
          <w:rFonts w:ascii="Times New Roman" w:hAnsi="Times New Roman" w:eastAsia="黑体" w:cstheme="minorBidi"/>
          <w:color w:val="auto"/>
          <w:sz w:val="28"/>
          <w:szCs w:val="28"/>
          <w:highlight w:val="none"/>
        </w:rPr>
      </w:pPr>
    </w:p>
    <w:p w14:paraId="21C7ABA5">
      <w:pPr>
        <w:pStyle w:val="18"/>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8</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28</w:t>
      </w:r>
      <w:r>
        <w:rPr>
          <w:rFonts w:hint="eastAsia" w:ascii="Times New Roman" w:hAnsi="Times New Roman" w:eastAsia="仿宋_GB2312" w:cs="仿宋_GB2312"/>
          <w:color w:val="auto"/>
          <w:sz w:val="32"/>
          <w:szCs w:val="32"/>
          <w:highlight w:val="none"/>
        </w:rPr>
        <w:t>日</w:t>
      </w:r>
    </w:p>
    <w:p w14:paraId="71A6053F">
      <w:pPr>
        <w:rPr>
          <w:rFonts w:ascii="Times New Roman" w:hAnsi="Times New Roman"/>
          <w:color w:val="auto"/>
          <w:highlight w:val="none"/>
        </w:rPr>
      </w:pPr>
    </w:p>
    <w:sdt>
      <w:sdtPr>
        <w:rPr>
          <w:rFonts w:ascii="宋体" w:hAnsi="宋体" w:eastAsia="宋体" w:cs="Times New Roman"/>
          <w:kern w:val="2"/>
          <w:sz w:val="24"/>
          <w:szCs w:val="24"/>
          <w:lang w:val="en-US" w:eastAsia="zh-CN" w:bidi="ar-SA"/>
        </w:rPr>
        <w:id w:val="147475981"/>
        <w15:color w:val="DBDBDB"/>
        <w:docPartObj>
          <w:docPartGallery w:val="Table of Contents"/>
          <w:docPartUnique/>
        </w:docPartObj>
      </w:sdtPr>
      <w:sdtEndPr>
        <w:rPr>
          <w:rFonts w:hint="eastAsia" w:ascii="Times New Roman" w:hAnsi="Times New Roman" w:eastAsia="黑体" w:cs="Times New Roman"/>
          <w:kern w:val="2"/>
          <w:sz w:val="24"/>
          <w:szCs w:val="24"/>
          <w:highlight w:val="none"/>
          <w:lang w:val="en-US" w:eastAsia="zh-CN" w:bidi="ar-SA"/>
        </w:rPr>
      </w:sdtEndPr>
      <w:sdtContent>
        <w:p w14:paraId="78C9B4EF">
          <w:pPr>
            <w:spacing w:before="0" w:beforeLines="0" w:after="0" w:afterLines="0" w:line="240" w:lineRule="auto"/>
            <w:ind w:left="0" w:leftChars="0" w:right="0" w:rightChars="0" w:firstLine="0" w:firstLineChars="0"/>
            <w:jc w:val="center"/>
            <w:rPr>
              <w:sz w:val="24"/>
              <w:szCs w:val="24"/>
            </w:rPr>
          </w:pPr>
        </w:p>
        <w:p w14:paraId="1CDE8ECB">
          <w:pPr>
            <w:pStyle w:val="43"/>
            <w:tabs>
              <w:tab w:val="right" w:leader="dot" w:pos="8306"/>
            </w:tabs>
            <w:spacing w:line="360" w:lineRule="auto"/>
            <w:rPr>
              <w:b/>
              <w:sz w:val="24"/>
              <w:szCs w:val="24"/>
            </w:rPr>
          </w:pPr>
          <w:r>
            <w:rPr>
              <w:sz w:val="24"/>
              <w:szCs w:val="24"/>
            </w:rPr>
            <w:fldChar w:fldCharType="begin"/>
          </w:r>
          <w:r>
            <w:rPr>
              <w:sz w:val="24"/>
              <w:szCs w:val="24"/>
            </w:rPr>
            <w:instrText xml:space="preserve">TOC \o "1-2" \h \u </w:instrText>
          </w:r>
          <w:r>
            <w:rPr>
              <w:sz w:val="24"/>
              <w:szCs w:val="24"/>
            </w:rPr>
            <w:fldChar w:fldCharType="separate"/>
          </w:r>
          <w:r>
            <w:rPr>
              <w:b/>
              <w:sz w:val="24"/>
              <w:szCs w:val="24"/>
            </w:rPr>
            <w:fldChar w:fldCharType="begin"/>
          </w:r>
          <w:r>
            <w:rPr>
              <w:b/>
              <w:sz w:val="24"/>
              <w:szCs w:val="24"/>
            </w:rPr>
            <w:instrText xml:space="preserve"> HYPERLINK \l _Toc17254 </w:instrText>
          </w:r>
          <w:r>
            <w:rPr>
              <w:b/>
              <w:sz w:val="24"/>
              <w:szCs w:val="24"/>
            </w:rPr>
            <w:fldChar w:fldCharType="separate"/>
          </w:r>
          <w:r>
            <w:rPr>
              <w:rFonts w:hint="eastAsia" w:ascii="Times New Roman" w:hAnsi="Times New Roman" w:eastAsia="方正小标宋简体" w:cs="方正小标宋简体"/>
              <w:b/>
              <w:sz w:val="24"/>
              <w:szCs w:val="24"/>
              <w:highlight w:val="none"/>
            </w:rPr>
            <w:t>第一部分</w:t>
          </w:r>
          <w:r>
            <w:rPr>
              <w:rFonts w:hint="eastAsia" w:ascii="Times New Roman" w:hAnsi="Times New Roman" w:eastAsia="方正小标宋简体" w:cs="方正小标宋简体"/>
              <w:b/>
              <w:sz w:val="24"/>
              <w:szCs w:val="24"/>
              <w:highlight w:val="none"/>
              <w:lang w:val="en-US" w:eastAsia="zh-CN"/>
            </w:rPr>
            <w:t xml:space="preserve"> </w:t>
          </w:r>
          <w:r>
            <w:rPr>
              <w:rFonts w:hint="eastAsia" w:ascii="Times New Roman" w:hAnsi="Times New Roman" w:eastAsia="方正小标宋简体" w:cs="方正小标宋简体"/>
              <w:b/>
              <w:sz w:val="24"/>
              <w:szCs w:val="24"/>
              <w:highlight w:val="none"/>
            </w:rPr>
            <w:t xml:space="preserve"> </w:t>
          </w:r>
          <w:r>
            <w:rPr>
              <w:rFonts w:hint="eastAsia" w:ascii="Times New Roman" w:hAnsi="Times New Roman" w:eastAsia="方正小标宋简体" w:cs="方正小标宋简体"/>
              <w:b/>
              <w:bCs w:val="0"/>
              <w:sz w:val="24"/>
              <w:szCs w:val="24"/>
              <w:highlight w:val="none"/>
            </w:rPr>
            <w:t>部门概况</w:t>
          </w:r>
          <w:r>
            <w:rPr>
              <w:b/>
              <w:sz w:val="24"/>
              <w:szCs w:val="24"/>
            </w:rPr>
            <w:tab/>
          </w:r>
          <w:r>
            <w:rPr>
              <w:b/>
              <w:sz w:val="24"/>
              <w:szCs w:val="24"/>
            </w:rPr>
            <w:fldChar w:fldCharType="begin"/>
          </w:r>
          <w:r>
            <w:rPr>
              <w:b/>
              <w:sz w:val="24"/>
              <w:szCs w:val="24"/>
            </w:rPr>
            <w:instrText xml:space="preserve"> PAGEREF _Toc17254 \h </w:instrText>
          </w:r>
          <w:r>
            <w:rPr>
              <w:b/>
              <w:sz w:val="24"/>
              <w:szCs w:val="24"/>
            </w:rPr>
            <w:fldChar w:fldCharType="separate"/>
          </w:r>
          <w:r>
            <w:rPr>
              <w:b/>
              <w:sz w:val="24"/>
              <w:szCs w:val="24"/>
            </w:rPr>
            <w:t>- 1 -</w:t>
          </w:r>
          <w:r>
            <w:rPr>
              <w:b/>
              <w:sz w:val="24"/>
              <w:szCs w:val="24"/>
            </w:rPr>
            <w:fldChar w:fldCharType="end"/>
          </w:r>
          <w:r>
            <w:rPr>
              <w:b/>
              <w:sz w:val="24"/>
              <w:szCs w:val="24"/>
            </w:rPr>
            <w:fldChar w:fldCharType="end"/>
          </w:r>
        </w:p>
        <w:p w14:paraId="33ABE74F">
          <w:pPr>
            <w:pStyle w:val="44"/>
            <w:tabs>
              <w:tab w:val="right" w:leader="dot" w:pos="8306"/>
            </w:tabs>
            <w:spacing w:line="360" w:lineRule="auto"/>
            <w:rPr>
              <w:sz w:val="24"/>
              <w:szCs w:val="24"/>
            </w:rPr>
          </w:pPr>
          <w:r>
            <w:rPr>
              <w:sz w:val="24"/>
              <w:szCs w:val="24"/>
            </w:rPr>
            <w:fldChar w:fldCharType="begin"/>
          </w:r>
          <w:r>
            <w:rPr>
              <w:sz w:val="24"/>
              <w:szCs w:val="24"/>
            </w:rPr>
            <w:instrText xml:space="preserve"> HYPERLINK \l _Toc12067 </w:instrText>
          </w:r>
          <w:r>
            <w:rPr>
              <w:sz w:val="24"/>
              <w:szCs w:val="24"/>
            </w:rPr>
            <w:fldChar w:fldCharType="separate"/>
          </w:r>
          <w:r>
            <w:rPr>
              <w:rFonts w:hint="eastAsia" w:ascii="Times New Roman" w:hAnsi="Times New Roman" w:eastAsia="黑体"/>
              <w:sz w:val="24"/>
              <w:szCs w:val="24"/>
              <w:highlight w:val="none"/>
            </w:rPr>
            <w:t>一、</w:t>
          </w:r>
          <w:r>
            <w:rPr>
              <w:rFonts w:hint="eastAsia" w:ascii="Times New Roman" w:hAnsi="Times New Roman" w:eastAsia="黑体"/>
              <w:sz w:val="24"/>
              <w:szCs w:val="24"/>
              <w:highlight w:val="none"/>
              <w:lang w:eastAsia="zh-CN"/>
            </w:rPr>
            <w:t>部门职责</w:t>
          </w:r>
          <w:r>
            <w:rPr>
              <w:sz w:val="24"/>
              <w:szCs w:val="24"/>
            </w:rPr>
            <w:tab/>
          </w:r>
          <w:r>
            <w:rPr>
              <w:sz w:val="24"/>
              <w:szCs w:val="24"/>
            </w:rPr>
            <w:fldChar w:fldCharType="begin"/>
          </w:r>
          <w:r>
            <w:rPr>
              <w:sz w:val="24"/>
              <w:szCs w:val="24"/>
            </w:rPr>
            <w:instrText xml:space="preserve"> PAGEREF _Toc12067 \h </w:instrText>
          </w:r>
          <w:r>
            <w:rPr>
              <w:sz w:val="24"/>
              <w:szCs w:val="24"/>
            </w:rPr>
            <w:fldChar w:fldCharType="separate"/>
          </w:r>
          <w:r>
            <w:rPr>
              <w:sz w:val="24"/>
              <w:szCs w:val="24"/>
            </w:rPr>
            <w:t>- 1 -</w:t>
          </w:r>
          <w:r>
            <w:rPr>
              <w:sz w:val="24"/>
              <w:szCs w:val="24"/>
            </w:rPr>
            <w:fldChar w:fldCharType="end"/>
          </w:r>
          <w:r>
            <w:rPr>
              <w:sz w:val="24"/>
              <w:szCs w:val="24"/>
            </w:rPr>
            <w:fldChar w:fldCharType="end"/>
          </w:r>
        </w:p>
        <w:p w14:paraId="21BE929C">
          <w:pPr>
            <w:pStyle w:val="44"/>
            <w:tabs>
              <w:tab w:val="right" w:leader="dot" w:pos="8306"/>
            </w:tabs>
            <w:spacing w:line="360" w:lineRule="auto"/>
            <w:rPr>
              <w:sz w:val="24"/>
              <w:szCs w:val="24"/>
            </w:rPr>
          </w:pPr>
          <w:r>
            <w:rPr>
              <w:sz w:val="24"/>
              <w:szCs w:val="24"/>
            </w:rPr>
            <w:fldChar w:fldCharType="begin"/>
          </w:r>
          <w:r>
            <w:rPr>
              <w:sz w:val="24"/>
              <w:szCs w:val="24"/>
            </w:rPr>
            <w:instrText xml:space="preserve"> HYPERLINK \l _Toc9967 </w:instrText>
          </w:r>
          <w:r>
            <w:rPr>
              <w:sz w:val="24"/>
              <w:szCs w:val="24"/>
            </w:rPr>
            <w:fldChar w:fldCharType="separate"/>
          </w:r>
          <w:r>
            <w:rPr>
              <w:rFonts w:hint="eastAsia" w:ascii="Times New Roman" w:hAnsi="Times New Roman" w:eastAsia="黑体"/>
              <w:sz w:val="24"/>
              <w:szCs w:val="24"/>
              <w:highlight w:val="none"/>
            </w:rPr>
            <w:t>二、机</w:t>
          </w:r>
          <w:r>
            <w:rPr>
              <w:rFonts w:hint="eastAsia" w:ascii="Times New Roman" w:hAnsi="Times New Roman" w:eastAsia="黑体"/>
              <w:bCs w:val="0"/>
              <w:sz w:val="24"/>
              <w:szCs w:val="24"/>
              <w:highlight w:val="none"/>
            </w:rPr>
            <w:t>构设置</w:t>
          </w:r>
          <w:r>
            <w:rPr>
              <w:sz w:val="24"/>
              <w:szCs w:val="24"/>
            </w:rPr>
            <w:tab/>
          </w:r>
          <w:r>
            <w:rPr>
              <w:sz w:val="24"/>
              <w:szCs w:val="24"/>
            </w:rPr>
            <w:fldChar w:fldCharType="begin"/>
          </w:r>
          <w:r>
            <w:rPr>
              <w:sz w:val="24"/>
              <w:szCs w:val="24"/>
            </w:rPr>
            <w:instrText xml:space="preserve"> PAGEREF _Toc9967 \h </w:instrText>
          </w:r>
          <w:r>
            <w:rPr>
              <w:sz w:val="24"/>
              <w:szCs w:val="24"/>
            </w:rPr>
            <w:fldChar w:fldCharType="separate"/>
          </w:r>
          <w:r>
            <w:rPr>
              <w:sz w:val="24"/>
              <w:szCs w:val="24"/>
            </w:rPr>
            <w:t>- 1 -</w:t>
          </w:r>
          <w:r>
            <w:rPr>
              <w:sz w:val="24"/>
              <w:szCs w:val="24"/>
            </w:rPr>
            <w:fldChar w:fldCharType="end"/>
          </w:r>
          <w:r>
            <w:rPr>
              <w:sz w:val="24"/>
              <w:szCs w:val="24"/>
            </w:rPr>
            <w:fldChar w:fldCharType="end"/>
          </w:r>
        </w:p>
        <w:p w14:paraId="00F88C4F">
          <w:pPr>
            <w:pStyle w:val="43"/>
            <w:tabs>
              <w:tab w:val="right" w:leader="dot" w:pos="8306"/>
            </w:tabs>
            <w:spacing w:line="360" w:lineRule="auto"/>
            <w:rPr>
              <w:b/>
              <w:sz w:val="24"/>
              <w:szCs w:val="24"/>
            </w:rPr>
          </w:pPr>
          <w:r>
            <w:rPr>
              <w:b/>
              <w:sz w:val="24"/>
              <w:szCs w:val="24"/>
            </w:rPr>
            <w:fldChar w:fldCharType="begin"/>
          </w:r>
          <w:r>
            <w:rPr>
              <w:b/>
              <w:sz w:val="24"/>
              <w:szCs w:val="24"/>
            </w:rPr>
            <w:instrText xml:space="preserve"> HYPERLINK \l _Toc13167 </w:instrText>
          </w:r>
          <w:r>
            <w:rPr>
              <w:b/>
              <w:sz w:val="24"/>
              <w:szCs w:val="24"/>
            </w:rPr>
            <w:fldChar w:fldCharType="separate"/>
          </w:r>
          <w:r>
            <w:rPr>
              <w:rFonts w:hint="eastAsia" w:ascii="Times New Roman" w:hAnsi="Times New Roman" w:eastAsia="方正小标宋简体" w:cs="方正小标宋简体"/>
              <w:b/>
              <w:sz w:val="24"/>
              <w:szCs w:val="24"/>
              <w:highlight w:val="none"/>
            </w:rPr>
            <w:t>第二部分</w:t>
          </w:r>
          <w:r>
            <w:rPr>
              <w:rFonts w:hint="eastAsia" w:ascii="Times New Roman" w:hAnsi="Times New Roman" w:eastAsia="方正小标宋简体" w:cs="方正小标宋简体"/>
              <w:b/>
              <w:sz w:val="24"/>
              <w:szCs w:val="24"/>
              <w:highlight w:val="none"/>
              <w:lang w:val="en-US" w:eastAsia="zh-CN"/>
            </w:rPr>
            <w:t xml:space="preserve"> </w:t>
          </w:r>
          <w:r>
            <w:rPr>
              <w:rFonts w:hint="eastAsia" w:ascii="Times New Roman" w:hAnsi="Times New Roman" w:eastAsia="方正小标宋简体" w:cs="方正小标宋简体"/>
              <w:b/>
              <w:sz w:val="24"/>
              <w:szCs w:val="24"/>
              <w:highlight w:val="none"/>
            </w:rPr>
            <w:t xml:space="preserve"> </w:t>
          </w:r>
          <w:r>
            <w:rPr>
              <w:rFonts w:hint="eastAsia" w:ascii="Times New Roman" w:hAnsi="Times New Roman" w:eastAsia="方正小标宋简体" w:cs="方正小标宋简体"/>
              <w:b/>
              <w:sz w:val="24"/>
              <w:szCs w:val="24"/>
              <w:highlight w:val="none"/>
              <w:lang w:val="en-US" w:eastAsia="zh-CN"/>
            </w:rPr>
            <w:t>2024年度</w:t>
          </w:r>
          <w:r>
            <w:rPr>
              <w:rFonts w:hint="eastAsia" w:ascii="Times New Roman" w:hAnsi="Times New Roman" w:eastAsia="方正小标宋简体" w:cs="方正小标宋简体"/>
              <w:b/>
              <w:sz w:val="24"/>
              <w:szCs w:val="24"/>
              <w:highlight w:val="none"/>
            </w:rPr>
            <w:t>部门决算情况说明</w:t>
          </w:r>
          <w:r>
            <w:rPr>
              <w:b/>
              <w:sz w:val="24"/>
              <w:szCs w:val="24"/>
            </w:rPr>
            <w:tab/>
          </w:r>
          <w:r>
            <w:rPr>
              <w:b/>
              <w:sz w:val="24"/>
              <w:szCs w:val="24"/>
            </w:rPr>
            <w:fldChar w:fldCharType="begin"/>
          </w:r>
          <w:r>
            <w:rPr>
              <w:b/>
              <w:sz w:val="24"/>
              <w:szCs w:val="24"/>
            </w:rPr>
            <w:instrText xml:space="preserve"> PAGEREF _Toc13167 \h </w:instrText>
          </w:r>
          <w:r>
            <w:rPr>
              <w:b/>
              <w:sz w:val="24"/>
              <w:szCs w:val="24"/>
            </w:rPr>
            <w:fldChar w:fldCharType="separate"/>
          </w:r>
          <w:r>
            <w:rPr>
              <w:b/>
              <w:sz w:val="24"/>
              <w:szCs w:val="24"/>
            </w:rPr>
            <w:t>- 1 -</w:t>
          </w:r>
          <w:r>
            <w:rPr>
              <w:b/>
              <w:sz w:val="24"/>
              <w:szCs w:val="24"/>
            </w:rPr>
            <w:fldChar w:fldCharType="end"/>
          </w:r>
          <w:r>
            <w:rPr>
              <w:b/>
              <w:sz w:val="24"/>
              <w:szCs w:val="24"/>
            </w:rPr>
            <w:fldChar w:fldCharType="end"/>
          </w:r>
        </w:p>
        <w:p w14:paraId="3D93224E">
          <w:pPr>
            <w:pStyle w:val="44"/>
            <w:tabs>
              <w:tab w:val="right" w:leader="dot" w:pos="8306"/>
            </w:tabs>
            <w:spacing w:line="360" w:lineRule="auto"/>
            <w:rPr>
              <w:sz w:val="24"/>
              <w:szCs w:val="24"/>
            </w:rPr>
          </w:pPr>
          <w:r>
            <w:rPr>
              <w:sz w:val="24"/>
              <w:szCs w:val="24"/>
            </w:rPr>
            <w:fldChar w:fldCharType="begin"/>
          </w:r>
          <w:r>
            <w:rPr>
              <w:sz w:val="24"/>
              <w:szCs w:val="24"/>
            </w:rPr>
            <w:instrText xml:space="preserve"> HYPERLINK \l _Toc888 </w:instrText>
          </w:r>
          <w:r>
            <w:rPr>
              <w:sz w:val="24"/>
              <w:szCs w:val="24"/>
            </w:rPr>
            <w:fldChar w:fldCharType="separate"/>
          </w:r>
          <w:r>
            <w:rPr>
              <w:rFonts w:hint="eastAsia" w:ascii="Times New Roman" w:hAnsi="Times New Roman" w:eastAsia="黑体"/>
              <w:sz w:val="24"/>
              <w:szCs w:val="24"/>
              <w:highlight w:val="none"/>
              <w:lang w:eastAsia="zh-CN"/>
            </w:rPr>
            <w:t>一、</w:t>
          </w:r>
          <w:r>
            <w:rPr>
              <w:rFonts w:hint="eastAsia" w:ascii="Times New Roman" w:hAnsi="Times New Roman" w:eastAsia="黑体"/>
              <w:sz w:val="24"/>
              <w:szCs w:val="24"/>
              <w:highlight w:val="none"/>
            </w:rPr>
            <w:t>收入支出决算总体情况说明</w:t>
          </w:r>
          <w:r>
            <w:rPr>
              <w:sz w:val="24"/>
              <w:szCs w:val="24"/>
            </w:rPr>
            <w:tab/>
          </w:r>
          <w:r>
            <w:rPr>
              <w:sz w:val="24"/>
              <w:szCs w:val="24"/>
            </w:rPr>
            <w:fldChar w:fldCharType="begin"/>
          </w:r>
          <w:r>
            <w:rPr>
              <w:sz w:val="24"/>
              <w:szCs w:val="24"/>
            </w:rPr>
            <w:instrText xml:space="preserve"> PAGEREF _Toc888 \h </w:instrText>
          </w:r>
          <w:r>
            <w:rPr>
              <w:sz w:val="24"/>
              <w:szCs w:val="24"/>
            </w:rPr>
            <w:fldChar w:fldCharType="separate"/>
          </w:r>
          <w:r>
            <w:rPr>
              <w:sz w:val="24"/>
              <w:szCs w:val="24"/>
            </w:rPr>
            <w:t>- 3 -</w:t>
          </w:r>
          <w:r>
            <w:rPr>
              <w:sz w:val="24"/>
              <w:szCs w:val="24"/>
            </w:rPr>
            <w:fldChar w:fldCharType="end"/>
          </w:r>
          <w:r>
            <w:rPr>
              <w:sz w:val="24"/>
              <w:szCs w:val="24"/>
            </w:rPr>
            <w:fldChar w:fldCharType="end"/>
          </w:r>
        </w:p>
        <w:p w14:paraId="0C962D32">
          <w:pPr>
            <w:pStyle w:val="44"/>
            <w:tabs>
              <w:tab w:val="right" w:leader="dot" w:pos="8306"/>
            </w:tabs>
            <w:spacing w:line="360" w:lineRule="auto"/>
            <w:rPr>
              <w:sz w:val="24"/>
              <w:szCs w:val="24"/>
            </w:rPr>
          </w:pPr>
          <w:r>
            <w:rPr>
              <w:sz w:val="24"/>
              <w:szCs w:val="24"/>
            </w:rPr>
            <w:fldChar w:fldCharType="begin"/>
          </w:r>
          <w:r>
            <w:rPr>
              <w:sz w:val="24"/>
              <w:szCs w:val="24"/>
            </w:rPr>
            <w:instrText xml:space="preserve"> HYPERLINK \l _Toc9005 </w:instrText>
          </w:r>
          <w:r>
            <w:rPr>
              <w:sz w:val="24"/>
              <w:szCs w:val="24"/>
            </w:rPr>
            <w:fldChar w:fldCharType="separate"/>
          </w:r>
          <w:r>
            <w:rPr>
              <w:rFonts w:hint="eastAsia" w:ascii="Times New Roman" w:hAnsi="Times New Roman" w:eastAsia="黑体"/>
              <w:sz w:val="24"/>
              <w:szCs w:val="24"/>
              <w:highlight w:val="none"/>
              <w:lang w:eastAsia="zh-CN"/>
            </w:rPr>
            <w:t>二、收入决算情况说明</w:t>
          </w:r>
          <w:r>
            <w:rPr>
              <w:sz w:val="24"/>
              <w:szCs w:val="24"/>
            </w:rPr>
            <w:tab/>
          </w:r>
          <w:r>
            <w:rPr>
              <w:sz w:val="24"/>
              <w:szCs w:val="24"/>
            </w:rPr>
            <w:fldChar w:fldCharType="begin"/>
          </w:r>
          <w:r>
            <w:rPr>
              <w:sz w:val="24"/>
              <w:szCs w:val="24"/>
            </w:rPr>
            <w:instrText xml:space="preserve"> PAGEREF _Toc9005 \h </w:instrText>
          </w:r>
          <w:r>
            <w:rPr>
              <w:sz w:val="24"/>
              <w:szCs w:val="24"/>
            </w:rPr>
            <w:fldChar w:fldCharType="separate"/>
          </w:r>
          <w:r>
            <w:rPr>
              <w:sz w:val="24"/>
              <w:szCs w:val="24"/>
            </w:rPr>
            <w:t>- 3 -</w:t>
          </w:r>
          <w:r>
            <w:rPr>
              <w:sz w:val="24"/>
              <w:szCs w:val="24"/>
            </w:rPr>
            <w:fldChar w:fldCharType="end"/>
          </w:r>
          <w:r>
            <w:rPr>
              <w:sz w:val="24"/>
              <w:szCs w:val="24"/>
            </w:rPr>
            <w:fldChar w:fldCharType="end"/>
          </w:r>
        </w:p>
        <w:p w14:paraId="3CCD6FC6">
          <w:pPr>
            <w:pStyle w:val="44"/>
            <w:tabs>
              <w:tab w:val="right" w:leader="dot" w:pos="8306"/>
            </w:tabs>
            <w:spacing w:line="360" w:lineRule="auto"/>
            <w:rPr>
              <w:sz w:val="24"/>
              <w:szCs w:val="24"/>
            </w:rPr>
          </w:pPr>
          <w:r>
            <w:rPr>
              <w:sz w:val="24"/>
              <w:szCs w:val="24"/>
            </w:rPr>
            <w:fldChar w:fldCharType="begin"/>
          </w:r>
          <w:r>
            <w:rPr>
              <w:sz w:val="24"/>
              <w:szCs w:val="24"/>
            </w:rPr>
            <w:instrText xml:space="preserve"> HYPERLINK \l _Toc5908 </w:instrText>
          </w:r>
          <w:r>
            <w:rPr>
              <w:sz w:val="24"/>
              <w:szCs w:val="24"/>
            </w:rPr>
            <w:fldChar w:fldCharType="separate"/>
          </w:r>
          <w:r>
            <w:rPr>
              <w:rFonts w:hint="eastAsia" w:ascii="Times New Roman" w:hAnsi="Times New Roman" w:eastAsia="黑体"/>
              <w:sz w:val="24"/>
              <w:szCs w:val="24"/>
              <w:highlight w:val="none"/>
              <w:lang w:eastAsia="zh-CN"/>
            </w:rPr>
            <w:t>三、</w:t>
          </w:r>
          <w:r>
            <w:rPr>
              <w:rFonts w:hint="eastAsia" w:ascii="Times New Roman" w:hAnsi="Times New Roman" w:eastAsia="黑体"/>
              <w:sz w:val="24"/>
              <w:szCs w:val="24"/>
              <w:highlight w:val="none"/>
            </w:rPr>
            <w:t>支出决算情况说明</w:t>
          </w:r>
          <w:r>
            <w:rPr>
              <w:sz w:val="24"/>
              <w:szCs w:val="24"/>
            </w:rPr>
            <w:tab/>
          </w:r>
          <w:r>
            <w:rPr>
              <w:sz w:val="24"/>
              <w:szCs w:val="24"/>
            </w:rPr>
            <w:fldChar w:fldCharType="begin"/>
          </w:r>
          <w:r>
            <w:rPr>
              <w:sz w:val="24"/>
              <w:szCs w:val="24"/>
            </w:rPr>
            <w:instrText xml:space="preserve"> PAGEREF _Toc5908 \h </w:instrText>
          </w:r>
          <w:r>
            <w:rPr>
              <w:sz w:val="24"/>
              <w:szCs w:val="24"/>
            </w:rPr>
            <w:fldChar w:fldCharType="separate"/>
          </w:r>
          <w:r>
            <w:rPr>
              <w:sz w:val="24"/>
              <w:szCs w:val="24"/>
            </w:rPr>
            <w:t>- 4 -</w:t>
          </w:r>
          <w:r>
            <w:rPr>
              <w:sz w:val="24"/>
              <w:szCs w:val="24"/>
            </w:rPr>
            <w:fldChar w:fldCharType="end"/>
          </w:r>
          <w:r>
            <w:rPr>
              <w:sz w:val="24"/>
              <w:szCs w:val="24"/>
            </w:rPr>
            <w:fldChar w:fldCharType="end"/>
          </w:r>
        </w:p>
        <w:p w14:paraId="46DCB81E">
          <w:pPr>
            <w:pStyle w:val="44"/>
            <w:tabs>
              <w:tab w:val="right" w:leader="dot" w:pos="8306"/>
            </w:tabs>
            <w:spacing w:line="360" w:lineRule="auto"/>
            <w:rPr>
              <w:sz w:val="24"/>
              <w:szCs w:val="24"/>
            </w:rPr>
          </w:pPr>
          <w:r>
            <w:rPr>
              <w:sz w:val="24"/>
              <w:szCs w:val="24"/>
            </w:rPr>
            <w:fldChar w:fldCharType="begin"/>
          </w:r>
          <w:r>
            <w:rPr>
              <w:sz w:val="24"/>
              <w:szCs w:val="24"/>
            </w:rPr>
            <w:instrText xml:space="preserve"> HYPERLINK \l _Toc14698 </w:instrText>
          </w:r>
          <w:r>
            <w:rPr>
              <w:sz w:val="24"/>
              <w:szCs w:val="24"/>
            </w:rPr>
            <w:fldChar w:fldCharType="separate"/>
          </w:r>
          <w:r>
            <w:rPr>
              <w:rFonts w:hint="eastAsia" w:ascii="Times New Roman" w:hAnsi="Times New Roman" w:eastAsia="黑体"/>
              <w:sz w:val="24"/>
              <w:szCs w:val="24"/>
              <w:highlight w:val="none"/>
            </w:rPr>
            <w:t>四、财政拨款收入支出决算总体情况说明</w:t>
          </w:r>
          <w:r>
            <w:rPr>
              <w:sz w:val="24"/>
              <w:szCs w:val="24"/>
            </w:rPr>
            <w:tab/>
          </w:r>
          <w:r>
            <w:rPr>
              <w:sz w:val="24"/>
              <w:szCs w:val="24"/>
            </w:rPr>
            <w:fldChar w:fldCharType="begin"/>
          </w:r>
          <w:r>
            <w:rPr>
              <w:sz w:val="24"/>
              <w:szCs w:val="24"/>
            </w:rPr>
            <w:instrText xml:space="preserve"> PAGEREF _Toc14698 \h </w:instrText>
          </w:r>
          <w:r>
            <w:rPr>
              <w:sz w:val="24"/>
              <w:szCs w:val="24"/>
            </w:rPr>
            <w:fldChar w:fldCharType="separate"/>
          </w:r>
          <w:r>
            <w:rPr>
              <w:sz w:val="24"/>
              <w:szCs w:val="24"/>
            </w:rPr>
            <w:t>- 5 -</w:t>
          </w:r>
          <w:r>
            <w:rPr>
              <w:sz w:val="24"/>
              <w:szCs w:val="24"/>
            </w:rPr>
            <w:fldChar w:fldCharType="end"/>
          </w:r>
          <w:r>
            <w:rPr>
              <w:sz w:val="24"/>
              <w:szCs w:val="24"/>
            </w:rPr>
            <w:fldChar w:fldCharType="end"/>
          </w:r>
        </w:p>
        <w:p w14:paraId="425152D0">
          <w:pPr>
            <w:pStyle w:val="44"/>
            <w:tabs>
              <w:tab w:val="right" w:leader="dot" w:pos="8306"/>
            </w:tabs>
            <w:spacing w:line="360" w:lineRule="auto"/>
            <w:rPr>
              <w:sz w:val="24"/>
              <w:szCs w:val="24"/>
            </w:rPr>
          </w:pPr>
          <w:r>
            <w:rPr>
              <w:sz w:val="24"/>
              <w:szCs w:val="24"/>
            </w:rPr>
            <w:fldChar w:fldCharType="begin"/>
          </w:r>
          <w:r>
            <w:rPr>
              <w:sz w:val="24"/>
              <w:szCs w:val="24"/>
            </w:rPr>
            <w:instrText xml:space="preserve"> HYPERLINK \l _Toc8367 </w:instrText>
          </w:r>
          <w:r>
            <w:rPr>
              <w:sz w:val="24"/>
              <w:szCs w:val="24"/>
            </w:rPr>
            <w:fldChar w:fldCharType="separate"/>
          </w:r>
          <w:r>
            <w:rPr>
              <w:rFonts w:hint="eastAsia" w:ascii="Times New Roman" w:hAnsi="Times New Roman" w:eastAsia="黑体"/>
              <w:sz w:val="24"/>
              <w:szCs w:val="24"/>
              <w:highlight w:val="none"/>
            </w:rPr>
            <w:t>五、一般公共预算财政拨款支出决算情况说明</w:t>
          </w:r>
          <w:r>
            <w:rPr>
              <w:sz w:val="24"/>
              <w:szCs w:val="24"/>
            </w:rPr>
            <w:tab/>
          </w:r>
          <w:r>
            <w:rPr>
              <w:sz w:val="24"/>
              <w:szCs w:val="24"/>
            </w:rPr>
            <w:fldChar w:fldCharType="begin"/>
          </w:r>
          <w:r>
            <w:rPr>
              <w:sz w:val="24"/>
              <w:szCs w:val="24"/>
            </w:rPr>
            <w:instrText xml:space="preserve"> PAGEREF _Toc8367 \h </w:instrText>
          </w:r>
          <w:r>
            <w:rPr>
              <w:sz w:val="24"/>
              <w:szCs w:val="24"/>
            </w:rPr>
            <w:fldChar w:fldCharType="separate"/>
          </w:r>
          <w:r>
            <w:rPr>
              <w:sz w:val="24"/>
              <w:szCs w:val="24"/>
            </w:rPr>
            <w:t>- 6 -</w:t>
          </w:r>
          <w:r>
            <w:rPr>
              <w:sz w:val="24"/>
              <w:szCs w:val="24"/>
            </w:rPr>
            <w:fldChar w:fldCharType="end"/>
          </w:r>
          <w:r>
            <w:rPr>
              <w:sz w:val="24"/>
              <w:szCs w:val="24"/>
            </w:rPr>
            <w:fldChar w:fldCharType="end"/>
          </w:r>
        </w:p>
        <w:p w14:paraId="134D2598">
          <w:pPr>
            <w:pStyle w:val="44"/>
            <w:tabs>
              <w:tab w:val="right" w:leader="dot" w:pos="8306"/>
            </w:tabs>
            <w:spacing w:line="360" w:lineRule="auto"/>
            <w:rPr>
              <w:sz w:val="24"/>
              <w:szCs w:val="24"/>
            </w:rPr>
          </w:pPr>
          <w:r>
            <w:rPr>
              <w:sz w:val="24"/>
              <w:szCs w:val="24"/>
            </w:rPr>
            <w:fldChar w:fldCharType="begin"/>
          </w:r>
          <w:r>
            <w:rPr>
              <w:sz w:val="24"/>
              <w:szCs w:val="24"/>
            </w:rPr>
            <w:instrText xml:space="preserve"> HYPERLINK \l _Toc8222 </w:instrText>
          </w:r>
          <w:r>
            <w:rPr>
              <w:sz w:val="24"/>
              <w:szCs w:val="24"/>
            </w:rPr>
            <w:fldChar w:fldCharType="separate"/>
          </w:r>
          <w:r>
            <w:rPr>
              <w:rFonts w:hint="eastAsia" w:ascii="Times New Roman" w:hAnsi="Times New Roman" w:eastAsia="黑体"/>
              <w:sz w:val="24"/>
              <w:szCs w:val="24"/>
              <w:highlight w:val="none"/>
            </w:rPr>
            <w:t>六、一般公共预算财政拨款基本支出决算情况说明</w:t>
          </w:r>
          <w:r>
            <w:rPr>
              <w:sz w:val="24"/>
              <w:szCs w:val="24"/>
            </w:rPr>
            <w:tab/>
          </w:r>
          <w:r>
            <w:rPr>
              <w:sz w:val="24"/>
              <w:szCs w:val="24"/>
            </w:rPr>
            <w:fldChar w:fldCharType="begin"/>
          </w:r>
          <w:r>
            <w:rPr>
              <w:sz w:val="24"/>
              <w:szCs w:val="24"/>
            </w:rPr>
            <w:instrText xml:space="preserve"> PAGEREF _Toc8222 \h </w:instrText>
          </w:r>
          <w:r>
            <w:rPr>
              <w:sz w:val="24"/>
              <w:szCs w:val="24"/>
            </w:rPr>
            <w:fldChar w:fldCharType="separate"/>
          </w:r>
          <w:r>
            <w:rPr>
              <w:sz w:val="24"/>
              <w:szCs w:val="24"/>
            </w:rPr>
            <w:t>- 8 -</w:t>
          </w:r>
          <w:r>
            <w:rPr>
              <w:sz w:val="24"/>
              <w:szCs w:val="24"/>
            </w:rPr>
            <w:fldChar w:fldCharType="end"/>
          </w:r>
          <w:r>
            <w:rPr>
              <w:sz w:val="24"/>
              <w:szCs w:val="24"/>
            </w:rPr>
            <w:fldChar w:fldCharType="end"/>
          </w:r>
        </w:p>
        <w:p w14:paraId="59227185">
          <w:pPr>
            <w:pStyle w:val="44"/>
            <w:tabs>
              <w:tab w:val="right" w:leader="dot" w:pos="8306"/>
            </w:tabs>
            <w:spacing w:line="360" w:lineRule="auto"/>
            <w:rPr>
              <w:sz w:val="24"/>
              <w:szCs w:val="24"/>
            </w:rPr>
          </w:pPr>
          <w:r>
            <w:rPr>
              <w:sz w:val="24"/>
              <w:szCs w:val="24"/>
            </w:rPr>
            <w:fldChar w:fldCharType="begin"/>
          </w:r>
          <w:r>
            <w:rPr>
              <w:sz w:val="24"/>
              <w:szCs w:val="24"/>
            </w:rPr>
            <w:instrText xml:space="preserve"> HYPERLINK \l _Toc1161 </w:instrText>
          </w:r>
          <w:r>
            <w:rPr>
              <w:sz w:val="24"/>
              <w:szCs w:val="24"/>
            </w:rPr>
            <w:fldChar w:fldCharType="separate"/>
          </w:r>
          <w:r>
            <w:rPr>
              <w:rFonts w:hint="eastAsia" w:ascii="Times New Roman" w:hAnsi="Times New Roman" w:eastAsia="黑体"/>
              <w:sz w:val="24"/>
              <w:szCs w:val="24"/>
              <w:highlight w:val="none"/>
            </w:rPr>
            <w:t>七、财政拨款“三公”经费支出决算情况说明</w:t>
          </w:r>
          <w:r>
            <w:rPr>
              <w:sz w:val="24"/>
              <w:szCs w:val="24"/>
            </w:rPr>
            <w:tab/>
          </w:r>
          <w:r>
            <w:rPr>
              <w:sz w:val="24"/>
              <w:szCs w:val="24"/>
            </w:rPr>
            <w:fldChar w:fldCharType="begin"/>
          </w:r>
          <w:r>
            <w:rPr>
              <w:sz w:val="24"/>
              <w:szCs w:val="24"/>
            </w:rPr>
            <w:instrText xml:space="preserve"> PAGEREF _Toc1161 \h </w:instrText>
          </w:r>
          <w:r>
            <w:rPr>
              <w:sz w:val="24"/>
              <w:szCs w:val="24"/>
            </w:rPr>
            <w:fldChar w:fldCharType="separate"/>
          </w:r>
          <w:r>
            <w:rPr>
              <w:sz w:val="24"/>
              <w:szCs w:val="24"/>
            </w:rPr>
            <w:t>- 10 -</w:t>
          </w:r>
          <w:r>
            <w:rPr>
              <w:sz w:val="24"/>
              <w:szCs w:val="24"/>
            </w:rPr>
            <w:fldChar w:fldCharType="end"/>
          </w:r>
          <w:r>
            <w:rPr>
              <w:sz w:val="24"/>
              <w:szCs w:val="24"/>
            </w:rPr>
            <w:fldChar w:fldCharType="end"/>
          </w:r>
        </w:p>
        <w:p w14:paraId="76AA2D47">
          <w:pPr>
            <w:pStyle w:val="44"/>
            <w:tabs>
              <w:tab w:val="right" w:leader="dot" w:pos="8306"/>
            </w:tabs>
            <w:spacing w:line="360" w:lineRule="auto"/>
            <w:rPr>
              <w:sz w:val="24"/>
              <w:szCs w:val="24"/>
            </w:rPr>
          </w:pPr>
          <w:r>
            <w:rPr>
              <w:sz w:val="24"/>
              <w:szCs w:val="24"/>
            </w:rPr>
            <w:fldChar w:fldCharType="begin"/>
          </w:r>
          <w:r>
            <w:rPr>
              <w:sz w:val="24"/>
              <w:szCs w:val="24"/>
            </w:rPr>
            <w:instrText xml:space="preserve"> HYPERLINK \l _Toc26581 </w:instrText>
          </w:r>
          <w:r>
            <w:rPr>
              <w:sz w:val="24"/>
              <w:szCs w:val="24"/>
            </w:rPr>
            <w:fldChar w:fldCharType="separate"/>
          </w:r>
          <w:r>
            <w:rPr>
              <w:rFonts w:hint="eastAsia" w:ascii="Times New Roman" w:hAnsi="Times New Roman" w:eastAsia="黑体"/>
              <w:sz w:val="24"/>
              <w:szCs w:val="24"/>
              <w:highlight w:val="none"/>
            </w:rPr>
            <w:t>八、政府性基金预算支出决算情况说明</w:t>
          </w:r>
          <w:r>
            <w:rPr>
              <w:sz w:val="24"/>
              <w:szCs w:val="24"/>
            </w:rPr>
            <w:tab/>
          </w:r>
          <w:r>
            <w:rPr>
              <w:sz w:val="24"/>
              <w:szCs w:val="24"/>
            </w:rPr>
            <w:fldChar w:fldCharType="begin"/>
          </w:r>
          <w:r>
            <w:rPr>
              <w:sz w:val="24"/>
              <w:szCs w:val="24"/>
            </w:rPr>
            <w:instrText xml:space="preserve"> PAGEREF _Toc26581 \h </w:instrText>
          </w:r>
          <w:r>
            <w:rPr>
              <w:sz w:val="24"/>
              <w:szCs w:val="24"/>
            </w:rPr>
            <w:fldChar w:fldCharType="separate"/>
          </w:r>
          <w:r>
            <w:rPr>
              <w:sz w:val="24"/>
              <w:szCs w:val="24"/>
            </w:rPr>
            <w:t>- 12 -</w:t>
          </w:r>
          <w:r>
            <w:rPr>
              <w:sz w:val="24"/>
              <w:szCs w:val="24"/>
            </w:rPr>
            <w:fldChar w:fldCharType="end"/>
          </w:r>
          <w:r>
            <w:rPr>
              <w:sz w:val="24"/>
              <w:szCs w:val="24"/>
            </w:rPr>
            <w:fldChar w:fldCharType="end"/>
          </w:r>
        </w:p>
        <w:p w14:paraId="06764514">
          <w:pPr>
            <w:pStyle w:val="44"/>
            <w:tabs>
              <w:tab w:val="right" w:leader="dot" w:pos="8306"/>
            </w:tabs>
            <w:spacing w:line="360" w:lineRule="auto"/>
            <w:rPr>
              <w:sz w:val="24"/>
              <w:szCs w:val="24"/>
            </w:rPr>
          </w:pPr>
          <w:r>
            <w:rPr>
              <w:sz w:val="24"/>
              <w:szCs w:val="24"/>
            </w:rPr>
            <w:fldChar w:fldCharType="begin"/>
          </w:r>
          <w:r>
            <w:rPr>
              <w:sz w:val="24"/>
              <w:szCs w:val="24"/>
            </w:rPr>
            <w:instrText xml:space="preserve"> HYPERLINK \l _Toc8762 </w:instrText>
          </w:r>
          <w:r>
            <w:rPr>
              <w:sz w:val="24"/>
              <w:szCs w:val="24"/>
            </w:rPr>
            <w:fldChar w:fldCharType="separate"/>
          </w:r>
          <w:r>
            <w:rPr>
              <w:rFonts w:hint="eastAsia" w:ascii="Times New Roman" w:hAnsi="Times New Roman" w:eastAsia="黑体"/>
              <w:sz w:val="24"/>
              <w:szCs w:val="24"/>
              <w:highlight w:val="none"/>
              <w:lang w:eastAsia="zh-CN"/>
            </w:rPr>
            <w:t>九、</w:t>
          </w:r>
          <w:r>
            <w:rPr>
              <w:rFonts w:hint="eastAsia" w:ascii="Times New Roman" w:hAnsi="Times New Roman" w:eastAsia="黑体"/>
              <w:sz w:val="24"/>
              <w:szCs w:val="24"/>
              <w:highlight w:val="none"/>
            </w:rPr>
            <w:t>国有资本经营预算支出决算情况说明</w:t>
          </w:r>
          <w:r>
            <w:rPr>
              <w:sz w:val="24"/>
              <w:szCs w:val="24"/>
            </w:rPr>
            <w:tab/>
          </w:r>
          <w:r>
            <w:rPr>
              <w:sz w:val="24"/>
              <w:szCs w:val="24"/>
            </w:rPr>
            <w:fldChar w:fldCharType="begin"/>
          </w:r>
          <w:r>
            <w:rPr>
              <w:sz w:val="24"/>
              <w:szCs w:val="24"/>
            </w:rPr>
            <w:instrText xml:space="preserve"> PAGEREF _Toc8762 \h </w:instrText>
          </w:r>
          <w:r>
            <w:rPr>
              <w:sz w:val="24"/>
              <w:szCs w:val="24"/>
            </w:rPr>
            <w:fldChar w:fldCharType="separate"/>
          </w:r>
          <w:r>
            <w:rPr>
              <w:sz w:val="24"/>
              <w:szCs w:val="24"/>
            </w:rPr>
            <w:t>- 12 -</w:t>
          </w:r>
          <w:r>
            <w:rPr>
              <w:sz w:val="24"/>
              <w:szCs w:val="24"/>
            </w:rPr>
            <w:fldChar w:fldCharType="end"/>
          </w:r>
          <w:r>
            <w:rPr>
              <w:sz w:val="24"/>
              <w:szCs w:val="24"/>
            </w:rPr>
            <w:fldChar w:fldCharType="end"/>
          </w:r>
        </w:p>
        <w:p w14:paraId="5D484B76">
          <w:pPr>
            <w:pStyle w:val="44"/>
            <w:tabs>
              <w:tab w:val="right" w:leader="dot" w:pos="8306"/>
            </w:tabs>
            <w:spacing w:line="360" w:lineRule="auto"/>
            <w:rPr>
              <w:sz w:val="24"/>
              <w:szCs w:val="24"/>
            </w:rPr>
          </w:pPr>
          <w:r>
            <w:rPr>
              <w:sz w:val="24"/>
              <w:szCs w:val="24"/>
            </w:rPr>
            <w:fldChar w:fldCharType="begin"/>
          </w:r>
          <w:r>
            <w:rPr>
              <w:sz w:val="24"/>
              <w:szCs w:val="24"/>
            </w:rPr>
            <w:instrText xml:space="preserve"> HYPERLINK \l _Toc17500 </w:instrText>
          </w:r>
          <w:r>
            <w:rPr>
              <w:sz w:val="24"/>
              <w:szCs w:val="24"/>
            </w:rPr>
            <w:fldChar w:fldCharType="separate"/>
          </w:r>
          <w:r>
            <w:rPr>
              <w:rFonts w:hint="eastAsia" w:ascii="Times New Roman" w:hAnsi="Times New Roman" w:eastAsia="黑体"/>
              <w:sz w:val="24"/>
              <w:szCs w:val="24"/>
              <w:highlight w:val="none"/>
              <w:lang w:eastAsia="zh-CN"/>
            </w:rPr>
            <w:t>十、</w:t>
          </w:r>
          <w:r>
            <w:rPr>
              <w:rFonts w:hint="eastAsia" w:ascii="Times New Roman" w:hAnsi="Times New Roman" w:eastAsia="黑体"/>
              <w:sz w:val="24"/>
              <w:szCs w:val="24"/>
              <w:highlight w:val="none"/>
            </w:rPr>
            <w:t>其他重要事项的情况说明</w:t>
          </w:r>
          <w:r>
            <w:rPr>
              <w:sz w:val="24"/>
              <w:szCs w:val="24"/>
            </w:rPr>
            <w:tab/>
          </w:r>
          <w:r>
            <w:rPr>
              <w:sz w:val="24"/>
              <w:szCs w:val="24"/>
            </w:rPr>
            <w:fldChar w:fldCharType="begin"/>
          </w:r>
          <w:r>
            <w:rPr>
              <w:sz w:val="24"/>
              <w:szCs w:val="24"/>
            </w:rPr>
            <w:instrText xml:space="preserve"> PAGEREF _Toc17500 \h </w:instrText>
          </w:r>
          <w:r>
            <w:rPr>
              <w:sz w:val="24"/>
              <w:szCs w:val="24"/>
            </w:rPr>
            <w:fldChar w:fldCharType="separate"/>
          </w:r>
          <w:r>
            <w:rPr>
              <w:sz w:val="24"/>
              <w:szCs w:val="24"/>
            </w:rPr>
            <w:t>- 12 -</w:t>
          </w:r>
          <w:r>
            <w:rPr>
              <w:sz w:val="24"/>
              <w:szCs w:val="24"/>
            </w:rPr>
            <w:fldChar w:fldCharType="end"/>
          </w:r>
          <w:r>
            <w:rPr>
              <w:sz w:val="24"/>
              <w:szCs w:val="24"/>
            </w:rPr>
            <w:fldChar w:fldCharType="end"/>
          </w:r>
        </w:p>
        <w:p w14:paraId="5121C8C6">
          <w:pPr>
            <w:pStyle w:val="43"/>
            <w:tabs>
              <w:tab w:val="right" w:leader="dot" w:pos="8306"/>
            </w:tabs>
            <w:spacing w:line="360" w:lineRule="auto"/>
            <w:rPr>
              <w:b/>
              <w:sz w:val="24"/>
              <w:szCs w:val="24"/>
            </w:rPr>
          </w:pPr>
          <w:r>
            <w:rPr>
              <w:b/>
              <w:sz w:val="24"/>
              <w:szCs w:val="24"/>
            </w:rPr>
            <w:fldChar w:fldCharType="begin"/>
          </w:r>
          <w:r>
            <w:rPr>
              <w:b/>
              <w:sz w:val="24"/>
              <w:szCs w:val="24"/>
            </w:rPr>
            <w:instrText xml:space="preserve"> HYPERLINK \l _Toc12143 </w:instrText>
          </w:r>
          <w:r>
            <w:rPr>
              <w:b/>
              <w:sz w:val="24"/>
              <w:szCs w:val="24"/>
            </w:rPr>
            <w:fldChar w:fldCharType="separate"/>
          </w:r>
          <w:r>
            <w:rPr>
              <w:rFonts w:hint="eastAsia" w:ascii="Times New Roman" w:hAnsi="Times New Roman" w:eastAsia="黑体"/>
              <w:b/>
              <w:sz w:val="24"/>
              <w:szCs w:val="24"/>
              <w:highlight w:val="none"/>
            </w:rPr>
            <w:t>第</w:t>
          </w:r>
          <w:r>
            <w:rPr>
              <w:rFonts w:hint="eastAsia" w:eastAsia="黑体"/>
              <w:b/>
              <w:sz w:val="24"/>
              <w:szCs w:val="24"/>
              <w:highlight w:val="none"/>
              <w:lang w:eastAsia="zh-CN"/>
            </w:rPr>
            <w:t>三</w:t>
          </w:r>
          <w:r>
            <w:rPr>
              <w:rFonts w:hint="eastAsia" w:ascii="Times New Roman" w:hAnsi="Times New Roman" w:eastAsia="黑体"/>
              <w:b/>
              <w:sz w:val="24"/>
              <w:szCs w:val="24"/>
              <w:highlight w:val="none"/>
            </w:rPr>
            <w:t>部分</w:t>
          </w:r>
          <w:r>
            <w:rPr>
              <w:rFonts w:hint="eastAsia" w:ascii="Times New Roman" w:hAnsi="Times New Roman" w:eastAsia="黑体"/>
              <w:b/>
              <w:sz w:val="24"/>
              <w:szCs w:val="24"/>
              <w:highlight w:val="none"/>
              <w:lang w:val="en-US" w:eastAsia="zh-CN"/>
            </w:rPr>
            <w:t xml:space="preserve"> </w:t>
          </w:r>
          <w:r>
            <w:rPr>
              <w:rFonts w:hint="eastAsia" w:eastAsia="黑体"/>
              <w:b/>
              <w:sz w:val="24"/>
              <w:szCs w:val="24"/>
              <w:highlight w:val="none"/>
              <w:lang w:val="en-US" w:eastAsia="zh-CN"/>
            </w:rPr>
            <w:t xml:space="preserve"> </w:t>
          </w:r>
          <w:r>
            <w:rPr>
              <w:rFonts w:hint="eastAsia" w:ascii="Times New Roman" w:hAnsi="Times New Roman" w:eastAsia="黑体"/>
              <w:b/>
              <w:sz w:val="24"/>
              <w:szCs w:val="24"/>
              <w:highlight w:val="none"/>
            </w:rPr>
            <w:t>名词解释</w:t>
          </w:r>
          <w:r>
            <w:rPr>
              <w:b/>
              <w:sz w:val="24"/>
              <w:szCs w:val="24"/>
            </w:rPr>
            <w:tab/>
          </w:r>
          <w:r>
            <w:rPr>
              <w:b/>
              <w:sz w:val="24"/>
              <w:szCs w:val="24"/>
            </w:rPr>
            <w:fldChar w:fldCharType="begin"/>
          </w:r>
          <w:r>
            <w:rPr>
              <w:b/>
              <w:sz w:val="24"/>
              <w:szCs w:val="24"/>
            </w:rPr>
            <w:instrText xml:space="preserve"> PAGEREF _Toc12143 \h </w:instrText>
          </w:r>
          <w:r>
            <w:rPr>
              <w:b/>
              <w:sz w:val="24"/>
              <w:szCs w:val="24"/>
            </w:rPr>
            <w:fldChar w:fldCharType="separate"/>
          </w:r>
          <w:r>
            <w:rPr>
              <w:b/>
              <w:sz w:val="24"/>
              <w:szCs w:val="24"/>
            </w:rPr>
            <w:t>- 15 -</w:t>
          </w:r>
          <w:r>
            <w:rPr>
              <w:b/>
              <w:sz w:val="24"/>
              <w:szCs w:val="24"/>
            </w:rPr>
            <w:fldChar w:fldCharType="end"/>
          </w:r>
          <w:r>
            <w:rPr>
              <w:b/>
              <w:sz w:val="24"/>
              <w:szCs w:val="24"/>
            </w:rPr>
            <w:fldChar w:fldCharType="end"/>
          </w:r>
        </w:p>
        <w:p w14:paraId="7CE378D7">
          <w:pPr>
            <w:pStyle w:val="43"/>
            <w:tabs>
              <w:tab w:val="right" w:leader="dot" w:pos="8306"/>
            </w:tabs>
            <w:spacing w:line="360" w:lineRule="auto"/>
            <w:rPr>
              <w:b/>
              <w:sz w:val="24"/>
              <w:szCs w:val="24"/>
            </w:rPr>
          </w:pPr>
          <w:r>
            <w:rPr>
              <w:b/>
              <w:sz w:val="24"/>
              <w:szCs w:val="24"/>
            </w:rPr>
            <w:fldChar w:fldCharType="begin"/>
          </w:r>
          <w:r>
            <w:rPr>
              <w:b/>
              <w:sz w:val="24"/>
              <w:szCs w:val="24"/>
            </w:rPr>
            <w:instrText xml:space="preserve"> HYPERLINK \l _Toc27006 </w:instrText>
          </w:r>
          <w:r>
            <w:rPr>
              <w:b/>
              <w:sz w:val="24"/>
              <w:szCs w:val="24"/>
            </w:rPr>
            <w:fldChar w:fldCharType="separate"/>
          </w:r>
          <w:r>
            <w:rPr>
              <w:rFonts w:hint="eastAsia" w:ascii="Times New Roman" w:hAnsi="Times New Roman" w:eastAsia="黑体"/>
              <w:b/>
              <w:sz w:val="24"/>
              <w:szCs w:val="24"/>
              <w:highlight w:val="none"/>
            </w:rPr>
            <w:t>第四部分</w:t>
          </w:r>
          <w:r>
            <w:rPr>
              <w:rFonts w:hint="eastAsia" w:ascii="Times New Roman" w:hAnsi="Times New Roman" w:eastAsia="黑体"/>
              <w:b/>
              <w:sz w:val="24"/>
              <w:szCs w:val="24"/>
              <w:highlight w:val="none"/>
              <w:lang w:val="en-US" w:eastAsia="zh-CN"/>
            </w:rPr>
            <w:t xml:space="preserve"> </w:t>
          </w:r>
          <w:r>
            <w:rPr>
              <w:rFonts w:hint="eastAsia" w:ascii="Times New Roman" w:hAnsi="Times New Roman" w:eastAsia="黑体"/>
              <w:b/>
              <w:sz w:val="24"/>
              <w:szCs w:val="24"/>
              <w:highlight w:val="none"/>
            </w:rPr>
            <w:t xml:space="preserve"> 附件</w:t>
          </w:r>
          <w:r>
            <w:rPr>
              <w:b/>
              <w:sz w:val="24"/>
              <w:szCs w:val="24"/>
            </w:rPr>
            <w:tab/>
          </w:r>
          <w:r>
            <w:rPr>
              <w:b/>
              <w:sz w:val="24"/>
              <w:szCs w:val="24"/>
            </w:rPr>
            <w:fldChar w:fldCharType="begin"/>
          </w:r>
          <w:r>
            <w:rPr>
              <w:b/>
              <w:sz w:val="24"/>
              <w:szCs w:val="24"/>
            </w:rPr>
            <w:instrText xml:space="preserve"> PAGEREF _Toc27006 \h </w:instrText>
          </w:r>
          <w:r>
            <w:rPr>
              <w:b/>
              <w:sz w:val="24"/>
              <w:szCs w:val="24"/>
            </w:rPr>
            <w:fldChar w:fldCharType="separate"/>
          </w:r>
          <w:r>
            <w:rPr>
              <w:b/>
              <w:sz w:val="24"/>
              <w:szCs w:val="24"/>
            </w:rPr>
            <w:t>- 15 -</w:t>
          </w:r>
          <w:r>
            <w:rPr>
              <w:b/>
              <w:sz w:val="24"/>
              <w:szCs w:val="24"/>
            </w:rPr>
            <w:fldChar w:fldCharType="end"/>
          </w:r>
          <w:r>
            <w:rPr>
              <w:b/>
              <w:sz w:val="24"/>
              <w:szCs w:val="24"/>
            </w:rPr>
            <w:fldChar w:fldCharType="end"/>
          </w:r>
        </w:p>
        <w:p w14:paraId="0861651B">
          <w:pPr>
            <w:pStyle w:val="43"/>
            <w:tabs>
              <w:tab w:val="right" w:leader="dot" w:pos="8306"/>
            </w:tabs>
            <w:spacing w:line="360" w:lineRule="auto"/>
            <w:rPr>
              <w:b/>
              <w:sz w:val="24"/>
              <w:szCs w:val="24"/>
            </w:rPr>
          </w:pPr>
          <w:r>
            <w:rPr>
              <w:b/>
              <w:sz w:val="24"/>
              <w:szCs w:val="24"/>
            </w:rPr>
            <w:fldChar w:fldCharType="begin"/>
          </w:r>
          <w:r>
            <w:rPr>
              <w:b/>
              <w:sz w:val="24"/>
              <w:szCs w:val="24"/>
            </w:rPr>
            <w:instrText xml:space="preserve"> HYPERLINK \l _Toc14216 </w:instrText>
          </w:r>
          <w:r>
            <w:rPr>
              <w:b/>
              <w:sz w:val="24"/>
              <w:szCs w:val="24"/>
            </w:rPr>
            <w:fldChar w:fldCharType="separate"/>
          </w:r>
          <w:r>
            <w:rPr>
              <w:rFonts w:hint="eastAsia" w:ascii="Times New Roman" w:hAnsi="Times New Roman" w:eastAsia="黑体"/>
              <w:b/>
              <w:sz w:val="24"/>
              <w:szCs w:val="24"/>
              <w:highlight w:val="none"/>
            </w:rPr>
            <w:t xml:space="preserve">第五部分 </w:t>
          </w:r>
          <w:r>
            <w:rPr>
              <w:rFonts w:hint="eastAsia" w:ascii="Times New Roman" w:hAnsi="Times New Roman" w:eastAsia="黑体"/>
              <w:b/>
              <w:sz w:val="24"/>
              <w:szCs w:val="24"/>
              <w:highlight w:val="none"/>
              <w:lang w:val="en-US" w:eastAsia="zh-CN"/>
            </w:rPr>
            <w:t xml:space="preserve"> </w:t>
          </w:r>
          <w:r>
            <w:rPr>
              <w:rFonts w:hint="eastAsia" w:ascii="Times New Roman" w:hAnsi="Times New Roman" w:eastAsia="黑体"/>
              <w:b/>
              <w:sz w:val="24"/>
              <w:szCs w:val="24"/>
              <w:highlight w:val="none"/>
            </w:rPr>
            <w:t>附表</w:t>
          </w:r>
          <w:r>
            <w:rPr>
              <w:b/>
              <w:sz w:val="24"/>
              <w:szCs w:val="24"/>
            </w:rPr>
            <w:tab/>
          </w:r>
          <w:r>
            <w:rPr>
              <w:b/>
              <w:sz w:val="24"/>
              <w:szCs w:val="24"/>
            </w:rPr>
            <w:fldChar w:fldCharType="begin"/>
          </w:r>
          <w:r>
            <w:rPr>
              <w:b/>
              <w:sz w:val="24"/>
              <w:szCs w:val="24"/>
            </w:rPr>
            <w:instrText xml:space="preserve"> PAGEREF _Toc14216 \h </w:instrText>
          </w:r>
          <w:r>
            <w:rPr>
              <w:b/>
              <w:sz w:val="24"/>
              <w:szCs w:val="24"/>
            </w:rPr>
            <w:fldChar w:fldCharType="separate"/>
          </w:r>
          <w:r>
            <w:rPr>
              <w:b/>
              <w:sz w:val="24"/>
              <w:szCs w:val="24"/>
            </w:rPr>
            <w:t>- 32 -</w:t>
          </w:r>
          <w:r>
            <w:rPr>
              <w:b/>
              <w:sz w:val="24"/>
              <w:szCs w:val="24"/>
            </w:rPr>
            <w:fldChar w:fldCharType="end"/>
          </w:r>
          <w:r>
            <w:rPr>
              <w:b/>
              <w:sz w:val="24"/>
              <w:szCs w:val="24"/>
            </w:rPr>
            <w:fldChar w:fldCharType="end"/>
          </w:r>
        </w:p>
        <w:p w14:paraId="7400032D">
          <w:pPr>
            <w:pStyle w:val="44"/>
            <w:tabs>
              <w:tab w:val="right" w:leader="dot" w:pos="8306"/>
            </w:tabs>
            <w:spacing w:line="360" w:lineRule="auto"/>
            <w:ind w:firstLine="723" w:firstLineChars="300"/>
            <w:rPr>
              <w:rFonts w:hint="eastAsia" w:ascii="Times New Roman" w:hAnsi="Times New Roman" w:eastAsia="黑体"/>
              <w:sz w:val="24"/>
              <w:szCs w:val="24"/>
              <w:highlight w:val="none"/>
            </w:rPr>
          </w:pPr>
          <w:r>
            <w:rPr>
              <w:b/>
              <w:sz w:val="24"/>
              <w:szCs w:val="24"/>
            </w:rPr>
            <w:fldChar w:fldCharType="end"/>
          </w:r>
          <w:bookmarkStart w:id="6" w:name="_Toc15377196"/>
          <w:bookmarkStart w:id="7" w:name="_Toc15396599"/>
          <w:bookmarkStart w:id="8" w:name="_Toc17254"/>
          <w:r>
            <w:rPr>
              <w:rFonts w:hint="eastAsia" w:ascii="Times New Roman" w:hAnsi="Times New Roman" w:eastAsia="黑体"/>
              <w:sz w:val="24"/>
              <w:szCs w:val="24"/>
              <w:highlight w:val="none"/>
            </w:rPr>
            <w:t>一、收入支出决算总表</w:t>
          </w:r>
          <w:r>
            <w:rPr>
              <w:b/>
              <w:sz w:val="24"/>
              <w:szCs w:val="24"/>
            </w:rPr>
            <w:tab/>
          </w:r>
          <w:r>
            <w:rPr>
              <w:b/>
              <w:sz w:val="24"/>
              <w:szCs w:val="24"/>
            </w:rPr>
            <w:fldChar w:fldCharType="begin"/>
          </w:r>
          <w:r>
            <w:rPr>
              <w:b/>
              <w:sz w:val="24"/>
              <w:szCs w:val="24"/>
            </w:rPr>
            <w:instrText xml:space="preserve"> PAGEREF _Toc14216 \h </w:instrText>
          </w:r>
          <w:r>
            <w:rPr>
              <w:b/>
              <w:sz w:val="24"/>
              <w:szCs w:val="24"/>
            </w:rPr>
            <w:fldChar w:fldCharType="separate"/>
          </w:r>
          <w:r>
            <w:rPr>
              <w:b/>
              <w:sz w:val="24"/>
              <w:szCs w:val="24"/>
            </w:rPr>
            <w:t>- 32 -</w:t>
          </w:r>
          <w:r>
            <w:rPr>
              <w:b/>
              <w:sz w:val="24"/>
              <w:szCs w:val="24"/>
            </w:rPr>
            <w:fldChar w:fldCharType="end"/>
          </w:r>
        </w:p>
        <w:p w14:paraId="6975C215">
          <w:pPr>
            <w:pStyle w:val="44"/>
            <w:tabs>
              <w:tab w:val="right" w:leader="dot" w:pos="8306"/>
            </w:tabs>
            <w:spacing w:line="360" w:lineRule="auto"/>
            <w:ind w:firstLine="720" w:firstLineChars="300"/>
            <w:rPr>
              <w:rFonts w:hint="eastAsia" w:ascii="Times New Roman" w:hAnsi="Times New Roman" w:eastAsia="黑体"/>
              <w:sz w:val="24"/>
              <w:szCs w:val="24"/>
              <w:highlight w:val="none"/>
            </w:rPr>
          </w:pPr>
          <w:r>
            <w:rPr>
              <w:rFonts w:hint="eastAsia" w:ascii="Times New Roman" w:hAnsi="Times New Roman" w:eastAsia="黑体"/>
              <w:sz w:val="24"/>
              <w:szCs w:val="24"/>
              <w:highlight w:val="none"/>
            </w:rPr>
            <w:t>二、收入决算表</w:t>
          </w:r>
          <w:r>
            <w:rPr>
              <w:b/>
              <w:sz w:val="24"/>
              <w:szCs w:val="24"/>
            </w:rPr>
            <w:tab/>
          </w:r>
          <w:r>
            <w:rPr>
              <w:b/>
              <w:sz w:val="24"/>
              <w:szCs w:val="24"/>
            </w:rPr>
            <w:fldChar w:fldCharType="begin"/>
          </w:r>
          <w:r>
            <w:rPr>
              <w:b/>
              <w:sz w:val="24"/>
              <w:szCs w:val="24"/>
            </w:rPr>
            <w:instrText xml:space="preserve"> PAGEREF _Toc14216 \h </w:instrText>
          </w:r>
          <w:r>
            <w:rPr>
              <w:b/>
              <w:sz w:val="24"/>
              <w:szCs w:val="24"/>
            </w:rPr>
            <w:fldChar w:fldCharType="separate"/>
          </w:r>
          <w:r>
            <w:rPr>
              <w:b/>
              <w:sz w:val="24"/>
              <w:szCs w:val="24"/>
            </w:rPr>
            <w:t>- 32 -</w:t>
          </w:r>
          <w:r>
            <w:rPr>
              <w:b/>
              <w:sz w:val="24"/>
              <w:szCs w:val="24"/>
            </w:rPr>
            <w:fldChar w:fldCharType="end"/>
          </w:r>
        </w:p>
        <w:p w14:paraId="494E4884">
          <w:pPr>
            <w:pStyle w:val="44"/>
            <w:keepNext w:val="0"/>
            <w:keepLines w:val="0"/>
            <w:pageBreakBefore w:val="0"/>
            <w:widowControl/>
            <w:tabs>
              <w:tab w:val="right" w:leader="dot" w:pos="8306"/>
            </w:tabs>
            <w:kinsoku/>
            <w:wordWrap/>
            <w:overflowPunct/>
            <w:topLinePunct w:val="0"/>
            <w:autoSpaceDE/>
            <w:autoSpaceDN/>
            <w:bidi w:val="0"/>
            <w:adjustRightInd/>
            <w:snapToGrid/>
            <w:spacing w:line="360" w:lineRule="auto"/>
            <w:ind w:left="1155" w:leftChars="550"/>
            <w:textAlignment w:val="auto"/>
            <w:rPr>
              <w:rFonts w:hint="eastAsia" w:ascii="Times New Roman" w:hAnsi="Times New Roman" w:eastAsia="黑体"/>
              <w:sz w:val="24"/>
              <w:szCs w:val="24"/>
              <w:highlight w:val="none"/>
            </w:rPr>
          </w:pPr>
          <w:r>
            <w:rPr>
              <w:rFonts w:hint="eastAsia" w:ascii="Times New Roman" w:hAnsi="Times New Roman" w:eastAsia="黑体"/>
              <w:sz w:val="24"/>
              <w:szCs w:val="24"/>
              <w:highlight w:val="none"/>
            </w:rPr>
            <w:t>三、支出决算表</w:t>
          </w:r>
          <w:r>
            <w:rPr>
              <w:b/>
              <w:sz w:val="24"/>
              <w:szCs w:val="24"/>
            </w:rPr>
            <w:tab/>
          </w:r>
          <w:r>
            <w:rPr>
              <w:b/>
              <w:sz w:val="24"/>
              <w:szCs w:val="24"/>
            </w:rPr>
            <w:fldChar w:fldCharType="begin"/>
          </w:r>
          <w:r>
            <w:rPr>
              <w:b/>
              <w:sz w:val="24"/>
              <w:szCs w:val="24"/>
            </w:rPr>
            <w:instrText xml:space="preserve"> PAGEREF _Toc14216 \h </w:instrText>
          </w:r>
          <w:r>
            <w:rPr>
              <w:b/>
              <w:sz w:val="24"/>
              <w:szCs w:val="24"/>
            </w:rPr>
            <w:fldChar w:fldCharType="separate"/>
          </w:r>
          <w:r>
            <w:rPr>
              <w:b/>
              <w:sz w:val="24"/>
              <w:szCs w:val="24"/>
            </w:rPr>
            <w:t>- 32 -</w:t>
          </w:r>
          <w:r>
            <w:rPr>
              <w:b/>
              <w:sz w:val="24"/>
              <w:szCs w:val="24"/>
            </w:rPr>
            <w:fldChar w:fldCharType="end"/>
          </w:r>
        </w:p>
        <w:p w14:paraId="302B2116">
          <w:pPr>
            <w:pStyle w:val="44"/>
            <w:tabs>
              <w:tab w:val="right" w:leader="dot" w:pos="8306"/>
            </w:tabs>
            <w:spacing w:line="360" w:lineRule="auto"/>
            <w:ind w:firstLine="720" w:firstLineChars="300"/>
            <w:rPr>
              <w:rFonts w:hint="eastAsia" w:ascii="Times New Roman" w:hAnsi="Times New Roman" w:eastAsia="黑体"/>
              <w:sz w:val="24"/>
              <w:szCs w:val="24"/>
              <w:highlight w:val="none"/>
            </w:rPr>
          </w:pPr>
          <w:r>
            <w:rPr>
              <w:rFonts w:hint="eastAsia" w:ascii="Times New Roman" w:hAnsi="Times New Roman" w:eastAsia="黑体"/>
              <w:sz w:val="24"/>
              <w:szCs w:val="24"/>
              <w:highlight w:val="none"/>
            </w:rPr>
            <w:t>四、财政拨款收入支出决算总表</w:t>
          </w:r>
          <w:r>
            <w:rPr>
              <w:b/>
              <w:sz w:val="24"/>
              <w:szCs w:val="24"/>
            </w:rPr>
            <w:tab/>
          </w:r>
          <w:r>
            <w:rPr>
              <w:b/>
              <w:sz w:val="24"/>
              <w:szCs w:val="24"/>
            </w:rPr>
            <w:fldChar w:fldCharType="begin"/>
          </w:r>
          <w:r>
            <w:rPr>
              <w:b/>
              <w:sz w:val="24"/>
              <w:szCs w:val="24"/>
            </w:rPr>
            <w:instrText xml:space="preserve"> PAGEREF _Toc14216 \h </w:instrText>
          </w:r>
          <w:r>
            <w:rPr>
              <w:b/>
              <w:sz w:val="24"/>
              <w:szCs w:val="24"/>
            </w:rPr>
            <w:fldChar w:fldCharType="separate"/>
          </w:r>
          <w:r>
            <w:rPr>
              <w:b/>
              <w:sz w:val="24"/>
              <w:szCs w:val="24"/>
            </w:rPr>
            <w:t>- 32 -</w:t>
          </w:r>
          <w:r>
            <w:rPr>
              <w:b/>
              <w:sz w:val="24"/>
              <w:szCs w:val="24"/>
            </w:rPr>
            <w:fldChar w:fldCharType="end"/>
          </w:r>
        </w:p>
        <w:p w14:paraId="3E6F748A">
          <w:pPr>
            <w:pStyle w:val="44"/>
            <w:tabs>
              <w:tab w:val="right" w:leader="dot" w:pos="8306"/>
            </w:tabs>
            <w:spacing w:line="360" w:lineRule="auto"/>
            <w:ind w:firstLine="720" w:firstLineChars="300"/>
            <w:rPr>
              <w:rFonts w:hint="eastAsia" w:ascii="Times New Roman" w:hAnsi="Times New Roman" w:eastAsia="黑体"/>
              <w:sz w:val="24"/>
              <w:szCs w:val="24"/>
              <w:highlight w:val="none"/>
            </w:rPr>
          </w:pPr>
          <w:r>
            <w:rPr>
              <w:rFonts w:hint="eastAsia" w:ascii="Times New Roman" w:hAnsi="Times New Roman" w:eastAsia="黑体"/>
              <w:sz w:val="24"/>
              <w:szCs w:val="24"/>
              <w:highlight w:val="none"/>
            </w:rPr>
            <w:t>五、财政拨款支出决算明细表</w:t>
          </w:r>
          <w:r>
            <w:rPr>
              <w:b/>
              <w:sz w:val="24"/>
              <w:szCs w:val="24"/>
            </w:rPr>
            <w:tab/>
          </w:r>
          <w:r>
            <w:rPr>
              <w:b/>
              <w:sz w:val="24"/>
              <w:szCs w:val="24"/>
            </w:rPr>
            <w:fldChar w:fldCharType="begin"/>
          </w:r>
          <w:r>
            <w:rPr>
              <w:b/>
              <w:sz w:val="24"/>
              <w:szCs w:val="24"/>
            </w:rPr>
            <w:instrText xml:space="preserve"> PAGEREF _Toc14216 \h </w:instrText>
          </w:r>
          <w:r>
            <w:rPr>
              <w:b/>
              <w:sz w:val="24"/>
              <w:szCs w:val="24"/>
            </w:rPr>
            <w:fldChar w:fldCharType="separate"/>
          </w:r>
          <w:r>
            <w:rPr>
              <w:b/>
              <w:sz w:val="24"/>
              <w:szCs w:val="24"/>
            </w:rPr>
            <w:t>- 32 -</w:t>
          </w:r>
          <w:r>
            <w:rPr>
              <w:b/>
              <w:sz w:val="24"/>
              <w:szCs w:val="24"/>
            </w:rPr>
            <w:fldChar w:fldCharType="end"/>
          </w:r>
        </w:p>
        <w:p w14:paraId="0B16474C">
          <w:pPr>
            <w:pStyle w:val="44"/>
            <w:tabs>
              <w:tab w:val="right" w:leader="dot" w:pos="8306"/>
            </w:tabs>
            <w:spacing w:line="360" w:lineRule="auto"/>
            <w:ind w:firstLine="720" w:firstLineChars="300"/>
            <w:rPr>
              <w:rFonts w:hint="eastAsia" w:ascii="Times New Roman" w:hAnsi="Times New Roman" w:eastAsia="黑体"/>
              <w:sz w:val="24"/>
              <w:szCs w:val="24"/>
              <w:highlight w:val="none"/>
            </w:rPr>
          </w:pPr>
          <w:r>
            <w:rPr>
              <w:rFonts w:hint="eastAsia" w:ascii="Times New Roman" w:hAnsi="Times New Roman" w:eastAsia="黑体"/>
              <w:sz w:val="24"/>
              <w:szCs w:val="24"/>
              <w:highlight w:val="none"/>
            </w:rPr>
            <w:t>六、一般公共预算财政拨款支出决算表</w:t>
          </w:r>
          <w:r>
            <w:rPr>
              <w:b/>
              <w:sz w:val="24"/>
              <w:szCs w:val="24"/>
            </w:rPr>
            <w:tab/>
          </w:r>
          <w:r>
            <w:rPr>
              <w:b/>
              <w:sz w:val="24"/>
              <w:szCs w:val="24"/>
            </w:rPr>
            <w:fldChar w:fldCharType="begin"/>
          </w:r>
          <w:r>
            <w:rPr>
              <w:b/>
              <w:sz w:val="24"/>
              <w:szCs w:val="24"/>
            </w:rPr>
            <w:instrText xml:space="preserve"> PAGEREF _Toc14216 \h </w:instrText>
          </w:r>
          <w:r>
            <w:rPr>
              <w:b/>
              <w:sz w:val="24"/>
              <w:szCs w:val="24"/>
            </w:rPr>
            <w:fldChar w:fldCharType="separate"/>
          </w:r>
          <w:r>
            <w:rPr>
              <w:b/>
              <w:sz w:val="24"/>
              <w:szCs w:val="24"/>
            </w:rPr>
            <w:t>- 32 -</w:t>
          </w:r>
          <w:r>
            <w:rPr>
              <w:b/>
              <w:sz w:val="24"/>
              <w:szCs w:val="24"/>
            </w:rPr>
            <w:fldChar w:fldCharType="end"/>
          </w:r>
        </w:p>
        <w:p w14:paraId="6F076C1F">
          <w:pPr>
            <w:pStyle w:val="44"/>
            <w:tabs>
              <w:tab w:val="right" w:leader="dot" w:pos="8306"/>
            </w:tabs>
            <w:spacing w:line="360" w:lineRule="auto"/>
            <w:ind w:firstLine="720" w:firstLineChars="300"/>
            <w:rPr>
              <w:rFonts w:hint="eastAsia" w:ascii="Times New Roman" w:hAnsi="Times New Roman" w:eastAsia="黑体"/>
              <w:sz w:val="24"/>
              <w:szCs w:val="24"/>
              <w:highlight w:val="none"/>
            </w:rPr>
          </w:pPr>
          <w:r>
            <w:rPr>
              <w:rFonts w:hint="eastAsia" w:ascii="Times New Roman" w:hAnsi="Times New Roman" w:eastAsia="黑体"/>
              <w:sz w:val="24"/>
              <w:szCs w:val="24"/>
              <w:highlight w:val="none"/>
            </w:rPr>
            <w:t>七、一般公共预算财政拨款支出决算明细表</w:t>
          </w:r>
          <w:r>
            <w:rPr>
              <w:b/>
              <w:sz w:val="24"/>
              <w:szCs w:val="24"/>
            </w:rPr>
            <w:tab/>
          </w:r>
          <w:r>
            <w:rPr>
              <w:b/>
              <w:sz w:val="24"/>
              <w:szCs w:val="24"/>
            </w:rPr>
            <w:fldChar w:fldCharType="begin"/>
          </w:r>
          <w:r>
            <w:rPr>
              <w:b/>
              <w:sz w:val="24"/>
              <w:szCs w:val="24"/>
            </w:rPr>
            <w:instrText xml:space="preserve"> PAGEREF _Toc14216 \h </w:instrText>
          </w:r>
          <w:r>
            <w:rPr>
              <w:b/>
              <w:sz w:val="24"/>
              <w:szCs w:val="24"/>
            </w:rPr>
            <w:fldChar w:fldCharType="separate"/>
          </w:r>
          <w:r>
            <w:rPr>
              <w:b/>
              <w:sz w:val="24"/>
              <w:szCs w:val="24"/>
            </w:rPr>
            <w:t>- 32 -</w:t>
          </w:r>
          <w:r>
            <w:rPr>
              <w:b/>
              <w:sz w:val="24"/>
              <w:szCs w:val="24"/>
            </w:rPr>
            <w:fldChar w:fldCharType="end"/>
          </w:r>
        </w:p>
        <w:p w14:paraId="5273C7DF">
          <w:pPr>
            <w:pStyle w:val="44"/>
            <w:tabs>
              <w:tab w:val="right" w:leader="dot" w:pos="8306"/>
            </w:tabs>
            <w:spacing w:line="360" w:lineRule="auto"/>
            <w:ind w:firstLine="720" w:firstLineChars="300"/>
            <w:rPr>
              <w:rFonts w:hint="eastAsia" w:ascii="Times New Roman" w:hAnsi="Times New Roman" w:eastAsia="黑体"/>
              <w:sz w:val="24"/>
              <w:szCs w:val="24"/>
              <w:highlight w:val="none"/>
            </w:rPr>
          </w:pPr>
          <w:r>
            <w:rPr>
              <w:rFonts w:hint="eastAsia" w:ascii="Times New Roman" w:hAnsi="Times New Roman" w:eastAsia="黑体"/>
              <w:sz w:val="24"/>
              <w:szCs w:val="24"/>
              <w:highlight w:val="none"/>
            </w:rPr>
            <w:t>八、一般公共预算财政拨款基本支出决算表</w:t>
          </w:r>
          <w:r>
            <w:rPr>
              <w:b/>
              <w:sz w:val="24"/>
              <w:szCs w:val="24"/>
            </w:rPr>
            <w:tab/>
          </w:r>
          <w:r>
            <w:rPr>
              <w:b/>
              <w:sz w:val="24"/>
              <w:szCs w:val="24"/>
            </w:rPr>
            <w:fldChar w:fldCharType="begin"/>
          </w:r>
          <w:r>
            <w:rPr>
              <w:b/>
              <w:sz w:val="24"/>
              <w:szCs w:val="24"/>
            </w:rPr>
            <w:instrText xml:space="preserve"> PAGEREF _Toc14216 \h </w:instrText>
          </w:r>
          <w:r>
            <w:rPr>
              <w:b/>
              <w:sz w:val="24"/>
              <w:szCs w:val="24"/>
            </w:rPr>
            <w:fldChar w:fldCharType="separate"/>
          </w:r>
          <w:r>
            <w:rPr>
              <w:b/>
              <w:sz w:val="24"/>
              <w:szCs w:val="24"/>
            </w:rPr>
            <w:t>- 32 -</w:t>
          </w:r>
          <w:r>
            <w:rPr>
              <w:b/>
              <w:sz w:val="24"/>
              <w:szCs w:val="24"/>
            </w:rPr>
            <w:fldChar w:fldCharType="end"/>
          </w:r>
        </w:p>
        <w:p w14:paraId="33E8A73F">
          <w:pPr>
            <w:pStyle w:val="44"/>
            <w:tabs>
              <w:tab w:val="right" w:leader="dot" w:pos="8306"/>
            </w:tabs>
            <w:spacing w:line="360" w:lineRule="auto"/>
            <w:ind w:firstLine="720" w:firstLineChars="300"/>
            <w:rPr>
              <w:rFonts w:hint="eastAsia" w:ascii="Times New Roman" w:hAnsi="Times New Roman" w:eastAsia="黑体"/>
              <w:sz w:val="24"/>
              <w:szCs w:val="24"/>
              <w:highlight w:val="none"/>
            </w:rPr>
          </w:pPr>
          <w:r>
            <w:rPr>
              <w:rFonts w:hint="eastAsia" w:ascii="Times New Roman" w:hAnsi="Times New Roman" w:eastAsia="黑体"/>
              <w:sz w:val="24"/>
              <w:szCs w:val="24"/>
              <w:highlight w:val="none"/>
            </w:rPr>
            <w:t>九、一般公共预算财政拨款项目支出决算表</w:t>
          </w:r>
          <w:r>
            <w:rPr>
              <w:b/>
              <w:sz w:val="24"/>
              <w:szCs w:val="24"/>
            </w:rPr>
            <w:tab/>
          </w:r>
          <w:r>
            <w:rPr>
              <w:b/>
              <w:sz w:val="24"/>
              <w:szCs w:val="24"/>
            </w:rPr>
            <w:fldChar w:fldCharType="begin"/>
          </w:r>
          <w:r>
            <w:rPr>
              <w:b/>
              <w:sz w:val="24"/>
              <w:szCs w:val="24"/>
            </w:rPr>
            <w:instrText xml:space="preserve"> PAGEREF _Toc14216 \h </w:instrText>
          </w:r>
          <w:r>
            <w:rPr>
              <w:b/>
              <w:sz w:val="24"/>
              <w:szCs w:val="24"/>
            </w:rPr>
            <w:fldChar w:fldCharType="separate"/>
          </w:r>
          <w:r>
            <w:rPr>
              <w:b/>
              <w:sz w:val="24"/>
              <w:szCs w:val="24"/>
            </w:rPr>
            <w:t>- 32 -</w:t>
          </w:r>
          <w:r>
            <w:rPr>
              <w:b/>
              <w:sz w:val="24"/>
              <w:szCs w:val="24"/>
            </w:rPr>
            <w:fldChar w:fldCharType="end"/>
          </w:r>
        </w:p>
        <w:p w14:paraId="2D874C6C">
          <w:pPr>
            <w:pStyle w:val="44"/>
            <w:tabs>
              <w:tab w:val="right" w:leader="dot" w:pos="8306"/>
            </w:tabs>
            <w:spacing w:line="360" w:lineRule="auto"/>
            <w:ind w:firstLine="720" w:firstLineChars="300"/>
            <w:rPr>
              <w:rFonts w:hint="eastAsia" w:ascii="Times New Roman" w:hAnsi="Times New Roman" w:eastAsia="黑体"/>
              <w:sz w:val="24"/>
              <w:szCs w:val="24"/>
              <w:highlight w:val="none"/>
            </w:rPr>
          </w:pPr>
          <w:r>
            <w:rPr>
              <w:rFonts w:hint="eastAsia" w:ascii="Times New Roman" w:hAnsi="Times New Roman" w:eastAsia="黑体"/>
              <w:sz w:val="24"/>
              <w:szCs w:val="24"/>
              <w:highlight w:val="none"/>
            </w:rPr>
            <w:t>十、政府性基金预算财政拨款收入支出决算表</w:t>
          </w:r>
          <w:r>
            <w:rPr>
              <w:b/>
              <w:sz w:val="24"/>
              <w:szCs w:val="24"/>
            </w:rPr>
            <w:tab/>
          </w:r>
          <w:r>
            <w:rPr>
              <w:b/>
              <w:sz w:val="24"/>
              <w:szCs w:val="24"/>
            </w:rPr>
            <w:fldChar w:fldCharType="begin"/>
          </w:r>
          <w:r>
            <w:rPr>
              <w:b/>
              <w:sz w:val="24"/>
              <w:szCs w:val="24"/>
            </w:rPr>
            <w:instrText xml:space="preserve"> PAGEREF _Toc14216 \h </w:instrText>
          </w:r>
          <w:r>
            <w:rPr>
              <w:b/>
              <w:sz w:val="24"/>
              <w:szCs w:val="24"/>
            </w:rPr>
            <w:fldChar w:fldCharType="separate"/>
          </w:r>
          <w:r>
            <w:rPr>
              <w:b/>
              <w:sz w:val="24"/>
              <w:szCs w:val="24"/>
            </w:rPr>
            <w:t>- 32 -</w:t>
          </w:r>
          <w:r>
            <w:rPr>
              <w:b/>
              <w:sz w:val="24"/>
              <w:szCs w:val="24"/>
            </w:rPr>
            <w:fldChar w:fldCharType="end"/>
          </w:r>
        </w:p>
        <w:p w14:paraId="100609E0">
          <w:pPr>
            <w:pStyle w:val="44"/>
            <w:tabs>
              <w:tab w:val="right" w:leader="dot" w:pos="8306"/>
            </w:tabs>
            <w:spacing w:line="360" w:lineRule="auto"/>
            <w:ind w:firstLine="720" w:firstLineChars="300"/>
            <w:rPr>
              <w:rFonts w:hint="eastAsia" w:ascii="Times New Roman" w:hAnsi="Times New Roman" w:eastAsia="黑体"/>
              <w:sz w:val="24"/>
              <w:szCs w:val="24"/>
              <w:highlight w:val="none"/>
            </w:rPr>
          </w:pPr>
          <w:r>
            <w:rPr>
              <w:rFonts w:hint="eastAsia" w:ascii="Times New Roman" w:hAnsi="Times New Roman" w:eastAsia="黑体"/>
              <w:sz w:val="24"/>
              <w:szCs w:val="24"/>
              <w:highlight w:val="none"/>
            </w:rPr>
            <w:t>十一、国有资本经营预算</w:t>
          </w:r>
          <w:r>
            <w:rPr>
              <w:rFonts w:hint="eastAsia" w:ascii="Times New Roman" w:hAnsi="Times New Roman" w:eastAsia="黑体"/>
              <w:sz w:val="24"/>
              <w:szCs w:val="24"/>
              <w:highlight w:val="none"/>
              <w:lang w:eastAsia="zh-CN"/>
            </w:rPr>
            <w:t>财政拨款收入</w:t>
          </w:r>
          <w:r>
            <w:rPr>
              <w:rFonts w:hint="eastAsia" w:ascii="Times New Roman" w:hAnsi="Times New Roman" w:eastAsia="黑体"/>
              <w:sz w:val="24"/>
              <w:szCs w:val="24"/>
              <w:highlight w:val="none"/>
            </w:rPr>
            <w:t>支出决算表</w:t>
          </w:r>
          <w:r>
            <w:rPr>
              <w:b/>
              <w:sz w:val="24"/>
              <w:szCs w:val="24"/>
            </w:rPr>
            <w:tab/>
          </w:r>
          <w:r>
            <w:rPr>
              <w:b/>
              <w:sz w:val="24"/>
              <w:szCs w:val="24"/>
            </w:rPr>
            <w:fldChar w:fldCharType="begin"/>
          </w:r>
          <w:r>
            <w:rPr>
              <w:b/>
              <w:sz w:val="24"/>
              <w:szCs w:val="24"/>
            </w:rPr>
            <w:instrText xml:space="preserve"> PAGEREF _Toc14216 \h </w:instrText>
          </w:r>
          <w:r>
            <w:rPr>
              <w:b/>
              <w:sz w:val="24"/>
              <w:szCs w:val="24"/>
            </w:rPr>
            <w:fldChar w:fldCharType="separate"/>
          </w:r>
          <w:r>
            <w:rPr>
              <w:b/>
              <w:sz w:val="24"/>
              <w:szCs w:val="24"/>
            </w:rPr>
            <w:t>- 32 -</w:t>
          </w:r>
          <w:r>
            <w:rPr>
              <w:b/>
              <w:sz w:val="24"/>
              <w:szCs w:val="24"/>
            </w:rPr>
            <w:fldChar w:fldCharType="end"/>
          </w:r>
        </w:p>
        <w:p w14:paraId="0E8E0DCE">
          <w:pPr>
            <w:pStyle w:val="44"/>
            <w:tabs>
              <w:tab w:val="right" w:leader="dot" w:pos="8306"/>
            </w:tabs>
            <w:spacing w:line="360" w:lineRule="auto"/>
            <w:ind w:firstLine="720" w:firstLineChars="300"/>
            <w:rPr>
              <w:rFonts w:hint="eastAsia" w:ascii="Times New Roman" w:hAnsi="Times New Roman" w:eastAsia="黑体"/>
              <w:sz w:val="24"/>
              <w:szCs w:val="24"/>
              <w:highlight w:val="none"/>
            </w:rPr>
          </w:pPr>
          <w:r>
            <w:rPr>
              <w:rFonts w:hint="eastAsia" w:ascii="Times New Roman" w:hAnsi="Times New Roman" w:eastAsia="黑体"/>
              <w:sz w:val="24"/>
              <w:szCs w:val="24"/>
              <w:highlight w:val="none"/>
            </w:rPr>
            <w:t>十二、</w:t>
          </w:r>
          <w:r>
            <w:rPr>
              <w:rFonts w:hint="eastAsia" w:ascii="Times New Roman" w:hAnsi="Times New Roman" w:eastAsia="黑体"/>
              <w:sz w:val="24"/>
              <w:szCs w:val="24"/>
              <w:highlight w:val="none"/>
              <w:lang w:eastAsia="zh-CN"/>
            </w:rPr>
            <w:t>国有资本经营预算财政拨款支出决算表</w:t>
          </w:r>
          <w:r>
            <w:rPr>
              <w:b/>
              <w:sz w:val="24"/>
              <w:szCs w:val="24"/>
            </w:rPr>
            <w:tab/>
          </w:r>
          <w:r>
            <w:rPr>
              <w:b/>
              <w:sz w:val="24"/>
              <w:szCs w:val="24"/>
            </w:rPr>
            <w:fldChar w:fldCharType="begin"/>
          </w:r>
          <w:r>
            <w:rPr>
              <w:b/>
              <w:sz w:val="24"/>
              <w:szCs w:val="24"/>
            </w:rPr>
            <w:instrText xml:space="preserve"> PAGEREF _Toc14216 \h </w:instrText>
          </w:r>
          <w:r>
            <w:rPr>
              <w:b/>
              <w:sz w:val="24"/>
              <w:szCs w:val="24"/>
            </w:rPr>
            <w:fldChar w:fldCharType="separate"/>
          </w:r>
          <w:r>
            <w:rPr>
              <w:b/>
              <w:sz w:val="24"/>
              <w:szCs w:val="24"/>
            </w:rPr>
            <w:t>- 32 -</w:t>
          </w:r>
          <w:r>
            <w:rPr>
              <w:b/>
              <w:sz w:val="24"/>
              <w:szCs w:val="24"/>
            </w:rPr>
            <w:fldChar w:fldCharType="end"/>
          </w:r>
        </w:p>
        <w:p w14:paraId="02DA23C1">
          <w:pPr>
            <w:pStyle w:val="44"/>
            <w:tabs>
              <w:tab w:val="right" w:leader="dot" w:pos="8306"/>
            </w:tabs>
            <w:spacing w:line="360" w:lineRule="auto"/>
            <w:ind w:firstLine="720" w:firstLineChars="300"/>
            <w:rPr>
              <w:rFonts w:hint="eastAsia" w:ascii="Times New Roman" w:hAnsi="Times New Roman" w:eastAsia="黑体"/>
              <w:sz w:val="24"/>
              <w:szCs w:val="24"/>
              <w:highlight w:val="none"/>
              <w:lang w:eastAsia="zh-CN"/>
            </w:rPr>
          </w:pPr>
          <w:r>
            <w:rPr>
              <w:rFonts w:hint="eastAsia" w:ascii="Times New Roman" w:hAnsi="Times New Roman" w:eastAsia="黑体"/>
              <w:sz w:val="24"/>
              <w:szCs w:val="24"/>
              <w:highlight w:val="none"/>
            </w:rPr>
            <w:t>十三、</w:t>
          </w:r>
          <w:r>
            <w:rPr>
              <w:rFonts w:hint="eastAsia" w:ascii="Times New Roman" w:hAnsi="Times New Roman" w:eastAsia="黑体"/>
              <w:sz w:val="24"/>
              <w:szCs w:val="24"/>
              <w:highlight w:val="none"/>
              <w:lang w:eastAsia="zh-CN"/>
            </w:rPr>
            <w:t>财政拨款“三公”经费支出决算表</w:t>
          </w:r>
          <w:r>
            <w:rPr>
              <w:b/>
              <w:sz w:val="24"/>
              <w:szCs w:val="24"/>
            </w:rPr>
            <w:tab/>
          </w:r>
          <w:r>
            <w:rPr>
              <w:b/>
              <w:sz w:val="24"/>
              <w:szCs w:val="24"/>
            </w:rPr>
            <w:fldChar w:fldCharType="begin"/>
          </w:r>
          <w:r>
            <w:rPr>
              <w:b/>
              <w:sz w:val="24"/>
              <w:szCs w:val="24"/>
            </w:rPr>
            <w:instrText xml:space="preserve"> PAGEREF _Toc14216 \h </w:instrText>
          </w:r>
          <w:r>
            <w:rPr>
              <w:b/>
              <w:sz w:val="24"/>
              <w:szCs w:val="24"/>
            </w:rPr>
            <w:fldChar w:fldCharType="separate"/>
          </w:r>
          <w:r>
            <w:rPr>
              <w:b/>
              <w:sz w:val="24"/>
              <w:szCs w:val="24"/>
            </w:rPr>
            <w:t>- 32 -</w:t>
          </w:r>
          <w:r>
            <w:rPr>
              <w:b/>
              <w:sz w:val="24"/>
              <w:szCs w:val="24"/>
            </w:rPr>
            <w:fldChar w:fldCharType="end"/>
          </w:r>
        </w:p>
        <w:p w14:paraId="07DBD4B6">
          <w:pPr>
            <w:pStyle w:val="44"/>
            <w:keepNext w:val="0"/>
            <w:keepLines w:val="0"/>
            <w:pageBreakBefore w:val="0"/>
            <w:widowControl/>
            <w:tabs>
              <w:tab w:val="right" w:leader="dot" w:pos="8306"/>
            </w:tabs>
            <w:kinsoku/>
            <w:wordWrap/>
            <w:overflowPunct/>
            <w:topLinePunct w:val="0"/>
            <w:autoSpaceDE/>
            <w:autoSpaceDN/>
            <w:bidi w:val="0"/>
            <w:adjustRightInd/>
            <w:snapToGrid/>
            <w:spacing w:line="120" w:lineRule="exact"/>
            <w:jc w:val="right"/>
            <w:textAlignment w:val="auto"/>
            <w:rPr>
              <w:rFonts w:hint="eastAsia" w:ascii="Times New Roman" w:hAnsi="Times New Roman" w:eastAsia="黑体"/>
              <w:sz w:val="24"/>
              <w:szCs w:val="24"/>
              <w:highlight w:val="none"/>
              <w:lang w:val="en-US" w:eastAsia="zh-CN"/>
            </w:rPr>
            <w:sectPr>
              <w:footerReference r:id="rId5" w:type="default"/>
              <w:pgSz w:w="11906" w:h="16838"/>
              <w:pgMar w:top="1440" w:right="1800" w:bottom="1440" w:left="1800" w:header="851" w:footer="992" w:gutter="0"/>
              <w:pgNumType w:fmt="numberInDash" w:start="1"/>
              <w:cols w:space="425" w:num="1"/>
              <w:docGrid w:type="lines" w:linePitch="312" w:charSpace="0"/>
            </w:sectPr>
          </w:pPr>
        </w:p>
      </w:sdtContent>
    </w:sdt>
    <w:p w14:paraId="452AAD6B">
      <w:pPr>
        <w:pStyle w:val="5"/>
        <w:ind w:firstLine="2640" w:firstLineChars="600"/>
        <w:jc w:val="both"/>
        <w:rPr>
          <w:rFonts w:ascii="Times New Roman" w:hAnsi="Times New Roman" w:eastAsia="黑体"/>
          <w:color w:val="auto"/>
          <w:sz w:val="32"/>
          <w:szCs w:val="32"/>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36"/>
          <w:rFonts w:hint="eastAsia" w:ascii="Times New Roman" w:hAnsi="Times New Roman" w:eastAsia="方正小标宋简体" w:cs="方正小标宋简体"/>
          <w:b w:val="0"/>
          <w:bCs w:val="0"/>
          <w:color w:val="auto"/>
          <w:highlight w:val="none"/>
        </w:rPr>
        <w:t>部门概况</w:t>
      </w:r>
      <w:bookmarkEnd w:id="6"/>
      <w:bookmarkEnd w:id="7"/>
      <w:bookmarkEnd w:id="8"/>
    </w:p>
    <w:p w14:paraId="15CAC36D">
      <w:pPr>
        <w:pStyle w:val="6"/>
        <w:keepNext/>
        <w:keepLines/>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黑体"/>
          <w:b w:val="0"/>
          <w:color w:val="auto"/>
          <w:highlight w:val="none"/>
          <w:lang w:eastAsia="zh-CN"/>
        </w:rPr>
      </w:pPr>
      <w:bookmarkStart w:id="9" w:name="_Toc15377197"/>
      <w:bookmarkStart w:id="10" w:name="_Toc15396600"/>
      <w:bookmarkStart w:id="11" w:name="_Toc12067"/>
      <w:r>
        <w:rPr>
          <w:rFonts w:hint="eastAsia" w:ascii="Times New Roman" w:hAnsi="Times New Roman" w:eastAsia="黑体"/>
          <w:b w:val="0"/>
          <w:color w:val="auto"/>
          <w:highlight w:val="none"/>
        </w:rPr>
        <w:t>一、</w:t>
      </w:r>
      <w:bookmarkEnd w:id="9"/>
      <w:bookmarkEnd w:id="10"/>
      <w:r>
        <w:rPr>
          <w:rFonts w:hint="eastAsia" w:ascii="Times New Roman" w:hAnsi="Times New Roman" w:eastAsia="黑体"/>
          <w:b w:val="0"/>
          <w:color w:val="auto"/>
          <w:highlight w:val="none"/>
          <w:lang w:eastAsia="zh-CN"/>
        </w:rPr>
        <w:t>部门职责</w:t>
      </w:r>
      <w:bookmarkEnd w:id="11"/>
    </w:p>
    <w:p w14:paraId="10FFF521">
      <w:pPr>
        <w:ind w:firstLine="640" w:firstLineChars="200"/>
        <w:rPr>
          <w:rFonts w:hint="eastAsia" w:ascii="仿宋_GB2312" w:hAnsi="仿宋_GB2312" w:eastAsia="仿宋_GB2312" w:cs="仿宋_GB2312"/>
          <w:bCs/>
          <w:color w:val="000000"/>
          <w:sz w:val="32"/>
          <w:szCs w:val="32"/>
          <w:lang w:val="zh-CN"/>
        </w:rPr>
      </w:pPr>
      <w:r>
        <w:rPr>
          <w:rFonts w:hint="eastAsia" w:ascii="仿宋_GB2312" w:hAnsi="仿宋_GB2312" w:eastAsia="仿宋_GB2312" w:cs="仿宋_GB2312"/>
          <w:bCs/>
          <w:color w:val="000000"/>
          <w:sz w:val="32"/>
          <w:szCs w:val="32"/>
        </w:rPr>
        <w:t>区委巡察办负责向区委和区委巡察工作领导小组报告工作情况，传达贯彻上级巡视巡察机构和区委巡察工作领导小组的决策和部署；统筹、协调、指导巡察组开展工作；承担政策研究、制度建设等工作；对区委和区委巡察工作领导小组决定的事项进行督办；配合区纪委、区委组织部及有关部门对巡察工作人员进行培训、考核、监督和管理；健全与纪检监察机关、政法机关和组织、审计、信访等部门的联合机制，负责与其沟通衔接；完成区委和区委巡察工作领导小组交办的其他任务。区委</w:t>
      </w:r>
      <w:bookmarkStart w:id="83" w:name="_GoBack"/>
      <w:bookmarkEnd w:id="83"/>
      <w:r>
        <w:rPr>
          <w:rFonts w:hint="eastAsia" w:ascii="仿宋_GB2312" w:hAnsi="仿宋_GB2312" w:eastAsia="仿宋_GB2312" w:cs="仿宋_GB2312"/>
          <w:bCs/>
          <w:color w:val="000000"/>
          <w:sz w:val="32"/>
          <w:szCs w:val="32"/>
        </w:rPr>
        <w:t>各巡察组向区委巡察工作领导小组负责并报告工作；根据巡察工作计划开展巡察工作；办理区委巡察工作领导小组交办的其他事项。区巡察信息服务中心向区委巡察办报告工作；负责区委巡察信息化建设的规划、实施，承担数据和巡察信息的收集、汇总、管理、分析利用、保密等工作；负责配合区委巡察组做好日常联络服务工作；负责互联网、党政网、纪检监察专网、财经网等工作运行网络的建设、管理和维护；完成区委巡察办的其他事项。</w:t>
      </w:r>
    </w:p>
    <w:p w14:paraId="6C8143AA">
      <w:pPr>
        <w:pStyle w:val="6"/>
        <w:ind w:firstLine="640" w:firstLineChars="200"/>
        <w:rPr>
          <w:rStyle w:val="37"/>
          <w:rFonts w:ascii="Times New Roman" w:hAnsi="Times New Roman"/>
          <w:b w:val="0"/>
          <w:bCs w:val="0"/>
          <w:color w:val="auto"/>
          <w:highlight w:val="none"/>
        </w:rPr>
      </w:pPr>
      <w:bookmarkStart w:id="12" w:name="_Toc9967"/>
      <w:bookmarkStart w:id="13" w:name="_Toc15377200"/>
      <w:bookmarkStart w:id="14" w:name="_Toc15396601"/>
      <w:r>
        <w:rPr>
          <w:rFonts w:hint="eastAsia" w:ascii="Times New Roman" w:hAnsi="Times New Roman" w:eastAsia="黑体"/>
          <w:b w:val="0"/>
          <w:color w:val="auto"/>
          <w:highlight w:val="none"/>
        </w:rPr>
        <w:t>二、机</w:t>
      </w:r>
      <w:r>
        <w:rPr>
          <w:rStyle w:val="37"/>
          <w:rFonts w:hint="eastAsia" w:ascii="Times New Roman" w:hAnsi="Times New Roman" w:eastAsia="黑体"/>
          <w:b w:val="0"/>
          <w:bCs w:val="0"/>
          <w:color w:val="auto"/>
          <w:highlight w:val="none"/>
        </w:rPr>
        <w:t>构设置</w:t>
      </w:r>
      <w:bookmarkEnd w:id="12"/>
      <w:bookmarkEnd w:id="13"/>
      <w:bookmarkEnd w:id="14"/>
    </w:p>
    <w:p w14:paraId="2DFED8A6">
      <w:pPr>
        <w:ind w:firstLine="709"/>
        <w:rPr>
          <w:rFonts w:hint="eastAsia" w:ascii="仿宋_GB2312" w:hAnsi="仿宋" w:eastAsia="仿宋_GB2312" w:cs="仿宋"/>
          <w:bCs/>
          <w:color w:val="000000"/>
          <w:sz w:val="32"/>
          <w:szCs w:val="32"/>
        </w:rPr>
      </w:pPr>
      <w:bookmarkStart w:id="15" w:name="_Toc13167"/>
      <w:bookmarkStart w:id="16" w:name="_Toc15396602"/>
      <w:bookmarkStart w:id="17" w:name="_Toc15377204"/>
      <w:r>
        <w:rPr>
          <w:rFonts w:ascii="仿宋_GB2312" w:hAnsi="仿宋" w:eastAsia="仿宋_GB2312" w:cs="仿宋"/>
          <w:bCs/>
          <w:color w:val="000000"/>
          <w:sz w:val="32"/>
          <w:szCs w:val="32"/>
        </w:rPr>
        <w:t>区委巡察办下属二级单位0个，其中行政单位0个，参照公务员法管理的事业单位0个，其他事业单位0个。</w:t>
      </w:r>
    </w:p>
    <w:p w14:paraId="180B8A88">
      <w:pPr>
        <w:pStyle w:val="5"/>
        <w:jc w:val="center"/>
        <w:rPr>
          <w:rFonts w:hint="eastAsia" w:ascii="Times New Roman" w:hAnsi="Times New Roman" w:eastAsia="方正小标宋简体" w:cs="方正小标宋简体"/>
          <w:b w:val="0"/>
          <w:color w:val="auto"/>
          <w:highlight w:val="none"/>
        </w:rPr>
      </w:pPr>
    </w:p>
    <w:p w14:paraId="0731313D">
      <w:pPr>
        <w:rPr>
          <w:rFonts w:hint="eastAsia" w:ascii="Times New Roman" w:hAnsi="Times New Roman" w:eastAsia="方正小标宋简体" w:cs="方正小标宋简体"/>
          <w:b w:val="0"/>
          <w:color w:val="auto"/>
          <w:highlight w:val="none"/>
        </w:rPr>
      </w:pPr>
    </w:p>
    <w:p w14:paraId="0BC7FDBC">
      <w:pPr>
        <w:pStyle w:val="14"/>
        <w:rPr>
          <w:rFonts w:hint="eastAsia" w:ascii="Times New Roman" w:hAnsi="Times New Roman" w:eastAsia="方正小标宋简体" w:cs="方正小标宋简体"/>
          <w:b w:val="0"/>
          <w:color w:val="auto"/>
          <w:highlight w:val="none"/>
        </w:rPr>
      </w:pPr>
    </w:p>
    <w:p w14:paraId="2DA75685">
      <w:pPr>
        <w:pStyle w:val="12"/>
        <w:rPr>
          <w:rFonts w:hint="eastAsia" w:ascii="Times New Roman" w:hAnsi="Times New Roman" w:eastAsia="方正小标宋简体" w:cs="方正小标宋简体"/>
          <w:b w:val="0"/>
          <w:color w:val="auto"/>
          <w:highlight w:val="none"/>
        </w:rPr>
      </w:pPr>
    </w:p>
    <w:p w14:paraId="76F8FA11">
      <w:pPr>
        <w:rPr>
          <w:rFonts w:hint="eastAsia"/>
        </w:rPr>
      </w:pPr>
    </w:p>
    <w:p w14:paraId="23D51B42">
      <w:pPr>
        <w:rPr>
          <w:rFonts w:hint="eastAsia" w:ascii="Times New Roman" w:hAnsi="Times New Roman" w:eastAsia="方正小标宋简体" w:cs="方正小标宋简体"/>
          <w:b w:val="0"/>
          <w:color w:val="auto"/>
          <w:highlight w:val="none"/>
        </w:rPr>
      </w:pPr>
    </w:p>
    <w:p w14:paraId="30BC2B60">
      <w:pPr>
        <w:pStyle w:val="25"/>
        <w:rPr>
          <w:rFonts w:hint="eastAsia" w:ascii="Times New Roman" w:hAnsi="Times New Roman" w:eastAsia="方正小标宋简体" w:cs="方正小标宋简体"/>
          <w:b w:val="0"/>
          <w:color w:val="auto"/>
          <w:highlight w:val="none"/>
        </w:rPr>
      </w:pPr>
    </w:p>
    <w:p w14:paraId="02DAB31F">
      <w:pPr>
        <w:pStyle w:val="25"/>
        <w:rPr>
          <w:rFonts w:hint="eastAsia" w:ascii="Times New Roman" w:hAnsi="Times New Roman" w:eastAsia="方正小标宋简体" w:cs="方正小标宋简体"/>
          <w:b w:val="0"/>
          <w:color w:val="auto"/>
          <w:highlight w:val="none"/>
        </w:rPr>
      </w:pPr>
    </w:p>
    <w:p w14:paraId="663AC36A">
      <w:pPr>
        <w:pStyle w:val="5"/>
        <w:jc w:val="center"/>
        <w:rPr>
          <w:rFonts w:hint="eastAsia" w:ascii="Times New Roman" w:hAnsi="Times New Roman" w:eastAsia="方正小标宋简体" w:cs="方正小标宋简体"/>
          <w:b w:val="0"/>
          <w:color w:val="auto"/>
          <w:highlight w:val="none"/>
        </w:rPr>
      </w:pPr>
    </w:p>
    <w:p w14:paraId="7102146A">
      <w:pPr>
        <w:rPr>
          <w:rFonts w:hint="eastAsia"/>
        </w:rPr>
      </w:pPr>
    </w:p>
    <w:p w14:paraId="090D2510">
      <w:pPr>
        <w:pStyle w:val="5"/>
        <w:jc w:val="center"/>
        <w:rPr>
          <w:rFonts w:hint="eastAsia" w:ascii="Times New Roman" w:hAnsi="Times New Roman" w:eastAsia="方正小标宋简体" w:cs="方正小标宋简体"/>
          <w:b w:val="0"/>
          <w:color w:val="auto"/>
          <w:highlight w:val="none"/>
        </w:rPr>
      </w:pPr>
    </w:p>
    <w:p w14:paraId="5D74E5C5">
      <w:pPr>
        <w:pStyle w:val="5"/>
        <w:jc w:val="center"/>
        <w:rPr>
          <w:rFonts w:hint="eastAsia" w:ascii="Times New Roman" w:hAnsi="Times New Roman" w:eastAsia="方正小标宋简体" w:cs="方正小标宋简体"/>
          <w:b w:val="0"/>
          <w:color w:val="auto"/>
          <w:highlight w:val="none"/>
        </w:rPr>
      </w:pPr>
    </w:p>
    <w:p w14:paraId="7BA3BE60">
      <w:pPr>
        <w:pStyle w:val="5"/>
        <w:jc w:val="center"/>
        <w:rPr>
          <w:rFonts w:hint="eastAsia" w:ascii="Times New Roman" w:hAnsi="Times New Roman" w:eastAsia="方正小标宋简体" w:cs="方正小标宋简体"/>
          <w:b w:val="0"/>
          <w:color w:val="auto"/>
          <w:highlight w:val="none"/>
        </w:rPr>
      </w:pPr>
    </w:p>
    <w:p w14:paraId="3D3CE7D7">
      <w:pPr>
        <w:pStyle w:val="5"/>
        <w:jc w:val="center"/>
        <w:rPr>
          <w:rFonts w:hint="eastAsia" w:ascii="Times New Roman" w:hAnsi="Times New Roman" w:eastAsia="方正小标宋简体" w:cs="方正小标宋简体"/>
          <w:b w:val="0"/>
          <w:color w:val="auto"/>
          <w:highlight w:val="none"/>
        </w:rPr>
      </w:pPr>
    </w:p>
    <w:p w14:paraId="7B4CB3F9">
      <w:pPr>
        <w:pStyle w:val="5"/>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小标宋简体" w:cs="方正小标宋简体"/>
          <w:b w:val="0"/>
          <w:color w:val="auto"/>
          <w:highlight w:val="none"/>
        </w:rPr>
      </w:pPr>
    </w:p>
    <w:p w14:paraId="5C5102B5">
      <w:pPr>
        <w:rPr>
          <w:rFonts w:hint="eastAsia" w:ascii="Times New Roman" w:hAnsi="Times New Roman" w:eastAsia="方正小标宋简体" w:cs="方正小标宋简体"/>
          <w:b w:val="0"/>
          <w:color w:val="auto"/>
          <w:highlight w:val="none"/>
        </w:rPr>
      </w:pPr>
    </w:p>
    <w:p w14:paraId="59F8E71F">
      <w:pPr>
        <w:pStyle w:val="2"/>
        <w:rPr>
          <w:rFonts w:hint="eastAsia"/>
        </w:rPr>
      </w:pPr>
    </w:p>
    <w:p w14:paraId="0CBABB77">
      <w:pPr>
        <w:pStyle w:val="5"/>
        <w:jc w:val="center"/>
        <w:rPr>
          <w:rFonts w:hint="eastAsia" w:ascii="Times New Roman" w:hAnsi="Times New Roman" w:eastAsia="方正小标宋简体" w:cs="方正小标宋简体"/>
          <w:b w:val="0"/>
          <w:color w:val="auto"/>
          <w:highlight w:val="none"/>
        </w:rPr>
      </w:pPr>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5"/>
      <w:bookmarkEnd w:id="16"/>
      <w:bookmarkEnd w:id="17"/>
    </w:p>
    <w:p w14:paraId="311F8F27">
      <w:pPr>
        <w:rPr>
          <w:rFonts w:ascii="Times New Roman" w:hAnsi="Times New Roman"/>
          <w:color w:val="auto"/>
          <w:highlight w:val="none"/>
        </w:rPr>
      </w:pPr>
    </w:p>
    <w:p w14:paraId="5F718223">
      <w:pPr>
        <w:pStyle w:val="35"/>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7"/>
          <w:rFonts w:hint="eastAsia" w:ascii="Times New Roman" w:hAnsi="Times New Roman" w:eastAsia="黑体"/>
          <w:b w:val="0"/>
          <w:color w:val="auto"/>
          <w:highlight w:val="none"/>
        </w:rPr>
      </w:pPr>
      <w:bookmarkStart w:id="18" w:name="_Toc15377205"/>
      <w:bookmarkStart w:id="19" w:name="_Toc15396603"/>
      <w:bookmarkStart w:id="20" w:name="_Toc888"/>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7"/>
          <w:rFonts w:hint="eastAsia" w:ascii="Times New Roman" w:hAnsi="Times New Roman" w:eastAsia="黑体"/>
          <w:b w:val="0"/>
          <w:color w:val="auto"/>
          <w:highlight w:val="none"/>
        </w:rPr>
        <w:t>入支出决算总体情况说明</w:t>
      </w:r>
      <w:bookmarkEnd w:id="18"/>
      <w:bookmarkEnd w:id="19"/>
      <w:bookmarkEnd w:id="20"/>
    </w:p>
    <w:p w14:paraId="7F5C1C98">
      <w:pPr>
        <w:pStyle w:val="35"/>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2024年度收、支总计均为433.36万元。与2023年度相比，收、支总计各增加27.29万元，增长6.72%。主要变动原因系本年度</w:t>
      </w:r>
      <w:r>
        <w:rPr>
          <w:rFonts w:hint="eastAsia" w:eastAsia="仿宋_GB2312" w:cs="仿宋_GB2312"/>
          <w:color w:val="auto"/>
          <w:sz w:val="32"/>
          <w:szCs w:val="32"/>
          <w:highlight w:val="none"/>
          <w:lang w:val="en-US" w:eastAsia="zh-CN"/>
        </w:rPr>
        <w:t>因巡察任务增加导致巡察工作专项经费增加</w:t>
      </w:r>
      <w:r>
        <w:rPr>
          <w:rFonts w:hint="eastAsia" w:ascii="Times New Roman" w:hAnsi="Times New Roman" w:eastAsia="仿宋_GB2312" w:cs="仿宋_GB2312"/>
          <w:color w:val="auto"/>
          <w:sz w:val="32"/>
          <w:szCs w:val="32"/>
          <w:highlight w:val="none"/>
          <w:lang w:val="en-US" w:eastAsia="zh-CN"/>
        </w:rPr>
        <w:t>。</w:t>
      </w:r>
    </w:p>
    <w:p w14:paraId="3AB68497">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drawing>
          <wp:inline distT="0" distB="0" distL="114300" distR="114300">
            <wp:extent cx="5080000" cy="3810000"/>
            <wp:effectExtent l="4445" t="4445" r="20955" b="1460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D76AD7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14:paraId="016FE526">
      <w:pPr>
        <w:pStyle w:val="35"/>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1" w:name="_Toc9005"/>
      <w:bookmarkStart w:id="22" w:name="_Toc15377206"/>
      <w:bookmarkStart w:id="23" w:name="_Toc15396604"/>
      <w:r>
        <w:rPr>
          <w:rFonts w:hint="eastAsia" w:ascii="Times New Roman" w:hAnsi="Times New Roman" w:eastAsia="黑体"/>
          <w:color w:val="auto"/>
          <w:sz w:val="32"/>
          <w:szCs w:val="32"/>
          <w:highlight w:val="none"/>
          <w:lang w:eastAsia="zh-CN"/>
        </w:rPr>
        <w:t>二、收入决算情况说明</w:t>
      </w:r>
      <w:bookmarkEnd w:id="21"/>
      <w:bookmarkEnd w:id="22"/>
      <w:bookmarkEnd w:id="23"/>
    </w:p>
    <w:p w14:paraId="2BDDC366">
      <w:pPr>
        <w:pStyle w:val="35"/>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bookmarkStart w:id="24" w:name="_Toc8621"/>
      <w:r>
        <w:rPr>
          <w:rFonts w:hint="eastAsia" w:ascii="Times New Roman" w:hAnsi="Times New Roman" w:eastAsia="仿宋_GB2312" w:cs="仿宋_GB2312"/>
          <w:color w:val="auto"/>
          <w:sz w:val="32"/>
          <w:szCs w:val="32"/>
          <w:highlight w:val="none"/>
          <w:lang w:eastAsia="zh-CN"/>
        </w:rPr>
        <w:t>2024年度本年收入合计433.36万元，其中：一般公共预算财政拨款收入433.36万元，占</w:t>
      </w:r>
      <w:r>
        <w:rPr>
          <w:rFonts w:hint="eastAsia" w:eastAsia="仿宋_GB2312" w:cs="仿宋_GB2312"/>
          <w:color w:val="auto"/>
          <w:sz w:val="32"/>
          <w:szCs w:val="32"/>
          <w:highlight w:val="none"/>
          <w:lang w:val="en-US" w:eastAsia="zh-CN"/>
        </w:rPr>
        <w:t>100</w:t>
      </w:r>
      <w:r>
        <w:rPr>
          <w:rFonts w:hint="eastAsia" w:ascii="Times New Roman" w:hAnsi="Times New Roman" w:eastAsia="仿宋_GB2312" w:cs="仿宋_GB2312"/>
          <w:color w:val="auto"/>
          <w:sz w:val="32"/>
          <w:szCs w:val="32"/>
          <w:highlight w:val="none"/>
          <w:lang w:eastAsia="zh-CN"/>
        </w:rPr>
        <w:t>%。</w:t>
      </w:r>
      <w:bookmarkEnd w:id="24"/>
    </w:p>
    <w:p w14:paraId="6705BDAE">
      <w:pPr>
        <w:pStyle w:val="35"/>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drawing>
          <wp:inline distT="0" distB="0" distL="114300" distR="114300">
            <wp:extent cx="5080000" cy="3810000"/>
            <wp:effectExtent l="4445" t="4445" r="20955" b="1460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42A4F49">
      <w:pPr>
        <w:ind w:firstLine="800" w:firstLineChars="250"/>
        <w:jc w:val="center"/>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（图2：收入决算结构图）（饼状图）</w:t>
      </w:r>
    </w:p>
    <w:p w14:paraId="14D084D1">
      <w:pPr>
        <w:pStyle w:val="35"/>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7"/>
          <w:rFonts w:hint="eastAsia" w:ascii="Times New Roman" w:hAnsi="Times New Roman" w:eastAsia="黑体"/>
          <w:b w:val="0"/>
          <w:color w:val="auto"/>
          <w:highlight w:val="none"/>
        </w:rPr>
      </w:pPr>
      <w:bookmarkStart w:id="25" w:name="_Toc15396605"/>
      <w:bookmarkStart w:id="26" w:name="_Toc15377207"/>
      <w:bookmarkStart w:id="27" w:name="_Toc5908"/>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7"/>
          <w:rFonts w:hint="eastAsia" w:ascii="Times New Roman" w:hAnsi="Times New Roman" w:eastAsia="黑体"/>
          <w:b w:val="0"/>
          <w:color w:val="auto"/>
          <w:highlight w:val="none"/>
        </w:rPr>
        <w:t>出决算情况说明</w:t>
      </w:r>
      <w:bookmarkEnd w:id="25"/>
      <w:bookmarkEnd w:id="26"/>
      <w:bookmarkEnd w:id="27"/>
    </w:p>
    <w:p w14:paraId="5C0BE83A">
      <w:pPr>
        <w:pStyle w:val="35"/>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仿宋_GB2312" w:cs="仿宋_GB2312"/>
          <w:color w:val="auto"/>
          <w:sz w:val="32"/>
          <w:szCs w:val="32"/>
          <w:highlight w:val="none"/>
          <w:lang w:val="en-US" w:eastAsia="zh-CN"/>
        </w:rPr>
      </w:pPr>
      <w:bookmarkStart w:id="28" w:name="_Toc5023"/>
      <w:r>
        <w:rPr>
          <w:rFonts w:hint="eastAsia" w:ascii="Times New Roman" w:hAnsi="Times New Roman" w:eastAsia="仿宋_GB2312" w:cs="仿宋_GB2312"/>
          <w:color w:val="auto"/>
          <w:sz w:val="32"/>
          <w:szCs w:val="32"/>
          <w:highlight w:val="none"/>
          <w:lang w:eastAsia="zh-CN"/>
        </w:rPr>
        <w:t>2024年度本年支出合计433.36万元，其中：基本支出308.36万元，占</w:t>
      </w:r>
      <w:r>
        <w:rPr>
          <w:rFonts w:hint="eastAsia" w:eastAsia="仿宋_GB2312" w:cs="仿宋_GB2312"/>
          <w:color w:val="auto"/>
          <w:sz w:val="32"/>
          <w:szCs w:val="32"/>
          <w:highlight w:val="none"/>
          <w:lang w:val="en-US" w:eastAsia="zh-CN"/>
        </w:rPr>
        <w:t>71.16</w:t>
      </w:r>
      <w:r>
        <w:rPr>
          <w:rFonts w:hint="eastAsia" w:ascii="Times New Roman" w:hAnsi="Times New Roman" w:eastAsia="仿宋_GB2312" w:cs="仿宋_GB2312"/>
          <w:color w:val="auto"/>
          <w:sz w:val="32"/>
          <w:szCs w:val="32"/>
          <w:highlight w:val="none"/>
          <w:lang w:eastAsia="zh-CN"/>
        </w:rPr>
        <w:t>%；项目支出125.00万元，占</w:t>
      </w:r>
      <w:r>
        <w:rPr>
          <w:rFonts w:hint="eastAsia" w:eastAsia="仿宋_GB2312" w:cs="仿宋_GB2312"/>
          <w:color w:val="auto"/>
          <w:sz w:val="32"/>
          <w:szCs w:val="32"/>
          <w:highlight w:val="none"/>
          <w:lang w:val="en-US" w:eastAsia="zh-CN"/>
        </w:rPr>
        <w:t>28.84</w:t>
      </w:r>
      <w:r>
        <w:rPr>
          <w:rFonts w:hint="eastAsia" w:ascii="Times New Roman" w:hAnsi="Times New Roman" w:eastAsia="仿宋_GB2312" w:cs="仿宋_GB2312"/>
          <w:color w:val="auto"/>
          <w:sz w:val="32"/>
          <w:szCs w:val="32"/>
          <w:highlight w:val="none"/>
          <w:lang w:eastAsia="zh-CN"/>
        </w:rPr>
        <w:t>%</w:t>
      </w:r>
      <w:bookmarkEnd w:id="28"/>
      <w:r>
        <w:rPr>
          <w:rFonts w:hint="eastAsia" w:eastAsia="仿宋_GB2312" w:cs="仿宋_GB2312"/>
          <w:color w:val="auto"/>
          <w:sz w:val="32"/>
          <w:szCs w:val="32"/>
          <w:highlight w:val="none"/>
          <w:lang w:eastAsia="zh-CN"/>
        </w:rPr>
        <w:t>。</w:t>
      </w:r>
    </w:p>
    <w:p w14:paraId="13F418DF">
      <w:pPr>
        <w:pStyle w:val="35"/>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drawing>
          <wp:inline distT="0" distB="0" distL="114300" distR="114300">
            <wp:extent cx="5080000" cy="3810000"/>
            <wp:effectExtent l="4445" t="4445" r="20955" b="1460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F6A707A">
      <w:pPr>
        <w:ind w:firstLine="800" w:firstLineChars="250"/>
        <w:jc w:val="center"/>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（图3：支出决算结构图）（饼状图）</w:t>
      </w:r>
    </w:p>
    <w:p w14:paraId="4F292017">
      <w:pPr>
        <w:spacing w:line="600" w:lineRule="exact"/>
        <w:ind w:firstLine="640" w:firstLineChars="200"/>
        <w:outlineLvl w:val="1"/>
        <w:rPr>
          <w:rStyle w:val="37"/>
          <w:rFonts w:ascii="Times New Roman" w:hAnsi="Times New Roman" w:eastAsia="黑体"/>
          <w:b w:val="0"/>
          <w:color w:val="auto"/>
          <w:highlight w:val="none"/>
        </w:rPr>
      </w:pPr>
      <w:bookmarkStart w:id="29" w:name="_Toc14698"/>
      <w:bookmarkStart w:id="30" w:name="_Toc15377208"/>
      <w:bookmarkStart w:id="31" w:name="_Toc15396606"/>
      <w:r>
        <w:rPr>
          <w:rFonts w:hint="eastAsia" w:ascii="Times New Roman" w:hAnsi="Times New Roman" w:eastAsia="黑体"/>
          <w:color w:val="auto"/>
          <w:sz w:val="32"/>
          <w:szCs w:val="32"/>
          <w:highlight w:val="none"/>
        </w:rPr>
        <w:t>四、财</w:t>
      </w:r>
      <w:r>
        <w:rPr>
          <w:rStyle w:val="37"/>
          <w:rFonts w:hint="eastAsia" w:ascii="Times New Roman" w:hAnsi="Times New Roman" w:eastAsia="黑体"/>
          <w:b w:val="0"/>
          <w:color w:val="auto"/>
          <w:highlight w:val="none"/>
        </w:rPr>
        <w:t>政拨款收入支出决算总体情况说明</w:t>
      </w:r>
      <w:bookmarkEnd w:id="29"/>
      <w:bookmarkEnd w:id="30"/>
      <w:bookmarkEnd w:id="31"/>
    </w:p>
    <w:p w14:paraId="5F3DD281">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2024年度财政拨款收入、支出总计均为433.36万元。与2023年度相比，财政拨款收入、支出总计各增加27.29万元，增长6.72%。主要变动原因系本年度因巡察任务增加导致巡察工作专项经费增加</w:t>
      </w:r>
      <w:r>
        <w:rPr>
          <w:rFonts w:hint="eastAsia" w:ascii="Times New Roman" w:hAnsi="Times New Roman" w:eastAsia="仿宋_GB2312" w:cs="仿宋_GB2312"/>
          <w:color w:val="auto"/>
          <w:sz w:val="32"/>
          <w:szCs w:val="32"/>
          <w:highlight w:val="none"/>
          <w:lang w:val="en-US" w:eastAsia="zh-CN"/>
        </w:rPr>
        <w:t>。</w:t>
      </w:r>
    </w:p>
    <w:p w14:paraId="4882043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drawing>
          <wp:inline distT="0" distB="0" distL="114300" distR="114300">
            <wp:extent cx="5080000" cy="3810000"/>
            <wp:effectExtent l="4445" t="4445" r="20955" b="1460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03FB3D5">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14:paraId="23F1F188">
      <w:pPr>
        <w:spacing w:line="600" w:lineRule="exact"/>
        <w:ind w:firstLine="640" w:firstLineChars="200"/>
        <w:outlineLvl w:val="1"/>
        <w:rPr>
          <w:rStyle w:val="37"/>
          <w:rFonts w:ascii="Times New Roman" w:hAnsi="Times New Roman" w:eastAsia="黑体"/>
          <w:b w:val="0"/>
          <w:color w:val="auto"/>
          <w:highlight w:val="none"/>
        </w:rPr>
      </w:pPr>
      <w:bookmarkStart w:id="32" w:name="_Toc8367"/>
      <w:bookmarkStart w:id="33" w:name="_Toc15377209"/>
      <w:bookmarkStart w:id="34" w:name="_Toc15396607"/>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7"/>
          <w:rFonts w:hint="eastAsia" w:ascii="Times New Roman" w:hAnsi="Times New Roman" w:eastAsia="黑体"/>
          <w:b w:val="0"/>
          <w:color w:val="auto"/>
          <w:highlight w:val="none"/>
        </w:rPr>
        <w:t>般公共预算财政拨款支出决算情况说明</w:t>
      </w:r>
      <w:bookmarkEnd w:id="32"/>
      <w:bookmarkEnd w:id="33"/>
      <w:bookmarkEnd w:id="34"/>
    </w:p>
    <w:p w14:paraId="322A913D">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5"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35"/>
    </w:p>
    <w:p w14:paraId="41545519">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2024年度一般公共预算财政拨款支出433.36万元，占本年支出合计的100%。与2023年度相比，一般公共预算财政拨款支出增加27.29万元，增长6.72%。主要变动原因系本年度因巡察任务增加导致巡察工作专项经费增加。</w:t>
      </w:r>
    </w:p>
    <w:p w14:paraId="1C97490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drawing>
          <wp:inline distT="0" distB="0" distL="114300" distR="114300">
            <wp:extent cx="5080000" cy="3810000"/>
            <wp:effectExtent l="4445" t="4445" r="20955" b="1460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936FDD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（图5：一般公共预算财政拨款支出决算变动情况）（柱状图）</w:t>
      </w:r>
    </w:p>
    <w:p w14:paraId="210D9672">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6"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36"/>
    </w:p>
    <w:p w14:paraId="5AE2D61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2024年度一般公共预算财政拨款支出433.36万元，主要用于以下方面：一般公共服务支出362.25万元，占</w:t>
      </w:r>
      <w:r>
        <w:rPr>
          <w:rFonts w:hint="eastAsia" w:eastAsia="仿宋_GB2312" w:cs="仿宋_GB2312"/>
          <w:color w:val="auto"/>
          <w:kern w:val="2"/>
          <w:sz w:val="32"/>
          <w:szCs w:val="32"/>
          <w:highlight w:val="none"/>
          <w:lang w:val="en-US" w:eastAsia="zh-CN" w:bidi="ar-SA"/>
        </w:rPr>
        <w:t>83.59</w:t>
      </w:r>
      <w:r>
        <w:rPr>
          <w:rFonts w:hint="eastAsia" w:ascii="Times New Roman" w:hAnsi="Times New Roman" w:eastAsia="仿宋_GB2312" w:cs="仿宋_GB2312"/>
          <w:color w:val="auto"/>
          <w:kern w:val="2"/>
          <w:sz w:val="32"/>
          <w:szCs w:val="32"/>
          <w:highlight w:val="none"/>
          <w:lang w:val="en-US" w:eastAsia="zh-CN" w:bidi="ar-SA"/>
        </w:rPr>
        <w:t>%；社会保障和就业支出32.39万元，占</w:t>
      </w:r>
      <w:r>
        <w:rPr>
          <w:rFonts w:hint="eastAsia" w:eastAsia="仿宋_GB2312" w:cs="仿宋_GB2312"/>
          <w:color w:val="auto"/>
          <w:kern w:val="2"/>
          <w:sz w:val="32"/>
          <w:szCs w:val="32"/>
          <w:highlight w:val="none"/>
          <w:lang w:val="en-US" w:eastAsia="zh-CN" w:bidi="ar-SA"/>
        </w:rPr>
        <w:t>7.47</w:t>
      </w:r>
      <w:r>
        <w:rPr>
          <w:rFonts w:hint="eastAsia" w:ascii="Times New Roman" w:hAnsi="Times New Roman" w:eastAsia="仿宋_GB2312" w:cs="仿宋_GB2312"/>
          <w:color w:val="auto"/>
          <w:kern w:val="2"/>
          <w:sz w:val="32"/>
          <w:szCs w:val="32"/>
          <w:highlight w:val="none"/>
          <w:lang w:val="en-US" w:eastAsia="zh-CN" w:bidi="ar-SA"/>
        </w:rPr>
        <w:t>%；卫生健康支出15.54万元，占</w:t>
      </w:r>
      <w:r>
        <w:rPr>
          <w:rFonts w:hint="eastAsia" w:eastAsia="仿宋_GB2312" w:cs="仿宋_GB2312"/>
          <w:color w:val="auto"/>
          <w:kern w:val="2"/>
          <w:sz w:val="32"/>
          <w:szCs w:val="32"/>
          <w:highlight w:val="none"/>
          <w:lang w:val="en-US" w:eastAsia="zh-CN" w:bidi="ar-SA"/>
        </w:rPr>
        <w:t>3.59</w:t>
      </w:r>
      <w:r>
        <w:rPr>
          <w:rFonts w:hint="eastAsia" w:ascii="Times New Roman" w:hAnsi="Times New Roman" w:eastAsia="仿宋_GB2312" w:cs="仿宋_GB2312"/>
          <w:color w:val="auto"/>
          <w:kern w:val="2"/>
          <w:sz w:val="32"/>
          <w:szCs w:val="32"/>
          <w:highlight w:val="none"/>
          <w:lang w:val="en-US" w:eastAsia="zh-CN" w:bidi="ar-SA"/>
        </w:rPr>
        <w:t>%；住房保障支出23.18万元，占</w:t>
      </w:r>
      <w:r>
        <w:rPr>
          <w:rFonts w:hint="eastAsia" w:eastAsia="仿宋_GB2312" w:cs="仿宋_GB2312"/>
          <w:color w:val="auto"/>
          <w:kern w:val="2"/>
          <w:sz w:val="32"/>
          <w:szCs w:val="32"/>
          <w:highlight w:val="none"/>
          <w:lang w:val="en-US" w:eastAsia="zh-CN" w:bidi="ar-SA"/>
        </w:rPr>
        <w:t>5.35</w:t>
      </w:r>
      <w:r>
        <w:rPr>
          <w:rFonts w:hint="eastAsia" w:ascii="Times New Roman" w:hAnsi="Times New Roman" w:eastAsia="仿宋_GB2312" w:cs="仿宋_GB2312"/>
          <w:color w:val="auto"/>
          <w:kern w:val="2"/>
          <w:sz w:val="32"/>
          <w:szCs w:val="32"/>
          <w:highlight w:val="none"/>
          <w:lang w:val="en-US" w:eastAsia="zh-CN" w:bidi="ar-SA"/>
        </w:rPr>
        <w:t>%。</w:t>
      </w:r>
    </w:p>
    <w:p w14:paraId="53E00135">
      <w:pPr>
        <w:pStyle w:val="19"/>
        <w:rPr>
          <w:rFonts w:hint="eastAsia"/>
          <w:lang w:val="en-US" w:eastAsia="zh-CN"/>
        </w:rPr>
      </w:pPr>
      <w:r>
        <w:rPr>
          <w:rFonts w:hint="eastAsia"/>
          <w:lang w:val="en-US" w:eastAsia="zh-CN"/>
        </w:rPr>
        <w:drawing>
          <wp:inline distT="0" distB="0" distL="114300" distR="114300">
            <wp:extent cx="5043805" cy="3091815"/>
            <wp:effectExtent l="4445" t="4445" r="19050" b="889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A4E89F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p>
    <w:p w14:paraId="1846EF0B">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7"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37"/>
    </w:p>
    <w:p w14:paraId="5787166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8" w:name="_Toc15377444"/>
      <w:bookmarkStart w:id="39" w:name="_Toc15377213"/>
      <w:bookmarkStart w:id="40" w:name="_Toc15378460"/>
      <w:r>
        <w:rPr>
          <w:rFonts w:hint="eastAsia" w:ascii="Times New Roman" w:hAnsi="Times New Roman" w:eastAsia="仿宋_GB2312" w:cs="仿宋_GB2312"/>
          <w:color w:val="auto"/>
          <w:kern w:val="2"/>
          <w:sz w:val="32"/>
          <w:szCs w:val="32"/>
          <w:highlight w:val="none"/>
          <w:lang w:val="en-US" w:eastAsia="zh-CN" w:bidi="ar-SA"/>
        </w:rPr>
        <w:t>2024年度一般公共预算支出决算数为433.36</w:t>
      </w:r>
      <w:r>
        <w:rPr>
          <w:rFonts w:hint="eastAsia"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38"/>
      <w:bookmarkEnd w:id="39"/>
      <w:bookmarkEnd w:id="40"/>
    </w:p>
    <w:p w14:paraId="43EA5E65">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b w:val="0"/>
          <w:bCs w:val="0"/>
          <w:i w:val="0"/>
          <w:iCs w:val="0"/>
          <w:color w:val="auto"/>
          <w:sz w:val="32"/>
          <w:szCs w:val="32"/>
          <w:highlight w:val="none"/>
        </w:rPr>
      </w:pPr>
      <w:bookmarkStart w:id="41" w:name="_Toc15396608"/>
      <w:bookmarkStart w:id="42" w:name="_Toc8222"/>
      <w:bookmarkStart w:id="43" w:name="_Toc15377214"/>
      <w:r>
        <w:rPr>
          <w:rStyle w:val="23"/>
          <w:rFonts w:hint="default" w:ascii="Times New Roman" w:hAnsi="Times New Roman" w:eastAsia="仿宋_GB2312" w:cs="Times New Roman"/>
          <w:b w:val="0"/>
          <w:bCs w:val="0"/>
          <w:i w:val="0"/>
          <w:iCs w:val="0"/>
          <w:color w:val="auto"/>
          <w:sz w:val="32"/>
          <w:szCs w:val="32"/>
          <w:highlight w:val="none"/>
        </w:rPr>
        <w:t>1.一般公共服务（类）纪检监察事务（款）行政运行（项）: （项）:支出决算为362.25万元，完成预算</w:t>
      </w:r>
      <w:r>
        <w:rPr>
          <w:rStyle w:val="23"/>
          <w:rFonts w:hint="eastAsia" w:ascii="Times New Roman" w:hAnsi="Times New Roman" w:cs="Times New Roman"/>
          <w:b w:val="0"/>
          <w:bCs w:val="0"/>
          <w:i w:val="0"/>
          <w:iCs w:val="0"/>
          <w:color w:val="auto"/>
          <w:sz w:val="32"/>
          <w:szCs w:val="32"/>
          <w:highlight w:val="none"/>
          <w:lang w:val="en-US" w:eastAsia="zh-CN"/>
        </w:rPr>
        <w:t>100</w:t>
      </w:r>
      <w:r>
        <w:rPr>
          <w:rStyle w:val="23"/>
          <w:rFonts w:hint="default" w:ascii="Times New Roman" w:hAnsi="Times New Roman" w:eastAsia="仿宋_GB2312" w:cs="Times New Roman"/>
          <w:b w:val="0"/>
          <w:bCs w:val="0"/>
          <w:i w:val="0"/>
          <w:iCs w:val="0"/>
          <w:color w:val="auto"/>
          <w:sz w:val="32"/>
          <w:szCs w:val="32"/>
          <w:highlight w:val="none"/>
        </w:rPr>
        <w:t>%，决算数等于预算数。</w:t>
      </w:r>
    </w:p>
    <w:p w14:paraId="5FA0D8D2">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b w:val="0"/>
          <w:bCs w:val="0"/>
          <w:i w:val="0"/>
          <w:iCs w:val="0"/>
          <w:color w:val="auto"/>
          <w:sz w:val="32"/>
          <w:szCs w:val="32"/>
          <w:highlight w:val="none"/>
        </w:rPr>
      </w:pPr>
      <w:r>
        <w:rPr>
          <w:rStyle w:val="23"/>
          <w:rFonts w:hint="default" w:ascii="Times New Roman" w:hAnsi="Times New Roman" w:eastAsia="仿宋_GB2312" w:cs="Times New Roman"/>
          <w:b w:val="0"/>
          <w:bCs w:val="0"/>
          <w:i w:val="0"/>
          <w:iCs w:val="0"/>
          <w:color w:val="auto"/>
          <w:sz w:val="32"/>
          <w:szCs w:val="32"/>
          <w:highlight w:val="none"/>
        </w:rPr>
        <w:t>2.一般公共服务（类）纪检监察事务（款）巡视工作（项）:支出决算为122.00万元，完成预算</w:t>
      </w:r>
      <w:r>
        <w:rPr>
          <w:rStyle w:val="23"/>
          <w:rFonts w:hint="eastAsia" w:ascii="Times New Roman" w:hAnsi="Times New Roman" w:cs="Times New Roman"/>
          <w:b w:val="0"/>
          <w:bCs w:val="0"/>
          <w:i w:val="0"/>
          <w:iCs w:val="0"/>
          <w:color w:val="auto"/>
          <w:sz w:val="32"/>
          <w:szCs w:val="32"/>
          <w:highlight w:val="none"/>
          <w:lang w:val="en-US" w:eastAsia="zh-CN"/>
        </w:rPr>
        <w:t>100</w:t>
      </w:r>
      <w:r>
        <w:rPr>
          <w:rStyle w:val="23"/>
          <w:rFonts w:hint="default" w:ascii="Times New Roman" w:hAnsi="Times New Roman" w:eastAsia="仿宋_GB2312" w:cs="Times New Roman"/>
          <w:b w:val="0"/>
          <w:bCs w:val="0"/>
          <w:i w:val="0"/>
          <w:iCs w:val="0"/>
          <w:color w:val="auto"/>
          <w:sz w:val="32"/>
          <w:szCs w:val="32"/>
          <w:highlight w:val="none"/>
        </w:rPr>
        <w:t>%，决算数等于预算数。</w:t>
      </w:r>
    </w:p>
    <w:p w14:paraId="0E802DFA">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b w:val="0"/>
          <w:bCs w:val="0"/>
          <w:i w:val="0"/>
          <w:iCs w:val="0"/>
          <w:color w:val="auto"/>
          <w:sz w:val="32"/>
          <w:szCs w:val="32"/>
          <w:highlight w:val="none"/>
        </w:rPr>
      </w:pPr>
      <w:r>
        <w:rPr>
          <w:rStyle w:val="23"/>
          <w:rFonts w:hint="eastAsia" w:ascii="Times New Roman" w:hAnsi="Times New Roman" w:eastAsia="仿宋_GB2312" w:cs="Times New Roman"/>
          <w:b w:val="0"/>
          <w:bCs w:val="0"/>
          <w:i w:val="0"/>
          <w:iCs w:val="0"/>
          <w:color w:val="auto"/>
          <w:sz w:val="32"/>
          <w:szCs w:val="32"/>
          <w:highlight w:val="none"/>
          <w:lang w:val="en-US" w:eastAsia="zh-CN"/>
        </w:rPr>
        <w:t>3</w:t>
      </w:r>
      <w:r>
        <w:rPr>
          <w:rStyle w:val="23"/>
          <w:rFonts w:hint="default" w:ascii="Times New Roman" w:hAnsi="Times New Roman" w:eastAsia="仿宋_GB2312" w:cs="Times New Roman"/>
          <w:b w:val="0"/>
          <w:bCs w:val="0"/>
          <w:i w:val="0"/>
          <w:iCs w:val="0"/>
          <w:color w:val="auto"/>
          <w:sz w:val="32"/>
          <w:szCs w:val="32"/>
          <w:highlight w:val="none"/>
        </w:rPr>
        <w:t>.一般公共服务（类）纪检监察事务（款）事业运行（项）: （项）:支出决算为24.68万元，完成预算</w:t>
      </w:r>
      <w:r>
        <w:rPr>
          <w:rStyle w:val="23"/>
          <w:rFonts w:hint="eastAsia" w:ascii="Times New Roman" w:hAnsi="Times New Roman" w:cs="Times New Roman"/>
          <w:b w:val="0"/>
          <w:bCs w:val="0"/>
          <w:i w:val="0"/>
          <w:iCs w:val="0"/>
          <w:color w:val="auto"/>
          <w:sz w:val="32"/>
          <w:szCs w:val="32"/>
          <w:highlight w:val="none"/>
          <w:lang w:val="en-US" w:eastAsia="zh-CN"/>
        </w:rPr>
        <w:t>100</w:t>
      </w:r>
      <w:r>
        <w:rPr>
          <w:rStyle w:val="23"/>
          <w:rFonts w:hint="default" w:ascii="Times New Roman" w:hAnsi="Times New Roman" w:eastAsia="仿宋_GB2312" w:cs="Times New Roman"/>
          <w:b w:val="0"/>
          <w:bCs w:val="0"/>
          <w:i w:val="0"/>
          <w:iCs w:val="0"/>
          <w:color w:val="auto"/>
          <w:sz w:val="32"/>
          <w:szCs w:val="32"/>
          <w:highlight w:val="none"/>
        </w:rPr>
        <w:t>%，决算数等于预算数。</w:t>
      </w:r>
    </w:p>
    <w:p w14:paraId="63FAB91C">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b w:val="0"/>
          <w:bCs w:val="0"/>
          <w:i w:val="0"/>
          <w:iCs w:val="0"/>
          <w:color w:val="auto"/>
          <w:sz w:val="32"/>
          <w:szCs w:val="32"/>
          <w:highlight w:val="none"/>
        </w:rPr>
      </w:pPr>
      <w:r>
        <w:rPr>
          <w:rStyle w:val="23"/>
          <w:rFonts w:hint="eastAsia" w:ascii="Times New Roman" w:hAnsi="Times New Roman" w:eastAsia="仿宋_GB2312" w:cs="Times New Roman"/>
          <w:b w:val="0"/>
          <w:bCs w:val="0"/>
          <w:i w:val="0"/>
          <w:iCs w:val="0"/>
          <w:color w:val="auto"/>
          <w:sz w:val="32"/>
          <w:szCs w:val="32"/>
          <w:highlight w:val="none"/>
          <w:lang w:val="en-US" w:eastAsia="zh-CN"/>
        </w:rPr>
        <w:t>4</w:t>
      </w:r>
      <w:r>
        <w:rPr>
          <w:rStyle w:val="23"/>
          <w:rFonts w:hint="default" w:ascii="Times New Roman" w:hAnsi="Times New Roman" w:eastAsia="仿宋_GB2312" w:cs="Times New Roman"/>
          <w:b w:val="0"/>
          <w:bCs w:val="0"/>
          <w:i w:val="0"/>
          <w:iCs w:val="0"/>
          <w:color w:val="auto"/>
          <w:sz w:val="32"/>
          <w:szCs w:val="32"/>
          <w:highlight w:val="none"/>
        </w:rPr>
        <w:t>.一般公共服务（类）纪检监察事务（款）其他纪检监察事务支出（项）:支出决算为</w:t>
      </w:r>
      <w:r>
        <w:rPr>
          <w:rStyle w:val="23"/>
          <w:rFonts w:hint="eastAsia" w:ascii="Times New Roman" w:hAnsi="Times New Roman" w:eastAsia="仿宋_GB2312" w:cs="Times New Roman"/>
          <w:b w:val="0"/>
          <w:bCs w:val="0"/>
          <w:i w:val="0"/>
          <w:iCs w:val="0"/>
          <w:color w:val="auto"/>
          <w:sz w:val="32"/>
          <w:szCs w:val="32"/>
          <w:highlight w:val="none"/>
          <w:lang w:val="en-US" w:eastAsia="zh-CN"/>
        </w:rPr>
        <w:t>3</w:t>
      </w:r>
      <w:r>
        <w:rPr>
          <w:rStyle w:val="23"/>
          <w:rFonts w:hint="default" w:ascii="Times New Roman" w:hAnsi="Times New Roman" w:eastAsia="仿宋_GB2312" w:cs="Times New Roman"/>
          <w:b w:val="0"/>
          <w:bCs w:val="0"/>
          <w:i w:val="0"/>
          <w:iCs w:val="0"/>
          <w:color w:val="auto"/>
          <w:sz w:val="32"/>
          <w:szCs w:val="32"/>
          <w:highlight w:val="none"/>
        </w:rPr>
        <w:t>.00万元，完成预算</w:t>
      </w:r>
      <w:r>
        <w:rPr>
          <w:rStyle w:val="23"/>
          <w:rFonts w:hint="eastAsia" w:ascii="Times New Roman" w:hAnsi="Times New Roman" w:cs="Times New Roman"/>
          <w:b w:val="0"/>
          <w:bCs w:val="0"/>
          <w:i w:val="0"/>
          <w:iCs w:val="0"/>
          <w:color w:val="auto"/>
          <w:sz w:val="32"/>
          <w:szCs w:val="32"/>
          <w:highlight w:val="none"/>
          <w:lang w:val="en-US" w:eastAsia="zh-CN"/>
        </w:rPr>
        <w:t>100</w:t>
      </w:r>
      <w:r>
        <w:rPr>
          <w:rStyle w:val="23"/>
          <w:rFonts w:hint="default" w:ascii="Times New Roman" w:hAnsi="Times New Roman" w:eastAsia="仿宋_GB2312" w:cs="Times New Roman"/>
          <w:b w:val="0"/>
          <w:bCs w:val="0"/>
          <w:i w:val="0"/>
          <w:iCs w:val="0"/>
          <w:color w:val="auto"/>
          <w:sz w:val="32"/>
          <w:szCs w:val="32"/>
          <w:highlight w:val="none"/>
        </w:rPr>
        <w:t>%，决算数等于预算数。</w:t>
      </w:r>
    </w:p>
    <w:p w14:paraId="089FFB28">
      <w:pPr>
        <w:keepNext w:val="0"/>
        <w:keepLines w:val="0"/>
        <w:pageBreakBefore w:val="0"/>
        <w:widowControl w:val="0"/>
        <w:kinsoku/>
        <w:wordWrap/>
        <w:overflowPunct/>
        <w:topLinePunct w:val="0"/>
        <w:bidi w:val="0"/>
        <w:snapToGrid/>
        <w:spacing w:line="560" w:lineRule="exact"/>
        <w:ind w:firstLine="640" w:firstLineChars="200"/>
        <w:textAlignment w:val="auto"/>
        <w:rPr>
          <w:rStyle w:val="23"/>
          <w:rFonts w:hint="default" w:ascii="Times New Roman" w:hAnsi="Times New Roman" w:eastAsia="仿宋_GB2312" w:cs="Times New Roman"/>
          <w:b w:val="0"/>
          <w:bCs w:val="0"/>
          <w:i w:val="0"/>
          <w:iCs w:val="0"/>
          <w:color w:val="auto"/>
          <w:sz w:val="32"/>
          <w:szCs w:val="32"/>
          <w:highlight w:val="none"/>
        </w:rPr>
      </w:pPr>
      <w:r>
        <w:rPr>
          <w:rStyle w:val="23"/>
          <w:rFonts w:hint="eastAsia" w:ascii="Times New Roman" w:hAnsi="Times New Roman" w:eastAsia="仿宋_GB2312" w:cs="Times New Roman"/>
          <w:b w:val="0"/>
          <w:bCs w:val="0"/>
          <w:i w:val="0"/>
          <w:iCs w:val="0"/>
          <w:color w:val="auto"/>
          <w:sz w:val="32"/>
          <w:szCs w:val="32"/>
          <w:highlight w:val="none"/>
          <w:lang w:val="en-US" w:eastAsia="zh-CN"/>
        </w:rPr>
        <w:t>5</w:t>
      </w:r>
      <w:r>
        <w:rPr>
          <w:rStyle w:val="23"/>
          <w:rFonts w:hint="default" w:ascii="Times New Roman" w:hAnsi="Times New Roman" w:eastAsia="仿宋_GB2312" w:cs="Times New Roman"/>
          <w:b w:val="0"/>
          <w:bCs w:val="0"/>
          <w:i w:val="0"/>
          <w:iCs w:val="0"/>
          <w:color w:val="auto"/>
          <w:sz w:val="32"/>
          <w:szCs w:val="32"/>
          <w:highlight w:val="none"/>
        </w:rPr>
        <w:t>.社会保障和就业（类）行政事业单位养老支出（款）机关事业单位基本养老保险缴费支出（项）: 支出决算为31.01万元，完成预算100%，决算数等于预算数。</w:t>
      </w:r>
    </w:p>
    <w:p w14:paraId="4925720C">
      <w:pPr>
        <w:keepNext w:val="0"/>
        <w:keepLines w:val="0"/>
        <w:pageBreakBefore w:val="0"/>
        <w:widowControl w:val="0"/>
        <w:kinsoku/>
        <w:wordWrap/>
        <w:overflowPunct/>
        <w:topLinePunct w:val="0"/>
        <w:bidi w:val="0"/>
        <w:snapToGrid/>
        <w:spacing w:line="560" w:lineRule="exact"/>
        <w:ind w:firstLine="640" w:firstLineChars="200"/>
        <w:textAlignment w:val="auto"/>
        <w:rPr>
          <w:rStyle w:val="23"/>
          <w:rFonts w:hint="default" w:ascii="Times New Roman" w:hAnsi="Times New Roman" w:eastAsia="仿宋_GB2312" w:cs="Times New Roman"/>
          <w:b w:val="0"/>
          <w:bCs w:val="0"/>
          <w:i w:val="0"/>
          <w:iCs w:val="0"/>
          <w:color w:val="auto"/>
          <w:sz w:val="32"/>
          <w:szCs w:val="32"/>
          <w:highlight w:val="none"/>
        </w:rPr>
      </w:pPr>
      <w:r>
        <w:rPr>
          <w:rStyle w:val="23"/>
          <w:rFonts w:hint="eastAsia" w:ascii="Times New Roman" w:hAnsi="Times New Roman" w:cs="Times New Roman"/>
          <w:b w:val="0"/>
          <w:bCs w:val="0"/>
          <w:i w:val="0"/>
          <w:iCs w:val="0"/>
          <w:color w:val="auto"/>
          <w:sz w:val="32"/>
          <w:szCs w:val="32"/>
          <w:highlight w:val="none"/>
          <w:lang w:val="en-US" w:eastAsia="zh-CN"/>
        </w:rPr>
        <w:t>6</w:t>
      </w:r>
      <w:r>
        <w:rPr>
          <w:rStyle w:val="23"/>
          <w:rFonts w:hint="default" w:ascii="Times New Roman" w:hAnsi="Times New Roman" w:eastAsia="仿宋_GB2312" w:cs="Times New Roman"/>
          <w:b w:val="0"/>
          <w:bCs w:val="0"/>
          <w:i w:val="0"/>
          <w:iCs w:val="0"/>
          <w:color w:val="auto"/>
          <w:sz w:val="32"/>
          <w:szCs w:val="32"/>
          <w:highlight w:val="none"/>
        </w:rPr>
        <w:t>.</w:t>
      </w:r>
      <w:r>
        <w:rPr>
          <w:rFonts w:hint="eastAsia" w:ascii="仿宋" w:hAnsi="仿宋" w:eastAsia="仿宋"/>
          <w:bCs/>
          <w:sz w:val="32"/>
          <w:szCs w:val="32"/>
        </w:rPr>
        <w:t>社会保障和就业（类）其他社会保障和就业支出（款）其他社会保障和就业支出（项）</w:t>
      </w:r>
      <w:r>
        <w:rPr>
          <w:rFonts w:ascii="仿宋" w:hAnsi="仿宋" w:eastAsia="仿宋"/>
          <w:bCs/>
          <w:sz w:val="32"/>
          <w:szCs w:val="32"/>
        </w:rPr>
        <w:t>:</w:t>
      </w:r>
      <w:r>
        <w:rPr>
          <w:rStyle w:val="23"/>
          <w:rFonts w:hint="default" w:ascii="Times New Roman" w:hAnsi="Times New Roman" w:eastAsia="仿宋_GB2312" w:cs="Times New Roman"/>
          <w:b w:val="0"/>
          <w:bCs w:val="0"/>
          <w:i w:val="0"/>
          <w:iCs w:val="0"/>
          <w:color w:val="auto"/>
          <w:sz w:val="32"/>
          <w:szCs w:val="32"/>
          <w:highlight w:val="none"/>
        </w:rPr>
        <w:t>支出决算为</w:t>
      </w:r>
      <w:r>
        <w:rPr>
          <w:rStyle w:val="23"/>
          <w:rFonts w:hint="eastAsia" w:ascii="Times New Roman" w:hAnsi="Times New Roman" w:eastAsia="仿宋_GB2312" w:cs="Times New Roman"/>
          <w:b w:val="0"/>
          <w:bCs w:val="0"/>
          <w:i w:val="0"/>
          <w:iCs w:val="0"/>
          <w:color w:val="auto"/>
          <w:sz w:val="32"/>
          <w:szCs w:val="32"/>
          <w:highlight w:val="none"/>
          <w:lang w:val="en-US" w:eastAsia="zh-CN"/>
        </w:rPr>
        <w:t>1.39</w:t>
      </w:r>
      <w:r>
        <w:rPr>
          <w:rStyle w:val="23"/>
          <w:rFonts w:hint="default" w:ascii="Times New Roman" w:hAnsi="Times New Roman" w:eastAsia="仿宋_GB2312" w:cs="Times New Roman"/>
          <w:b w:val="0"/>
          <w:bCs w:val="0"/>
          <w:i w:val="0"/>
          <w:iCs w:val="0"/>
          <w:color w:val="auto"/>
          <w:sz w:val="32"/>
          <w:szCs w:val="32"/>
          <w:highlight w:val="none"/>
        </w:rPr>
        <w:t>万元，完成预算100%，决算数等于预算数。</w:t>
      </w:r>
    </w:p>
    <w:p w14:paraId="3E29C999">
      <w:pPr>
        <w:keepNext w:val="0"/>
        <w:keepLines w:val="0"/>
        <w:pageBreakBefore w:val="0"/>
        <w:widowControl w:val="0"/>
        <w:kinsoku/>
        <w:wordWrap/>
        <w:overflowPunct/>
        <w:topLinePunct w:val="0"/>
        <w:bidi w:val="0"/>
        <w:snapToGrid/>
        <w:spacing w:line="560" w:lineRule="exact"/>
        <w:ind w:firstLine="640" w:firstLineChars="200"/>
        <w:textAlignment w:val="auto"/>
        <w:rPr>
          <w:rStyle w:val="23"/>
          <w:rFonts w:hint="default" w:ascii="Times New Roman" w:hAnsi="Times New Roman" w:eastAsia="仿宋_GB2312" w:cs="Times New Roman"/>
          <w:b w:val="0"/>
          <w:bCs w:val="0"/>
          <w:i w:val="0"/>
          <w:iCs w:val="0"/>
          <w:color w:val="auto"/>
          <w:sz w:val="32"/>
          <w:szCs w:val="32"/>
          <w:highlight w:val="none"/>
        </w:rPr>
      </w:pPr>
      <w:r>
        <w:rPr>
          <w:rFonts w:hint="eastAsia" w:ascii="Times New Roman" w:hAnsi="Times New Roman" w:cs="Times New Roman"/>
          <w:b w:val="0"/>
          <w:bCs w:val="0"/>
          <w:i w:val="0"/>
          <w:iCs w:val="0"/>
          <w:color w:val="auto"/>
          <w:sz w:val="32"/>
          <w:szCs w:val="32"/>
          <w:highlight w:val="none"/>
          <w:lang w:val="en-US" w:eastAsia="zh-CN"/>
        </w:rPr>
        <w:t>7.</w:t>
      </w:r>
      <w:r>
        <w:rPr>
          <w:rFonts w:hint="default" w:ascii="Times New Roman" w:hAnsi="Times New Roman" w:eastAsia="仿宋_GB2312" w:cs="Times New Roman"/>
          <w:b w:val="0"/>
          <w:bCs w:val="0"/>
          <w:i w:val="0"/>
          <w:iCs w:val="0"/>
          <w:color w:val="auto"/>
          <w:sz w:val="32"/>
          <w:szCs w:val="32"/>
          <w:highlight w:val="none"/>
        </w:rPr>
        <w:t>卫生健康（类）行政事业单位医疗（款）行政单位医疗（项）:</w:t>
      </w:r>
      <w:r>
        <w:rPr>
          <w:rStyle w:val="23"/>
          <w:rFonts w:hint="default" w:ascii="Times New Roman" w:hAnsi="Times New Roman" w:eastAsia="仿宋_GB2312" w:cs="Times New Roman"/>
          <w:b w:val="0"/>
          <w:bCs w:val="0"/>
          <w:i w:val="0"/>
          <w:iCs w:val="0"/>
          <w:color w:val="auto"/>
          <w:sz w:val="32"/>
          <w:szCs w:val="32"/>
          <w:highlight w:val="none"/>
        </w:rPr>
        <w:t>支出决算为</w:t>
      </w:r>
      <w:r>
        <w:rPr>
          <w:rStyle w:val="23"/>
          <w:rFonts w:hint="eastAsia" w:ascii="Times New Roman" w:hAnsi="Times New Roman" w:cs="Times New Roman"/>
          <w:b w:val="0"/>
          <w:bCs w:val="0"/>
          <w:i w:val="0"/>
          <w:iCs w:val="0"/>
          <w:color w:val="auto"/>
          <w:sz w:val="32"/>
          <w:szCs w:val="32"/>
          <w:highlight w:val="none"/>
          <w:lang w:val="en-US" w:eastAsia="zh-CN"/>
        </w:rPr>
        <w:t>11.38</w:t>
      </w:r>
      <w:r>
        <w:rPr>
          <w:rStyle w:val="23"/>
          <w:rFonts w:hint="default" w:ascii="Times New Roman" w:hAnsi="Times New Roman" w:eastAsia="仿宋_GB2312" w:cs="Times New Roman"/>
          <w:b w:val="0"/>
          <w:bCs w:val="0"/>
          <w:i w:val="0"/>
          <w:iCs w:val="0"/>
          <w:color w:val="auto"/>
          <w:sz w:val="32"/>
          <w:szCs w:val="32"/>
          <w:highlight w:val="none"/>
        </w:rPr>
        <w:t>万元，完成预算100%，决算数等于预算数。</w:t>
      </w:r>
    </w:p>
    <w:p w14:paraId="35A4D68E">
      <w:pPr>
        <w:keepNext w:val="0"/>
        <w:keepLines w:val="0"/>
        <w:pageBreakBefore w:val="0"/>
        <w:widowControl w:val="0"/>
        <w:kinsoku/>
        <w:wordWrap/>
        <w:overflowPunct/>
        <w:topLinePunct w:val="0"/>
        <w:bidi w:val="0"/>
        <w:snapToGrid/>
        <w:spacing w:line="560" w:lineRule="exact"/>
        <w:ind w:firstLine="640" w:firstLineChars="200"/>
        <w:textAlignment w:val="auto"/>
        <w:rPr>
          <w:rStyle w:val="23"/>
          <w:rFonts w:hint="default" w:ascii="Times New Roman" w:hAnsi="Times New Roman" w:eastAsia="仿宋_GB2312" w:cs="Times New Roman"/>
          <w:b w:val="0"/>
          <w:bCs w:val="0"/>
          <w:i w:val="0"/>
          <w:iCs w:val="0"/>
          <w:color w:val="auto"/>
          <w:sz w:val="32"/>
          <w:szCs w:val="32"/>
          <w:highlight w:val="none"/>
        </w:rPr>
      </w:pPr>
      <w:r>
        <w:rPr>
          <w:rFonts w:hint="eastAsia" w:ascii="Times New Roman" w:hAnsi="Times New Roman" w:cs="Times New Roman"/>
          <w:b w:val="0"/>
          <w:bCs w:val="0"/>
          <w:i w:val="0"/>
          <w:iCs w:val="0"/>
          <w:color w:val="auto"/>
          <w:sz w:val="32"/>
          <w:szCs w:val="32"/>
          <w:highlight w:val="none"/>
          <w:lang w:val="en-US" w:eastAsia="zh-CN"/>
        </w:rPr>
        <w:t>8.</w:t>
      </w:r>
      <w:r>
        <w:rPr>
          <w:rFonts w:hint="default" w:ascii="Times New Roman" w:hAnsi="Times New Roman" w:eastAsia="仿宋_GB2312" w:cs="Times New Roman"/>
          <w:b w:val="0"/>
          <w:bCs w:val="0"/>
          <w:i w:val="0"/>
          <w:iCs w:val="0"/>
          <w:color w:val="auto"/>
          <w:sz w:val="32"/>
          <w:szCs w:val="32"/>
          <w:highlight w:val="none"/>
        </w:rPr>
        <w:t>卫生健康（类）行政事业单位医疗（款）</w:t>
      </w:r>
      <w:r>
        <w:rPr>
          <w:rFonts w:hint="eastAsia" w:ascii="Times New Roman" w:hAnsi="Times New Roman" w:eastAsia="仿宋_GB2312" w:cs="Times New Roman"/>
          <w:b w:val="0"/>
          <w:bCs w:val="0"/>
          <w:i w:val="0"/>
          <w:iCs w:val="0"/>
          <w:color w:val="auto"/>
          <w:sz w:val="32"/>
          <w:szCs w:val="32"/>
          <w:highlight w:val="none"/>
          <w:lang w:eastAsia="zh-CN"/>
        </w:rPr>
        <w:t>事业</w:t>
      </w:r>
      <w:r>
        <w:rPr>
          <w:rFonts w:hint="default" w:ascii="Times New Roman" w:hAnsi="Times New Roman" w:eastAsia="仿宋_GB2312" w:cs="Times New Roman"/>
          <w:b w:val="0"/>
          <w:bCs w:val="0"/>
          <w:i w:val="0"/>
          <w:iCs w:val="0"/>
          <w:color w:val="auto"/>
          <w:sz w:val="32"/>
          <w:szCs w:val="32"/>
          <w:highlight w:val="none"/>
        </w:rPr>
        <w:t>单位医疗（项）:</w:t>
      </w:r>
      <w:r>
        <w:rPr>
          <w:rStyle w:val="23"/>
          <w:rFonts w:hint="default" w:ascii="Times New Roman" w:hAnsi="Times New Roman" w:eastAsia="仿宋_GB2312" w:cs="Times New Roman"/>
          <w:b w:val="0"/>
          <w:bCs w:val="0"/>
          <w:i w:val="0"/>
          <w:iCs w:val="0"/>
          <w:color w:val="auto"/>
          <w:sz w:val="32"/>
          <w:szCs w:val="32"/>
          <w:highlight w:val="none"/>
        </w:rPr>
        <w:t>支出决算为</w:t>
      </w:r>
      <w:r>
        <w:rPr>
          <w:rStyle w:val="23"/>
          <w:rFonts w:hint="eastAsia" w:ascii="Times New Roman" w:hAnsi="Times New Roman" w:cs="Times New Roman"/>
          <w:b w:val="0"/>
          <w:bCs w:val="0"/>
          <w:i w:val="0"/>
          <w:iCs w:val="0"/>
          <w:color w:val="auto"/>
          <w:sz w:val="32"/>
          <w:szCs w:val="32"/>
          <w:highlight w:val="none"/>
          <w:lang w:val="en-US" w:eastAsia="zh-CN"/>
        </w:rPr>
        <w:t>1.32</w:t>
      </w:r>
      <w:r>
        <w:rPr>
          <w:rStyle w:val="23"/>
          <w:rFonts w:hint="default" w:ascii="Times New Roman" w:hAnsi="Times New Roman" w:eastAsia="仿宋_GB2312" w:cs="Times New Roman"/>
          <w:b w:val="0"/>
          <w:bCs w:val="0"/>
          <w:i w:val="0"/>
          <w:iCs w:val="0"/>
          <w:color w:val="auto"/>
          <w:sz w:val="32"/>
          <w:szCs w:val="32"/>
          <w:highlight w:val="none"/>
        </w:rPr>
        <w:t>万元，完成预算100%，决算数等于预算数。</w:t>
      </w:r>
    </w:p>
    <w:p w14:paraId="0AFA5317">
      <w:pPr>
        <w:keepNext w:val="0"/>
        <w:keepLines w:val="0"/>
        <w:pageBreakBefore w:val="0"/>
        <w:widowControl w:val="0"/>
        <w:kinsoku/>
        <w:wordWrap/>
        <w:overflowPunct/>
        <w:topLinePunct w:val="0"/>
        <w:bidi w:val="0"/>
        <w:snapToGrid/>
        <w:spacing w:line="560" w:lineRule="exact"/>
        <w:ind w:firstLine="640" w:firstLineChars="200"/>
        <w:textAlignment w:val="auto"/>
        <w:rPr>
          <w:rStyle w:val="23"/>
          <w:rFonts w:hint="default" w:ascii="Times New Roman" w:hAnsi="Times New Roman" w:eastAsia="仿宋_GB2312" w:cs="Times New Roman"/>
          <w:b w:val="0"/>
          <w:bCs w:val="0"/>
          <w:i w:val="0"/>
          <w:iCs w:val="0"/>
          <w:color w:val="auto"/>
          <w:sz w:val="32"/>
          <w:szCs w:val="32"/>
          <w:highlight w:val="none"/>
        </w:rPr>
      </w:pPr>
      <w:r>
        <w:rPr>
          <w:rStyle w:val="23"/>
          <w:rFonts w:hint="eastAsia" w:ascii="Times New Roman" w:hAnsi="Times New Roman" w:eastAsia="仿宋_GB2312" w:cs="Times New Roman"/>
          <w:b w:val="0"/>
          <w:bCs w:val="0"/>
          <w:i w:val="0"/>
          <w:iCs w:val="0"/>
          <w:color w:val="auto"/>
          <w:sz w:val="32"/>
          <w:szCs w:val="32"/>
          <w:highlight w:val="none"/>
          <w:lang w:val="en-US" w:eastAsia="zh-CN"/>
        </w:rPr>
        <w:t>9.</w:t>
      </w:r>
      <w:r>
        <w:rPr>
          <w:rStyle w:val="23"/>
          <w:rFonts w:hint="default" w:ascii="Times New Roman" w:hAnsi="Times New Roman" w:eastAsia="仿宋_GB2312" w:cs="Times New Roman"/>
          <w:b w:val="0"/>
          <w:bCs w:val="0"/>
          <w:i w:val="0"/>
          <w:iCs w:val="0"/>
          <w:color w:val="auto"/>
          <w:sz w:val="32"/>
          <w:szCs w:val="32"/>
          <w:highlight w:val="none"/>
        </w:rPr>
        <w:t>卫生健康（类）行政事业单位医疗（款）公务员医疗补助（项）:支出决算为</w:t>
      </w:r>
      <w:r>
        <w:rPr>
          <w:rStyle w:val="23"/>
          <w:rFonts w:hint="eastAsia" w:ascii="Times New Roman" w:hAnsi="Times New Roman" w:eastAsia="仿宋_GB2312" w:cs="Times New Roman"/>
          <w:b w:val="0"/>
          <w:bCs w:val="0"/>
          <w:i w:val="0"/>
          <w:iCs w:val="0"/>
          <w:color w:val="auto"/>
          <w:sz w:val="32"/>
          <w:szCs w:val="32"/>
          <w:highlight w:val="none"/>
          <w:lang w:val="en-US" w:eastAsia="zh-CN"/>
        </w:rPr>
        <w:t>2.83</w:t>
      </w:r>
      <w:r>
        <w:rPr>
          <w:rStyle w:val="23"/>
          <w:rFonts w:hint="default" w:ascii="Times New Roman" w:hAnsi="Times New Roman" w:eastAsia="仿宋_GB2312" w:cs="Times New Roman"/>
          <w:b w:val="0"/>
          <w:bCs w:val="0"/>
          <w:i w:val="0"/>
          <w:iCs w:val="0"/>
          <w:color w:val="auto"/>
          <w:sz w:val="32"/>
          <w:szCs w:val="32"/>
          <w:highlight w:val="none"/>
        </w:rPr>
        <w:t>万元，完成预算100%，决算数等于预算数。</w:t>
      </w:r>
    </w:p>
    <w:p w14:paraId="39F1FB62">
      <w:pPr>
        <w:keepNext w:val="0"/>
        <w:keepLines w:val="0"/>
        <w:pageBreakBefore w:val="0"/>
        <w:widowControl w:val="0"/>
        <w:kinsoku/>
        <w:wordWrap/>
        <w:overflowPunct/>
        <w:topLinePunct w:val="0"/>
        <w:bidi w:val="0"/>
        <w:snapToGrid/>
        <w:spacing w:line="560" w:lineRule="exact"/>
        <w:ind w:firstLine="640" w:firstLineChars="200"/>
        <w:textAlignment w:val="auto"/>
        <w:rPr>
          <w:rStyle w:val="23"/>
          <w:rFonts w:hint="default" w:ascii="Times New Roman" w:hAnsi="Times New Roman" w:eastAsia="仿宋_GB2312" w:cs="Times New Roman"/>
          <w:b w:val="0"/>
          <w:bCs w:val="0"/>
          <w:i w:val="0"/>
          <w:iCs w:val="0"/>
          <w:color w:val="auto"/>
          <w:sz w:val="32"/>
          <w:szCs w:val="32"/>
          <w:highlight w:val="none"/>
        </w:rPr>
      </w:pPr>
      <w:r>
        <w:rPr>
          <w:rStyle w:val="23"/>
          <w:rFonts w:hint="eastAsia" w:ascii="Times New Roman" w:hAnsi="Times New Roman" w:eastAsia="仿宋_GB2312" w:cs="Times New Roman"/>
          <w:b w:val="0"/>
          <w:bCs w:val="0"/>
          <w:i w:val="0"/>
          <w:iCs w:val="0"/>
          <w:color w:val="auto"/>
          <w:sz w:val="32"/>
          <w:szCs w:val="32"/>
          <w:highlight w:val="none"/>
          <w:lang w:val="en-US" w:eastAsia="zh-CN"/>
        </w:rPr>
        <w:t>10.住房保障支出（类）住房改革支出（款）住房公积金（项）:</w:t>
      </w:r>
      <w:r>
        <w:rPr>
          <w:rStyle w:val="23"/>
          <w:rFonts w:hint="default" w:ascii="Times New Roman" w:hAnsi="Times New Roman" w:eastAsia="仿宋_GB2312" w:cs="Times New Roman"/>
          <w:b w:val="0"/>
          <w:bCs w:val="0"/>
          <w:i w:val="0"/>
          <w:iCs w:val="0"/>
          <w:color w:val="auto"/>
          <w:sz w:val="32"/>
          <w:szCs w:val="32"/>
          <w:highlight w:val="none"/>
        </w:rPr>
        <w:t>支出决算为2</w:t>
      </w:r>
      <w:r>
        <w:rPr>
          <w:rStyle w:val="23"/>
          <w:rFonts w:hint="eastAsia" w:ascii="Times New Roman" w:hAnsi="Times New Roman" w:eastAsia="仿宋_GB2312" w:cs="Times New Roman"/>
          <w:b w:val="0"/>
          <w:bCs w:val="0"/>
          <w:i w:val="0"/>
          <w:iCs w:val="0"/>
          <w:color w:val="auto"/>
          <w:sz w:val="32"/>
          <w:szCs w:val="32"/>
          <w:highlight w:val="none"/>
          <w:lang w:val="en-US" w:eastAsia="zh-CN"/>
        </w:rPr>
        <w:t>3.18</w:t>
      </w:r>
      <w:r>
        <w:rPr>
          <w:rStyle w:val="23"/>
          <w:rFonts w:hint="default" w:ascii="Times New Roman" w:hAnsi="Times New Roman" w:eastAsia="仿宋_GB2312" w:cs="Times New Roman"/>
          <w:b w:val="0"/>
          <w:bCs w:val="0"/>
          <w:i w:val="0"/>
          <w:iCs w:val="0"/>
          <w:color w:val="auto"/>
          <w:sz w:val="32"/>
          <w:szCs w:val="32"/>
          <w:highlight w:val="none"/>
        </w:rPr>
        <w:t>万元，完成预算100%，决算数等于预算数。</w:t>
      </w:r>
    </w:p>
    <w:p w14:paraId="2D7B94A3">
      <w:pPr>
        <w:tabs>
          <w:tab w:val="right" w:pos="8306"/>
        </w:tabs>
        <w:spacing w:line="600" w:lineRule="exact"/>
        <w:ind w:firstLine="640"/>
        <w:outlineLvl w:val="1"/>
        <w:rPr>
          <w:rStyle w:val="37"/>
          <w:rFonts w:ascii="Times New Roman" w:hAnsi="Times New Roman"/>
          <w:color w:val="auto"/>
          <w:highlight w:val="none"/>
        </w:rPr>
      </w:pPr>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7"/>
          <w:rFonts w:hint="eastAsia" w:ascii="Times New Roman" w:hAnsi="Times New Roman" w:eastAsia="黑体"/>
          <w:b w:val="0"/>
          <w:color w:val="auto"/>
          <w:highlight w:val="none"/>
        </w:rPr>
        <w:t>般公共预算财政拨款基本支出决算情况说明</w:t>
      </w:r>
      <w:bookmarkEnd w:id="41"/>
      <w:bookmarkEnd w:id="42"/>
      <w:bookmarkEnd w:id="43"/>
      <w:r>
        <w:rPr>
          <w:rStyle w:val="37"/>
          <w:rFonts w:ascii="Times New Roman" w:hAnsi="Times New Roman" w:eastAsia="黑体"/>
          <w:b w:val="0"/>
          <w:color w:val="auto"/>
          <w:highlight w:val="none"/>
        </w:rPr>
        <w:tab/>
      </w:r>
    </w:p>
    <w:p w14:paraId="702C615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2024年度一般公共预算财政拨款基本支出308.36万元，其中：</w:t>
      </w:r>
    </w:p>
    <w:p w14:paraId="2366B63A">
      <w:pPr>
        <w:keepNext w:val="0"/>
        <w:keepLines w:val="0"/>
        <w:pageBreakBefore w:val="0"/>
        <w:widowControl w:val="0"/>
        <w:kinsoku/>
        <w:wordWrap/>
        <w:overflowPunct/>
        <w:topLinePunct w:val="0"/>
        <w:bidi w:val="0"/>
        <w:snapToGrid/>
        <w:spacing w:line="560" w:lineRule="exact"/>
        <w:ind w:firstLine="645"/>
        <w:textAlignment w:val="auto"/>
        <w:rPr>
          <w:rFonts w:hint="default" w:ascii="Times New Roman" w:hAnsi="Times New Roman" w:eastAsia="仿宋_GB2312" w:cs="Times New Roman"/>
          <w:b w:val="0"/>
          <w:bCs w:val="0"/>
          <w:i w:val="0"/>
          <w:iCs w:val="0"/>
          <w:color w:val="auto"/>
          <w:sz w:val="32"/>
          <w:szCs w:val="32"/>
          <w:highlight w:val="none"/>
          <w:lang w:eastAsia="zh-CN"/>
        </w:rPr>
      </w:pPr>
      <w:r>
        <w:rPr>
          <w:rFonts w:hint="default" w:ascii="Times New Roman" w:hAnsi="Times New Roman" w:eastAsia="仿宋_GB2312" w:cs="Times New Roman"/>
          <w:b w:val="0"/>
          <w:bCs w:val="0"/>
          <w:i w:val="0"/>
          <w:iCs w:val="0"/>
          <w:color w:val="auto"/>
          <w:sz w:val="32"/>
          <w:szCs w:val="32"/>
          <w:highlight w:val="none"/>
        </w:rPr>
        <w:t>人员经费258.</w:t>
      </w:r>
      <w:r>
        <w:rPr>
          <w:rFonts w:hint="eastAsia" w:eastAsia="仿宋_GB2312" w:cs="Times New Roman"/>
          <w:b w:val="0"/>
          <w:bCs w:val="0"/>
          <w:i w:val="0"/>
          <w:iCs w:val="0"/>
          <w:color w:val="auto"/>
          <w:sz w:val="32"/>
          <w:szCs w:val="32"/>
          <w:highlight w:val="none"/>
          <w:lang w:val="en-US" w:eastAsia="zh-CN"/>
        </w:rPr>
        <w:t>97</w:t>
      </w:r>
      <w:r>
        <w:rPr>
          <w:rFonts w:hint="default" w:ascii="Times New Roman" w:hAnsi="Times New Roman" w:eastAsia="仿宋_GB2312" w:cs="Times New Roman"/>
          <w:b w:val="0"/>
          <w:bCs w:val="0"/>
          <w:i w:val="0"/>
          <w:iCs w:val="0"/>
          <w:color w:val="auto"/>
          <w:sz w:val="32"/>
          <w:szCs w:val="32"/>
          <w:highlight w:val="none"/>
        </w:rPr>
        <w:t>万元，主要包括：基本工资、津贴补贴、奖金、绩效工资、机关事业单位基本养老保险缴费、基本医疗保险缴费</w:t>
      </w:r>
      <w:r>
        <w:rPr>
          <w:rFonts w:hint="eastAsia" w:ascii="Times New Roman" w:hAnsi="Times New Roman" w:cs="Times New Roman"/>
          <w:b w:val="0"/>
          <w:bCs w:val="0"/>
          <w:i w:val="0"/>
          <w:iCs w:val="0"/>
          <w:color w:val="auto"/>
          <w:sz w:val="32"/>
          <w:szCs w:val="32"/>
          <w:highlight w:val="none"/>
          <w:lang w:eastAsia="zh-CN"/>
        </w:rPr>
        <w:t>、</w:t>
      </w:r>
      <w:r>
        <w:rPr>
          <w:rFonts w:hint="default" w:ascii="Times New Roman" w:hAnsi="Times New Roman" w:eastAsia="仿宋_GB2312" w:cs="Times New Roman"/>
          <w:b w:val="0"/>
          <w:bCs w:val="0"/>
          <w:i w:val="0"/>
          <w:iCs w:val="0"/>
          <w:color w:val="auto"/>
          <w:sz w:val="32"/>
          <w:szCs w:val="32"/>
          <w:highlight w:val="none"/>
        </w:rPr>
        <w:t>其他社会保障缴费、住房公积金等。</w:t>
      </w:r>
    </w:p>
    <w:p w14:paraId="17A519FA">
      <w:pPr>
        <w:keepNext w:val="0"/>
        <w:keepLines w:val="0"/>
        <w:pageBreakBefore w:val="0"/>
        <w:widowControl w:val="0"/>
        <w:kinsoku/>
        <w:wordWrap/>
        <w:overflowPunct/>
        <w:topLinePunct w:val="0"/>
        <w:bidi w:val="0"/>
        <w:snapToGrid/>
        <w:spacing w:line="560" w:lineRule="exact"/>
        <w:ind w:firstLine="645"/>
        <w:textAlignment w:val="auto"/>
        <w:rPr>
          <w:rFonts w:hint="default" w:ascii="Times New Roman" w:hAnsi="Times New Roman" w:eastAsia="仿宋_GB2312" w:cs="Times New Roman"/>
          <w:b w:val="0"/>
          <w:bCs w:val="0"/>
          <w:i w:val="0"/>
          <w:iCs w:val="0"/>
          <w:color w:val="auto"/>
          <w:sz w:val="32"/>
          <w:szCs w:val="32"/>
          <w:highlight w:val="none"/>
        </w:rPr>
      </w:pPr>
      <w:r>
        <w:rPr>
          <w:rFonts w:hint="default" w:ascii="Times New Roman" w:hAnsi="Times New Roman" w:eastAsia="仿宋_GB2312" w:cs="Times New Roman"/>
          <w:b w:val="0"/>
          <w:bCs w:val="0"/>
          <w:i w:val="0"/>
          <w:iCs w:val="0"/>
          <w:color w:val="auto"/>
          <w:sz w:val="32"/>
          <w:szCs w:val="32"/>
          <w:highlight w:val="none"/>
        </w:rPr>
        <w:t>公用经费</w:t>
      </w:r>
      <w:r>
        <w:rPr>
          <w:rFonts w:hint="eastAsia" w:ascii="Times New Roman" w:hAnsi="Times New Roman" w:cs="Times New Roman"/>
          <w:b w:val="0"/>
          <w:bCs w:val="0"/>
          <w:i w:val="0"/>
          <w:iCs w:val="0"/>
          <w:color w:val="auto"/>
          <w:sz w:val="32"/>
          <w:szCs w:val="32"/>
          <w:highlight w:val="none"/>
          <w:lang w:val="en-US" w:eastAsia="zh-CN"/>
        </w:rPr>
        <w:t>4</w:t>
      </w:r>
      <w:r>
        <w:rPr>
          <w:rFonts w:hint="eastAsia" w:cs="Times New Roman"/>
          <w:b w:val="0"/>
          <w:bCs w:val="0"/>
          <w:i w:val="0"/>
          <w:iCs w:val="0"/>
          <w:color w:val="auto"/>
          <w:sz w:val="32"/>
          <w:szCs w:val="32"/>
          <w:highlight w:val="none"/>
          <w:lang w:val="en-US" w:eastAsia="zh-CN"/>
        </w:rPr>
        <w:t>9</w:t>
      </w:r>
      <w:r>
        <w:rPr>
          <w:rFonts w:hint="eastAsia" w:ascii="Times New Roman" w:hAnsi="Times New Roman" w:cs="Times New Roman"/>
          <w:b w:val="0"/>
          <w:bCs w:val="0"/>
          <w:i w:val="0"/>
          <w:iCs w:val="0"/>
          <w:color w:val="auto"/>
          <w:sz w:val="32"/>
          <w:szCs w:val="32"/>
          <w:highlight w:val="none"/>
          <w:lang w:val="en-US" w:eastAsia="zh-CN"/>
        </w:rPr>
        <w:t>.</w:t>
      </w:r>
      <w:r>
        <w:rPr>
          <w:rFonts w:hint="eastAsia" w:cs="Times New Roman"/>
          <w:b w:val="0"/>
          <w:bCs w:val="0"/>
          <w:i w:val="0"/>
          <w:iCs w:val="0"/>
          <w:color w:val="auto"/>
          <w:sz w:val="32"/>
          <w:szCs w:val="32"/>
          <w:highlight w:val="none"/>
          <w:lang w:val="en-US" w:eastAsia="zh-CN"/>
        </w:rPr>
        <w:t>3</w:t>
      </w:r>
      <w:r>
        <w:rPr>
          <w:rFonts w:hint="eastAsia" w:ascii="Times New Roman" w:hAnsi="Times New Roman" w:cs="Times New Roman"/>
          <w:b w:val="0"/>
          <w:bCs w:val="0"/>
          <w:i w:val="0"/>
          <w:iCs w:val="0"/>
          <w:color w:val="auto"/>
          <w:sz w:val="32"/>
          <w:szCs w:val="32"/>
          <w:highlight w:val="none"/>
          <w:lang w:val="en-US" w:eastAsia="zh-CN"/>
        </w:rPr>
        <w:t>9</w:t>
      </w:r>
      <w:r>
        <w:rPr>
          <w:rFonts w:hint="default" w:ascii="Times New Roman" w:hAnsi="Times New Roman" w:eastAsia="仿宋_GB2312" w:cs="Times New Roman"/>
          <w:b w:val="0"/>
          <w:bCs w:val="0"/>
          <w:i w:val="0"/>
          <w:iCs w:val="0"/>
          <w:color w:val="auto"/>
          <w:sz w:val="32"/>
          <w:szCs w:val="32"/>
          <w:highlight w:val="none"/>
        </w:rPr>
        <w:t>万元，主要包括：办公费</w:t>
      </w:r>
      <w:r>
        <w:rPr>
          <w:rFonts w:hint="eastAsia" w:eastAsia="仿宋_GB2312" w:cs="Times New Roman"/>
          <w:b w:val="0"/>
          <w:bCs w:val="0"/>
          <w:i w:val="0"/>
          <w:iCs w:val="0"/>
          <w:color w:val="auto"/>
          <w:sz w:val="32"/>
          <w:szCs w:val="32"/>
          <w:highlight w:val="none"/>
          <w:lang w:eastAsia="zh-CN"/>
        </w:rPr>
        <w:t>、印刷费、邮电费</w:t>
      </w:r>
      <w:r>
        <w:rPr>
          <w:rFonts w:hint="default" w:ascii="Times New Roman" w:hAnsi="Times New Roman" w:eastAsia="仿宋_GB2312" w:cs="Times New Roman"/>
          <w:b w:val="0"/>
          <w:bCs w:val="0"/>
          <w:i w:val="0"/>
          <w:iCs w:val="0"/>
          <w:color w:val="auto"/>
          <w:sz w:val="32"/>
          <w:szCs w:val="32"/>
          <w:highlight w:val="none"/>
        </w:rPr>
        <w:t>、</w:t>
      </w:r>
      <w:r>
        <w:rPr>
          <w:rFonts w:hint="eastAsia" w:eastAsia="仿宋_GB2312" w:cs="Times New Roman"/>
          <w:b w:val="0"/>
          <w:bCs w:val="0"/>
          <w:i w:val="0"/>
          <w:iCs w:val="0"/>
          <w:color w:val="auto"/>
          <w:sz w:val="32"/>
          <w:szCs w:val="32"/>
          <w:highlight w:val="none"/>
          <w:lang w:eastAsia="zh-CN"/>
        </w:rPr>
        <w:t>水费、电费、</w:t>
      </w:r>
      <w:r>
        <w:rPr>
          <w:rFonts w:hint="default" w:ascii="Times New Roman" w:hAnsi="Times New Roman" w:eastAsia="仿宋_GB2312" w:cs="Times New Roman"/>
          <w:b w:val="0"/>
          <w:bCs w:val="0"/>
          <w:i w:val="0"/>
          <w:iCs w:val="0"/>
          <w:color w:val="auto"/>
          <w:sz w:val="32"/>
          <w:szCs w:val="32"/>
          <w:highlight w:val="none"/>
        </w:rPr>
        <w:t>差旅费、工会经费、福利费、其他交通费、其他商品和服务支出等。</w:t>
      </w:r>
    </w:p>
    <w:p w14:paraId="3AA0BF3D">
      <w:pPr>
        <w:spacing w:line="600" w:lineRule="exact"/>
        <w:ind w:firstLine="640"/>
        <w:outlineLvl w:val="1"/>
        <w:rPr>
          <w:rStyle w:val="37"/>
          <w:rFonts w:ascii="Times New Roman" w:hAnsi="Times New Roman" w:eastAsia="黑体"/>
          <w:b w:val="0"/>
          <w:color w:val="auto"/>
          <w:highlight w:val="none"/>
        </w:rPr>
      </w:pPr>
      <w:bookmarkStart w:id="44" w:name="_Toc15377215"/>
      <w:bookmarkStart w:id="45" w:name="_Toc15396609"/>
      <w:bookmarkStart w:id="46" w:name="_Toc1161"/>
      <w:r>
        <w:rPr>
          <w:rFonts w:hint="eastAsia" w:ascii="Times New Roman" w:hAnsi="Times New Roman" w:eastAsia="黑体"/>
          <w:color w:val="auto"/>
          <w:sz w:val="32"/>
          <w:szCs w:val="32"/>
          <w:highlight w:val="none"/>
        </w:rPr>
        <w:t>七、</w:t>
      </w:r>
      <w:r>
        <w:rPr>
          <w:rStyle w:val="37"/>
          <w:rFonts w:hint="eastAsia" w:ascii="Times New Roman" w:hAnsi="Times New Roman" w:eastAsia="黑体"/>
          <w:b w:val="0"/>
          <w:color w:val="auto"/>
          <w:highlight w:val="none"/>
        </w:rPr>
        <w:t>财政拨款</w:t>
      </w:r>
      <w:r>
        <w:rPr>
          <w:rStyle w:val="37"/>
          <w:rFonts w:hint="eastAsia" w:ascii="Times New Roman" w:hAnsi="Times New Roman" w:eastAsia="黑体"/>
          <w:color w:val="auto"/>
          <w:highlight w:val="none"/>
        </w:rPr>
        <w:t>“</w:t>
      </w:r>
      <w:r>
        <w:rPr>
          <w:rStyle w:val="37"/>
          <w:rFonts w:hint="eastAsia" w:ascii="Times New Roman" w:hAnsi="Times New Roman" w:eastAsia="黑体"/>
          <w:b w:val="0"/>
          <w:color w:val="auto"/>
          <w:highlight w:val="none"/>
        </w:rPr>
        <w:t>三公”经费支出决算情况说明</w:t>
      </w:r>
      <w:bookmarkEnd w:id="44"/>
      <w:bookmarkEnd w:id="45"/>
      <w:bookmarkEnd w:id="46"/>
    </w:p>
    <w:p w14:paraId="1EEE47A8">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7"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47"/>
    </w:p>
    <w:p w14:paraId="5AED08C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eastAsia="仿宋_GB2312" w:cs="仿宋_GB2312"/>
          <w:color w:val="auto"/>
          <w:kern w:val="2"/>
          <w:sz w:val="32"/>
          <w:szCs w:val="32"/>
          <w:highlight w:val="none"/>
          <w:lang w:val="en-US" w:eastAsia="zh-CN" w:bidi="ar-SA"/>
        </w:rPr>
        <w:t>0.29</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较2023年增加0.29万元</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Times New Roman"/>
          <w:b w:val="0"/>
          <w:bCs w:val="0"/>
          <w:i w:val="0"/>
          <w:iCs w:val="0"/>
          <w:color w:val="auto"/>
          <w:sz w:val="32"/>
          <w:szCs w:val="32"/>
          <w:highlight w:val="none"/>
        </w:rPr>
        <w:t>决算数与预算数持平</w:t>
      </w:r>
      <w:r>
        <w:rPr>
          <w:rFonts w:hint="eastAsia" w:eastAsia="仿宋_GB2312" w:cs="Times New Roman"/>
          <w:b w:val="0"/>
          <w:bCs w:val="0"/>
          <w:i w:val="0"/>
          <w:iCs w:val="0"/>
          <w:color w:val="auto"/>
          <w:sz w:val="32"/>
          <w:szCs w:val="32"/>
          <w:highlight w:val="none"/>
          <w:lang w:eastAsia="zh-CN"/>
        </w:rPr>
        <w:t>。</w:t>
      </w:r>
    </w:p>
    <w:p w14:paraId="4568B453">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8"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48"/>
    </w:p>
    <w:p w14:paraId="112BAA1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2024年度“三公”经费财政拨款支出决算中，因公出国（境）费支出决算</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%；公务接待费支出决算</w:t>
      </w:r>
      <w:r>
        <w:rPr>
          <w:rFonts w:hint="eastAsia" w:eastAsia="仿宋_GB2312" w:cs="仿宋_GB2312"/>
          <w:color w:val="auto"/>
          <w:kern w:val="2"/>
          <w:sz w:val="32"/>
          <w:szCs w:val="32"/>
          <w:highlight w:val="none"/>
          <w:lang w:val="en-US" w:eastAsia="zh-CN" w:bidi="ar-SA"/>
        </w:rPr>
        <w:t>0.29</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%。具体情况如下：</w:t>
      </w:r>
    </w:p>
    <w:p w14:paraId="77AD8CE0">
      <w:pPr>
        <w:pStyle w:val="19"/>
        <w:rPr>
          <w:rFonts w:hint="eastAsia"/>
          <w:lang w:val="en-US" w:eastAsia="zh-CN"/>
        </w:rPr>
      </w:pPr>
      <w:r>
        <w:rPr>
          <w:rFonts w:hint="eastAsia"/>
          <w:lang w:val="en-US" w:eastAsia="zh-CN"/>
        </w:rPr>
        <w:drawing>
          <wp:inline distT="0" distB="0" distL="114300" distR="114300">
            <wp:extent cx="5130800" cy="2768600"/>
            <wp:effectExtent l="4445" t="4445" r="8255" b="825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471023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（图7：“三公”经费财政拨款支出结构）（饼状图）</w:t>
      </w:r>
    </w:p>
    <w:p w14:paraId="42ED3196">
      <w:pPr>
        <w:spacing w:line="600" w:lineRule="exact"/>
        <w:ind w:firstLine="640"/>
        <w:rPr>
          <w:rFonts w:hint="eastAsia" w:ascii="仿宋_GB2312" w:eastAsia="仿宋_GB2312"/>
          <w:sz w:val="32"/>
          <w:szCs w:val="32"/>
          <w:lang w:eastAsia="zh-CN"/>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全年安排因公出国（境）团组</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人。因公出国（境）支出决算</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2023年</w:t>
      </w:r>
      <w:r>
        <w:rPr>
          <w:rFonts w:hint="eastAsia" w:eastAsia="仿宋_GB2312" w:cs="仿宋_GB2312"/>
          <w:color w:val="auto"/>
          <w:kern w:val="2"/>
          <w:sz w:val="32"/>
          <w:szCs w:val="32"/>
          <w:highlight w:val="none"/>
          <w:lang w:val="en-US" w:eastAsia="zh-CN" w:bidi="ar-SA"/>
        </w:rPr>
        <w:t>持平</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ascii="仿宋_GB2312" w:eastAsia="仿宋_GB2312"/>
          <w:sz w:val="32"/>
          <w:szCs w:val="32"/>
          <w:lang w:eastAsia="zh-CN"/>
        </w:rPr>
        <w:t>本单位</w:t>
      </w:r>
      <w:r>
        <w:rPr>
          <w:rFonts w:hint="eastAsia" w:ascii="仿宋_GB2312" w:eastAsia="仿宋_GB2312"/>
          <w:sz w:val="32"/>
          <w:szCs w:val="32"/>
        </w:rPr>
        <w:t>未安排因公出国（境）</w:t>
      </w:r>
      <w:r>
        <w:rPr>
          <w:rFonts w:hint="eastAsia" w:ascii="仿宋_GB2312" w:eastAsia="仿宋_GB2312"/>
          <w:sz w:val="32"/>
          <w:szCs w:val="32"/>
          <w:lang w:eastAsia="zh-CN"/>
        </w:rPr>
        <w:t>。</w:t>
      </w:r>
    </w:p>
    <w:p w14:paraId="2A92BE5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2023年</w:t>
      </w:r>
      <w:r>
        <w:rPr>
          <w:rFonts w:hint="eastAsia" w:eastAsia="仿宋_GB2312" w:cs="仿宋_GB2312"/>
          <w:color w:val="auto"/>
          <w:kern w:val="2"/>
          <w:sz w:val="32"/>
          <w:szCs w:val="32"/>
          <w:highlight w:val="none"/>
          <w:lang w:val="en-US" w:eastAsia="zh-CN" w:bidi="ar-SA"/>
        </w:rPr>
        <w:t>持平，主要原因系本单位无公务车辆。</w:t>
      </w:r>
    </w:p>
    <w:p w14:paraId="3B5691C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14:paraId="2EAA27E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w:t>
      </w:r>
    </w:p>
    <w:p w14:paraId="626C687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eastAsia="仿宋_GB2312" w:cs="仿宋_GB2312"/>
          <w:color w:val="auto"/>
          <w:kern w:val="2"/>
          <w:sz w:val="32"/>
          <w:szCs w:val="32"/>
          <w:highlight w:val="none"/>
          <w:lang w:val="en-US" w:eastAsia="zh-CN" w:bidi="ar-SA"/>
        </w:rPr>
        <w:t>0.29</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w:t>
      </w:r>
      <w:r>
        <w:rPr>
          <w:rFonts w:hint="eastAsia" w:eastAsia="仿宋_GB2312" w:cs="仿宋_GB2312"/>
          <w:color w:val="auto"/>
          <w:kern w:val="2"/>
          <w:sz w:val="32"/>
          <w:szCs w:val="32"/>
          <w:highlight w:val="none"/>
          <w:lang w:val="en-US" w:eastAsia="zh-CN" w:bidi="ar-SA"/>
        </w:rPr>
        <w:t>较</w:t>
      </w:r>
      <w:r>
        <w:rPr>
          <w:rFonts w:hint="eastAsia" w:ascii="Times New Roman" w:hAnsi="Times New Roman" w:eastAsia="仿宋_GB2312" w:cs="仿宋_GB2312"/>
          <w:color w:val="auto"/>
          <w:kern w:val="2"/>
          <w:sz w:val="32"/>
          <w:szCs w:val="32"/>
          <w:highlight w:val="none"/>
          <w:lang w:val="en-US" w:eastAsia="zh-CN" w:bidi="ar-SA"/>
        </w:rPr>
        <w:t>2023年度</w:t>
      </w:r>
      <w:r>
        <w:rPr>
          <w:rFonts w:hint="eastAsia" w:eastAsia="仿宋_GB2312" w:cs="仿宋_GB2312"/>
          <w:color w:val="auto"/>
          <w:kern w:val="2"/>
          <w:sz w:val="32"/>
          <w:szCs w:val="32"/>
          <w:highlight w:val="none"/>
          <w:lang w:val="en-US" w:eastAsia="zh-CN" w:bidi="ar-SA"/>
        </w:rPr>
        <w:t>增加0.29万元，增长100%，</w:t>
      </w:r>
      <w:r>
        <w:rPr>
          <w:rFonts w:hint="eastAsia" w:ascii="Times New Roman" w:hAnsi="Times New Roman" w:eastAsia="仿宋_GB2312" w:cs="仿宋_GB2312"/>
          <w:color w:val="auto"/>
          <w:kern w:val="2"/>
          <w:sz w:val="32"/>
          <w:szCs w:val="32"/>
          <w:highlight w:val="none"/>
          <w:lang w:val="en-US" w:eastAsia="zh-CN" w:bidi="ar-SA"/>
        </w:rPr>
        <w:t>主要原因系</w:t>
      </w:r>
      <w:r>
        <w:rPr>
          <w:rFonts w:hint="eastAsia" w:eastAsia="仿宋_GB2312" w:cs="仿宋_GB2312"/>
          <w:color w:val="auto"/>
          <w:kern w:val="2"/>
          <w:sz w:val="32"/>
          <w:szCs w:val="32"/>
          <w:highlight w:val="none"/>
          <w:lang w:val="en-US" w:eastAsia="zh-CN" w:bidi="ar-SA"/>
        </w:rPr>
        <w:t>本年度根据业务开展和调研工作需要增加相应的费用支出</w:t>
      </w:r>
      <w:r>
        <w:rPr>
          <w:rFonts w:hint="eastAsia" w:ascii="Times New Roman" w:hAnsi="Times New Roman" w:eastAsia="仿宋_GB2312" w:cs="仿宋_GB2312"/>
          <w:color w:val="auto"/>
          <w:kern w:val="2"/>
          <w:sz w:val="32"/>
          <w:szCs w:val="32"/>
          <w:highlight w:val="none"/>
          <w:lang w:val="en-US" w:eastAsia="zh-CN" w:bidi="ar-SA"/>
        </w:rPr>
        <w:t>。其中：</w:t>
      </w:r>
    </w:p>
    <w:p w14:paraId="641E0D6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49" w:name="_Toc15396610"/>
      <w:bookmarkStart w:id="50" w:name="_Toc15377218"/>
      <w:r>
        <w:rPr>
          <w:rFonts w:hint="eastAsia" w:ascii="Times New Roman" w:hAnsi="Times New Roman" w:eastAsia="仿宋_GB2312" w:cs="仿宋_GB2312"/>
          <w:color w:val="auto"/>
          <w:kern w:val="2"/>
          <w:sz w:val="32"/>
          <w:szCs w:val="32"/>
          <w:highlight w:val="none"/>
          <w:lang w:val="en-US" w:eastAsia="zh-CN" w:bidi="ar-SA"/>
        </w:rPr>
        <w:t>国内公务接待支出</w:t>
      </w:r>
      <w:r>
        <w:rPr>
          <w:rFonts w:hint="eastAsia" w:eastAsia="仿宋_GB2312" w:cs="仿宋_GB2312"/>
          <w:color w:val="auto"/>
          <w:kern w:val="2"/>
          <w:sz w:val="32"/>
          <w:szCs w:val="32"/>
          <w:highlight w:val="none"/>
          <w:lang w:val="en-US" w:eastAsia="zh-CN" w:bidi="ar-SA"/>
        </w:rPr>
        <w:t>0.29</w:t>
      </w:r>
      <w:r>
        <w:rPr>
          <w:rFonts w:hint="eastAsia" w:ascii="Times New Roman" w:hAnsi="Times New Roman" w:eastAsia="仿宋_GB2312" w:cs="仿宋_GB2312"/>
          <w:color w:val="auto"/>
          <w:kern w:val="2"/>
          <w:sz w:val="32"/>
          <w:szCs w:val="32"/>
          <w:highlight w:val="none"/>
          <w:lang w:val="en-US" w:eastAsia="zh-CN" w:bidi="ar-SA"/>
        </w:rPr>
        <w:t>万元，主要用于开展业务活动开支的用餐费。国内公务接待2批次，27人次（不包括陪同人员），共计支出</w:t>
      </w:r>
      <w:r>
        <w:rPr>
          <w:rFonts w:hint="eastAsia" w:eastAsia="仿宋_GB2312" w:cs="仿宋_GB2312"/>
          <w:color w:val="auto"/>
          <w:kern w:val="2"/>
          <w:sz w:val="32"/>
          <w:szCs w:val="32"/>
          <w:highlight w:val="none"/>
          <w:lang w:val="en-US" w:eastAsia="zh-CN" w:bidi="ar-SA"/>
        </w:rPr>
        <w:t>0.29</w:t>
      </w:r>
      <w:r>
        <w:rPr>
          <w:rFonts w:hint="eastAsia" w:ascii="Times New Roman" w:hAnsi="Times New Roman" w:eastAsia="仿宋_GB2312" w:cs="仿宋_GB2312"/>
          <w:color w:val="auto"/>
          <w:kern w:val="2"/>
          <w:sz w:val="32"/>
          <w:szCs w:val="32"/>
          <w:highlight w:val="none"/>
          <w:lang w:val="en-US" w:eastAsia="zh-CN" w:bidi="ar-SA"/>
        </w:rPr>
        <w:t>万元，具体内容包括：接待省委巡视办调研、市委巡察办莅安调研。</w:t>
      </w:r>
    </w:p>
    <w:p w14:paraId="11716FB1">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b w:val="0"/>
          <w:bCs w:val="0"/>
          <w:i w:val="0"/>
          <w:iCs w:val="0"/>
          <w:color w:val="auto"/>
          <w:sz w:val="32"/>
          <w:szCs w:val="32"/>
          <w:highlight w:val="none"/>
        </w:rPr>
      </w:pPr>
      <w:r>
        <w:rPr>
          <w:rFonts w:hint="default" w:ascii="Times New Roman" w:hAnsi="Times New Roman" w:eastAsia="仿宋_GB2312" w:cs="Times New Roman"/>
          <w:b w:val="0"/>
          <w:bCs w:val="0"/>
          <w:i w:val="0"/>
          <w:iCs w:val="0"/>
          <w:color w:val="auto"/>
          <w:sz w:val="32"/>
          <w:szCs w:val="32"/>
          <w:highlight w:val="none"/>
        </w:rPr>
        <w:t>外事接待支出</w:t>
      </w:r>
      <w:r>
        <w:rPr>
          <w:rFonts w:hint="eastAsia"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万元</w:t>
      </w:r>
      <w:r>
        <w:rPr>
          <w:rFonts w:hint="default" w:ascii="Times New Roman" w:hAnsi="Times New Roman" w:eastAsia="仿宋_GB2312" w:cs="Times New Roman"/>
          <w:b w:val="0"/>
          <w:bCs w:val="0"/>
          <w:i w:val="0"/>
          <w:iCs w:val="0"/>
          <w:color w:val="auto"/>
          <w:sz w:val="32"/>
          <w:szCs w:val="32"/>
          <w:highlight w:val="none"/>
          <w:lang w:eastAsia="zh-CN"/>
        </w:rPr>
        <w:t>。</w:t>
      </w:r>
      <w:r>
        <w:rPr>
          <w:rFonts w:hint="default" w:ascii="Times New Roman" w:hAnsi="Times New Roman" w:eastAsia="仿宋_GB2312" w:cs="Times New Roman"/>
          <w:b w:val="0"/>
          <w:bCs w:val="0"/>
          <w:i w:val="0"/>
          <w:iCs w:val="0"/>
          <w:color w:val="auto"/>
          <w:sz w:val="32"/>
          <w:szCs w:val="32"/>
          <w:highlight w:val="none"/>
        </w:rPr>
        <w:t>外事接待</w:t>
      </w:r>
      <w:r>
        <w:rPr>
          <w:rFonts w:hint="eastAsia"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批次，</w:t>
      </w:r>
      <w:r>
        <w:rPr>
          <w:rFonts w:hint="eastAsia"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人</w:t>
      </w:r>
      <w:r>
        <w:rPr>
          <w:rFonts w:hint="default" w:ascii="Times New Roman" w:hAnsi="Times New Roman" w:eastAsia="仿宋_GB2312" w:cs="Times New Roman"/>
          <w:b w:val="0"/>
          <w:bCs w:val="0"/>
          <w:i w:val="0"/>
          <w:iCs w:val="0"/>
          <w:color w:val="auto"/>
          <w:sz w:val="32"/>
          <w:szCs w:val="32"/>
          <w:highlight w:val="none"/>
          <w:lang w:eastAsia="zh-CN"/>
        </w:rPr>
        <w:t>次（不包括陪同人员）</w:t>
      </w:r>
      <w:r>
        <w:rPr>
          <w:rFonts w:hint="default" w:ascii="Times New Roman" w:hAnsi="Times New Roman" w:eastAsia="仿宋_GB2312" w:cs="Times New Roman"/>
          <w:b w:val="0"/>
          <w:bCs w:val="0"/>
          <w:i w:val="0"/>
          <w:iCs w:val="0"/>
          <w:color w:val="auto"/>
          <w:sz w:val="32"/>
          <w:szCs w:val="32"/>
          <w:highlight w:val="none"/>
        </w:rPr>
        <w:t>，共计支出</w:t>
      </w:r>
      <w:r>
        <w:rPr>
          <w:rFonts w:hint="eastAsia"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万元。</w:t>
      </w:r>
    </w:p>
    <w:p w14:paraId="27B80C7F">
      <w:pPr>
        <w:spacing w:line="600" w:lineRule="exact"/>
        <w:ind w:firstLine="640"/>
        <w:outlineLvl w:val="1"/>
        <w:rPr>
          <w:rStyle w:val="37"/>
          <w:rFonts w:ascii="Times New Roman" w:hAnsi="Times New Roman" w:eastAsia="黑体"/>
          <w:color w:val="auto"/>
          <w:highlight w:val="none"/>
        </w:rPr>
      </w:pPr>
      <w:bookmarkStart w:id="51" w:name="_Toc26581"/>
      <w:r>
        <w:rPr>
          <w:rFonts w:hint="eastAsia" w:ascii="Times New Roman" w:hAnsi="Times New Roman" w:eastAsia="黑体"/>
          <w:color w:val="auto"/>
          <w:sz w:val="32"/>
          <w:szCs w:val="32"/>
          <w:highlight w:val="none"/>
        </w:rPr>
        <w:t>八、</w:t>
      </w:r>
      <w:r>
        <w:rPr>
          <w:rStyle w:val="37"/>
          <w:rFonts w:hint="eastAsia" w:ascii="Times New Roman" w:hAnsi="Times New Roman" w:eastAsia="黑体"/>
          <w:b w:val="0"/>
          <w:color w:val="auto"/>
          <w:highlight w:val="none"/>
        </w:rPr>
        <w:t>政府性基金预算支出决算情况说明</w:t>
      </w:r>
      <w:bookmarkEnd w:id="49"/>
      <w:bookmarkEnd w:id="50"/>
      <w:bookmarkEnd w:id="51"/>
    </w:p>
    <w:p w14:paraId="16573AB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2024年度政府性基金预算财政拨款支出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万元，占本年支出合计的</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2023年度</w:t>
      </w:r>
      <w:r>
        <w:rPr>
          <w:rFonts w:hint="eastAsia" w:eastAsia="仿宋_GB2312" w:cs="仿宋_GB2312"/>
          <w:color w:val="auto"/>
          <w:kern w:val="2"/>
          <w:sz w:val="32"/>
          <w:szCs w:val="32"/>
          <w:highlight w:val="none"/>
          <w:lang w:val="en-US" w:eastAsia="zh-CN" w:bidi="ar-SA"/>
        </w:rPr>
        <w:t>持平。</w:t>
      </w:r>
    </w:p>
    <w:p w14:paraId="0F06228A">
      <w:pPr>
        <w:numPr>
          <w:ilvl w:val="0"/>
          <w:numId w:val="0"/>
        </w:numPr>
        <w:spacing w:line="600" w:lineRule="exact"/>
        <w:ind w:left="630" w:leftChars="0"/>
        <w:outlineLvl w:val="1"/>
        <w:rPr>
          <w:rStyle w:val="37"/>
          <w:rFonts w:ascii="Times New Roman" w:hAnsi="Times New Roman" w:eastAsia="黑体"/>
          <w:b w:val="0"/>
          <w:color w:val="auto"/>
          <w:highlight w:val="none"/>
        </w:rPr>
      </w:pPr>
      <w:bookmarkStart w:id="52" w:name="_Toc15396611"/>
      <w:bookmarkStart w:id="53" w:name="_Toc15377219"/>
      <w:bookmarkStart w:id="54" w:name="_Toc8762"/>
      <w:r>
        <w:rPr>
          <w:rStyle w:val="37"/>
          <w:rFonts w:hint="eastAsia" w:ascii="Times New Roman" w:hAnsi="Times New Roman" w:eastAsia="黑体"/>
          <w:b w:val="0"/>
          <w:color w:val="auto"/>
          <w:highlight w:val="none"/>
          <w:lang w:eastAsia="zh-CN"/>
        </w:rPr>
        <w:t>九、</w:t>
      </w:r>
      <w:r>
        <w:rPr>
          <w:rStyle w:val="37"/>
          <w:rFonts w:hint="eastAsia" w:ascii="Times New Roman" w:hAnsi="Times New Roman" w:eastAsia="黑体"/>
          <w:b w:val="0"/>
          <w:color w:val="auto"/>
          <w:highlight w:val="none"/>
        </w:rPr>
        <w:t>国有资本经营预算支出决算情况说明</w:t>
      </w:r>
      <w:bookmarkEnd w:id="52"/>
      <w:bookmarkEnd w:id="53"/>
      <w:bookmarkEnd w:id="54"/>
    </w:p>
    <w:p w14:paraId="5CB8944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万元，占本年支出合计的</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%。与2023年度相比，国有资本经营预算财政拨款支出</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2023年度</w:t>
      </w:r>
      <w:r>
        <w:rPr>
          <w:rFonts w:hint="eastAsia" w:eastAsia="仿宋_GB2312" w:cs="仿宋_GB2312"/>
          <w:color w:val="auto"/>
          <w:kern w:val="2"/>
          <w:sz w:val="32"/>
          <w:szCs w:val="32"/>
          <w:highlight w:val="none"/>
          <w:lang w:val="en-US" w:eastAsia="zh-CN" w:bidi="ar-SA"/>
        </w:rPr>
        <w:t>持平。</w:t>
      </w:r>
    </w:p>
    <w:p w14:paraId="75B85769">
      <w:pPr>
        <w:numPr>
          <w:ilvl w:val="0"/>
          <w:numId w:val="0"/>
        </w:numPr>
        <w:spacing w:line="600" w:lineRule="exact"/>
        <w:ind w:left="630" w:leftChars="0"/>
        <w:outlineLvl w:val="1"/>
        <w:rPr>
          <w:rStyle w:val="37"/>
          <w:rFonts w:hint="eastAsia" w:ascii="Times New Roman" w:hAnsi="Times New Roman" w:eastAsia="黑体"/>
          <w:b w:val="0"/>
          <w:color w:val="auto"/>
          <w:highlight w:val="none"/>
        </w:rPr>
      </w:pPr>
      <w:bookmarkStart w:id="55" w:name="_Toc17500"/>
      <w:bookmarkStart w:id="56" w:name="_Toc15396612"/>
      <w:bookmarkStart w:id="57" w:name="_Toc15377221"/>
      <w:r>
        <w:rPr>
          <w:rStyle w:val="37"/>
          <w:rFonts w:hint="eastAsia" w:ascii="Times New Roman" w:hAnsi="Times New Roman" w:eastAsia="黑体"/>
          <w:b w:val="0"/>
          <w:color w:val="auto"/>
          <w:highlight w:val="none"/>
          <w:lang w:eastAsia="zh-CN"/>
        </w:rPr>
        <w:t>十、</w:t>
      </w:r>
      <w:r>
        <w:rPr>
          <w:rStyle w:val="37"/>
          <w:rFonts w:hint="eastAsia" w:ascii="Times New Roman" w:hAnsi="Times New Roman" w:eastAsia="黑体"/>
          <w:b w:val="0"/>
          <w:color w:val="auto"/>
          <w:highlight w:val="none"/>
        </w:rPr>
        <w:t>其他重要事项的情况说明</w:t>
      </w:r>
      <w:bookmarkEnd w:id="55"/>
      <w:bookmarkEnd w:id="56"/>
      <w:bookmarkEnd w:id="57"/>
    </w:p>
    <w:p w14:paraId="5E306783">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8" w:name="_Toc15377222"/>
      <w:r>
        <w:rPr>
          <w:rFonts w:hint="eastAsia" w:ascii="Times New Roman" w:hAnsi="Times New Roman" w:eastAsia="楷体_GB2312" w:cs="楷体_GB2312"/>
          <w:b/>
          <w:color w:val="auto"/>
          <w:sz w:val="32"/>
          <w:szCs w:val="32"/>
          <w:highlight w:val="none"/>
        </w:rPr>
        <w:t>（一）机关运行经费支出情况</w:t>
      </w:r>
      <w:bookmarkEnd w:id="58"/>
    </w:p>
    <w:p w14:paraId="31B5D8B2">
      <w:pPr>
        <w:spacing w:line="600" w:lineRule="exact"/>
        <w:ind w:firstLine="640"/>
        <w:rPr>
          <w:rFonts w:hint="eastAsia" w:ascii="Times New Roman" w:hAnsi="Times New Roman" w:eastAsia="仿宋_GB2312" w:cs="仿宋_GB2312"/>
          <w:color w:val="auto"/>
          <w:kern w:val="2"/>
          <w:sz w:val="32"/>
          <w:szCs w:val="32"/>
          <w:highlight w:val="yellow"/>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eastAsia="仿宋_GB2312" w:cs="仿宋_GB2312"/>
          <w:color w:val="auto"/>
          <w:kern w:val="2"/>
          <w:sz w:val="32"/>
          <w:szCs w:val="32"/>
          <w:highlight w:val="none"/>
          <w:lang w:val="en-US" w:eastAsia="zh-CN" w:bidi="ar-SA"/>
        </w:rPr>
        <w:t>本单位</w:t>
      </w:r>
      <w:r>
        <w:rPr>
          <w:rFonts w:hint="eastAsia" w:ascii="Times New Roman" w:hAnsi="Times New Roman" w:eastAsia="仿宋_GB2312" w:cs="仿宋_GB2312"/>
          <w:color w:val="auto"/>
          <w:kern w:val="2"/>
          <w:sz w:val="32"/>
          <w:szCs w:val="32"/>
          <w:highlight w:val="none"/>
          <w:lang w:val="en-US" w:eastAsia="zh-CN" w:bidi="ar-SA"/>
        </w:rPr>
        <w:t>机关运行经费支出</w:t>
      </w:r>
      <w:r>
        <w:rPr>
          <w:rFonts w:hint="eastAsia" w:eastAsia="仿宋_GB2312" w:cs="仿宋_GB2312"/>
          <w:color w:val="auto"/>
          <w:kern w:val="2"/>
          <w:sz w:val="32"/>
          <w:szCs w:val="32"/>
          <w:highlight w:val="none"/>
          <w:lang w:val="en-US" w:eastAsia="zh-CN" w:bidi="ar-SA"/>
        </w:rPr>
        <w:t>49.39</w:t>
      </w:r>
      <w:r>
        <w:rPr>
          <w:rFonts w:hint="eastAsia" w:ascii="Times New Roman" w:hAnsi="Times New Roman" w:eastAsia="仿宋_GB2312" w:cs="仿宋_GB2312"/>
          <w:color w:val="auto"/>
          <w:kern w:val="2"/>
          <w:sz w:val="32"/>
          <w:szCs w:val="32"/>
          <w:highlight w:val="none"/>
          <w:lang w:val="en-US" w:eastAsia="zh-CN" w:bidi="ar-SA"/>
        </w:rPr>
        <w:t>万元，比2023年度</w:t>
      </w:r>
      <w:r>
        <w:rPr>
          <w:rFonts w:hint="eastAsia" w:eastAsia="仿宋_GB2312" w:cs="仿宋_GB2312"/>
          <w:color w:val="auto"/>
          <w:kern w:val="2"/>
          <w:sz w:val="32"/>
          <w:szCs w:val="32"/>
          <w:highlight w:val="none"/>
          <w:lang w:val="en-US" w:eastAsia="zh-CN" w:bidi="ar-SA"/>
        </w:rPr>
        <w:t>增加2.18</w:t>
      </w:r>
      <w:r>
        <w:rPr>
          <w:rFonts w:hint="eastAsia" w:ascii="Times New Roman" w:hAnsi="Times New Roman" w:eastAsia="仿宋_GB2312" w:cs="仿宋_GB2312"/>
          <w:color w:val="auto"/>
          <w:kern w:val="2"/>
          <w:sz w:val="32"/>
          <w:szCs w:val="32"/>
          <w:highlight w:val="none"/>
          <w:lang w:val="en-US" w:eastAsia="zh-CN" w:bidi="ar-SA"/>
        </w:rPr>
        <w:t>万元，</w:t>
      </w:r>
      <w:r>
        <w:rPr>
          <w:rFonts w:hint="default" w:ascii="Times New Roman" w:hAnsi="Times New Roman" w:eastAsia="仿宋_GB2312" w:cs="Times New Roman"/>
          <w:b w:val="0"/>
          <w:bCs w:val="0"/>
          <w:i w:val="0"/>
          <w:iCs w:val="0"/>
          <w:color w:val="auto"/>
          <w:sz w:val="32"/>
          <w:szCs w:val="32"/>
          <w:highlight w:val="none"/>
        </w:rPr>
        <w:t>增长</w:t>
      </w:r>
      <w:r>
        <w:rPr>
          <w:rFonts w:hint="eastAsia" w:eastAsia="仿宋_GB2312" w:cs="仿宋_GB2312"/>
          <w:color w:val="auto"/>
          <w:kern w:val="2"/>
          <w:sz w:val="32"/>
          <w:szCs w:val="32"/>
          <w:highlight w:val="none"/>
          <w:lang w:val="en-US" w:eastAsia="zh-CN" w:bidi="ar-SA"/>
        </w:rPr>
        <w:t>4.62</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主要变动原因系</w:t>
      </w:r>
      <w:r>
        <w:rPr>
          <w:rFonts w:hint="eastAsia" w:ascii="Times New Roman" w:hAnsi="Times New Roman" w:eastAsia="仿宋_GB2312" w:cs="仿宋_GB2312"/>
          <w:color w:val="auto"/>
          <w:sz w:val="32"/>
          <w:szCs w:val="32"/>
          <w:highlight w:val="none"/>
          <w:lang w:val="en-US" w:eastAsia="zh-CN"/>
        </w:rPr>
        <w:t>本年度</w:t>
      </w:r>
      <w:r>
        <w:rPr>
          <w:rFonts w:hint="eastAsia" w:eastAsia="仿宋_GB2312" w:cs="仿宋_GB2312"/>
          <w:color w:val="auto"/>
          <w:sz w:val="32"/>
          <w:szCs w:val="32"/>
          <w:highlight w:val="none"/>
          <w:lang w:val="en-US" w:eastAsia="zh-CN"/>
        </w:rPr>
        <w:t>在职</w:t>
      </w:r>
      <w:r>
        <w:rPr>
          <w:rFonts w:hint="eastAsia" w:ascii="Times New Roman" w:hAnsi="Times New Roman" w:eastAsia="仿宋_GB2312" w:cs="仿宋_GB2312"/>
          <w:color w:val="auto"/>
          <w:sz w:val="32"/>
          <w:szCs w:val="32"/>
          <w:highlight w:val="none"/>
          <w:lang w:val="en-US" w:eastAsia="zh-CN"/>
        </w:rPr>
        <w:t>人员</w:t>
      </w:r>
      <w:r>
        <w:rPr>
          <w:rFonts w:hint="eastAsia" w:eastAsia="仿宋_GB2312" w:cs="仿宋_GB2312"/>
          <w:color w:val="auto"/>
          <w:sz w:val="32"/>
          <w:szCs w:val="32"/>
          <w:highlight w:val="none"/>
          <w:lang w:val="en-US" w:eastAsia="zh-CN"/>
        </w:rPr>
        <w:t>新</w:t>
      </w:r>
      <w:r>
        <w:rPr>
          <w:rFonts w:hint="eastAsia" w:ascii="Times New Roman" w:hAnsi="Times New Roman" w:eastAsia="仿宋_GB2312" w:cs="仿宋_GB2312"/>
          <w:color w:val="auto"/>
          <w:sz w:val="32"/>
          <w:szCs w:val="32"/>
          <w:highlight w:val="none"/>
          <w:lang w:val="en-US" w:eastAsia="zh-CN"/>
        </w:rPr>
        <w:t>增</w:t>
      </w:r>
      <w:r>
        <w:rPr>
          <w:rFonts w:hint="eastAsia" w:eastAsia="仿宋_GB2312" w:cs="仿宋_GB2312"/>
          <w:color w:val="auto"/>
          <w:sz w:val="32"/>
          <w:szCs w:val="32"/>
          <w:highlight w:val="none"/>
          <w:lang w:val="en-US" w:eastAsia="zh-CN"/>
        </w:rPr>
        <w:t>1人，导致相应的工作经费增加</w:t>
      </w:r>
      <w:r>
        <w:rPr>
          <w:rFonts w:hint="eastAsia" w:ascii="Times New Roman" w:hAnsi="Times New Roman" w:eastAsia="仿宋_GB2312" w:cs="仿宋_GB2312"/>
          <w:color w:val="auto"/>
          <w:sz w:val="32"/>
          <w:szCs w:val="32"/>
          <w:highlight w:val="none"/>
          <w:lang w:val="en-US" w:eastAsia="zh-CN"/>
        </w:rPr>
        <w:t>。</w:t>
      </w:r>
    </w:p>
    <w:p w14:paraId="5ABA3442">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9" w:name="_Toc15377223"/>
      <w:r>
        <w:rPr>
          <w:rFonts w:hint="eastAsia" w:ascii="Times New Roman" w:hAnsi="Times New Roman" w:eastAsia="楷体_GB2312" w:cs="楷体_GB2312"/>
          <w:b/>
          <w:color w:val="auto"/>
          <w:sz w:val="32"/>
          <w:szCs w:val="32"/>
          <w:highlight w:val="none"/>
        </w:rPr>
        <w:t>（二）政府采购支出情况</w:t>
      </w:r>
      <w:bookmarkEnd w:id="59"/>
    </w:p>
    <w:p w14:paraId="4968AAD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eastAsia="仿宋_GB2312" w:cs="仿宋_GB2312"/>
          <w:color w:val="auto"/>
          <w:kern w:val="2"/>
          <w:sz w:val="32"/>
          <w:szCs w:val="32"/>
          <w:highlight w:val="none"/>
          <w:lang w:val="en-US" w:eastAsia="zh-CN" w:bidi="ar-SA"/>
        </w:rPr>
        <w:t>本单位</w:t>
      </w:r>
      <w:r>
        <w:rPr>
          <w:rFonts w:hint="eastAsia" w:ascii="Times New Roman" w:hAnsi="Times New Roman" w:eastAsia="仿宋_GB2312" w:cs="仿宋_GB2312"/>
          <w:color w:val="auto"/>
          <w:kern w:val="2"/>
          <w:sz w:val="32"/>
          <w:szCs w:val="32"/>
          <w:highlight w:val="none"/>
          <w:lang w:val="en-US" w:eastAsia="zh-CN" w:bidi="ar-SA"/>
        </w:rPr>
        <w:t>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14:paraId="0C876624">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60" w:name="_Toc15377224"/>
      <w:r>
        <w:rPr>
          <w:rFonts w:hint="eastAsia" w:ascii="Times New Roman" w:hAnsi="Times New Roman" w:eastAsia="楷体_GB2312" w:cs="楷体_GB2312"/>
          <w:b/>
          <w:color w:val="auto"/>
          <w:sz w:val="32"/>
          <w:szCs w:val="32"/>
          <w:highlight w:val="none"/>
        </w:rPr>
        <w:t>（三）国有资产占有使用情况</w:t>
      </w:r>
      <w:bookmarkEnd w:id="60"/>
    </w:p>
    <w:p w14:paraId="2256AC2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截至202</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年12月31日，</w:t>
      </w:r>
      <w:r>
        <w:rPr>
          <w:rFonts w:hint="eastAsia" w:eastAsia="仿宋_GB2312" w:cs="仿宋_GB2312"/>
          <w:color w:val="auto"/>
          <w:kern w:val="2"/>
          <w:sz w:val="32"/>
          <w:szCs w:val="32"/>
          <w:highlight w:val="none"/>
          <w:lang w:val="en-US" w:eastAsia="zh-CN" w:bidi="ar-SA"/>
        </w:rPr>
        <w:t>本单位</w:t>
      </w:r>
      <w:r>
        <w:rPr>
          <w:rFonts w:hint="eastAsia" w:ascii="Times New Roman" w:hAnsi="Times New Roman" w:eastAsia="仿宋_GB2312" w:cs="仿宋_GB2312"/>
          <w:color w:val="auto"/>
          <w:kern w:val="2"/>
          <w:sz w:val="32"/>
          <w:szCs w:val="32"/>
          <w:highlight w:val="none"/>
          <w:lang w:val="en-US" w:eastAsia="zh-CN" w:bidi="ar-SA"/>
        </w:rPr>
        <w:t>共有车辆</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辆，其中：主要</w:t>
      </w:r>
      <w:r>
        <w:rPr>
          <w:rFonts w:hint="eastAsia" w:eastAsia="仿宋_GB2312" w:cs="仿宋_GB2312"/>
          <w:color w:val="auto"/>
          <w:kern w:val="2"/>
          <w:sz w:val="32"/>
          <w:szCs w:val="32"/>
          <w:highlight w:val="none"/>
          <w:lang w:val="en-US" w:eastAsia="zh-CN" w:bidi="ar-SA"/>
        </w:rPr>
        <w:t>负责人</w:t>
      </w:r>
      <w:r>
        <w:rPr>
          <w:rFonts w:hint="eastAsia" w:ascii="Times New Roman" w:hAnsi="Times New Roman" w:eastAsia="仿宋_GB2312" w:cs="仿宋_GB2312"/>
          <w:color w:val="auto"/>
          <w:kern w:val="2"/>
          <w:sz w:val="32"/>
          <w:szCs w:val="32"/>
          <w:highlight w:val="none"/>
          <w:lang w:val="en-US" w:eastAsia="zh-CN" w:bidi="ar-SA"/>
        </w:rPr>
        <w:t>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辆、机要通信用车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辆、应急保障用车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辆、其他用车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单价100万元</w:t>
      </w:r>
      <w:r>
        <w:rPr>
          <w:rFonts w:hint="eastAsia" w:eastAsia="仿宋_GB2312" w:cs="仿宋_GB2312"/>
          <w:color w:val="auto"/>
          <w:kern w:val="2"/>
          <w:sz w:val="32"/>
          <w:szCs w:val="32"/>
          <w:highlight w:val="none"/>
          <w:lang w:val="en-US" w:eastAsia="zh-CN" w:bidi="ar-SA"/>
        </w:rPr>
        <w:t>（含）</w:t>
      </w:r>
      <w:r>
        <w:rPr>
          <w:rFonts w:hint="eastAsia" w:ascii="Times New Roman" w:hAnsi="Times New Roman" w:eastAsia="仿宋_GB2312" w:cs="仿宋_GB2312"/>
          <w:color w:val="auto"/>
          <w:kern w:val="2"/>
          <w:sz w:val="32"/>
          <w:szCs w:val="32"/>
          <w:highlight w:val="none"/>
          <w:lang w:val="en-US" w:eastAsia="zh-CN" w:bidi="ar-SA"/>
        </w:rPr>
        <w:t>以上设备（不含车辆）</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台（套）。</w:t>
      </w:r>
    </w:p>
    <w:p w14:paraId="0D837250">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509F688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Times New Roman"/>
          <w:b w:val="0"/>
          <w:bCs w:val="0"/>
          <w:i w:val="0"/>
          <w:iCs w:val="0"/>
          <w:color w:val="auto"/>
          <w:sz w:val="32"/>
          <w:szCs w:val="32"/>
          <w:highlight w:val="none"/>
        </w:rPr>
        <w:t>根据预算绩效管理要求，本部门在</w:t>
      </w:r>
      <w:r>
        <w:rPr>
          <w:rFonts w:hint="default" w:ascii="Times New Roman" w:hAnsi="Times New Roman" w:eastAsia="仿宋_GB2312" w:cs="Times New Roman"/>
          <w:b w:val="0"/>
          <w:bCs w:val="0"/>
          <w:i w:val="0"/>
          <w:iCs w:val="0"/>
          <w:color w:val="auto"/>
          <w:sz w:val="32"/>
          <w:szCs w:val="32"/>
          <w:highlight w:val="none"/>
          <w:lang w:val="en-US" w:eastAsia="zh-CN"/>
        </w:rPr>
        <w:t>202</w:t>
      </w:r>
      <w:r>
        <w:rPr>
          <w:rFonts w:hint="eastAsia" w:eastAsia="仿宋_GB2312" w:cs="Times New Roman"/>
          <w:b w:val="0"/>
          <w:bCs w:val="0"/>
          <w:i w:val="0"/>
          <w:iCs w:val="0"/>
          <w:color w:val="auto"/>
          <w:sz w:val="32"/>
          <w:szCs w:val="32"/>
          <w:highlight w:val="none"/>
          <w:lang w:val="en-US" w:eastAsia="zh-CN"/>
        </w:rPr>
        <w:t>4</w:t>
      </w:r>
      <w:r>
        <w:rPr>
          <w:rFonts w:hint="default" w:ascii="Times New Roman" w:hAnsi="Times New Roman" w:eastAsia="仿宋_GB2312" w:cs="Times New Roman"/>
          <w:b w:val="0"/>
          <w:bCs w:val="0"/>
          <w:i w:val="0"/>
          <w:iCs w:val="0"/>
          <w:color w:val="auto"/>
          <w:sz w:val="32"/>
          <w:szCs w:val="32"/>
          <w:highlight w:val="none"/>
          <w:lang w:val="en-US" w:eastAsia="zh-CN"/>
        </w:rPr>
        <w:t>年度</w:t>
      </w:r>
      <w:r>
        <w:rPr>
          <w:rFonts w:hint="default" w:ascii="Times New Roman" w:hAnsi="Times New Roman" w:eastAsia="仿宋_GB2312" w:cs="Times New Roman"/>
          <w:b w:val="0"/>
          <w:bCs w:val="0"/>
          <w:i w:val="0"/>
          <w:iCs w:val="0"/>
          <w:color w:val="auto"/>
          <w:sz w:val="32"/>
          <w:szCs w:val="32"/>
          <w:highlight w:val="none"/>
        </w:rPr>
        <w:t>预算编制阶段，组织</w:t>
      </w:r>
      <w:r>
        <w:rPr>
          <w:rFonts w:hint="eastAsia" w:ascii="Times New Roman" w:hAnsi="Times New Roman" w:eastAsia="仿宋_GB2312" w:cs="Times New Roman"/>
          <w:b w:val="0"/>
          <w:bCs w:val="0"/>
          <w:i w:val="0"/>
          <w:iCs w:val="0"/>
          <w:color w:val="auto"/>
          <w:sz w:val="32"/>
          <w:szCs w:val="32"/>
          <w:highlight w:val="none"/>
          <w:lang w:eastAsia="zh-CN"/>
        </w:rPr>
        <w:t>对巡察工作专项经费</w:t>
      </w:r>
      <w:r>
        <w:rPr>
          <w:rFonts w:hint="eastAsia" w:eastAsia="仿宋_GB2312" w:cs="Times New Roman"/>
          <w:b w:val="0"/>
          <w:bCs w:val="0"/>
          <w:i w:val="0"/>
          <w:iCs w:val="0"/>
          <w:color w:val="auto"/>
          <w:sz w:val="32"/>
          <w:szCs w:val="32"/>
          <w:highlight w:val="none"/>
          <w:lang w:eastAsia="zh-CN"/>
        </w:rPr>
        <w:t>、安可资金</w:t>
      </w:r>
      <w:r>
        <w:rPr>
          <w:rFonts w:hint="default" w:ascii="Times New Roman" w:hAnsi="Times New Roman" w:eastAsia="仿宋_GB2312" w:cs="Times New Roman"/>
          <w:b w:val="0"/>
          <w:bCs w:val="0"/>
          <w:i w:val="0"/>
          <w:iCs w:val="0"/>
          <w:color w:val="auto"/>
          <w:sz w:val="32"/>
          <w:szCs w:val="32"/>
          <w:highlight w:val="none"/>
          <w:lang w:val="en-US" w:eastAsia="zh-CN"/>
        </w:rPr>
        <w:t>项目</w:t>
      </w:r>
      <w:r>
        <w:rPr>
          <w:rFonts w:hint="default" w:ascii="Times New Roman" w:hAnsi="Times New Roman" w:eastAsia="仿宋_GB2312" w:cs="Times New Roman"/>
          <w:b w:val="0"/>
          <w:bCs w:val="0"/>
          <w:i w:val="0"/>
          <w:iCs w:val="0"/>
          <w:color w:val="auto"/>
          <w:sz w:val="32"/>
          <w:szCs w:val="32"/>
          <w:highlight w:val="none"/>
        </w:rPr>
        <w:t>开展了预算事前绩效评估</w:t>
      </w:r>
      <w:r>
        <w:rPr>
          <w:rFonts w:hint="eastAsia" w:eastAsia="仿宋_GB2312" w:cs="Times New Roman"/>
          <w:b w:val="0"/>
          <w:bCs w:val="0"/>
          <w:i w:val="0"/>
          <w:iCs w:val="0"/>
          <w:color w:val="auto"/>
          <w:sz w:val="32"/>
          <w:szCs w:val="32"/>
          <w:highlight w:val="none"/>
          <w:lang w:eastAsia="zh-CN"/>
        </w:rPr>
        <w:t>，并</w:t>
      </w:r>
      <w:r>
        <w:rPr>
          <w:rFonts w:hint="eastAsia" w:ascii="Times New Roman" w:hAnsi="Times New Roman" w:eastAsia="仿宋_GB2312" w:cs="仿宋_GB2312"/>
          <w:color w:val="auto"/>
          <w:kern w:val="2"/>
          <w:sz w:val="32"/>
          <w:szCs w:val="32"/>
          <w:highlight w:val="none"/>
          <w:lang w:val="en-US" w:eastAsia="zh-CN" w:bidi="ar-SA"/>
        </w:rPr>
        <w:t>对</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个项目编制了绩效目标，预算执行过程中，选取</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个项目开展绩效监控。</w:t>
      </w:r>
    </w:p>
    <w:p w14:paraId="72BC88EF">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组织对2024年度一般公共预算、政府性基金预算、国有资本经营预算、社会保险基金预算以及资本资产、债券资金等全面开展绩效自评，形成形成</w:t>
      </w:r>
      <w:r>
        <w:rPr>
          <w:rFonts w:hint="eastAsia" w:eastAsia="仿宋_GB2312" w:cs="仿宋_GB2312"/>
          <w:color w:val="auto"/>
          <w:kern w:val="2"/>
          <w:sz w:val="32"/>
          <w:szCs w:val="32"/>
          <w:highlight w:val="none"/>
          <w:lang w:val="en-US" w:eastAsia="zh-CN" w:bidi="ar-SA"/>
        </w:rPr>
        <w:t>本单位</w:t>
      </w:r>
      <w:r>
        <w:rPr>
          <w:rFonts w:hint="eastAsia" w:ascii="Times New Roman" w:hAnsi="Times New Roman" w:eastAsia="仿宋_GB2312" w:cs="仿宋_GB2312"/>
          <w:color w:val="auto"/>
          <w:kern w:val="2"/>
          <w:sz w:val="32"/>
          <w:szCs w:val="32"/>
          <w:highlight w:val="none"/>
          <w:lang w:val="en-US" w:eastAsia="zh-CN" w:bidi="ar-SA"/>
        </w:rPr>
        <w:t>部门整体（含部门预算项目）绩效自评报告、</w:t>
      </w:r>
      <w:r>
        <w:rPr>
          <w:rFonts w:hint="eastAsia" w:ascii="Times New Roman" w:hAnsi="Times New Roman" w:eastAsia="仿宋_GB2312" w:cs="Times New Roman"/>
          <w:b w:val="0"/>
          <w:bCs w:val="0"/>
          <w:i w:val="0"/>
          <w:iCs w:val="0"/>
          <w:color w:val="auto"/>
          <w:sz w:val="32"/>
          <w:szCs w:val="32"/>
          <w:highlight w:val="none"/>
          <w:lang w:eastAsia="zh-CN"/>
        </w:rPr>
        <w:t>巡察工作专项经费</w:t>
      </w:r>
      <w:r>
        <w:rPr>
          <w:rFonts w:hint="eastAsia" w:eastAsia="仿宋_GB2312" w:cs="Times New Roman"/>
          <w:b w:val="0"/>
          <w:bCs w:val="0"/>
          <w:i w:val="0"/>
          <w:iCs w:val="0"/>
          <w:color w:val="auto"/>
          <w:sz w:val="32"/>
          <w:szCs w:val="32"/>
          <w:highlight w:val="none"/>
          <w:lang w:eastAsia="zh-CN"/>
        </w:rPr>
        <w:t>、安可资金</w:t>
      </w:r>
      <w:r>
        <w:rPr>
          <w:rFonts w:hint="default" w:ascii="Times New Roman" w:hAnsi="Times New Roman" w:eastAsia="仿宋_GB2312" w:cs="Times New Roman"/>
          <w:b w:val="0"/>
          <w:bCs w:val="0"/>
          <w:i w:val="0"/>
          <w:iCs w:val="0"/>
          <w:color w:val="auto"/>
          <w:sz w:val="32"/>
          <w:szCs w:val="32"/>
          <w:highlight w:val="none"/>
          <w:lang w:val="en-US" w:eastAsia="zh-CN"/>
        </w:rPr>
        <w:t>项目</w:t>
      </w:r>
      <w:r>
        <w:rPr>
          <w:rFonts w:hint="eastAsia" w:ascii="Times New Roman" w:hAnsi="Times New Roman" w:eastAsia="仿宋_GB2312" w:cs="仿宋_GB2312"/>
          <w:color w:val="auto"/>
          <w:kern w:val="2"/>
          <w:sz w:val="32"/>
          <w:szCs w:val="32"/>
          <w:highlight w:val="none"/>
          <w:lang w:val="en-US" w:eastAsia="zh-CN" w:bidi="ar-SA"/>
        </w:rPr>
        <w:t>绩效自评</w:t>
      </w:r>
      <w:r>
        <w:rPr>
          <w:rFonts w:hint="eastAsia" w:eastAsia="仿宋_GB2312" w:cs="仿宋_GB2312"/>
          <w:color w:val="auto"/>
          <w:kern w:val="2"/>
          <w:sz w:val="32"/>
          <w:szCs w:val="32"/>
          <w:highlight w:val="none"/>
          <w:lang w:val="en-US" w:eastAsia="zh-CN" w:bidi="ar-SA"/>
        </w:rPr>
        <w:t>表</w:t>
      </w:r>
      <w:r>
        <w:rPr>
          <w:rFonts w:hint="eastAsia" w:ascii="Times New Roman" w:hAnsi="Times New Roman" w:eastAsia="仿宋_GB2312" w:cs="仿宋_GB2312"/>
          <w:color w:val="auto"/>
          <w:kern w:val="2"/>
          <w:sz w:val="32"/>
          <w:szCs w:val="32"/>
          <w:highlight w:val="none"/>
          <w:lang w:val="en-US" w:eastAsia="zh-CN" w:bidi="ar-SA"/>
        </w:rPr>
        <w:t>，其中，</w:t>
      </w:r>
      <w:r>
        <w:rPr>
          <w:rFonts w:hint="eastAsia" w:ascii="Times New Roman" w:hAnsi="Times New Roman" w:eastAsia="仿宋_GB2312" w:cs="仿宋_GB2312"/>
          <w:color w:val="auto"/>
          <w:sz w:val="32"/>
          <w:szCs w:val="32"/>
          <w:highlight w:val="none"/>
          <w:lang w:eastAsia="zh-CN"/>
        </w:rPr>
        <w:t>本单位</w:t>
      </w:r>
      <w:r>
        <w:rPr>
          <w:rFonts w:hint="eastAsia" w:ascii="Times New Roman" w:hAnsi="Times New Roman" w:eastAsia="仿宋_GB2312" w:cs="仿宋_GB2312"/>
          <w:b w:val="0"/>
          <w:bCs w:val="0"/>
          <w:i w:val="0"/>
          <w:iCs w:val="0"/>
          <w:color w:val="auto"/>
          <w:sz w:val="32"/>
          <w:szCs w:val="32"/>
          <w:highlight w:val="none"/>
          <w:lang w:val="en-US" w:eastAsia="zh-CN"/>
        </w:rPr>
        <w:t>部门</w:t>
      </w:r>
      <w:r>
        <w:rPr>
          <w:rFonts w:hint="eastAsia" w:ascii="Times New Roman" w:hAnsi="Times New Roman" w:eastAsia="仿宋_GB2312" w:cs="仿宋_GB2312"/>
          <w:color w:val="auto"/>
          <w:kern w:val="2"/>
          <w:sz w:val="32"/>
          <w:szCs w:val="32"/>
          <w:highlight w:val="none"/>
          <w:lang w:val="en-US" w:eastAsia="zh-CN" w:bidi="ar-SA"/>
        </w:rPr>
        <w:t>整体（含部门预算项目）绩效自评得分为</w:t>
      </w:r>
      <w:r>
        <w:rPr>
          <w:rFonts w:hint="eastAsia" w:eastAsia="仿宋_GB2312" w:cs="仿宋_GB2312"/>
          <w:color w:val="auto"/>
          <w:kern w:val="2"/>
          <w:sz w:val="32"/>
          <w:szCs w:val="32"/>
          <w:highlight w:val="none"/>
          <w:lang w:val="en-US" w:eastAsia="zh-CN" w:bidi="ar-SA"/>
        </w:rPr>
        <w:t>94.20</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eastAsia="仿宋_GB2312" w:cs="仿宋_GB2312"/>
          <w:color w:val="auto"/>
          <w:kern w:val="2"/>
          <w:sz w:val="32"/>
          <w:szCs w:val="32"/>
          <w:highlight w:val="none"/>
          <w:lang w:val="en-US" w:eastAsia="zh-CN" w:bidi="ar-SA"/>
        </w:rPr>
        <w:t>：2024年度部门预算具有明确的用途和目标，我单位预算执行、综合管理、整体绩效方面，都按相关规定严格执行，并合理安排支出,使财政资金发挥最大的效益。制定了较为细致的执行计划，资金到位及时并严格按照财政有关规定专款专用，保障项目顺利开展时效，并取得了较为满意的社会效益；</w:t>
      </w:r>
    </w:p>
    <w:p w14:paraId="3AD1075B">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安可资金项目绩效自评综合得分为96.50分，绩效自评综述：通过询价招标流程最终确定采购供应商，经室务会决策同意最终购置涉密电脑8台，较好的保障了涉密工作的开展，评价结果优；</w:t>
      </w:r>
      <w:r>
        <w:rPr>
          <w:rFonts w:hint="eastAsia" w:ascii="Times New Roman" w:hAnsi="Times New Roman" w:eastAsia="仿宋_GB2312" w:cs="Times New Roman"/>
          <w:b w:val="0"/>
          <w:bCs w:val="0"/>
          <w:i w:val="0"/>
          <w:iCs w:val="0"/>
          <w:color w:val="auto"/>
          <w:sz w:val="32"/>
          <w:szCs w:val="32"/>
          <w:highlight w:val="none"/>
          <w:lang w:eastAsia="zh-CN"/>
        </w:rPr>
        <w:t>巡察工作</w:t>
      </w:r>
      <w:r>
        <w:rPr>
          <w:rFonts w:hint="eastAsia" w:eastAsia="仿宋_GB2312" w:cs="Times New Roman"/>
          <w:b w:val="0"/>
          <w:bCs w:val="0"/>
          <w:i w:val="0"/>
          <w:iCs w:val="0"/>
          <w:color w:val="auto"/>
          <w:sz w:val="32"/>
          <w:szCs w:val="32"/>
          <w:highlight w:val="none"/>
          <w:lang w:eastAsia="zh-CN"/>
        </w:rPr>
        <w:t>项</w:t>
      </w:r>
      <w:r>
        <w:rPr>
          <w:rFonts w:hint="eastAsia" w:eastAsia="仿宋_GB2312" w:cs="仿宋_GB2312"/>
          <w:color w:val="auto"/>
          <w:kern w:val="2"/>
          <w:sz w:val="32"/>
          <w:szCs w:val="32"/>
          <w:highlight w:val="none"/>
          <w:lang w:val="en-US" w:eastAsia="zh-CN" w:bidi="ar-SA"/>
        </w:rPr>
        <w:t>目绩效自评综合得分为98.40分，绩效自评综述：全年共开展2轮常规巡察和1轮联动专项巡察，共巡察154个党组织，全覆盖任务进度为76.6%，全面深化了政治监督，坚持把严的主基调贯穿巡察整改各方面全过程，推动巡察整改规范高效开展。</w:t>
      </w:r>
    </w:p>
    <w:p w14:paraId="7E84C68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72E0FFD">
      <w:pPr>
        <w:pStyle w:val="19"/>
        <w:rPr>
          <w:rFonts w:hint="eastAsia" w:ascii="Times New Roman" w:hAnsi="Times New Roman" w:eastAsia="仿宋_GB2312" w:cs="仿宋_GB2312"/>
          <w:color w:val="auto"/>
          <w:kern w:val="2"/>
          <w:sz w:val="32"/>
          <w:szCs w:val="32"/>
          <w:highlight w:val="none"/>
          <w:lang w:val="en-US" w:eastAsia="zh-CN" w:bidi="ar-SA"/>
        </w:rPr>
      </w:pPr>
    </w:p>
    <w:p w14:paraId="50EA8E1E">
      <w:pPr>
        <w:pStyle w:val="11"/>
        <w:rPr>
          <w:rFonts w:hint="eastAsia" w:ascii="Times New Roman" w:hAnsi="Times New Roman" w:eastAsia="仿宋_GB2312" w:cs="仿宋_GB2312"/>
          <w:color w:val="auto"/>
          <w:kern w:val="2"/>
          <w:sz w:val="32"/>
          <w:szCs w:val="32"/>
          <w:highlight w:val="none"/>
          <w:lang w:val="en-US" w:eastAsia="zh-CN" w:bidi="ar-SA"/>
        </w:rPr>
      </w:pPr>
    </w:p>
    <w:p w14:paraId="11B02AC4">
      <w:pPr>
        <w:pStyle w:val="11"/>
        <w:rPr>
          <w:rFonts w:hint="eastAsia" w:ascii="Times New Roman" w:hAnsi="Times New Roman" w:eastAsia="仿宋_GB2312" w:cs="仿宋_GB2312"/>
          <w:color w:val="auto"/>
          <w:kern w:val="2"/>
          <w:sz w:val="32"/>
          <w:szCs w:val="32"/>
          <w:highlight w:val="none"/>
          <w:lang w:val="en-US" w:eastAsia="zh-CN" w:bidi="ar-SA"/>
        </w:rPr>
      </w:pPr>
    </w:p>
    <w:p w14:paraId="2CF2ED67">
      <w:pPr>
        <w:pStyle w:val="11"/>
        <w:rPr>
          <w:rFonts w:hint="eastAsia" w:ascii="Times New Roman" w:hAnsi="Times New Roman" w:eastAsia="仿宋_GB2312" w:cs="仿宋_GB2312"/>
          <w:color w:val="auto"/>
          <w:kern w:val="2"/>
          <w:sz w:val="32"/>
          <w:szCs w:val="32"/>
          <w:highlight w:val="none"/>
          <w:lang w:val="en-US" w:eastAsia="zh-CN" w:bidi="ar-SA"/>
        </w:rPr>
      </w:pPr>
    </w:p>
    <w:p w14:paraId="706C7F2E">
      <w:pPr>
        <w:pStyle w:val="11"/>
        <w:rPr>
          <w:rFonts w:hint="eastAsia" w:ascii="Times New Roman" w:hAnsi="Times New Roman" w:eastAsia="仿宋_GB2312" w:cs="仿宋_GB2312"/>
          <w:color w:val="auto"/>
          <w:kern w:val="2"/>
          <w:sz w:val="32"/>
          <w:szCs w:val="32"/>
          <w:highlight w:val="none"/>
          <w:lang w:val="en-US" w:eastAsia="zh-CN" w:bidi="ar-SA"/>
        </w:rPr>
      </w:pPr>
    </w:p>
    <w:p w14:paraId="3E5D8CCE">
      <w:pPr>
        <w:pStyle w:val="11"/>
        <w:rPr>
          <w:rFonts w:hint="eastAsia" w:ascii="Times New Roman" w:hAnsi="Times New Roman" w:eastAsia="仿宋_GB2312" w:cs="仿宋_GB2312"/>
          <w:color w:val="auto"/>
          <w:kern w:val="2"/>
          <w:sz w:val="32"/>
          <w:szCs w:val="32"/>
          <w:highlight w:val="none"/>
          <w:lang w:val="en-US" w:eastAsia="zh-CN" w:bidi="ar-SA"/>
        </w:rPr>
      </w:pPr>
    </w:p>
    <w:p w14:paraId="053716F4">
      <w:pPr>
        <w:pStyle w:val="11"/>
        <w:rPr>
          <w:rFonts w:hint="eastAsia" w:ascii="Times New Roman" w:hAnsi="Times New Roman" w:eastAsia="仿宋_GB2312" w:cs="仿宋_GB2312"/>
          <w:color w:val="auto"/>
          <w:kern w:val="2"/>
          <w:sz w:val="32"/>
          <w:szCs w:val="32"/>
          <w:highlight w:val="none"/>
          <w:lang w:val="en-US" w:eastAsia="zh-CN" w:bidi="ar-SA"/>
        </w:rPr>
      </w:pPr>
    </w:p>
    <w:p w14:paraId="14835185">
      <w:pPr>
        <w:pStyle w:val="11"/>
        <w:rPr>
          <w:rFonts w:hint="eastAsia" w:ascii="Times New Roman" w:hAnsi="Times New Roman" w:eastAsia="仿宋_GB2312" w:cs="仿宋_GB2312"/>
          <w:color w:val="auto"/>
          <w:kern w:val="2"/>
          <w:sz w:val="32"/>
          <w:szCs w:val="32"/>
          <w:highlight w:val="none"/>
          <w:lang w:val="en-US" w:eastAsia="zh-CN" w:bidi="ar-SA"/>
        </w:rPr>
      </w:pPr>
    </w:p>
    <w:p w14:paraId="0E27177A">
      <w:pPr>
        <w:pStyle w:val="11"/>
        <w:rPr>
          <w:rFonts w:hint="eastAsia" w:ascii="Times New Roman" w:hAnsi="Times New Roman" w:eastAsia="仿宋_GB2312" w:cs="仿宋_GB2312"/>
          <w:color w:val="auto"/>
          <w:kern w:val="2"/>
          <w:sz w:val="32"/>
          <w:szCs w:val="32"/>
          <w:highlight w:val="none"/>
          <w:lang w:val="en-US" w:eastAsia="zh-CN" w:bidi="ar-SA"/>
        </w:rPr>
      </w:pPr>
    </w:p>
    <w:p w14:paraId="16502545">
      <w:pPr>
        <w:pStyle w:val="11"/>
        <w:rPr>
          <w:rFonts w:hint="eastAsia" w:ascii="Times New Roman" w:hAnsi="Times New Roman" w:eastAsia="仿宋_GB2312" w:cs="仿宋_GB2312"/>
          <w:color w:val="auto"/>
          <w:kern w:val="2"/>
          <w:sz w:val="32"/>
          <w:szCs w:val="32"/>
          <w:highlight w:val="none"/>
          <w:lang w:val="en-US" w:eastAsia="zh-CN" w:bidi="ar-SA"/>
        </w:rPr>
      </w:pPr>
    </w:p>
    <w:p w14:paraId="78E0088E">
      <w:pPr>
        <w:pStyle w:val="11"/>
        <w:rPr>
          <w:rFonts w:hint="eastAsia" w:ascii="Times New Roman" w:hAnsi="Times New Roman" w:eastAsia="仿宋_GB2312" w:cs="仿宋_GB2312"/>
          <w:color w:val="auto"/>
          <w:kern w:val="2"/>
          <w:sz w:val="32"/>
          <w:szCs w:val="32"/>
          <w:highlight w:val="none"/>
          <w:lang w:val="en-US" w:eastAsia="zh-CN" w:bidi="ar-SA"/>
        </w:rPr>
      </w:pPr>
    </w:p>
    <w:p w14:paraId="61C83793">
      <w:pPr>
        <w:pStyle w:val="11"/>
        <w:rPr>
          <w:rFonts w:hint="eastAsia" w:ascii="Times New Roman" w:hAnsi="Times New Roman" w:eastAsia="仿宋_GB2312" w:cs="仿宋_GB2312"/>
          <w:color w:val="auto"/>
          <w:kern w:val="2"/>
          <w:sz w:val="32"/>
          <w:szCs w:val="32"/>
          <w:highlight w:val="none"/>
          <w:lang w:val="en-US" w:eastAsia="zh-CN" w:bidi="ar-SA"/>
        </w:rPr>
      </w:pPr>
    </w:p>
    <w:p w14:paraId="73133864">
      <w:pPr>
        <w:pStyle w:val="11"/>
        <w:rPr>
          <w:rFonts w:hint="eastAsia" w:ascii="Times New Roman" w:hAnsi="Times New Roman" w:eastAsia="仿宋_GB2312" w:cs="仿宋_GB2312"/>
          <w:color w:val="auto"/>
          <w:kern w:val="2"/>
          <w:sz w:val="32"/>
          <w:szCs w:val="32"/>
          <w:highlight w:val="none"/>
          <w:lang w:val="en-US" w:eastAsia="zh-CN" w:bidi="ar-SA"/>
        </w:rPr>
      </w:pPr>
    </w:p>
    <w:p w14:paraId="677C8DE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3BE9448">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61" w:name="_Toc15377225"/>
      <w:bookmarkStart w:id="62" w:name="_Toc15396613"/>
      <w:bookmarkStart w:id="63" w:name="_Toc12143"/>
    </w:p>
    <w:p w14:paraId="27015D70">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35CF944E">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687F2F46">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0782F04C">
      <w:pPr>
        <w:numPr>
          <w:ilvl w:val="0"/>
          <w:numId w:val="0"/>
        </w:numPr>
        <w:spacing w:line="600" w:lineRule="exact"/>
        <w:jc w:val="center"/>
        <w:outlineLvl w:val="0"/>
        <w:rPr>
          <w:rFonts w:hint="eastAsia" w:ascii="Times New Roman" w:hAnsi="Times New Roman" w:eastAsia="黑体"/>
          <w:color w:val="auto"/>
          <w:sz w:val="44"/>
          <w:szCs w:val="44"/>
          <w:highlight w:val="none"/>
        </w:rPr>
      </w:pPr>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61"/>
      <w:bookmarkEnd w:id="62"/>
      <w:bookmarkEnd w:id="63"/>
    </w:p>
    <w:p w14:paraId="3D643294">
      <w:pPr>
        <w:spacing w:line="600" w:lineRule="exact"/>
        <w:jc w:val="left"/>
        <w:rPr>
          <w:rFonts w:ascii="Times New Roman" w:hAnsi="Times New Roman"/>
          <w:b/>
          <w:color w:val="auto"/>
          <w:sz w:val="44"/>
          <w:szCs w:val="44"/>
          <w:highlight w:val="none"/>
        </w:rPr>
      </w:pPr>
    </w:p>
    <w:p w14:paraId="6AFC2533">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1.财政拨款收入：指单位从同级财政部门取得的财政预算资金。</w:t>
      </w:r>
    </w:p>
    <w:p w14:paraId="59D0E8AB">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2.事业收入：指事业单位开展专业业务活动及辅助活动取得的收入。</w:t>
      </w:r>
    </w:p>
    <w:p w14:paraId="58BF49BF">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3.经营收入：指事业单位在专业业务活动及其辅助活动之外开展非独立核算经营活动取得的收入。</w:t>
      </w:r>
    </w:p>
    <w:p w14:paraId="0B085A59">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 xml:space="preserve">4.其他收入：指单位取得的除上述收入以外的各项收入。 </w:t>
      </w:r>
    </w:p>
    <w:p w14:paraId="0ADA03F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5.使用非财政拨款结余（含专用结余）：指事业单位使用以前年度积累的非财政拨款结余弥补当年收支差额的金额。</w:t>
      </w:r>
    </w:p>
    <w:p w14:paraId="79E43CCC">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 xml:space="preserve">6.年初结转和结余：指以前年度尚未完成、结转到本年按有关规定继续使用的资金。 </w:t>
      </w:r>
    </w:p>
    <w:p w14:paraId="517D06C1">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7.结余分配：指事业单位按照会计制度规定缴纳的所得税、提取的专用结余以及转入非财政拨款结余的金额等。</w:t>
      </w:r>
    </w:p>
    <w:p w14:paraId="4303EA18">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8.年末结转和结余：指单位按有关规定结转到下年或以后年度继续使用的资金。</w:t>
      </w:r>
    </w:p>
    <w:p w14:paraId="17F3D577">
      <w:pPr>
        <w:pStyle w:val="34"/>
        <w:spacing w:line="560" w:lineRule="exact"/>
        <w:ind w:firstLine="640" w:firstLineChars="200"/>
        <w:rPr>
          <w:rFonts w:hint="eastAsia" w:ascii="仿宋_GB2312" w:eastAsia="仿宋_GB2312"/>
          <w:color w:val="auto"/>
          <w:sz w:val="32"/>
          <w:szCs w:val="32"/>
          <w:highlight w:val="none"/>
        </w:rPr>
      </w:pPr>
      <w:bookmarkStart w:id="64" w:name="_Toc27006"/>
      <w:bookmarkStart w:id="65" w:name="_Toc15396614"/>
      <w:bookmarkStart w:id="66" w:name="_Toc15377226"/>
      <w:r>
        <w:rPr>
          <w:rFonts w:hint="eastAsia" w:ascii="仿宋_GB2312" w:eastAsia="仿宋_GB2312"/>
          <w:color w:val="auto"/>
          <w:sz w:val="32"/>
          <w:szCs w:val="32"/>
          <w:highlight w:val="none"/>
        </w:rPr>
        <w:t>9.一般公共服务（类）纪检监察事务（款）行政运行（项）: 指纪检、监察方面的基本支出</w:t>
      </w:r>
    </w:p>
    <w:p w14:paraId="5F5ABFAD">
      <w:pPr>
        <w:pStyle w:val="34"/>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10.一般公共服务（类）纪检监察事务（款）一般行政管理事务（项）: 指纪检、监察方面的未单独设置项及科目的其他项目支出。</w:t>
      </w:r>
    </w:p>
    <w:p w14:paraId="21389363">
      <w:pPr>
        <w:pStyle w:val="34"/>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11.一般公共服务（类）纪检监察事务（款）巡视工作（项）: 指中央和地方巡视机构的专项业务支出。</w:t>
      </w:r>
    </w:p>
    <w:p w14:paraId="5DC1B5A8">
      <w:pPr>
        <w:pStyle w:val="34"/>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12.一般公共服务（类）纪检监察事务（款）其他纪检监察事务支出（项）: 指其他纪检监察事务方面的支出。</w:t>
      </w:r>
    </w:p>
    <w:p w14:paraId="375B56B5">
      <w:pPr>
        <w:pStyle w:val="34"/>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13.社会保障和就业（类）行政事业单位养老支出（款）  机关事业单位基本养老保险缴费支出（项）: 指机关事业单位实施养老保险制度由单位缴纳的基本养老保险费支出。</w:t>
      </w:r>
    </w:p>
    <w:p w14:paraId="0E12CF59">
      <w:pPr>
        <w:pStyle w:val="34"/>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14.社会保障和就业（类）其他社会保障和就业支出（款）其他社会保障和就业支出（项）: 指其他用于社会保障和就业方面的支出</w:t>
      </w:r>
    </w:p>
    <w:p w14:paraId="3480C33D">
      <w:pPr>
        <w:pStyle w:val="34"/>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15.卫生健康支出（类）行政事业单位医疗（款）行政单位医疗（项）: 指行政事业单位医疗方面的支出</w:t>
      </w:r>
    </w:p>
    <w:p w14:paraId="3863C344">
      <w:pPr>
        <w:pStyle w:val="34"/>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16.卫生健康支出（类）行政事业单位医疗（款）公务员医疗补助（项）: 指财政部门安排的公务员医疗补助经费。</w:t>
      </w:r>
    </w:p>
    <w:p w14:paraId="2C37B44C">
      <w:pPr>
        <w:pStyle w:val="34"/>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17.住房保障支出（类）住房改革支出（款）住房公积金（项）：指行政事业单位按人力资源和社会保障部、财政部规定的基本工资和津贴补贴</w:t>
      </w:r>
      <w:r>
        <w:rPr>
          <w:rFonts w:hint="eastAsia" w:ascii="仿宋_GB2312" w:eastAsia="仿宋_GB2312"/>
          <w:color w:val="auto"/>
          <w:sz w:val="32"/>
          <w:szCs w:val="32"/>
          <w:highlight w:val="none"/>
          <w:lang w:eastAsia="zh-CN"/>
        </w:rPr>
        <w:t>以及按规定比例</w:t>
      </w:r>
      <w:r>
        <w:rPr>
          <w:rFonts w:hint="eastAsia" w:ascii="仿宋_GB2312" w:eastAsia="仿宋_GB2312"/>
          <w:color w:val="auto"/>
          <w:sz w:val="32"/>
          <w:szCs w:val="32"/>
          <w:highlight w:val="none"/>
        </w:rPr>
        <w:t>为职工缴纳的住房公积金。</w:t>
      </w:r>
    </w:p>
    <w:p w14:paraId="34022DD0">
      <w:pPr>
        <w:pStyle w:val="34"/>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18.基本支出：指为保障机构正常运转、完成日常工作任务而发生的人员支出和公用支出。</w:t>
      </w:r>
    </w:p>
    <w:p w14:paraId="2FD629E2">
      <w:pPr>
        <w:pStyle w:val="34"/>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 xml:space="preserve">19.项目支出：指在基本支出之外为完成特定行政任务和事业发展目标所发生的支出。 </w:t>
      </w:r>
    </w:p>
    <w:p w14:paraId="0D8482FC">
      <w:pPr>
        <w:pStyle w:val="34"/>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20.经营支出：指事业单位在专业业务活动及其辅助活动之外开展非独立核算经营活动发生的支出。</w:t>
      </w:r>
    </w:p>
    <w:p w14:paraId="78C84E5D">
      <w:pPr>
        <w:pStyle w:val="34"/>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21.“三公”经费：指部门用财政拨款安排的因公出国（境）费、公务用车购置及运行费和公务接待费。其中，因公出国（境）费反映单位公务出国（境）的国际旅费、国外城市间交通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D4100B4">
      <w:pPr>
        <w:pStyle w:val="34"/>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22.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D5AB3B2">
      <w:pPr>
        <w:spacing w:line="600" w:lineRule="exact"/>
        <w:jc w:val="center"/>
        <w:outlineLvl w:val="0"/>
        <w:rPr>
          <w:rFonts w:hint="eastAsia" w:ascii="Times New Roman" w:hAnsi="Times New Roman" w:eastAsia="黑体"/>
          <w:color w:val="auto"/>
          <w:sz w:val="44"/>
          <w:szCs w:val="44"/>
          <w:highlight w:val="none"/>
        </w:rPr>
      </w:pPr>
    </w:p>
    <w:p w14:paraId="5AAC90AA">
      <w:pPr>
        <w:spacing w:line="600" w:lineRule="exact"/>
        <w:jc w:val="center"/>
        <w:outlineLvl w:val="0"/>
        <w:rPr>
          <w:rFonts w:hint="eastAsia" w:ascii="Times New Roman" w:hAnsi="Times New Roman" w:eastAsia="黑体"/>
          <w:color w:val="auto"/>
          <w:sz w:val="44"/>
          <w:szCs w:val="44"/>
          <w:highlight w:val="none"/>
        </w:rPr>
      </w:pPr>
    </w:p>
    <w:p w14:paraId="25E547DE">
      <w:pPr>
        <w:spacing w:line="600" w:lineRule="exact"/>
        <w:jc w:val="center"/>
        <w:outlineLvl w:val="0"/>
        <w:rPr>
          <w:rFonts w:hint="eastAsia" w:ascii="Times New Roman" w:hAnsi="Times New Roman" w:eastAsia="黑体"/>
          <w:color w:val="auto"/>
          <w:sz w:val="44"/>
          <w:szCs w:val="44"/>
          <w:highlight w:val="none"/>
        </w:rPr>
      </w:pPr>
    </w:p>
    <w:p w14:paraId="463B1ADB">
      <w:pPr>
        <w:spacing w:line="600" w:lineRule="exact"/>
        <w:jc w:val="center"/>
        <w:outlineLvl w:val="0"/>
        <w:rPr>
          <w:rFonts w:hint="eastAsia" w:ascii="Times New Roman" w:hAnsi="Times New Roman" w:eastAsia="黑体"/>
          <w:color w:val="auto"/>
          <w:sz w:val="44"/>
          <w:szCs w:val="44"/>
          <w:highlight w:val="none"/>
        </w:rPr>
      </w:pPr>
    </w:p>
    <w:p w14:paraId="7AD20591">
      <w:pPr>
        <w:spacing w:line="600" w:lineRule="exact"/>
        <w:jc w:val="center"/>
        <w:outlineLvl w:val="0"/>
        <w:rPr>
          <w:rFonts w:hint="eastAsia" w:ascii="Times New Roman" w:hAnsi="Times New Roman" w:eastAsia="黑体"/>
          <w:color w:val="auto"/>
          <w:sz w:val="44"/>
          <w:szCs w:val="44"/>
          <w:highlight w:val="none"/>
        </w:rPr>
      </w:pPr>
    </w:p>
    <w:p w14:paraId="6F6A3610">
      <w:pPr>
        <w:spacing w:line="600" w:lineRule="exact"/>
        <w:jc w:val="center"/>
        <w:outlineLvl w:val="0"/>
        <w:rPr>
          <w:rFonts w:hint="eastAsia" w:ascii="Times New Roman" w:hAnsi="Times New Roman" w:eastAsia="黑体"/>
          <w:color w:val="auto"/>
          <w:sz w:val="44"/>
          <w:szCs w:val="44"/>
          <w:highlight w:val="none"/>
        </w:rPr>
      </w:pPr>
    </w:p>
    <w:p w14:paraId="04B485A0">
      <w:pPr>
        <w:spacing w:line="600" w:lineRule="exact"/>
        <w:jc w:val="center"/>
        <w:outlineLvl w:val="0"/>
        <w:rPr>
          <w:rFonts w:hint="eastAsia" w:ascii="Times New Roman" w:hAnsi="Times New Roman" w:eastAsia="黑体"/>
          <w:color w:val="auto"/>
          <w:sz w:val="44"/>
          <w:szCs w:val="44"/>
          <w:highlight w:val="none"/>
        </w:rPr>
      </w:pPr>
    </w:p>
    <w:p w14:paraId="3C12B825">
      <w:pPr>
        <w:spacing w:line="600" w:lineRule="exact"/>
        <w:jc w:val="center"/>
        <w:outlineLvl w:val="0"/>
        <w:rPr>
          <w:rFonts w:hint="eastAsia" w:ascii="Times New Roman" w:hAnsi="Times New Roman" w:eastAsia="黑体"/>
          <w:color w:val="auto"/>
          <w:sz w:val="44"/>
          <w:szCs w:val="44"/>
          <w:highlight w:val="none"/>
        </w:rPr>
      </w:pPr>
    </w:p>
    <w:p w14:paraId="7A95F1A6">
      <w:pPr>
        <w:spacing w:line="600" w:lineRule="exact"/>
        <w:jc w:val="center"/>
        <w:outlineLvl w:val="0"/>
        <w:rPr>
          <w:rFonts w:hint="eastAsia" w:ascii="Times New Roman" w:hAnsi="Times New Roman" w:eastAsia="黑体"/>
          <w:color w:val="auto"/>
          <w:sz w:val="44"/>
          <w:szCs w:val="44"/>
          <w:highlight w:val="none"/>
        </w:rPr>
      </w:pPr>
    </w:p>
    <w:p w14:paraId="4899A5FB">
      <w:pPr>
        <w:spacing w:line="600" w:lineRule="exact"/>
        <w:jc w:val="center"/>
        <w:outlineLvl w:val="0"/>
        <w:rPr>
          <w:rStyle w:val="36"/>
          <w:rFonts w:hint="eastAsia" w:ascii="Times New Roman" w:hAnsi="Times New Roman" w:eastAsia="黑体"/>
          <w:b w:val="0"/>
          <w:color w:val="auto"/>
          <w:highlight w:val="none"/>
          <w:lang w:eastAsia="zh-CN"/>
        </w:rPr>
      </w:pPr>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64"/>
      <w:bookmarkEnd w:id="65"/>
    </w:p>
    <w:p w14:paraId="10648976">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eastAsia" w:ascii="方正小标宋简体" w:eastAsia="方正小标宋简体"/>
          <w:bCs/>
          <w:sz w:val="44"/>
          <w:szCs w:val="44"/>
          <w:shd w:val="clear" w:color="auto" w:fill="FFFFFF"/>
        </w:rPr>
      </w:pPr>
    </w:p>
    <w:p w14:paraId="1055CEFC">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val="0"/>
          <w:i w:val="0"/>
          <w:iCs w:val="0"/>
          <w:color w:val="auto"/>
          <w:kern w:val="2"/>
          <w:sz w:val="44"/>
          <w:szCs w:val="44"/>
          <w:highlight w:val="none"/>
          <w:lang w:val="en-US" w:eastAsia="zh-CN" w:bidi="ar-SA"/>
        </w:rPr>
      </w:pPr>
      <w:r>
        <w:rPr>
          <w:rFonts w:hint="default" w:ascii="Times New Roman" w:hAnsi="Times New Roman" w:eastAsia="方正小标宋简体" w:cs="Times New Roman"/>
          <w:b w:val="0"/>
          <w:bCs w:val="0"/>
          <w:i w:val="0"/>
          <w:iCs w:val="0"/>
          <w:color w:val="auto"/>
          <w:kern w:val="2"/>
          <w:sz w:val="44"/>
          <w:szCs w:val="44"/>
          <w:highlight w:val="none"/>
          <w:lang w:val="en-US" w:eastAsia="zh-CN" w:bidi="ar-SA"/>
        </w:rPr>
        <w:t>中共遂宁市安居区委巡察工作领导小组</w:t>
      </w:r>
    </w:p>
    <w:p w14:paraId="06ABAA59">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r>
        <w:rPr>
          <w:rFonts w:hint="default" w:ascii="Times New Roman" w:hAnsi="Times New Roman" w:eastAsia="方正小标宋简体" w:cs="Times New Roman"/>
          <w:b w:val="0"/>
          <w:bCs w:val="0"/>
          <w:i w:val="0"/>
          <w:iCs w:val="0"/>
          <w:color w:val="auto"/>
          <w:kern w:val="2"/>
          <w:sz w:val="44"/>
          <w:szCs w:val="44"/>
          <w:highlight w:val="none"/>
          <w:lang w:val="en-US" w:eastAsia="zh-CN" w:bidi="ar-SA"/>
        </w:rPr>
        <w:t>办公室</w:t>
      </w:r>
      <w:r>
        <w:rPr>
          <w:rFonts w:hint="default" w:ascii="Times New Roman" w:hAnsi="Times New Roman" w:eastAsia="方正小标宋简体" w:cs="Times New Roman"/>
          <w:b w:val="0"/>
          <w:bCs/>
          <w:sz w:val="44"/>
          <w:szCs w:val="44"/>
          <w:highlight w:val="none"/>
          <w:shd w:val="clear" w:color="auto" w:fill="FFFFFF"/>
        </w:rPr>
        <w:t>部门</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w:t>
      </w:r>
    </w:p>
    <w:p w14:paraId="7FB38792">
      <w:pPr>
        <w:keepNext w:val="0"/>
        <w:keepLines w:val="0"/>
        <w:pageBreakBefore w:val="0"/>
        <w:widowControl/>
        <w:kinsoku/>
        <w:wordWrap/>
        <w:overflowPunct/>
        <w:topLinePunct w:val="0"/>
        <w:autoSpaceDE/>
        <w:autoSpaceDN/>
        <w:bidi w:val="0"/>
        <w:adjustRightInd w:val="0"/>
        <w:snapToGrid w:val="0"/>
        <w:spacing w:line="578" w:lineRule="exact"/>
        <w:ind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14:paraId="4C9B07CE">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eastAsia" w:ascii="Times New Roman" w:hAnsi="Times New Roman" w:eastAsia="黑体" w:cs="Times New Roman"/>
          <w:color w:val="000000"/>
          <w:kern w:val="0"/>
          <w:sz w:val="32"/>
          <w:szCs w:val="32"/>
          <w:highlight w:val="none"/>
          <w:shd w:val="clear" w:color="auto" w:fill="FFFFFF"/>
          <w:lang w:val="zh-CN"/>
        </w:rPr>
        <w:t>一、</w:t>
      </w:r>
      <w:r>
        <w:rPr>
          <w:rFonts w:hint="default" w:ascii="Times New Roman" w:hAnsi="Times New Roman" w:eastAsia="黑体" w:cs="Times New Roman"/>
          <w:color w:val="000000"/>
          <w:kern w:val="0"/>
          <w:sz w:val="32"/>
          <w:szCs w:val="32"/>
          <w:highlight w:val="none"/>
          <w:shd w:val="clear" w:color="auto" w:fill="FFFFFF"/>
          <w:lang w:val="zh-CN"/>
        </w:rPr>
        <w:t>部门（单位）基本情况</w:t>
      </w:r>
    </w:p>
    <w:p w14:paraId="53158F5D">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楷体_GB2312"/>
          <w:b/>
          <w:color w:val="auto"/>
          <w:sz w:val="32"/>
          <w:szCs w:val="32"/>
          <w:highlight w:val="none"/>
          <w:lang w:val="zh-CN"/>
        </w:rPr>
      </w:pPr>
      <w:r>
        <w:rPr>
          <w:rFonts w:hint="eastAsia" w:ascii="Times New Roman" w:hAnsi="Times New Roman" w:eastAsia="楷体_GB2312" w:cs="楷体_GB2312"/>
          <w:b/>
          <w:color w:val="auto"/>
          <w:sz w:val="32"/>
          <w:szCs w:val="32"/>
          <w:highlight w:val="none"/>
          <w:lang w:val="zh-CN"/>
        </w:rPr>
        <w:t>（一）</w:t>
      </w:r>
      <w:r>
        <w:rPr>
          <w:rFonts w:hint="default" w:ascii="Times New Roman" w:hAnsi="Times New Roman" w:eastAsia="楷体_GB2312" w:cs="楷体_GB2312"/>
          <w:b/>
          <w:color w:val="auto"/>
          <w:sz w:val="32"/>
          <w:szCs w:val="32"/>
          <w:highlight w:val="none"/>
          <w:lang w:val="zh-CN"/>
        </w:rPr>
        <w:t>机构组成。</w:t>
      </w:r>
    </w:p>
    <w:p w14:paraId="6BB2B029">
      <w:pPr>
        <w:spacing w:line="560" w:lineRule="exact"/>
        <w:ind w:firstLine="660" w:firstLineChars="200"/>
        <w:rPr>
          <w:rFonts w:hint="eastAsia" w:ascii="Times New Roman" w:hAnsi="Times New Roman" w:eastAsia="仿宋_GB2312" w:cs="Times New Roman"/>
          <w:kern w:val="2"/>
          <w:sz w:val="33"/>
          <w:szCs w:val="33"/>
          <w:lang w:val="en-US" w:eastAsia="zh-CN" w:bidi="ar-SA"/>
        </w:rPr>
      </w:pPr>
      <w:r>
        <w:rPr>
          <w:rFonts w:hint="eastAsia" w:ascii="Times New Roman" w:hAnsi="Times New Roman" w:eastAsia="仿宋_GB2312" w:cs="Times New Roman"/>
          <w:kern w:val="2"/>
          <w:sz w:val="33"/>
          <w:szCs w:val="33"/>
          <w:lang w:val="en-US" w:eastAsia="zh-CN" w:bidi="ar-SA"/>
        </w:rPr>
        <w:t>区委巡察办设一个办公室、三个巡察组、一个巡察信息服务中心，办公室负责机构日常运转，巡察组承担巡察任务，巡察信息服务中心负责区委巡察信息化建设的规划和实施。</w:t>
      </w:r>
    </w:p>
    <w:p w14:paraId="6C8266B4">
      <w:pPr>
        <w:keepNext w:val="0"/>
        <w:keepLines w:val="0"/>
        <w:pageBreakBefore w:val="0"/>
        <w:widowControl/>
        <w:kinsoku/>
        <w:wordWrap/>
        <w:overflowPunct/>
        <w:topLinePunct w:val="0"/>
        <w:autoSpaceDE/>
        <w:autoSpaceDN/>
        <w:bidi w:val="0"/>
        <w:adjustRightInd w:val="0"/>
        <w:snapToGrid w:val="0"/>
        <w:spacing w:line="578" w:lineRule="exact"/>
        <w:ind w:left="638" w:leftChars="304" w:firstLine="0" w:firstLineChars="0"/>
        <w:contextualSpacing/>
        <w:jc w:val="left"/>
        <w:textAlignment w:val="auto"/>
        <w:outlineLvl w:val="9"/>
        <w:rPr>
          <w:rFonts w:hint="eastAsia" w:ascii="Times New Roman" w:hAnsi="Times New Roman" w:eastAsia="楷体_GB2312" w:cs="楷体_GB2312"/>
          <w:b/>
          <w:color w:val="auto"/>
          <w:sz w:val="32"/>
          <w:szCs w:val="32"/>
          <w:highlight w:val="none"/>
          <w:lang w:val="zh-CN"/>
        </w:rPr>
      </w:pPr>
      <w:r>
        <w:rPr>
          <w:rFonts w:hint="default" w:ascii="Times New Roman" w:hAnsi="Times New Roman" w:eastAsia="楷体_GB2312" w:cs="楷体_GB2312"/>
          <w:b/>
          <w:color w:val="auto"/>
          <w:sz w:val="32"/>
          <w:szCs w:val="32"/>
          <w:highlight w:val="none"/>
          <w:lang w:val="zh-CN"/>
        </w:rPr>
        <w:t>（二）机构职能</w:t>
      </w:r>
      <w:r>
        <w:rPr>
          <w:rFonts w:hint="eastAsia" w:ascii="Times New Roman" w:hAnsi="Times New Roman" w:eastAsia="楷体_GB2312" w:cs="楷体_GB2312"/>
          <w:b/>
          <w:color w:val="auto"/>
          <w:sz w:val="32"/>
          <w:szCs w:val="32"/>
          <w:highlight w:val="none"/>
          <w:lang w:val="zh-CN"/>
        </w:rPr>
        <w:t>。</w:t>
      </w:r>
    </w:p>
    <w:p w14:paraId="71576438">
      <w:pPr>
        <w:spacing w:line="560" w:lineRule="exact"/>
        <w:ind w:firstLine="660" w:firstLineChars="200"/>
        <w:rPr>
          <w:rFonts w:hint="default" w:ascii="Times New Roman" w:hAnsi="Times New Roman" w:eastAsia="仿宋_GB2312" w:cs="Times New Roman"/>
          <w:kern w:val="2"/>
          <w:sz w:val="33"/>
          <w:szCs w:val="33"/>
          <w:lang w:val="en-US" w:eastAsia="zh-CN" w:bidi="ar-SA"/>
        </w:rPr>
      </w:pPr>
      <w:r>
        <w:rPr>
          <w:rFonts w:hint="eastAsia" w:ascii="Times New Roman" w:hAnsi="Times New Roman" w:eastAsia="仿宋_GB2312" w:cs="Times New Roman"/>
          <w:kern w:val="2"/>
          <w:sz w:val="33"/>
          <w:szCs w:val="33"/>
          <w:lang w:val="en-US" w:eastAsia="zh-CN" w:bidi="ar-SA"/>
        </w:rPr>
        <w:t>区委巡察办负责向区委和区委巡察工作领导小组报告工作情况，传达贯彻上级巡视巡察机构和区委巡察工作领导小组的决策和部署；统筹、协调、指导巡察组开展工作；承担政策研究、制度建设等工作；对区委和区委巡察工作领导小组决定的事项进行督办；配合区纪委、区委组织部及有关部门对巡察工作人员进行培训、考核、监督和管理；健全与纪检监察机关、政法机关和组织、审计、信访等部门的联合机制，负责与其沟通衔接；完成区委和区委巡察工作领导小组交办的其他任务。区委各巡察组向区委巡察工作领导小组负责并报告工作；根据巡察工作计划开展巡察工作；办理区委巡察工作领导小组交办的其他事项。区巡察信息服务中心向区委巡察办报告工作；负责区委巡察信息化建设的规划、实施，承担数据和巡察信息的收集、汇总、管理、分析利用、保密等工作；负责配合区委巡察组做好日常联络服务工作；负责互联网、党政网、纪检监察专网、财经网等工作运行网络的建设、管理和维护；完成区委巡察办的其他事项；</w:t>
      </w:r>
    </w:p>
    <w:p w14:paraId="49ACF58E">
      <w:pPr>
        <w:spacing w:line="560" w:lineRule="exact"/>
        <w:ind w:firstLine="643" w:firstLineChars="200"/>
        <w:rPr>
          <w:rFonts w:hint="eastAsia"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）人员概况</w:t>
      </w:r>
      <w:r>
        <w:rPr>
          <w:rFonts w:hint="eastAsia" w:ascii="Times New Roman" w:hAnsi="Times New Roman" w:eastAsia="楷体_GB2312" w:cs="Times New Roman"/>
          <w:b/>
          <w:bCs/>
          <w:color w:val="000000"/>
          <w:kern w:val="0"/>
          <w:sz w:val="32"/>
          <w:szCs w:val="32"/>
          <w:highlight w:val="none"/>
          <w:shd w:val="clear" w:color="auto" w:fill="FFFFFF"/>
          <w:lang w:val="zh-CN"/>
        </w:rPr>
        <w:t>。</w:t>
      </w:r>
    </w:p>
    <w:p w14:paraId="23FD7AFE">
      <w:pPr>
        <w:spacing w:line="560" w:lineRule="exact"/>
        <w:ind w:firstLine="660" w:firstLineChars="200"/>
        <w:rPr>
          <w:rFonts w:ascii="Times New Roman" w:hAnsi="Times New Roman" w:eastAsia="仿宋_GB2312" w:cs="Times New Roman"/>
          <w:bCs/>
          <w:color w:val="000000"/>
          <w:sz w:val="32"/>
          <w:szCs w:val="32"/>
          <w:shd w:val="clear" w:color="auto" w:fill="FFFFFF"/>
          <w:lang w:val="en-US" w:eastAsia="zh-CN"/>
        </w:rPr>
      </w:pPr>
      <w:r>
        <w:rPr>
          <w:rFonts w:hint="eastAsia" w:ascii="Times New Roman" w:hAnsi="Times New Roman" w:eastAsia="仿宋_GB2312" w:cs="Times New Roman"/>
          <w:kern w:val="2"/>
          <w:sz w:val="33"/>
          <w:szCs w:val="33"/>
          <w:lang w:val="en-US" w:eastAsia="zh-CN" w:bidi="ar-SA"/>
        </w:rPr>
        <w:t>本部门</w:t>
      </w:r>
      <w:r>
        <w:rPr>
          <w:rFonts w:ascii="Times New Roman" w:hAnsi="Times New Roman" w:eastAsia="仿宋_GB2312" w:cs="Times New Roman"/>
          <w:kern w:val="2"/>
          <w:sz w:val="33"/>
          <w:szCs w:val="33"/>
          <w:lang w:val="en-US" w:eastAsia="zh-CN" w:bidi="ar-SA"/>
        </w:rPr>
        <w:t>核定</w:t>
      </w:r>
      <w:r>
        <w:rPr>
          <w:rFonts w:hint="eastAsia" w:ascii="Times New Roman" w:hAnsi="Times New Roman" w:eastAsia="仿宋_GB2312" w:cs="Times New Roman"/>
          <w:kern w:val="2"/>
          <w:sz w:val="33"/>
          <w:szCs w:val="33"/>
          <w:lang w:val="en-US" w:eastAsia="zh-CN" w:bidi="ar-SA"/>
        </w:rPr>
        <w:t>行政编制</w:t>
      </w:r>
      <w:r>
        <w:rPr>
          <w:rFonts w:hint="eastAsia" w:eastAsia="仿宋_GB2312" w:cs="Times New Roman"/>
          <w:kern w:val="2"/>
          <w:sz w:val="33"/>
          <w:szCs w:val="33"/>
          <w:lang w:val="en-US" w:eastAsia="zh-CN" w:bidi="ar-SA"/>
        </w:rPr>
        <w:t>13</w:t>
      </w:r>
      <w:r>
        <w:rPr>
          <w:rFonts w:hint="eastAsia" w:ascii="Times New Roman" w:hAnsi="Times New Roman" w:eastAsia="仿宋_GB2312" w:cs="Times New Roman"/>
          <w:kern w:val="2"/>
          <w:sz w:val="33"/>
          <w:szCs w:val="33"/>
          <w:lang w:val="en-US" w:eastAsia="zh-CN" w:bidi="ar-SA"/>
        </w:rPr>
        <w:t>人，事业编制</w:t>
      </w:r>
      <w:r>
        <w:rPr>
          <w:rFonts w:ascii="Times New Roman" w:hAnsi="Times New Roman" w:eastAsia="仿宋_GB2312" w:cs="Times New Roman"/>
          <w:kern w:val="2"/>
          <w:sz w:val="33"/>
          <w:szCs w:val="33"/>
          <w:lang w:val="en-US" w:eastAsia="zh-CN" w:bidi="ar-SA"/>
        </w:rPr>
        <w:t>3</w:t>
      </w:r>
      <w:r>
        <w:rPr>
          <w:rFonts w:hint="eastAsia" w:ascii="Times New Roman" w:hAnsi="Times New Roman" w:eastAsia="仿宋_GB2312" w:cs="Times New Roman"/>
          <w:kern w:val="2"/>
          <w:sz w:val="33"/>
          <w:szCs w:val="33"/>
          <w:lang w:val="en-US" w:eastAsia="zh-CN" w:bidi="ar-SA"/>
        </w:rPr>
        <w:t>人。</w:t>
      </w:r>
      <w:r>
        <w:rPr>
          <w:rFonts w:ascii="Times New Roman" w:hAnsi="Times New Roman" w:eastAsia="仿宋_GB2312" w:cs="Times New Roman"/>
          <w:color w:val="000000"/>
          <w:sz w:val="32"/>
          <w:szCs w:val="32"/>
          <w:shd w:val="clear" w:color="auto" w:fill="FFFFFF"/>
        </w:rPr>
        <w:t>截至202</w:t>
      </w:r>
      <w:r>
        <w:rPr>
          <w:rFonts w:eastAsia="仿宋_GB2312" w:cs="Times New Roman"/>
          <w:color w:val="000000"/>
          <w:sz w:val="32"/>
          <w:szCs w:val="32"/>
          <w:shd w:val="clear" w:color="auto" w:fill="FFFFFF"/>
          <w:lang w:val="en-US" w:eastAsia="zh-CN"/>
        </w:rPr>
        <w:t>4</w:t>
      </w:r>
      <w:r>
        <w:rPr>
          <w:rFonts w:ascii="Times New Roman" w:hAnsi="Times New Roman" w:eastAsia="仿宋_GB2312" w:cs="Times New Roman"/>
          <w:color w:val="000000"/>
          <w:sz w:val="32"/>
          <w:szCs w:val="32"/>
          <w:shd w:val="clear" w:color="auto" w:fill="FFFFFF"/>
        </w:rPr>
        <w:t>年末，</w:t>
      </w:r>
      <w:r>
        <w:rPr>
          <w:rFonts w:hint="eastAsia" w:eastAsia="仿宋_GB2312" w:cs="Times New Roman"/>
          <w:color w:val="000000"/>
          <w:sz w:val="32"/>
          <w:szCs w:val="32"/>
          <w:shd w:val="clear" w:color="auto" w:fill="FFFFFF"/>
          <w:lang w:val="en-US" w:eastAsia="zh-CN"/>
        </w:rPr>
        <w:t>区委巡察机构</w:t>
      </w:r>
      <w:r>
        <w:rPr>
          <w:rFonts w:ascii="Times New Roman" w:hAnsi="Times New Roman" w:eastAsia="仿宋_GB2312" w:cs="Times New Roman"/>
          <w:color w:val="000000"/>
          <w:sz w:val="32"/>
          <w:szCs w:val="32"/>
          <w:shd w:val="clear" w:color="auto" w:fill="FFFFFF"/>
        </w:rPr>
        <w:t>及下属单位</w:t>
      </w:r>
      <w:r>
        <w:rPr>
          <w:rFonts w:ascii="Times New Roman" w:hAnsi="Times New Roman" w:eastAsia="仿宋_GB2312"/>
          <w:color w:val="000000"/>
          <w:sz w:val="32"/>
          <w:szCs w:val="32"/>
          <w:shd w:val="clear" w:color="auto" w:fill="FFFFFF"/>
        </w:rPr>
        <w:t>在职人员1</w:t>
      </w:r>
      <w:r>
        <w:rPr>
          <w:rFonts w:hint="eastAsia" w:eastAsia="仿宋_GB2312"/>
          <w:color w:val="000000"/>
          <w:sz w:val="32"/>
          <w:szCs w:val="32"/>
          <w:shd w:val="clear" w:color="auto" w:fill="FFFFFF"/>
          <w:lang w:val="en-US" w:eastAsia="zh-CN"/>
        </w:rPr>
        <w:t>5</w:t>
      </w:r>
      <w:r>
        <w:rPr>
          <w:rFonts w:ascii="Times New Roman" w:hAnsi="Times New Roman" w:eastAsia="仿宋_GB2312"/>
          <w:color w:val="000000"/>
          <w:sz w:val="32"/>
          <w:szCs w:val="32"/>
          <w:shd w:val="clear" w:color="auto" w:fill="FFFFFF"/>
        </w:rPr>
        <w:t>人，其中：行政人员编制</w:t>
      </w:r>
      <w:r>
        <w:rPr>
          <w:rFonts w:hint="eastAsia" w:eastAsia="仿宋_GB2312"/>
          <w:color w:val="000000"/>
          <w:sz w:val="32"/>
          <w:szCs w:val="32"/>
          <w:shd w:val="clear" w:color="auto" w:fill="FFFFFF"/>
          <w:lang w:val="en-US" w:eastAsia="zh-CN"/>
        </w:rPr>
        <w:t>14</w:t>
      </w:r>
      <w:r>
        <w:rPr>
          <w:rFonts w:ascii="Times New Roman" w:hAnsi="Times New Roman" w:eastAsia="仿宋_GB2312"/>
          <w:color w:val="000000"/>
          <w:sz w:val="32"/>
          <w:szCs w:val="32"/>
          <w:shd w:val="clear" w:color="auto" w:fill="FFFFFF"/>
        </w:rPr>
        <w:t>人，事业人员编制</w:t>
      </w:r>
      <w:r>
        <w:rPr>
          <w:rFonts w:hint="eastAsia" w:eastAsia="仿宋_GB2312"/>
          <w:color w:val="000000"/>
          <w:sz w:val="32"/>
          <w:szCs w:val="32"/>
          <w:shd w:val="clear" w:color="auto" w:fill="FFFFFF"/>
          <w:lang w:val="en-US" w:eastAsia="zh-CN"/>
        </w:rPr>
        <w:t>2</w:t>
      </w:r>
      <w:r>
        <w:rPr>
          <w:rFonts w:ascii="Times New Roman" w:hAnsi="Times New Roman" w:eastAsia="仿宋_GB2312"/>
          <w:color w:val="000000"/>
          <w:sz w:val="32"/>
          <w:szCs w:val="32"/>
          <w:shd w:val="clear" w:color="auto" w:fill="FFFFFF"/>
        </w:rPr>
        <w:t>人</w:t>
      </w:r>
      <w:r>
        <w:rPr>
          <w:rFonts w:ascii="Times New Roman" w:hAnsi="Times New Roman" w:eastAsia="仿宋_GB2312"/>
          <w:color w:val="000000"/>
          <w:sz w:val="32"/>
          <w:szCs w:val="32"/>
          <w:shd w:val="clear" w:color="auto" w:fill="FFFFFF"/>
          <w:lang w:val="en-US" w:eastAsia="zh-CN"/>
        </w:rPr>
        <w:t>。</w:t>
      </w:r>
    </w:p>
    <w:p w14:paraId="19DEED30">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二、部门资金收支情况</w:t>
      </w:r>
    </w:p>
    <w:p w14:paraId="4A29FEE6">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Cs w:val="32"/>
          <w:highlight w:val="none"/>
          <w:shd w:val="clear" w:color="auto" w:fill="FFFFFF"/>
          <w:lang w:val="en-US"/>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收入情况</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eastAsia="仿宋_GB2312" w:cs="Times New Roman"/>
          <w:sz w:val="32"/>
          <w:szCs w:val="32"/>
          <w:lang w:val="en-US" w:eastAsia="zh-CN"/>
        </w:rPr>
        <w:t>本单位</w:t>
      </w:r>
      <w:r>
        <w:rPr>
          <w:rFonts w:hint="eastAsia" w:ascii="Times New Roman" w:hAnsi="Times New Roman" w:eastAsia="仿宋_GB2312" w:cs="Times New Roman"/>
          <w:sz w:val="32"/>
          <w:szCs w:val="32"/>
          <w:lang w:val="en-US" w:eastAsia="zh-CN"/>
        </w:rPr>
        <w:t>2024年预算收入433.36</w:t>
      </w:r>
      <w:r>
        <w:rPr>
          <w:rFonts w:hint="eastAsia" w:eastAsia="仿宋_GB2312" w:cs="Times New Roman"/>
          <w:sz w:val="32"/>
          <w:szCs w:val="32"/>
          <w:lang w:val="en-US" w:eastAsia="zh-CN"/>
        </w:rPr>
        <w:t>万元</w:t>
      </w:r>
      <w:r>
        <w:rPr>
          <w:rFonts w:hint="eastAsia" w:ascii="Times New Roman" w:hAnsi="Times New Roman" w:eastAsia="仿宋_GB2312" w:cs="Times New Roman"/>
          <w:sz w:val="32"/>
          <w:szCs w:val="32"/>
          <w:lang w:val="en-US" w:eastAsia="zh-CN"/>
        </w:rPr>
        <w:t>、决算报表收入433.36</w:t>
      </w:r>
      <w:r>
        <w:rPr>
          <w:rFonts w:hint="eastAsia" w:eastAsia="仿宋_GB2312" w:cs="Times New Roman"/>
          <w:sz w:val="32"/>
          <w:szCs w:val="32"/>
          <w:lang w:val="en-US" w:eastAsia="zh-CN"/>
        </w:rPr>
        <w:t>万元</w:t>
      </w:r>
      <w:r>
        <w:rPr>
          <w:rFonts w:hint="eastAsia" w:ascii="Times New Roman" w:hAnsi="Times New Roman" w:eastAsia="仿宋_GB2312" w:cs="Times New Roman"/>
          <w:sz w:val="32"/>
          <w:szCs w:val="32"/>
          <w:lang w:val="en-US" w:eastAsia="zh-CN"/>
        </w:rPr>
        <w:t>。</w:t>
      </w:r>
    </w:p>
    <w:p w14:paraId="23F4B9C9">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cs="Times New Roman"/>
          <w:szCs w:val="32"/>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二</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支出情况</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eastAsia="仿宋_GB2312" w:cs="Times New Roman"/>
          <w:sz w:val="32"/>
          <w:szCs w:val="32"/>
          <w:lang w:val="en-US" w:eastAsia="zh-CN"/>
        </w:rPr>
        <w:t>本单位</w:t>
      </w:r>
      <w:r>
        <w:rPr>
          <w:rFonts w:hint="eastAsia" w:ascii="Times New Roman" w:hAnsi="Times New Roman" w:eastAsia="仿宋_GB2312" w:cs="Times New Roman"/>
          <w:sz w:val="32"/>
          <w:szCs w:val="32"/>
          <w:lang w:val="en-US" w:eastAsia="zh-CN"/>
        </w:rPr>
        <w:t>2024年预算支出433.36</w:t>
      </w:r>
      <w:r>
        <w:rPr>
          <w:rFonts w:hint="eastAsia" w:eastAsia="仿宋_GB2312" w:cs="Times New Roman"/>
          <w:sz w:val="32"/>
          <w:szCs w:val="32"/>
          <w:lang w:val="en-US" w:eastAsia="zh-CN"/>
        </w:rPr>
        <w:t>万元</w:t>
      </w:r>
      <w:r>
        <w:rPr>
          <w:rFonts w:hint="eastAsia" w:ascii="Times New Roman" w:hAnsi="Times New Roman" w:eastAsia="仿宋_GB2312" w:cs="Times New Roman"/>
          <w:sz w:val="32"/>
          <w:szCs w:val="32"/>
          <w:lang w:val="en-US" w:eastAsia="zh-CN"/>
        </w:rPr>
        <w:t>、决算报表支出433.36</w:t>
      </w:r>
      <w:r>
        <w:rPr>
          <w:rFonts w:hint="eastAsia" w:eastAsia="仿宋_GB2312" w:cs="Times New Roman"/>
          <w:sz w:val="32"/>
          <w:szCs w:val="32"/>
          <w:lang w:val="en-US" w:eastAsia="zh-CN"/>
        </w:rPr>
        <w:t>万元</w:t>
      </w:r>
      <w:r>
        <w:rPr>
          <w:rFonts w:hint="eastAsia" w:ascii="Times New Roman" w:hAnsi="Times New Roman" w:eastAsia="仿宋_GB2312" w:cs="Times New Roman"/>
          <w:sz w:val="32"/>
          <w:szCs w:val="32"/>
          <w:lang w:val="en-US" w:eastAsia="zh-CN"/>
        </w:rPr>
        <w:t>。</w:t>
      </w:r>
    </w:p>
    <w:p w14:paraId="32A8CE3B">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Times New Roman"/>
          <w:b w:val="0"/>
          <w:bCs w:val="0"/>
          <w:color w:val="000000"/>
          <w:kern w:val="0"/>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）结余分配和结转结余情况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eastAsia="仿宋_GB2312" w:cs="Times New Roman"/>
          <w:sz w:val="32"/>
          <w:szCs w:val="32"/>
          <w:lang w:val="en-US" w:eastAsia="zh-CN"/>
        </w:rPr>
        <w:t>本单位</w:t>
      </w:r>
      <w:r>
        <w:rPr>
          <w:rFonts w:hint="eastAsia" w:ascii="Times New Roman" w:hAnsi="Times New Roman" w:eastAsia="仿宋_GB2312" w:cs="Times New Roman"/>
          <w:sz w:val="32"/>
          <w:szCs w:val="32"/>
          <w:lang w:val="en-US" w:eastAsia="zh-CN"/>
        </w:rPr>
        <w:t>2024年决算报表</w:t>
      </w:r>
      <w:r>
        <w:rPr>
          <w:rFonts w:hint="eastAsia" w:eastAsia="仿宋_GB2312" w:cs="Times New Roman"/>
          <w:sz w:val="32"/>
          <w:szCs w:val="32"/>
          <w:lang w:val="en-US" w:eastAsia="zh-CN"/>
        </w:rPr>
        <w:t>无</w:t>
      </w:r>
      <w:r>
        <w:rPr>
          <w:rFonts w:hint="default" w:ascii="Times New Roman" w:hAnsi="Times New Roman" w:eastAsia="仿宋_GB2312" w:cs="Times New Roman"/>
          <w:sz w:val="32"/>
          <w:szCs w:val="32"/>
          <w:lang w:val="en-US" w:eastAsia="zh-CN"/>
        </w:rPr>
        <w:t>结转结余</w:t>
      </w:r>
      <w:r>
        <w:rPr>
          <w:rFonts w:hint="eastAsia" w:ascii="Times New Roman" w:hAnsi="Times New Roman" w:eastAsia="仿宋_GB2312" w:cs="Times New Roman"/>
          <w:sz w:val="32"/>
          <w:szCs w:val="32"/>
          <w:lang w:val="en-US" w:eastAsia="zh-CN"/>
        </w:rPr>
        <w:t>情况</w:t>
      </w:r>
      <w:r>
        <w:rPr>
          <w:rFonts w:hint="default" w:ascii="Times New Roman" w:hAnsi="Times New Roman" w:eastAsia="仿宋_GB2312" w:cs="Times New Roman"/>
          <w:sz w:val="32"/>
          <w:szCs w:val="32"/>
          <w:lang w:val="en-US" w:eastAsia="zh-CN"/>
        </w:rPr>
        <w:t>。</w:t>
      </w:r>
    </w:p>
    <w:p w14:paraId="75B63530">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三、部门预算绩效分析</w:t>
      </w:r>
    </w:p>
    <w:p w14:paraId="45C63062">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部门预算</w:t>
      </w:r>
      <w:r>
        <w:rPr>
          <w:rFonts w:hint="default" w:ascii="Times New Roman" w:hAnsi="Times New Roman" w:eastAsia="楷体_GB2312" w:cs="Times New Roman"/>
          <w:b/>
          <w:bCs/>
          <w:color w:val="000000"/>
          <w:kern w:val="0"/>
          <w:sz w:val="32"/>
          <w:szCs w:val="32"/>
          <w:highlight w:val="none"/>
          <w:shd w:val="clear" w:color="auto" w:fill="FFFFFF"/>
          <w:lang w:val="zh-CN"/>
        </w:rPr>
        <w:t>总体绩效分析。</w:t>
      </w:r>
    </w:p>
    <w:p w14:paraId="04E04AA7">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zh-CN" w:eastAsia="zh-CN" w:bidi="ar-SA"/>
        </w:rPr>
        <w:t>履职效能。</w:t>
      </w:r>
    </w:p>
    <w:p w14:paraId="2C11EAD2">
      <w:pPr>
        <w:pStyle w:val="25"/>
        <w:keepNext w:val="0"/>
        <w:keepLines w:val="0"/>
        <w:pageBreakBefore w:val="0"/>
        <w:kinsoku/>
        <w:wordWrap/>
        <w:overflowPunct/>
        <w:topLinePunct w:val="0"/>
        <w:autoSpaceDE/>
        <w:autoSpaceDN/>
        <w:adjustRightInd/>
        <w:snapToGrid/>
        <w:spacing w:line="560" w:lineRule="exact"/>
        <w:rPr>
          <w:rFonts w:hint="default" w:ascii="Times New Roman" w:hAnsi="Times New Roman" w:eastAsia="仿宋_GB2312" w:cs="Times New Roman"/>
          <w:color w:val="auto"/>
          <w:sz w:val="32"/>
          <w:szCs w:val="32"/>
          <w:lang w:val="en-US" w:eastAsia="zh-CN"/>
        </w:rPr>
      </w:pPr>
      <w:r>
        <w:rPr>
          <w:rFonts w:eastAsia="仿宋_GB2312"/>
          <w:color w:val="000000"/>
          <w:kern w:val="0"/>
          <w:sz w:val="32"/>
          <w:szCs w:val="32"/>
          <w:shd w:val="clear" w:color="auto" w:fill="FFFFFF"/>
          <w:lang w:val="zh-CN" w:eastAsia="zh-CN" w:bidi="ar-SA"/>
        </w:rPr>
        <w:t>（1）</w:t>
      </w:r>
      <w:r>
        <w:rPr>
          <w:rFonts w:hint="eastAsia" w:eastAsia="仿宋_GB2312"/>
          <w:color w:val="000000"/>
          <w:kern w:val="0"/>
          <w:sz w:val="32"/>
          <w:szCs w:val="32"/>
          <w:shd w:val="clear" w:color="auto" w:fill="FFFFFF"/>
          <w:lang w:val="zh-CN" w:eastAsia="zh-CN" w:bidi="ar-SA"/>
        </w:rPr>
        <w:t>及时</w:t>
      </w:r>
      <w:r>
        <w:rPr>
          <w:rFonts w:hint="eastAsia" w:ascii="Times New Roman" w:hAnsi="Times New Roman" w:eastAsia="仿宋_GB2312" w:cs="Times New Roman"/>
          <w:kern w:val="2"/>
          <w:sz w:val="33"/>
          <w:szCs w:val="33"/>
          <w:lang w:val="en-US" w:eastAsia="zh-CN" w:bidi="ar-SA"/>
        </w:rPr>
        <w:t>向区委和区委巡察工作领导小组报告工作情况</w:t>
      </w:r>
      <w:r>
        <w:rPr>
          <w:rFonts w:hint="eastAsia" w:eastAsia="仿宋_GB2312" w:cs="Times New Roman"/>
          <w:kern w:val="2"/>
          <w:sz w:val="33"/>
          <w:szCs w:val="33"/>
          <w:lang w:val="en-US" w:eastAsia="zh-CN" w:bidi="ar-SA"/>
        </w:rPr>
        <w:t>。</w:t>
      </w:r>
    </w:p>
    <w:p w14:paraId="5B31E176">
      <w:pPr>
        <w:pStyle w:val="25"/>
        <w:keepNext w:val="0"/>
        <w:keepLines w:val="0"/>
        <w:pageBreakBefore w:val="0"/>
        <w:kinsoku/>
        <w:wordWrap/>
        <w:overflowPunct/>
        <w:topLinePunct w:val="0"/>
        <w:autoSpaceDE/>
        <w:autoSpaceDN/>
        <w:adjustRightInd/>
        <w:snapToGrid/>
        <w:spacing w:line="560" w:lineRule="exact"/>
        <w:ind w:left="0" w:firstLine="640" w:firstLineChars="200"/>
        <w:rPr>
          <w:rFonts w:hint="default" w:eastAsia="仿宋_GB2312"/>
          <w:color w:val="000000"/>
          <w:kern w:val="0"/>
          <w:sz w:val="32"/>
          <w:szCs w:val="32"/>
          <w:shd w:val="clear" w:color="auto" w:fill="FFFFFF"/>
          <w:lang w:val="en-US" w:eastAsia="zh-CN"/>
        </w:rPr>
      </w:pPr>
      <w:r>
        <w:rPr>
          <w:rFonts w:hAnsi="仿宋_GB2312" w:eastAsia="仿宋_GB2312"/>
          <w:color w:val="000000"/>
          <w:kern w:val="0"/>
          <w:sz w:val="32"/>
          <w:szCs w:val="32"/>
          <w:shd w:val="clear" w:color="auto" w:fill="FFFFFF"/>
        </w:rPr>
        <w:t>（2）</w:t>
      </w:r>
      <w:r>
        <w:rPr>
          <w:rFonts w:hint="eastAsia" w:hAnsi="仿宋_GB2312" w:eastAsia="仿宋_GB2312"/>
          <w:color w:val="000000"/>
          <w:kern w:val="0"/>
          <w:sz w:val="32"/>
          <w:szCs w:val="32"/>
          <w:shd w:val="clear" w:color="auto" w:fill="FFFFFF"/>
        </w:rPr>
        <w:t>坚持把严的主基调贯穿巡察整改各方面全过程，推动巡察整改规范高效开展</w:t>
      </w:r>
      <w:r>
        <w:rPr>
          <w:rFonts w:hint="eastAsia" w:hAnsi="仿宋_GB2312" w:eastAsia="仿宋_GB2312"/>
          <w:color w:val="000000"/>
          <w:kern w:val="0"/>
          <w:sz w:val="32"/>
          <w:szCs w:val="32"/>
          <w:shd w:val="clear" w:color="auto" w:fill="FFFFFF"/>
          <w:lang w:eastAsia="zh-CN"/>
        </w:rPr>
        <w:t>，</w:t>
      </w:r>
      <w:r>
        <w:rPr>
          <w:rFonts w:hint="eastAsia" w:hAnsi="仿宋_GB2312" w:eastAsia="仿宋_GB2312"/>
          <w:color w:val="000000"/>
          <w:kern w:val="0"/>
          <w:sz w:val="32"/>
          <w:szCs w:val="32"/>
          <w:shd w:val="clear" w:color="auto" w:fill="FFFFFF"/>
        </w:rPr>
        <w:t>全年共开展2轮常规巡察和1轮联动专项巡察，共巡察154个党组织，全覆盖任务进度为76.6%，全面深化了政治监督</w:t>
      </w:r>
      <w:r>
        <w:rPr>
          <w:rFonts w:hint="eastAsia" w:eastAsia="仿宋_GB2312"/>
          <w:color w:val="000000"/>
          <w:kern w:val="0"/>
          <w:sz w:val="32"/>
          <w:szCs w:val="32"/>
          <w:shd w:val="clear" w:color="auto" w:fill="FFFFFF"/>
          <w:lang w:val="en-US" w:eastAsia="zh-CN"/>
        </w:rPr>
        <w:t>。</w:t>
      </w:r>
    </w:p>
    <w:p w14:paraId="7955166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eastAsia"/>
          <w:lang w:val="zh-CN"/>
        </w:rPr>
      </w:pPr>
      <w:r>
        <w:rPr>
          <w:rFonts w:hint="eastAsia" w:ascii="Times New Roman" w:hAnsi="Times New Roman" w:eastAsia="仿宋_GB2312" w:cs="仿宋_GB2312"/>
          <w:color w:val="auto"/>
          <w:kern w:val="2"/>
          <w:sz w:val="32"/>
          <w:szCs w:val="32"/>
          <w:highlight w:val="none"/>
          <w:lang w:val="en-US" w:eastAsia="zh-CN" w:bidi="ar-SA"/>
        </w:rPr>
        <w:t>2.</w:t>
      </w:r>
      <w:r>
        <w:rPr>
          <w:rFonts w:hint="default" w:ascii="Times New Roman" w:hAnsi="Times New Roman" w:eastAsia="仿宋_GB2312" w:cs="仿宋_GB2312"/>
          <w:color w:val="auto"/>
          <w:kern w:val="2"/>
          <w:sz w:val="32"/>
          <w:szCs w:val="32"/>
          <w:highlight w:val="none"/>
          <w:lang w:val="zh-CN" w:eastAsia="zh-CN" w:bidi="ar-SA"/>
        </w:rPr>
        <w:t>预算管理</w:t>
      </w:r>
      <w:r>
        <w:rPr>
          <w:rFonts w:hint="eastAsia" w:ascii="Times New Roman" w:hAnsi="Times New Roman" w:eastAsia="仿宋_GB2312" w:cs="仿宋_GB2312"/>
          <w:color w:val="auto"/>
          <w:kern w:val="2"/>
          <w:sz w:val="32"/>
          <w:szCs w:val="32"/>
          <w:highlight w:val="none"/>
          <w:lang w:val="zh-CN" w:eastAsia="zh-CN" w:bidi="ar-SA"/>
        </w:rPr>
        <w:t>。</w:t>
      </w:r>
      <w:r>
        <w:rPr>
          <w:rFonts w:hint="eastAsia" w:ascii="仿宋_GB2312" w:hAnsi="仿宋_GB2312" w:eastAsia="仿宋_GB2312" w:cs="仿宋_GB2312"/>
          <w:color w:val="000000"/>
          <w:sz w:val="32"/>
          <w:szCs w:val="32"/>
          <w:shd w:val="clear" w:color="auto" w:fill="FFFFFF"/>
          <w:lang w:val="zh-CN"/>
        </w:rPr>
        <w:t>严格按照区级部门预算编制通知和有关要求，按规定</w:t>
      </w:r>
      <w:r>
        <w:rPr>
          <w:rFonts w:ascii="仿宋_GB2312" w:hAnsi="仿宋_GB2312" w:eastAsia="仿宋_GB2312" w:cs="仿宋_GB2312"/>
          <w:color w:val="000000"/>
          <w:sz w:val="32"/>
          <w:szCs w:val="32"/>
          <w:shd w:val="clear" w:color="auto" w:fill="FFFFFF"/>
          <w:lang w:val="zh-CN"/>
        </w:rPr>
        <w:t>及</w:t>
      </w:r>
      <w:r>
        <w:rPr>
          <w:rFonts w:hint="eastAsia" w:ascii="仿宋_GB2312" w:hAnsi="仿宋_GB2312" w:eastAsia="仿宋_GB2312" w:cs="仿宋_GB2312"/>
          <w:color w:val="000000"/>
          <w:sz w:val="32"/>
          <w:szCs w:val="32"/>
          <w:shd w:val="clear" w:color="auto" w:fill="FFFFFF"/>
          <w:lang w:val="zh-CN"/>
        </w:rPr>
        <w:t>时完成</w:t>
      </w:r>
      <w:r>
        <w:rPr>
          <w:rFonts w:ascii="Times New Roman" w:hAnsi="Times New Roman" w:eastAsia="仿宋_GB2312" w:cs="Times New Roman"/>
          <w:color w:val="000000"/>
          <w:sz w:val="32"/>
          <w:szCs w:val="32"/>
          <w:shd w:val="clear" w:color="auto" w:fill="FFFFFF"/>
          <w:lang w:val="zh-CN"/>
        </w:rPr>
        <w:t>20</w:t>
      </w:r>
      <w:r>
        <w:rPr>
          <w:rFonts w:ascii="Times New Roman" w:hAnsi="Times New Roman" w:eastAsia="仿宋_GB2312" w:cs="Times New Roman"/>
          <w:color w:val="000000"/>
          <w:sz w:val="32"/>
          <w:szCs w:val="32"/>
          <w:shd w:val="clear" w:color="auto" w:fill="FFFFFF"/>
          <w:lang w:val="en-US" w:eastAsia="zh-CN"/>
        </w:rPr>
        <w:t>24</w:t>
      </w:r>
      <w:r>
        <w:rPr>
          <w:rFonts w:ascii="Times New Roman" w:hAnsi="Times New Roman" w:eastAsia="仿宋_GB2312" w:cs="Times New Roman"/>
          <w:color w:val="000000"/>
          <w:sz w:val="32"/>
          <w:szCs w:val="32"/>
          <w:shd w:val="clear" w:color="auto" w:fill="FFFFFF"/>
          <w:lang w:val="zh-CN"/>
        </w:rPr>
        <w:t>年部门预算编制工作，并按时提交部门预算草案和编制说明。</w:t>
      </w:r>
      <w:r>
        <w:rPr>
          <w:rFonts w:eastAsia="仿宋_GB2312"/>
          <w:color w:val="000000"/>
          <w:kern w:val="0"/>
          <w:sz w:val="32"/>
          <w:szCs w:val="32"/>
          <w:shd w:val="clear" w:color="auto" w:fill="FFFFFF"/>
          <w:lang w:val="zh-CN"/>
        </w:rPr>
        <w:t>2024年</w:t>
      </w:r>
      <w:r>
        <w:rPr>
          <w:rFonts w:eastAsia="仿宋_GB2312"/>
          <w:color w:val="000000"/>
          <w:kern w:val="0"/>
          <w:sz w:val="32"/>
          <w:szCs w:val="32"/>
          <w:shd w:val="clear" w:color="auto" w:fill="FFFFFF"/>
          <w:lang w:val="en-US" w:eastAsia="zh-CN"/>
        </w:rPr>
        <w:t>我单位</w:t>
      </w:r>
      <w:r>
        <w:rPr>
          <w:rFonts w:eastAsia="仿宋_GB2312"/>
          <w:color w:val="000000"/>
          <w:kern w:val="0"/>
          <w:sz w:val="32"/>
          <w:szCs w:val="32"/>
          <w:shd w:val="clear" w:color="auto" w:fill="FFFFFF"/>
          <w:lang w:val="zh-CN"/>
        </w:rPr>
        <w:t>预算资金均为财政拨款，无其他资金来源，收入结构单一但稳定性强。收入统筹重点体现在财政拨款预算的全口径管理，未出现资金体外循环或隐瞒收入的情况。一般性支出年初预算和执行数均较上年压减，符合“只减不增”要求，落实了财政节俭要求。</w:t>
      </w:r>
    </w:p>
    <w:p w14:paraId="35D7C071">
      <w:pPr>
        <w:keepNext w:val="0"/>
        <w:keepLines w:val="0"/>
        <w:pageBreakBefore w:val="0"/>
        <w:widowControl w:val="0"/>
        <w:kinsoku/>
        <w:wordWrap/>
        <w:overflowPunct/>
        <w:topLinePunct w:val="0"/>
        <w:autoSpaceDE/>
        <w:autoSpaceDN/>
        <w:adjustRightInd/>
        <w:snapToGrid/>
        <w:spacing w:line="560" w:lineRule="exact"/>
        <w:ind w:left="0" w:firstLine="640" w:firstLineChars="200"/>
        <w:contextualSpacing/>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Fonts w:hint="default" w:ascii="Times New Roman" w:hAnsi="Times New Roman" w:eastAsia="仿宋_GB2312" w:cs="仿宋_GB2312"/>
          <w:color w:val="auto"/>
          <w:kern w:val="2"/>
          <w:sz w:val="32"/>
          <w:szCs w:val="32"/>
          <w:highlight w:val="none"/>
          <w:lang w:val="zh-CN" w:eastAsia="zh-CN" w:bidi="ar-SA"/>
        </w:rPr>
        <w:t>财务管理</w:t>
      </w:r>
      <w:r>
        <w:rPr>
          <w:rFonts w:hint="eastAsia" w:ascii="Times New Roman" w:hAnsi="Times New Roman" w:eastAsia="仿宋_GB2312" w:cs="仿宋_GB2312"/>
          <w:color w:val="auto"/>
          <w:kern w:val="2"/>
          <w:sz w:val="32"/>
          <w:szCs w:val="32"/>
          <w:highlight w:val="none"/>
          <w:lang w:val="zh-CN" w:eastAsia="zh-CN" w:bidi="ar-SA"/>
        </w:rPr>
        <w:t>。</w:t>
      </w:r>
      <w:r>
        <w:rPr>
          <w:rFonts w:eastAsia="仿宋_GB2312"/>
          <w:color w:val="000000"/>
          <w:sz w:val="32"/>
          <w:szCs w:val="32"/>
          <w:shd w:val="clear" w:color="auto" w:fill="FFFFFF"/>
          <w:lang w:val="zh-CN" w:eastAsia="zh-CN"/>
        </w:rPr>
        <w:t>本部门制定了《</w:t>
      </w:r>
      <w:r>
        <w:rPr>
          <w:rFonts w:eastAsia="仿宋_GB2312"/>
          <w:color w:val="000000"/>
          <w:sz w:val="32"/>
          <w:szCs w:val="32"/>
          <w:shd w:val="clear" w:color="auto" w:fill="FFFFFF"/>
          <w:lang w:val="zh-CN"/>
        </w:rPr>
        <w:t>中共遂宁市</w:t>
      </w:r>
      <w:r>
        <w:rPr>
          <w:rFonts w:hint="eastAsia" w:eastAsia="仿宋_GB2312"/>
          <w:color w:val="000000"/>
          <w:sz w:val="32"/>
          <w:szCs w:val="32"/>
          <w:shd w:val="clear" w:color="auto" w:fill="FFFFFF"/>
          <w:lang w:val="en-US" w:eastAsia="zh-CN"/>
        </w:rPr>
        <w:t>安居区委巡察工作领导小组办公室</w:t>
      </w:r>
      <w:r>
        <w:rPr>
          <w:rFonts w:eastAsia="仿宋_GB2312"/>
          <w:color w:val="000000"/>
          <w:sz w:val="32"/>
          <w:szCs w:val="32"/>
          <w:shd w:val="clear" w:color="auto" w:fill="FFFFFF"/>
          <w:lang w:val="zh-CN"/>
        </w:rPr>
        <w:t>工作及内部控制手册</w:t>
      </w:r>
      <w:r>
        <w:rPr>
          <w:rFonts w:eastAsia="仿宋_GB2312"/>
          <w:color w:val="000000"/>
          <w:sz w:val="32"/>
          <w:szCs w:val="32"/>
          <w:shd w:val="clear" w:color="auto" w:fill="FFFFFF"/>
          <w:lang w:val="zh-CN" w:eastAsia="zh-CN"/>
        </w:rPr>
        <w:t>》，内含财务管理等制度</w:t>
      </w:r>
      <w:r>
        <w:rPr>
          <w:rFonts w:hint="eastAsia" w:ascii="仿宋_GB2312" w:hAnsi="仿宋_GB2312" w:eastAsia="仿宋_GB2312" w:cs="仿宋_GB2312"/>
          <w:color w:val="000000"/>
          <w:kern w:val="0"/>
          <w:sz w:val="32"/>
          <w:szCs w:val="32"/>
          <w:shd w:val="clear" w:color="auto" w:fill="FFFFFF"/>
          <w:lang w:val="zh-CN" w:eastAsia="zh-CN"/>
        </w:rPr>
        <w:t>，覆盖预算编制、资金审批、资产管理、政府采购等关键环节，未发现因制度缺失或执行不到位导致的问题。严格遵循财务岗位设置规范</w:t>
      </w:r>
      <w:r>
        <w:rPr>
          <w:rFonts w:hint="eastAsia" w:ascii="仿宋_GB2312" w:hAnsi="仿宋_GB2312" w:eastAsia="仿宋_GB2312" w:cs="仿宋_GB2312"/>
          <w:color w:val="000000"/>
          <w:kern w:val="0"/>
          <w:sz w:val="32"/>
          <w:szCs w:val="32"/>
          <w:shd w:val="clear" w:color="auto" w:fill="FFFFFF"/>
          <w:lang w:val="zh-CN"/>
        </w:rPr>
        <w:t>，设置财务负责人、会计、出纳等财务工作岗位。财务负责人对经济活动发</w:t>
      </w:r>
      <w:r>
        <w:rPr>
          <w:rFonts w:hint="eastAsia" w:ascii="FangSong_GB2312" w:eastAsia="FangSong_GB2312"/>
          <w:vanish w:val="0"/>
          <w:kern w:val="0"/>
          <w:sz w:val="32"/>
          <w:szCs w:val="32"/>
          <w:shd w:val="clear" w:color="auto" w:fill="FFFFFF"/>
        </w:rPr>
        <w:t>生的票据及其相关附件审核把关，检查其合规性、合法性，有无违规事项</w:t>
      </w:r>
      <w:r>
        <w:rPr>
          <w:rFonts w:ascii="FangSong_GB2312" w:eastAsia="FangSong_GB2312"/>
          <w:vanish w:val="0"/>
          <w:kern w:val="0"/>
          <w:sz w:val="32"/>
          <w:szCs w:val="32"/>
          <w:shd w:val="clear" w:color="auto" w:fill="FFFFFF"/>
        </w:rPr>
        <w:t>；</w:t>
      </w:r>
      <w:r>
        <w:rPr>
          <w:rFonts w:hint="eastAsia" w:ascii="FangSong_GB2312" w:eastAsia="FangSong_GB2312"/>
          <w:vanish w:val="0"/>
          <w:kern w:val="0"/>
          <w:sz w:val="32"/>
          <w:szCs w:val="32"/>
          <w:shd w:val="clear" w:color="auto" w:fill="FFFFFF"/>
        </w:rPr>
        <w:t>会计按会计制度审查</w:t>
      </w:r>
      <w:r>
        <w:rPr>
          <w:rFonts w:hint="eastAsia" w:ascii="仿宋_GB2312" w:hAnsi="仿宋_GB2312" w:eastAsia="仿宋_GB2312" w:cs="仿宋_GB2312"/>
          <w:color w:val="000000"/>
          <w:kern w:val="0"/>
          <w:sz w:val="32"/>
          <w:szCs w:val="32"/>
          <w:shd w:val="clear" w:color="auto" w:fill="FFFFFF"/>
          <w:lang w:val="zh-CN" w:eastAsia="zh-CN"/>
        </w:rPr>
        <w:t>经济活动过程及结算单据附件的真实性、完整性、合规性；出纳终审把关，并据实支付，完全做到“钱账分离、审批与经办分离”。</w:t>
      </w:r>
      <w:r>
        <w:rPr>
          <w:rFonts w:hint="eastAsia" w:ascii="仿宋_GB2312" w:hAnsi="仿宋_GB2312" w:eastAsia="仿宋_GB2312" w:cs="仿宋_GB2312"/>
          <w:color w:val="000000"/>
          <w:kern w:val="0"/>
          <w:sz w:val="32"/>
          <w:szCs w:val="32"/>
          <w:shd w:val="clear" w:color="auto" w:fill="FFFFFF"/>
          <w:lang w:val="en-US" w:eastAsia="zh-CN"/>
        </w:rPr>
        <w:t>预算审计发现我单位有未严格按照预算科目执行、应缴未缴非税收入等问题。</w:t>
      </w:r>
    </w:p>
    <w:p w14:paraId="1E5E77C9">
      <w:pPr>
        <w:keepNext w:val="0"/>
        <w:keepLines w:val="0"/>
        <w:pageBreakBefore w:val="0"/>
        <w:widowControl w:val="0"/>
        <w:kinsoku/>
        <w:wordWrap/>
        <w:overflowPunct/>
        <w:topLinePunct w:val="0"/>
        <w:autoSpaceDE/>
        <w:autoSpaceDN/>
        <w:adjustRightInd/>
        <w:snapToGrid/>
        <w:spacing w:line="560" w:lineRule="exact"/>
        <w:ind w:left="0" w:firstLine="640" w:firstLineChars="200"/>
        <w:contextualSpacing/>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4.</w:t>
      </w:r>
      <w:r>
        <w:rPr>
          <w:rFonts w:hint="default" w:ascii="Times New Roman" w:hAnsi="Times New Roman" w:eastAsia="仿宋_GB2312" w:cs="仿宋_GB2312"/>
          <w:color w:val="auto"/>
          <w:kern w:val="2"/>
          <w:sz w:val="32"/>
          <w:szCs w:val="32"/>
          <w:highlight w:val="none"/>
          <w:lang w:val="zh-CN" w:eastAsia="zh-CN" w:bidi="ar-SA"/>
        </w:rPr>
        <w:t>资产管理</w:t>
      </w:r>
      <w:r>
        <w:rPr>
          <w:rFonts w:hint="eastAsia" w:ascii="Times New Roman" w:hAnsi="Times New Roman" w:eastAsia="仿宋_GB2312" w:cs="仿宋_GB2312"/>
          <w:color w:val="auto"/>
          <w:kern w:val="2"/>
          <w:sz w:val="32"/>
          <w:szCs w:val="32"/>
          <w:highlight w:val="none"/>
          <w:lang w:val="zh-CN" w:eastAsia="zh-CN" w:bidi="ar-SA"/>
        </w:rPr>
        <w:t>。</w:t>
      </w:r>
      <w:r>
        <w:rPr>
          <w:rFonts w:hint="eastAsia" w:ascii="仿宋_GB2312" w:hAnsi="仿宋_GB2312" w:eastAsia="仿宋_GB2312" w:cs="仿宋_GB2312"/>
          <w:color w:val="000000"/>
          <w:kern w:val="0"/>
          <w:sz w:val="32"/>
          <w:szCs w:val="32"/>
          <w:shd w:val="clear" w:color="auto" w:fill="FFFFFF"/>
          <w:lang w:val="en-US" w:eastAsia="zh-CN"/>
        </w:rPr>
        <w:t>我单位</w:t>
      </w:r>
      <w:r>
        <w:rPr>
          <w:rFonts w:hint="eastAsia" w:ascii="仿宋_GB2312" w:hAnsi="仿宋_GB2312" w:eastAsia="仿宋_GB2312" w:cs="仿宋_GB2312"/>
          <w:color w:val="000000"/>
          <w:kern w:val="0"/>
          <w:sz w:val="32"/>
          <w:szCs w:val="32"/>
          <w:shd w:val="clear" w:color="auto" w:fill="FFFFFF"/>
          <w:lang w:val="zh-CN"/>
        </w:rPr>
        <w:t>在资产管理方面整体表现较好，资产的人均分配和日常使用管理上较</w:t>
      </w:r>
      <w:r>
        <w:rPr>
          <w:rFonts w:hint="eastAsia" w:ascii="仿宋_GB2312" w:hAnsi="仿宋_GB2312" w:eastAsia="仿宋_GB2312" w:cs="仿宋_GB2312"/>
          <w:color w:val="000000"/>
          <w:kern w:val="0"/>
          <w:sz w:val="32"/>
          <w:szCs w:val="32"/>
          <w:shd w:val="clear" w:color="auto" w:fill="FFFFFF"/>
          <w:lang w:val="en-US" w:eastAsia="zh-CN"/>
        </w:rPr>
        <w:t>优</w:t>
      </w:r>
      <w:r>
        <w:rPr>
          <w:rFonts w:ascii="仿宋_GB2312" w:hAnsi="仿宋_GB2312" w:eastAsia="仿宋_GB2312" w:cs="仿宋_GB2312"/>
          <w:color w:val="000000"/>
          <w:kern w:val="0"/>
          <w:sz w:val="32"/>
          <w:szCs w:val="32"/>
          <w:shd w:val="clear" w:color="auto" w:fill="FFFFFF"/>
          <w:lang w:val="zh-CN"/>
        </w:rPr>
        <w:t>，但</w:t>
      </w:r>
      <w:r>
        <w:rPr>
          <w:rFonts w:hint="eastAsia" w:ascii="仿宋_GB2312" w:hAnsi="仿宋_GB2312" w:eastAsia="仿宋_GB2312" w:cs="仿宋_GB2312"/>
          <w:color w:val="000000"/>
          <w:kern w:val="0"/>
          <w:sz w:val="32"/>
          <w:szCs w:val="32"/>
          <w:shd w:val="clear" w:color="auto" w:fill="FFFFFF"/>
          <w:lang w:val="zh-CN"/>
        </w:rPr>
        <w:t>在闲置资产的处理上还有改进余地。后续</w:t>
      </w:r>
      <w:r>
        <w:rPr>
          <w:rFonts w:hint="eastAsia" w:ascii="仿宋_GB2312" w:hAnsi="仿宋_GB2312" w:eastAsia="仿宋_GB2312" w:cs="仿宋_GB2312"/>
          <w:color w:val="000000"/>
          <w:kern w:val="0"/>
          <w:sz w:val="32"/>
          <w:szCs w:val="32"/>
          <w:shd w:val="clear" w:color="auto" w:fill="FFFFFF"/>
          <w:lang w:val="en-US" w:eastAsia="zh-CN"/>
        </w:rPr>
        <w:t>我单位将</w:t>
      </w:r>
      <w:r>
        <w:rPr>
          <w:rFonts w:hint="eastAsia" w:ascii="仿宋_GB2312" w:hAnsi="仿宋_GB2312" w:eastAsia="仿宋_GB2312" w:cs="仿宋_GB2312"/>
          <w:color w:val="000000"/>
          <w:kern w:val="0"/>
          <w:sz w:val="32"/>
          <w:szCs w:val="32"/>
          <w:shd w:val="clear" w:color="auto" w:fill="FFFFFF"/>
          <w:lang w:val="zh-CN"/>
        </w:rPr>
        <w:t>重点关注闲置资产的盘活工作，制定更有效的资产盘活计划，进一步提高资产管理的整</w:t>
      </w:r>
      <w:r>
        <w:rPr>
          <w:rFonts w:hint="eastAsia" w:ascii="仿宋_GB2312" w:hAnsi="仿宋_GB2312" w:eastAsia="仿宋_GB2312" w:cs="仿宋_GB2312"/>
          <w:b w:val="0"/>
          <w:bCs w:val="0"/>
          <w:color w:val="000000"/>
          <w:kern w:val="0"/>
          <w:sz w:val="32"/>
          <w:szCs w:val="32"/>
          <w:shd w:val="clear" w:color="auto" w:fill="FFFFFF"/>
          <w:lang w:val="zh-CN"/>
        </w:rPr>
        <w:t>体绩效水平。</w:t>
      </w:r>
    </w:p>
    <w:p w14:paraId="67D0DE51">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ascii="Times New Roman" w:hAnsi="Times New Roman" w:eastAsia="仿宋_GB2312" w:cs="Times New Roman"/>
          <w:color w:val="000000"/>
          <w:kern w:val="2"/>
          <w:sz w:val="32"/>
          <w:szCs w:val="32"/>
          <w:shd w:val="clear" w:color="auto" w:fill="FFFFFF"/>
          <w:lang w:val="zh-CN"/>
        </w:rPr>
      </w:pPr>
      <w:r>
        <w:rPr>
          <w:rFonts w:hint="eastAsia" w:ascii="Times New Roman" w:hAnsi="Times New Roman" w:eastAsia="仿宋_GB2312" w:cs="仿宋_GB2312"/>
          <w:color w:val="auto"/>
          <w:kern w:val="2"/>
          <w:sz w:val="32"/>
          <w:szCs w:val="32"/>
          <w:highlight w:val="none"/>
          <w:lang w:val="en-US" w:eastAsia="zh-CN" w:bidi="ar-SA"/>
        </w:rPr>
        <w:t>5.</w:t>
      </w:r>
      <w:r>
        <w:rPr>
          <w:rFonts w:hint="default" w:ascii="Times New Roman" w:hAnsi="Times New Roman" w:eastAsia="仿宋_GB2312" w:cs="仿宋_GB2312"/>
          <w:color w:val="auto"/>
          <w:kern w:val="2"/>
          <w:sz w:val="32"/>
          <w:szCs w:val="32"/>
          <w:highlight w:val="none"/>
          <w:lang w:val="zh-CN" w:eastAsia="zh-CN" w:bidi="ar-SA"/>
        </w:rPr>
        <w:t>采购管理</w:t>
      </w:r>
      <w:r>
        <w:rPr>
          <w:rFonts w:hint="eastAsia" w:ascii="Times New Roman" w:hAnsi="Times New Roman" w:eastAsia="仿宋_GB2312" w:cs="仿宋_GB2312"/>
          <w:color w:val="auto"/>
          <w:kern w:val="2"/>
          <w:sz w:val="32"/>
          <w:szCs w:val="32"/>
          <w:highlight w:val="none"/>
          <w:lang w:val="zh-CN" w:eastAsia="zh-CN" w:bidi="ar-SA"/>
        </w:rPr>
        <w:t>。</w:t>
      </w:r>
      <w:r>
        <w:rPr>
          <w:rFonts w:ascii="Times New Roman" w:hAnsi="Times New Roman" w:eastAsia="仿宋_GB2312"/>
          <w:b w:val="0"/>
          <w:bCs w:val="0"/>
          <w:i w:val="0"/>
          <w:iCs w:val="0"/>
          <w:caps w:val="0"/>
          <w:smallCaps w:val="0"/>
          <w:vanish w:val="0"/>
          <w:color w:val="000000"/>
          <w:spacing w:val="0"/>
          <w:sz w:val="32"/>
          <w:szCs w:val="32"/>
          <w:shd w:val="clear" w:color="auto" w:fill="FFFFFF"/>
          <w:lang w:val="zh-CN"/>
        </w:rPr>
        <w:t>本部门严格执行政府采购法规及内部控制要求，以“降本增效”为目标，围绕</w:t>
      </w:r>
      <w:r>
        <w:rPr>
          <w:rStyle w:val="22"/>
          <w:rFonts w:eastAsia="仿宋_GB2312"/>
          <w:color w:val="000000"/>
          <w:sz w:val="32"/>
          <w:szCs w:val="32"/>
          <w:shd w:val="clear" w:color="auto" w:fill="FFFFFF"/>
          <w:lang w:val="zh-CN"/>
        </w:rPr>
        <w:t>采购效率、成本节约率、集中采购率</w:t>
      </w:r>
      <w:r>
        <w:rPr>
          <w:rFonts w:ascii="Times New Roman" w:hAnsi="Times New Roman" w:eastAsia="仿宋_GB2312"/>
          <w:b w:val="0"/>
          <w:bCs w:val="0"/>
          <w:i w:val="0"/>
          <w:iCs w:val="0"/>
          <w:caps w:val="0"/>
          <w:smallCaps w:val="0"/>
          <w:vanish w:val="0"/>
          <w:color w:val="000000"/>
          <w:spacing w:val="0"/>
          <w:sz w:val="32"/>
          <w:szCs w:val="32"/>
          <w:shd w:val="clear" w:color="auto" w:fill="FFFFFF"/>
          <w:lang w:val="zh-CN"/>
        </w:rPr>
        <w:t>等核心指标优化采购流程</w:t>
      </w:r>
      <w:r>
        <w:rPr>
          <w:rFonts w:hint="eastAsia" w:eastAsia="仿宋_GB2312"/>
          <w:b w:val="0"/>
          <w:bCs w:val="0"/>
          <w:i w:val="0"/>
          <w:iCs w:val="0"/>
          <w:caps w:val="0"/>
          <w:smallCaps w:val="0"/>
          <w:vanish w:val="0"/>
          <w:color w:val="000000"/>
          <w:spacing w:val="0"/>
          <w:sz w:val="32"/>
          <w:szCs w:val="32"/>
          <w:shd w:val="clear" w:color="auto" w:fill="FFFFFF"/>
          <w:lang w:val="zh-CN"/>
        </w:rPr>
        <w:t>。</w:t>
      </w:r>
    </w:p>
    <w:p w14:paraId="06F4421E">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both"/>
        <w:textAlignment w:val="auto"/>
        <w:outlineLvl w:val="9"/>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（二）部门预算项目绩效分析。</w:t>
      </w:r>
    </w:p>
    <w:p w14:paraId="05E9AB35">
      <w:pPr>
        <w:keepNext w:val="0"/>
        <w:keepLines w:val="0"/>
        <w:pageBreakBefore w:val="0"/>
        <w:widowControl w:val="0"/>
        <w:kinsoku/>
        <w:wordWrap/>
        <w:overflowPunct/>
        <w:topLinePunct w:val="0"/>
        <w:autoSpaceDE/>
        <w:autoSpaceDN/>
        <w:adjustRightInd/>
        <w:snapToGrid/>
        <w:spacing w:line="590" w:lineRule="exact"/>
        <w:ind w:left="0" w:firstLine="640" w:firstLineChars="200"/>
        <w:contextualSpacing/>
        <w:rPr>
          <w:rFonts w:ascii="Times New Roman" w:hAnsi="Times New Roman" w:eastAsia="仿宋_GB2312" w:cs="Times New Roman"/>
          <w:color w:val="000000"/>
          <w:kern w:val="2"/>
          <w:sz w:val="32"/>
          <w:szCs w:val="32"/>
          <w:shd w:val="clear" w:color="auto" w:fill="FFFFFF"/>
          <w:lang w:val="zh-CN" w:eastAsia="zh-CN"/>
        </w:rPr>
      </w:pPr>
      <w:r>
        <w:rPr>
          <w:rFonts w:ascii="Times New Roman" w:hAnsi="Times New Roman" w:eastAsia="仿宋_GB2312" w:cs="Times New Roman"/>
          <w:color w:val="000000"/>
          <w:kern w:val="2"/>
          <w:sz w:val="32"/>
          <w:szCs w:val="32"/>
          <w:shd w:val="clear" w:color="auto" w:fill="FFFFFF"/>
          <w:lang w:val="zh-CN" w:eastAsia="zh-CN"/>
        </w:rPr>
        <w:t>常年项目绩效分析。该类项目总数</w:t>
      </w:r>
      <w:r>
        <w:rPr>
          <w:rFonts w:hint="eastAsia" w:eastAsia="仿宋_GB2312" w:cs="Times New Roman"/>
          <w:color w:val="000000"/>
          <w:kern w:val="2"/>
          <w:sz w:val="32"/>
          <w:szCs w:val="32"/>
          <w:shd w:val="clear" w:color="auto" w:fill="FFFFFF"/>
          <w:lang w:val="en-US" w:eastAsia="zh-CN"/>
        </w:rPr>
        <w:t>1</w:t>
      </w:r>
      <w:r>
        <w:rPr>
          <w:rFonts w:ascii="Times New Roman" w:hAnsi="Times New Roman" w:eastAsia="仿宋_GB2312" w:cs="Times New Roman"/>
          <w:color w:val="000000"/>
          <w:kern w:val="2"/>
          <w:sz w:val="32"/>
          <w:szCs w:val="32"/>
          <w:shd w:val="clear" w:color="auto" w:fill="FFFFFF"/>
          <w:lang w:val="zh-CN" w:eastAsia="zh-CN"/>
        </w:rPr>
        <w:t>个，涉及预算总金额</w:t>
      </w:r>
      <w:r>
        <w:rPr>
          <w:rFonts w:hint="eastAsia" w:eastAsia="仿宋_GB2312" w:cs="Times New Roman"/>
          <w:color w:val="000000"/>
          <w:kern w:val="2"/>
          <w:sz w:val="32"/>
          <w:szCs w:val="32"/>
          <w:highlight w:val="none"/>
          <w:shd w:val="clear" w:color="auto" w:fill="FFFFFF"/>
          <w:lang w:val="en-US" w:eastAsia="zh-CN"/>
        </w:rPr>
        <w:t>122</w:t>
      </w:r>
      <w:r>
        <w:rPr>
          <w:rFonts w:ascii="Times New Roman" w:hAnsi="Times New Roman" w:eastAsia="仿宋_GB2312" w:cs="Times New Roman"/>
          <w:color w:val="000000"/>
          <w:kern w:val="2"/>
          <w:sz w:val="32"/>
          <w:szCs w:val="32"/>
          <w:highlight w:val="none"/>
          <w:shd w:val="clear" w:color="auto" w:fill="FFFFFF"/>
          <w:lang w:val="zh-CN" w:eastAsia="zh-CN"/>
        </w:rPr>
        <w:t>万元，</w:t>
      </w:r>
      <w:r>
        <w:rPr>
          <w:rFonts w:ascii="Times New Roman" w:hAnsi="Times New Roman" w:eastAsia="仿宋_GB2312" w:cs="Times New Roman"/>
          <w:color w:val="000000"/>
          <w:kern w:val="2"/>
          <w:sz w:val="32"/>
          <w:szCs w:val="32"/>
          <w:highlight w:val="none"/>
          <w:shd w:val="clear" w:color="auto" w:fill="FFFFFF"/>
          <w:lang w:val="zh-CN"/>
        </w:rPr>
        <w:t>1</w:t>
      </w:r>
      <w:r>
        <w:rPr>
          <w:rFonts w:hint="eastAsia" w:eastAsia="仿宋_GB2312" w:cs="Times New Roman"/>
          <w:color w:val="000000"/>
          <w:kern w:val="2"/>
          <w:sz w:val="32"/>
          <w:szCs w:val="32"/>
          <w:highlight w:val="none"/>
          <w:shd w:val="clear" w:color="auto" w:fill="FFFFFF"/>
          <w:lang w:val="en-US" w:eastAsia="zh-CN"/>
        </w:rPr>
        <w:t>-</w:t>
      </w:r>
      <w:r>
        <w:rPr>
          <w:rFonts w:ascii="Times New Roman" w:hAnsi="Times New Roman" w:eastAsia="仿宋_GB2312" w:cs="Times New Roman"/>
          <w:color w:val="000000"/>
          <w:kern w:val="2"/>
          <w:sz w:val="32"/>
          <w:szCs w:val="32"/>
          <w:highlight w:val="none"/>
          <w:shd w:val="clear" w:color="auto" w:fill="FFFFFF"/>
          <w:lang w:val="zh-CN"/>
        </w:rPr>
        <w:t>1</w:t>
      </w:r>
      <w:r>
        <w:rPr>
          <w:rFonts w:ascii="Times New Roman" w:hAnsi="Times New Roman" w:eastAsia="仿宋_GB2312" w:cs="Times New Roman"/>
          <w:color w:val="000000"/>
          <w:kern w:val="2"/>
          <w:sz w:val="32"/>
          <w:szCs w:val="32"/>
          <w:highlight w:val="none"/>
          <w:shd w:val="clear" w:color="auto" w:fill="FFFFFF"/>
          <w:lang w:val="zh-CN" w:eastAsia="zh-CN"/>
        </w:rPr>
        <w:t>2</w:t>
      </w:r>
      <w:r>
        <w:rPr>
          <w:rFonts w:ascii="Times New Roman" w:hAnsi="Times New Roman" w:eastAsia="仿宋_GB2312" w:cs="Times New Roman"/>
          <w:color w:val="000000"/>
          <w:kern w:val="2"/>
          <w:sz w:val="32"/>
          <w:szCs w:val="32"/>
          <w:highlight w:val="none"/>
          <w:shd w:val="clear" w:color="auto" w:fill="FFFFFF"/>
          <w:lang w:val="zh-CN"/>
        </w:rPr>
        <w:t>月预算执行总体进度为</w:t>
      </w:r>
      <w:r>
        <w:rPr>
          <w:rFonts w:hint="eastAsia" w:eastAsia="仿宋_GB2312" w:cs="Times New Roman"/>
          <w:color w:val="000000"/>
          <w:kern w:val="2"/>
          <w:sz w:val="32"/>
          <w:szCs w:val="32"/>
          <w:highlight w:val="none"/>
          <w:shd w:val="clear" w:color="auto" w:fill="FFFFFF"/>
          <w:lang w:val="en-US" w:eastAsia="zh-CN"/>
        </w:rPr>
        <w:t>100</w:t>
      </w:r>
      <w:r>
        <w:rPr>
          <w:rFonts w:ascii="Times New Roman" w:hAnsi="Times New Roman" w:eastAsia="仿宋_GB2312" w:cs="Times New Roman"/>
          <w:color w:val="000000"/>
          <w:kern w:val="2"/>
          <w:sz w:val="32"/>
          <w:szCs w:val="32"/>
          <w:highlight w:val="none"/>
          <w:shd w:val="clear" w:color="auto" w:fill="FFFFFF"/>
          <w:lang w:val="zh-CN"/>
        </w:rPr>
        <w:t>%</w:t>
      </w:r>
      <w:r>
        <w:rPr>
          <w:rFonts w:ascii="Times New Roman" w:hAnsi="Times New Roman" w:eastAsia="仿宋_GB2312" w:cs="Times New Roman"/>
          <w:color w:val="000000"/>
          <w:kern w:val="2"/>
          <w:sz w:val="32"/>
          <w:szCs w:val="32"/>
          <w:shd w:val="clear" w:color="auto" w:fill="FFFFFF"/>
          <w:lang w:val="zh-CN"/>
        </w:rPr>
        <w:t>，其中：</w:t>
      </w:r>
      <w:r>
        <w:rPr>
          <w:rFonts w:ascii="Times New Roman" w:hAnsi="Times New Roman" w:eastAsia="仿宋_GB2312" w:cs="Times New Roman"/>
          <w:color w:val="000000"/>
          <w:kern w:val="2"/>
          <w:sz w:val="32"/>
          <w:szCs w:val="32"/>
          <w:shd w:val="clear" w:color="auto" w:fill="FFFFFF"/>
          <w:lang w:val="zh-CN" w:eastAsia="zh-CN"/>
        </w:rPr>
        <w:t>预算结余率大于10%的项目共计</w:t>
      </w:r>
      <w:r>
        <w:rPr>
          <w:rFonts w:hint="eastAsia" w:eastAsia="仿宋_GB2312" w:cs="Times New Roman"/>
          <w:color w:val="000000"/>
          <w:kern w:val="2"/>
          <w:sz w:val="32"/>
          <w:szCs w:val="32"/>
          <w:shd w:val="clear" w:color="auto" w:fill="FFFFFF"/>
          <w:lang w:val="en-US" w:eastAsia="zh-CN"/>
        </w:rPr>
        <w:t>0</w:t>
      </w:r>
      <w:r>
        <w:rPr>
          <w:rFonts w:ascii="Times New Roman" w:hAnsi="Times New Roman" w:eastAsia="仿宋_GB2312" w:cs="Times New Roman"/>
          <w:color w:val="000000"/>
          <w:kern w:val="2"/>
          <w:sz w:val="32"/>
          <w:szCs w:val="32"/>
          <w:shd w:val="clear" w:color="auto" w:fill="FFFFFF"/>
          <w:lang w:val="zh-CN" w:eastAsia="zh-CN"/>
        </w:rPr>
        <w:t>个。</w:t>
      </w:r>
    </w:p>
    <w:p w14:paraId="67FDA95C">
      <w:pPr>
        <w:keepNext w:val="0"/>
        <w:keepLines w:val="0"/>
        <w:pageBreakBefore w:val="0"/>
        <w:widowControl w:val="0"/>
        <w:kinsoku/>
        <w:wordWrap/>
        <w:overflowPunct/>
        <w:topLinePunct w:val="0"/>
        <w:autoSpaceDE/>
        <w:autoSpaceDN/>
        <w:adjustRightInd/>
        <w:snapToGrid/>
        <w:spacing w:line="590" w:lineRule="exact"/>
        <w:ind w:left="0" w:firstLine="640" w:firstLineChars="200"/>
        <w:contextualSpacing/>
        <w:rPr>
          <w:rFonts w:ascii="Times New Roman" w:hAnsi="Times New Roman" w:eastAsia="仿宋_GB2312" w:cs="Times New Roman"/>
          <w:color w:val="000000"/>
          <w:kern w:val="2"/>
          <w:sz w:val="32"/>
          <w:szCs w:val="32"/>
          <w:shd w:val="clear" w:color="auto" w:fill="FFFFFF"/>
          <w:lang w:val="zh-CN" w:eastAsia="zh-CN"/>
        </w:rPr>
      </w:pPr>
      <w:r>
        <w:rPr>
          <w:rFonts w:ascii="Times New Roman" w:hAnsi="Times New Roman" w:eastAsia="仿宋_GB2312" w:cs="Times New Roman"/>
          <w:color w:val="000000"/>
          <w:kern w:val="2"/>
          <w:sz w:val="32"/>
          <w:szCs w:val="32"/>
          <w:shd w:val="clear" w:color="auto" w:fill="FFFFFF"/>
          <w:lang w:val="zh-CN" w:eastAsia="zh-CN"/>
        </w:rPr>
        <w:t>阶段（一次性）项目绩效分析。该类项目总数</w:t>
      </w:r>
      <w:r>
        <w:rPr>
          <w:rFonts w:hint="eastAsia" w:eastAsia="仿宋_GB2312" w:cs="Times New Roman"/>
          <w:color w:val="000000"/>
          <w:kern w:val="2"/>
          <w:sz w:val="32"/>
          <w:szCs w:val="32"/>
          <w:shd w:val="clear" w:color="auto" w:fill="FFFFFF"/>
          <w:lang w:val="en-US" w:eastAsia="zh-CN"/>
        </w:rPr>
        <w:t>0</w:t>
      </w:r>
      <w:r>
        <w:rPr>
          <w:rFonts w:ascii="Times New Roman" w:hAnsi="Times New Roman" w:eastAsia="仿宋_GB2312" w:cs="Times New Roman"/>
          <w:color w:val="000000"/>
          <w:kern w:val="2"/>
          <w:sz w:val="32"/>
          <w:szCs w:val="32"/>
          <w:shd w:val="clear" w:color="auto" w:fill="FFFFFF"/>
          <w:lang w:val="zh-CN" w:eastAsia="zh-CN"/>
        </w:rPr>
        <w:t>个，涉及预算总金额</w:t>
      </w:r>
      <w:r>
        <w:rPr>
          <w:rFonts w:hint="eastAsia" w:eastAsia="仿宋_GB2312" w:cs="Times New Roman"/>
          <w:color w:val="000000"/>
          <w:kern w:val="2"/>
          <w:sz w:val="32"/>
          <w:szCs w:val="32"/>
          <w:shd w:val="clear" w:color="auto" w:fill="FFFFFF"/>
          <w:lang w:val="en-US" w:eastAsia="zh-CN"/>
        </w:rPr>
        <w:t>0</w:t>
      </w:r>
      <w:r>
        <w:rPr>
          <w:rFonts w:ascii="Times New Roman" w:hAnsi="Times New Roman" w:eastAsia="仿宋_GB2312" w:cs="Times New Roman"/>
          <w:color w:val="000000"/>
          <w:kern w:val="2"/>
          <w:sz w:val="32"/>
          <w:szCs w:val="32"/>
          <w:shd w:val="clear" w:color="auto" w:fill="FFFFFF"/>
          <w:lang w:val="zh-CN" w:eastAsia="zh-CN"/>
        </w:rPr>
        <w:t>万元，</w:t>
      </w:r>
      <w:r>
        <w:rPr>
          <w:rFonts w:ascii="Times New Roman" w:hAnsi="Times New Roman" w:eastAsia="仿宋_GB2312" w:cs="Times New Roman"/>
          <w:color w:val="000000"/>
          <w:kern w:val="2"/>
          <w:sz w:val="32"/>
          <w:szCs w:val="32"/>
          <w:shd w:val="clear" w:color="auto" w:fill="FFFFFF"/>
          <w:lang w:val="zh-CN"/>
        </w:rPr>
        <w:t>1</w:t>
      </w:r>
      <w:r>
        <w:rPr>
          <w:rFonts w:hint="eastAsia" w:eastAsia="仿宋_GB2312" w:cs="Times New Roman"/>
          <w:color w:val="000000"/>
          <w:kern w:val="2"/>
          <w:sz w:val="32"/>
          <w:szCs w:val="32"/>
          <w:shd w:val="clear" w:color="auto" w:fill="FFFFFF"/>
          <w:lang w:val="en-US" w:eastAsia="zh-CN"/>
        </w:rPr>
        <w:t>-</w:t>
      </w:r>
      <w:r>
        <w:rPr>
          <w:rFonts w:ascii="Times New Roman" w:hAnsi="Times New Roman" w:eastAsia="仿宋_GB2312" w:cs="Times New Roman"/>
          <w:color w:val="000000"/>
          <w:kern w:val="2"/>
          <w:sz w:val="32"/>
          <w:szCs w:val="32"/>
          <w:shd w:val="clear" w:color="auto" w:fill="FFFFFF"/>
          <w:lang w:val="zh-CN"/>
        </w:rPr>
        <w:t>1</w:t>
      </w:r>
      <w:r>
        <w:rPr>
          <w:rFonts w:ascii="Times New Roman" w:hAnsi="Times New Roman" w:eastAsia="仿宋_GB2312" w:cs="Times New Roman"/>
          <w:color w:val="000000"/>
          <w:kern w:val="2"/>
          <w:sz w:val="32"/>
          <w:szCs w:val="32"/>
          <w:shd w:val="clear" w:color="auto" w:fill="FFFFFF"/>
          <w:lang w:val="zh-CN" w:eastAsia="zh-CN"/>
        </w:rPr>
        <w:t>2</w:t>
      </w:r>
      <w:r>
        <w:rPr>
          <w:rFonts w:ascii="Times New Roman" w:hAnsi="Times New Roman" w:eastAsia="仿宋_GB2312" w:cs="Times New Roman"/>
          <w:color w:val="000000"/>
          <w:kern w:val="2"/>
          <w:sz w:val="32"/>
          <w:szCs w:val="32"/>
          <w:shd w:val="clear" w:color="auto" w:fill="FFFFFF"/>
          <w:lang w:val="zh-CN"/>
        </w:rPr>
        <w:t>月预算执行总体进度为</w:t>
      </w:r>
      <w:r>
        <w:rPr>
          <w:rFonts w:hint="eastAsia" w:eastAsia="仿宋_GB2312" w:cs="Times New Roman"/>
          <w:color w:val="000000"/>
          <w:kern w:val="2"/>
          <w:sz w:val="32"/>
          <w:szCs w:val="32"/>
          <w:shd w:val="clear" w:color="auto" w:fill="FFFFFF"/>
          <w:lang w:val="en-US" w:eastAsia="zh-CN"/>
        </w:rPr>
        <w:t>0</w:t>
      </w:r>
      <w:r>
        <w:rPr>
          <w:rFonts w:ascii="Times New Roman" w:hAnsi="Times New Roman" w:eastAsia="仿宋_GB2312" w:cs="Times New Roman"/>
          <w:color w:val="000000"/>
          <w:kern w:val="2"/>
          <w:sz w:val="32"/>
          <w:szCs w:val="32"/>
          <w:shd w:val="clear" w:color="auto" w:fill="FFFFFF"/>
          <w:lang w:val="zh-CN"/>
        </w:rPr>
        <w:t>%，其中：</w:t>
      </w:r>
      <w:r>
        <w:rPr>
          <w:rFonts w:ascii="Times New Roman" w:hAnsi="Times New Roman" w:eastAsia="仿宋_GB2312" w:cs="Times New Roman"/>
          <w:color w:val="000000"/>
          <w:kern w:val="2"/>
          <w:sz w:val="32"/>
          <w:szCs w:val="32"/>
          <w:shd w:val="clear" w:color="auto" w:fill="FFFFFF"/>
          <w:lang w:val="zh-CN" w:eastAsia="zh-CN"/>
        </w:rPr>
        <w:t>预算结余率大于10%的项目共计</w:t>
      </w:r>
      <w:r>
        <w:rPr>
          <w:rFonts w:hint="eastAsia" w:eastAsia="仿宋_GB2312" w:cs="Times New Roman"/>
          <w:color w:val="000000"/>
          <w:kern w:val="2"/>
          <w:sz w:val="32"/>
          <w:szCs w:val="32"/>
          <w:shd w:val="clear" w:color="auto" w:fill="FFFFFF"/>
          <w:lang w:val="en-US" w:eastAsia="zh-CN"/>
        </w:rPr>
        <w:t>0</w:t>
      </w:r>
      <w:r>
        <w:rPr>
          <w:rFonts w:ascii="Times New Roman" w:hAnsi="Times New Roman" w:eastAsia="仿宋_GB2312" w:cs="Times New Roman"/>
          <w:color w:val="000000"/>
          <w:kern w:val="2"/>
          <w:sz w:val="32"/>
          <w:szCs w:val="32"/>
          <w:shd w:val="clear" w:color="auto" w:fill="FFFFFF"/>
          <w:lang w:val="zh-CN" w:eastAsia="zh-CN"/>
        </w:rPr>
        <w:t>个。</w:t>
      </w:r>
    </w:p>
    <w:p w14:paraId="7BDF29F2">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zh-CN" w:eastAsia="zh-CN" w:bidi="ar-SA"/>
        </w:rPr>
        <w:t>项目决策。</w:t>
      </w:r>
      <w:r>
        <w:rPr>
          <w:rFonts w:ascii="Times New Roman" w:hAnsi="Times New Roman" w:eastAsia="仿宋_GB2312" w:cs="Times New Roman"/>
          <w:color w:val="000000"/>
          <w:kern w:val="2"/>
          <w:sz w:val="32"/>
          <w:szCs w:val="32"/>
          <w:shd w:val="clear" w:color="auto" w:fill="FFFFFF"/>
          <w:lang w:val="zh-CN"/>
        </w:rPr>
        <w:t>严格落实</w:t>
      </w:r>
      <w:r>
        <w:rPr>
          <w:rFonts w:hint="eastAsia" w:hAnsi="Times New Roman" w:eastAsia="仿宋_GB2312"/>
          <w:color w:val="000000"/>
          <w:sz w:val="32"/>
          <w:szCs w:val="32"/>
          <w:shd w:val="clear" w:color="auto" w:fill="FFFFFF"/>
          <w:lang w:val="zh-CN"/>
        </w:rPr>
        <w:t>“</w:t>
      </w:r>
      <w:r>
        <w:rPr>
          <w:rFonts w:ascii="Times New Roman" w:hAnsi="Times New Roman" w:eastAsia="仿宋_GB2312" w:cs="Times New Roman"/>
          <w:color w:val="000000"/>
          <w:kern w:val="2"/>
          <w:sz w:val="32"/>
          <w:szCs w:val="32"/>
          <w:shd w:val="clear" w:color="auto" w:fill="FFFFFF"/>
          <w:lang w:val="zh-CN"/>
        </w:rPr>
        <w:t>三重一大</w:t>
      </w:r>
      <w:r>
        <w:rPr>
          <w:rFonts w:hint="eastAsia" w:hAnsi="Times New Roman" w:eastAsia="仿宋_GB2312"/>
          <w:color w:val="000000"/>
          <w:sz w:val="32"/>
          <w:szCs w:val="32"/>
          <w:shd w:val="clear" w:color="auto" w:fill="FFFFFF"/>
          <w:lang w:val="zh-CN"/>
        </w:rPr>
        <w:t>”</w:t>
      </w:r>
      <w:r>
        <w:rPr>
          <w:rStyle w:val="22"/>
          <w:rFonts w:eastAsia="仿宋_GB2312"/>
          <w:color w:val="000000"/>
          <w:sz w:val="32"/>
          <w:szCs w:val="32"/>
          <w:shd w:val="clear" w:color="auto" w:fill="FFFFFF"/>
          <w:lang w:val="zh-CN"/>
        </w:rPr>
        <w:t>集体决策</w:t>
      </w:r>
      <w:r>
        <w:rPr>
          <w:rFonts w:ascii="Times New Roman" w:hAnsi="Times New Roman" w:eastAsia="仿宋_GB2312" w:cs="Times New Roman"/>
          <w:color w:val="000000"/>
          <w:kern w:val="2"/>
          <w:sz w:val="32"/>
          <w:szCs w:val="32"/>
          <w:shd w:val="clear" w:color="auto" w:fill="FFFFFF"/>
          <w:lang w:val="zh-CN"/>
        </w:rPr>
        <w:t>制度</w:t>
      </w:r>
      <w:r>
        <w:rPr>
          <w:rStyle w:val="22"/>
          <w:rFonts w:eastAsia="仿宋_GB2312"/>
          <w:color w:val="000000"/>
          <w:sz w:val="32"/>
          <w:szCs w:val="32"/>
          <w:shd w:val="clear" w:color="auto" w:fill="FFFFFF"/>
          <w:lang w:val="zh-CN"/>
        </w:rPr>
        <w:t>，</w:t>
      </w:r>
      <w:r>
        <w:rPr>
          <w:rFonts w:ascii="Times New Roman" w:hAnsi="Times New Roman" w:eastAsia="仿宋_GB2312"/>
          <w:b w:val="0"/>
          <w:bCs w:val="0"/>
          <w:i w:val="0"/>
          <w:iCs w:val="0"/>
          <w:caps w:val="0"/>
          <w:smallCaps w:val="0"/>
          <w:vanish w:val="0"/>
          <w:color w:val="000000"/>
          <w:spacing w:val="0"/>
          <w:sz w:val="32"/>
          <w:szCs w:val="32"/>
          <w:shd w:val="clear" w:color="auto" w:fill="FFFFFF"/>
          <w:lang w:val="zh-CN"/>
        </w:rPr>
        <w:t>大</w:t>
      </w:r>
      <w:r>
        <w:rPr>
          <w:rFonts w:eastAsia="仿宋_GB2312"/>
          <w:color w:val="000000"/>
          <w:sz w:val="32"/>
          <w:szCs w:val="32"/>
          <w:shd w:val="clear" w:color="auto" w:fill="FFFFFF"/>
          <w:lang w:val="zh-CN"/>
        </w:rPr>
        <w:t>额资金使用事先</w:t>
      </w:r>
      <w:r>
        <w:rPr>
          <w:rFonts w:ascii="Times New Roman" w:hAnsi="Times New Roman" w:eastAsia="仿宋_GB2312"/>
          <w:b w:val="0"/>
          <w:bCs w:val="0"/>
          <w:i w:val="0"/>
          <w:iCs w:val="0"/>
          <w:caps w:val="0"/>
          <w:smallCaps w:val="0"/>
          <w:vanish w:val="0"/>
          <w:color w:val="000000"/>
          <w:spacing w:val="0"/>
          <w:sz w:val="32"/>
          <w:szCs w:val="32"/>
          <w:shd w:val="clear" w:color="auto" w:fill="FFFFFF"/>
          <w:lang w:val="zh-CN"/>
        </w:rPr>
        <w:t>提交</w:t>
      </w:r>
      <w:r>
        <w:rPr>
          <w:rFonts w:hint="eastAsia" w:eastAsia="仿宋_GB2312"/>
          <w:b w:val="0"/>
          <w:bCs w:val="0"/>
          <w:i w:val="0"/>
          <w:iCs w:val="0"/>
          <w:caps w:val="0"/>
          <w:smallCaps w:val="0"/>
          <w:vanish w:val="0"/>
          <w:color w:val="000000"/>
          <w:spacing w:val="0"/>
          <w:sz w:val="32"/>
          <w:szCs w:val="32"/>
          <w:shd w:val="clear" w:color="auto" w:fill="FFFFFF"/>
          <w:lang w:val="en-US" w:eastAsia="zh-CN"/>
        </w:rPr>
        <w:t>室务会</w:t>
      </w:r>
      <w:r>
        <w:rPr>
          <w:rFonts w:ascii="Times New Roman" w:hAnsi="Times New Roman" w:eastAsia="仿宋_GB2312"/>
          <w:b w:val="0"/>
          <w:bCs w:val="0"/>
          <w:i w:val="0"/>
          <w:iCs w:val="0"/>
          <w:caps w:val="0"/>
          <w:smallCaps w:val="0"/>
          <w:vanish w:val="0"/>
          <w:color w:val="000000"/>
          <w:spacing w:val="0"/>
          <w:sz w:val="32"/>
          <w:szCs w:val="32"/>
          <w:shd w:val="clear" w:color="auto" w:fill="FFFFFF"/>
          <w:lang w:val="zh-CN"/>
        </w:rPr>
        <w:t>审议比例达</w:t>
      </w:r>
      <w:r>
        <w:rPr>
          <w:rStyle w:val="22"/>
          <w:rFonts w:eastAsia="仿宋_GB2312"/>
          <w:color w:val="000000"/>
          <w:sz w:val="32"/>
          <w:szCs w:val="32"/>
          <w:shd w:val="clear" w:color="auto" w:fill="FFFFFF"/>
          <w:lang w:val="zh-CN"/>
        </w:rPr>
        <w:t>100%</w:t>
      </w:r>
      <w:r>
        <w:rPr>
          <w:rFonts w:ascii="Times New Roman" w:hAnsi="Times New Roman" w:eastAsia="仿宋_GB2312"/>
          <w:b w:val="0"/>
          <w:bCs w:val="0"/>
          <w:i w:val="0"/>
          <w:iCs w:val="0"/>
          <w:caps w:val="0"/>
          <w:smallCaps w:val="0"/>
          <w:vanish w:val="0"/>
          <w:color w:val="000000"/>
          <w:spacing w:val="0"/>
          <w:sz w:val="32"/>
          <w:szCs w:val="32"/>
          <w:shd w:val="clear" w:color="auto" w:fill="FFFFFF"/>
          <w:lang w:val="zh-CN"/>
        </w:rPr>
        <w:t>，会议纪要完整率</w:t>
      </w:r>
      <w:r>
        <w:rPr>
          <w:rFonts w:eastAsia="仿宋_GB2312"/>
          <w:color w:val="000000"/>
          <w:sz w:val="32"/>
          <w:szCs w:val="32"/>
          <w:shd w:val="clear" w:color="auto" w:fill="FFFFFF"/>
          <w:lang w:val="zh-CN"/>
        </w:rPr>
        <w:t>100</w:t>
      </w:r>
      <w:r>
        <w:rPr>
          <w:rStyle w:val="22"/>
          <w:rFonts w:eastAsia="仿宋_GB2312"/>
          <w:color w:val="000000"/>
          <w:sz w:val="32"/>
          <w:szCs w:val="32"/>
          <w:shd w:val="clear" w:color="auto" w:fill="FFFFFF"/>
          <w:lang w:val="zh-CN"/>
        </w:rPr>
        <w:t>%</w:t>
      </w:r>
      <w:r>
        <w:rPr>
          <w:rFonts w:eastAsia="仿宋_GB2312"/>
          <w:color w:val="000000"/>
          <w:sz w:val="32"/>
          <w:szCs w:val="32"/>
          <w:shd w:val="clear" w:color="auto" w:fill="FFFFFF"/>
          <w:lang w:val="zh-CN"/>
        </w:rPr>
        <w:t>。严格按照有关规定要求操作入库项目</w:t>
      </w:r>
      <w:r>
        <w:rPr>
          <w:rFonts w:hint="eastAsia" w:eastAsia="仿宋_GB2312"/>
          <w:color w:val="000000"/>
          <w:sz w:val="32"/>
          <w:szCs w:val="32"/>
          <w:shd w:val="clear" w:color="auto" w:fill="FFFFFF"/>
          <w:lang w:val="en-US" w:eastAsia="zh-CN"/>
        </w:rPr>
        <w:t>1</w:t>
      </w:r>
      <w:r>
        <w:rPr>
          <w:rFonts w:eastAsia="仿宋_GB2312"/>
          <w:color w:val="000000"/>
          <w:sz w:val="32"/>
          <w:szCs w:val="32"/>
          <w:shd w:val="clear" w:color="auto" w:fill="FFFFFF"/>
          <w:lang w:val="zh-CN"/>
        </w:rPr>
        <w:t>个，且</w:t>
      </w:r>
      <w:r>
        <w:rPr>
          <w:rFonts w:hint="eastAsia" w:ascii="仿宋_GB2312" w:hAnsi="仿宋_GB2312" w:eastAsia="仿宋_GB2312" w:cs="仿宋_GB2312"/>
          <w:color w:val="000000"/>
          <w:kern w:val="0"/>
          <w:sz w:val="32"/>
          <w:szCs w:val="32"/>
          <w:shd w:val="clear" w:color="auto" w:fill="FFFFFF"/>
          <w:lang w:val="zh-CN"/>
        </w:rPr>
        <w:t>项目与部门职能高度相关</w:t>
      </w:r>
      <w:r>
        <w:rPr>
          <w:rFonts w:ascii="仿宋_GB2312" w:hAnsi="仿宋_GB2312" w:eastAsia="仿宋_GB2312" w:cs="仿宋_GB2312"/>
          <w:color w:val="000000"/>
          <w:kern w:val="0"/>
          <w:sz w:val="32"/>
          <w:szCs w:val="32"/>
          <w:shd w:val="clear" w:color="auto" w:fill="FFFFFF"/>
          <w:lang w:val="zh-CN"/>
        </w:rPr>
        <w:t>，</w:t>
      </w:r>
      <w:r>
        <w:rPr>
          <w:rFonts w:hint="eastAsia" w:ascii="仿宋_GB2312" w:hAnsi="仿宋_GB2312" w:eastAsia="仿宋_GB2312" w:cs="仿宋_GB2312"/>
          <w:color w:val="000000"/>
          <w:kern w:val="0"/>
          <w:sz w:val="32"/>
          <w:szCs w:val="32"/>
          <w:shd w:val="clear" w:color="auto" w:fill="FFFFFF"/>
          <w:lang w:val="zh-CN"/>
        </w:rPr>
        <w:t>量化指标明确。维度较全面：涵盖产出（数量、质量）、效益（社会影响）、满意度（服务对象反馈）、成本（人均/单次成本控制），形成完整目标体系。</w:t>
      </w:r>
    </w:p>
    <w:p w14:paraId="5326F0D3">
      <w:pPr>
        <w:keepNext w:val="0"/>
        <w:keepLines w:val="0"/>
        <w:pageBreakBefore w:val="0"/>
        <w:widowControl w:val="0"/>
        <w:kinsoku/>
        <w:wordWrap/>
        <w:overflowPunct/>
        <w:topLinePunct w:val="0"/>
        <w:autoSpaceDE/>
        <w:autoSpaceDN/>
        <w:adjustRightInd/>
        <w:snapToGrid/>
        <w:spacing w:line="560" w:lineRule="exact"/>
        <w:ind w:left="0" w:firstLine="640" w:firstLineChars="200"/>
        <w:contextualSpacing/>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2.项目执行</w:t>
      </w:r>
      <w:r>
        <w:rPr>
          <w:rFonts w:hint="eastAsia" w:ascii="Times New Roman" w:hAnsi="Times New Roman" w:eastAsia="仿宋_GB2312" w:cs="仿宋_GB2312"/>
          <w:color w:val="auto"/>
          <w:kern w:val="2"/>
          <w:sz w:val="32"/>
          <w:szCs w:val="32"/>
          <w:highlight w:val="none"/>
          <w:lang w:val="zh-CN" w:eastAsia="zh-CN" w:bidi="ar-SA"/>
        </w:rPr>
        <w:t>。</w:t>
      </w:r>
      <w:r>
        <w:rPr>
          <w:rFonts w:hint="eastAsia" w:ascii="仿宋_GB2312" w:hAnsi="仿宋_GB2312" w:eastAsia="仿宋_GB2312" w:cs="仿宋_GB2312"/>
          <w:color w:val="000000"/>
          <w:kern w:val="0"/>
          <w:sz w:val="32"/>
          <w:szCs w:val="32"/>
          <w:shd w:val="clear" w:color="auto" w:fill="FFFFFF"/>
          <w:lang w:val="en-US" w:eastAsia="zh-CN"/>
        </w:rPr>
        <w:t>项目资金用途与目标高度匹配：“工资性支出”“单位缴费”等严格用于人员薪酬和社保缴纳，未超范围使用。项目调整次数少，预算约束有力。</w:t>
      </w:r>
    </w:p>
    <w:p w14:paraId="1E91F2B6">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zh-CN" w:eastAsia="zh-CN" w:bidi="ar-SA"/>
        </w:rPr>
        <w:t>目标实现。</w:t>
      </w:r>
      <w:r>
        <w:rPr>
          <w:rFonts w:ascii="Times New Roman" w:hAnsi="Times New Roman" w:eastAsia="仿宋_GB2312" w:cs="Times New Roman"/>
          <w:color w:val="000000"/>
          <w:kern w:val="2"/>
          <w:sz w:val="32"/>
          <w:szCs w:val="32"/>
          <w:shd w:val="clear" w:color="auto" w:fill="FFFFFF"/>
          <w:lang w:val="zh-CN"/>
        </w:rPr>
        <w:t>部门</w:t>
      </w:r>
      <w:r>
        <w:rPr>
          <w:rStyle w:val="22"/>
          <w:rFonts w:eastAsia="仿宋_GB2312"/>
          <w:color w:val="000000"/>
          <w:sz w:val="32"/>
          <w:szCs w:val="32"/>
          <w:shd w:val="clear" w:color="auto" w:fill="FFFFFF"/>
          <w:lang w:val="zh-CN"/>
        </w:rPr>
        <w:t>核心指标</w:t>
      </w:r>
      <w:r>
        <w:rPr>
          <w:rFonts w:eastAsia="仿宋_GB2312"/>
          <w:color w:val="000000"/>
          <w:sz w:val="32"/>
          <w:szCs w:val="32"/>
          <w:shd w:val="clear" w:color="auto" w:fill="FFFFFF"/>
          <w:lang w:val="zh-CN"/>
        </w:rPr>
        <w:t>中</w:t>
      </w:r>
      <w:r>
        <w:rPr>
          <w:rFonts w:hint="eastAsia" w:eastAsia="仿宋_GB2312"/>
          <w:b w:val="0"/>
          <w:bCs w:val="0"/>
          <w:i w:val="0"/>
          <w:iCs w:val="0"/>
          <w:caps w:val="0"/>
          <w:smallCaps w:val="0"/>
          <w:vanish w:val="0"/>
          <w:color w:val="000000"/>
          <w:spacing w:val="0"/>
          <w:sz w:val="32"/>
          <w:szCs w:val="32"/>
          <w:shd w:val="clear" w:color="auto" w:fill="FFFFFF"/>
          <w:lang w:val="en-US" w:eastAsia="zh-CN"/>
        </w:rPr>
        <w:t>1</w:t>
      </w:r>
      <w:r>
        <w:rPr>
          <w:rFonts w:ascii="Times New Roman" w:hAnsi="Times New Roman" w:eastAsia="仿宋_GB2312"/>
          <w:b w:val="0"/>
          <w:bCs w:val="0"/>
          <w:i w:val="0"/>
          <w:iCs w:val="0"/>
          <w:caps w:val="0"/>
          <w:smallCaps w:val="0"/>
          <w:vanish w:val="0"/>
          <w:color w:val="000000"/>
          <w:spacing w:val="0"/>
          <w:sz w:val="32"/>
          <w:szCs w:val="32"/>
          <w:shd w:val="clear" w:color="auto" w:fill="FFFFFF"/>
          <w:lang w:val="zh-CN"/>
        </w:rPr>
        <w:t>个项目全面完成绩效目标，占比</w:t>
      </w:r>
      <w:r>
        <w:rPr>
          <w:rStyle w:val="22"/>
          <w:rFonts w:hint="eastAsia" w:eastAsia="仿宋_GB2312"/>
          <w:color w:val="000000"/>
          <w:sz w:val="32"/>
          <w:szCs w:val="32"/>
          <w:shd w:val="clear" w:color="auto" w:fill="FFFFFF"/>
          <w:lang w:val="en-US" w:eastAsia="zh-CN"/>
        </w:rPr>
        <w:t>100</w:t>
      </w:r>
      <w:r>
        <w:rPr>
          <w:rStyle w:val="22"/>
          <w:rFonts w:eastAsia="仿宋_GB2312"/>
          <w:color w:val="000000"/>
          <w:sz w:val="32"/>
          <w:szCs w:val="32"/>
          <w:shd w:val="clear" w:color="auto" w:fill="FFFFFF"/>
          <w:lang w:val="zh-CN"/>
        </w:rPr>
        <w:t>%</w:t>
      </w:r>
      <w:r>
        <w:rPr>
          <w:rFonts w:eastAsia="仿宋_GB2312"/>
          <w:color w:val="000000"/>
          <w:sz w:val="32"/>
          <w:szCs w:val="32"/>
          <w:shd w:val="clear" w:color="auto" w:fill="FFFFFF"/>
          <w:lang w:val="zh-CN"/>
        </w:rPr>
        <w:t>。全年完成</w:t>
      </w:r>
      <w:r>
        <w:rPr>
          <w:rFonts w:hint="eastAsia" w:eastAsia="仿宋_GB2312"/>
          <w:color w:val="000000"/>
          <w:sz w:val="32"/>
          <w:szCs w:val="32"/>
          <w:shd w:val="clear" w:color="auto" w:fill="FFFFFF"/>
          <w:lang w:val="zh-CN"/>
        </w:rPr>
        <w:t>“</w:t>
      </w:r>
      <w:r>
        <w:rPr>
          <w:rFonts w:hint="eastAsia" w:eastAsia="仿宋_GB2312"/>
          <w:color w:val="000000"/>
          <w:sz w:val="32"/>
          <w:szCs w:val="32"/>
          <w:shd w:val="clear" w:color="auto" w:fill="FFFFFF"/>
          <w:lang w:val="en-US" w:eastAsia="zh-CN"/>
        </w:rPr>
        <w:t>巡察目标</w:t>
      </w:r>
      <w:r>
        <w:rPr>
          <w:rFonts w:hint="eastAsia" w:eastAsia="仿宋_GB2312"/>
          <w:color w:val="000000"/>
          <w:sz w:val="32"/>
          <w:szCs w:val="32"/>
          <w:shd w:val="clear" w:color="auto" w:fill="FFFFFF"/>
          <w:lang w:val="zh-CN"/>
        </w:rPr>
        <w:t>”</w:t>
      </w:r>
      <w:r>
        <w:rPr>
          <w:rFonts w:eastAsia="仿宋_GB2312"/>
          <w:color w:val="000000"/>
          <w:sz w:val="32"/>
          <w:szCs w:val="32"/>
          <w:shd w:val="clear" w:color="auto" w:fill="FFFFFF"/>
          <w:lang w:val="zh-CN"/>
        </w:rPr>
        <w:t>项目</w:t>
      </w:r>
      <w:r>
        <w:rPr>
          <w:rFonts w:hint="eastAsia" w:eastAsia="仿宋_GB2312"/>
          <w:color w:val="000000"/>
          <w:sz w:val="32"/>
          <w:szCs w:val="32"/>
          <w:shd w:val="clear" w:color="auto" w:fill="FFFFFF"/>
          <w:lang w:val="en-US" w:eastAsia="zh-CN"/>
        </w:rPr>
        <w:t>2轮</w:t>
      </w:r>
      <w:r>
        <w:rPr>
          <w:rFonts w:eastAsia="仿宋_GB2312"/>
          <w:color w:val="000000"/>
          <w:sz w:val="32"/>
          <w:szCs w:val="32"/>
          <w:shd w:val="clear" w:color="auto" w:fill="FFFFFF"/>
          <w:lang w:val="zh-CN"/>
        </w:rPr>
        <w:t>，</w:t>
      </w:r>
      <w:r>
        <w:rPr>
          <w:rFonts w:hint="eastAsia" w:eastAsia="仿宋_GB2312"/>
          <w:color w:val="000000"/>
          <w:sz w:val="32"/>
          <w:szCs w:val="32"/>
          <w:shd w:val="clear" w:color="auto" w:fill="FFFFFF"/>
          <w:lang w:val="en-US" w:eastAsia="zh-CN"/>
        </w:rPr>
        <w:t>完成巡察对象154个，</w:t>
      </w:r>
      <w:r>
        <w:rPr>
          <w:rFonts w:hint="default" w:ascii="Times New Roman" w:hAnsi="Times New Roman" w:eastAsia="仿宋_GB2312" w:cs="Times New Roman"/>
          <w:color w:val="auto"/>
          <w:sz w:val="32"/>
          <w:szCs w:val="32"/>
          <w:lang w:val="en-US" w:eastAsia="zh-CN"/>
        </w:rPr>
        <w:t>全覆盖</w:t>
      </w:r>
      <w:r>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t>任务</w:t>
      </w:r>
      <w:r>
        <w:rPr>
          <w:rFonts w:hint="eastAsia" w:ascii="Times New Roman" w:hAnsi="Times New Roman" w:eastAsia="仿宋_GB2312" w:cs="Times New Roman"/>
          <w:b w:val="0"/>
          <w:i w:val="0"/>
          <w:caps w:val="0"/>
          <w:color w:val="auto"/>
          <w:spacing w:val="0"/>
          <w:w w:val="100"/>
          <w:kern w:val="2"/>
          <w:sz w:val="32"/>
          <w:szCs w:val="32"/>
          <w:highlight w:val="none"/>
          <w:lang w:val="en-US" w:eastAsia="zh-CN" w:bidi="ar-SA"/>
        </w:rPr>
        <w:t>进</w:t>
      </w:r>
      <w:r>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t>度为76.6%</w:t>
      </w:r>
      <w:r>
        <w:rPr>
          <w:rFonts w:hint="eastAsia" w:ascii="Times New Roman" w:hAnsi="Times New Roman" w:eastAsia="仿宋_GB2312" w:cs="Times New Roman"/>
          <w:b w:val="0"/>
          <w:i w:val="0"/>
          <w:caps w:val="0"/>
          <w:color w:val="auto"/>
          <w:spacing w:val="0"/>
          <w:w w:val="100"/>
          <w:kern w:val="2"/>
          <w:sz w:val="32"/>
          <w:szCs w:val="32"/>
          <w:highlight w:val="none"/>
          <w:lang w:val="en-US" w:eastAsia="zh-CN" w:bidi="ar-SA"/>
        </w:rPr>
        <w:t>，</w:t>
      </w:r>
      <w:r>
        <w:rPr>
          <w:rFonts w:hint="eastAsia" w:ascii="仿宋_GB2312" w:hAnsi="仿宋_GB2312" w:eastAsia="仿宋_GB2312" w:cs="仿宋_GB2312"/>
          <w:color w:val="000000"/>
          <w:kern w:val="0"/>
          <w:sz w:val="32"/>
          <w:szCs w:val="32"/>
          <w:shd w:val="clear" w:color="auto" w:fill="FFFFFF"/>
          <w:lang w:val="zh-CN"/>
        </w:rPr>
        <w:t>群众满意度</w:t>
      </w:r>
      <w:r>
        <w:rPr>
          <w:rFonts w:eastAsia="仿宋_GB2312"/>
          <w:color w:val="000000"/>
          <w:kern w:val="0"/>
          <w:sz w:val="32"/>
          <w:szCs w:val="32"/>
          <w:shd w:val="clear" w:color="auto" w:fill="FFFFFF"/>
          <w:lang w:val="zh-CN"/>
        </w:rPr>
        <w:t>≥95%，</w:t>
      </w:r>
      <w:r>
        <w:rPr>
          <w:rFonts w:hint="eastAsia" w:eastAsia="仿宋_GB2312"/>
          <w:color w:val="000000"/>
          <w:sz w:val="32"/>
          <w:szCs w:val="32"/>
          <w:shd w:val="clear" w:color="auto" w:fill="FFFFFF"/>
          <w:lang w:val="zh-CN"/>
        </w:rPr>
        <w:t>通过巡察使全面从严治党向纵深发展，进一步提升群众满意度和获得感</w:t>
      </w:r>
      <w:r>
        <w:rPr>
          <w:rFonts w:eastAsia="仿宋_GB2312"/>
          <w:color w:val="000000"/>
          <w:kern w:val="0"/>
          <w:sz w:val="32"/>
          <w:szCs w:val="32"/>
          <w:shd w:val="clear" w:color="auto" w:fill="FFFFFF"/>
          <w:lang w:val="zh-CN"/>
        </w:rPr>
        <w:t>，</w:t>
      </w:r>
      <w:r>
        <w:rPr>
          <w:rFonts w:hint="eastAsia" w:eastAsia="仿宋_GB2312"/>
          <w:color w:val="000000"/>
          <w:kern w:val="0"/>
          <w:sz w:val="32"/>
          <w:szCs w:val="32"/>
          <w:shd w:val="clear" w:color="auto" w:fill="FFFFFF"/>
          <w:lang w:val="zh-CN"/>
        </w:rPr>
        <w:t>通过巡察发现问题推动改革，促进社会经济发展</w:t>
      </w:r>
      <w:r>
        <w:rPr>
          <w:rFonts w:hint="eastAsia" w:eastAsia="仿宋_GB2312"/>
          <w:color w:val="000000"/>
          <w:sz w:val="32"/>
          <w:szCs w:val="32"/>
          <w:shd w:val="clear" w:color="auto" w:fill="FFFFFF"/>
          <w:lang w:val="en-US" w:eastAsia="zh-CN"/>
        </w:rPr>
        <w:t>为安居高质量发展</w:t>
      </w:r>
      <w:r>
        <w:rPr>
          <w:rFonts w:eastAsia="仿宋_GB2312"/>
          <w:color w:val="000000"/>
          <w:sz w:val="32"/>
          <w:szCs w:val="32"/>
          <w:shd w:val="clear" w:color="auto" w:fill="FFFFFF"/>
          <w:lang w:val="zh-CN"/>
        </w:rPr>
        <w:t>。</w:t>
      </w:r>
    </w:p>
    <w:p w14:paraId="5F080A6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ascii="Times New Roman" w:hAnsi="Times New Roman" w:eastAsia="楷体_GB2312" w:cs="Times New Roman"/>
          <w:b/>
          <w:bCs/>
          <w:color w:val="000000"/>
          <w:kern w:val="0"/>
          <w:sz w:val="32"/>
          <w:szCs w:val="32"/>
          <w:highlight w:val="none"/>
          <w:shd w:val="clear" w:color="auto" w:fill="FFFFFF"/>
          <w:lang w:val="en-US" w:eastAsia="zh-CN"/>
        </w:rPr>
        <w:t>三</w:t>
      </w:r>
      <w:r>
        <w:rPr>
          <w:rFonts w:hint="default" w:ascii="Times New Roman" w:hAnsi="Times New Roman" w:eastAsia="楷体_GB2312" w:cs="Times New Roman"/>
          <w:b/>
          <w:bCs/>
          <w:color w:val="000000"/>
          <w:kern w:val="0"/>
          <w:sz w:val="32"/>
          <w:szCs w:val="32"/>
          <w:highlight w:val="none"/>
          <w:shd w:val="clear" w:color="auto" w:fill="FFFFFF"/>
          <w:lang w:val="zh-CN" w:eastAsia="zh-CN"/>
        </w:rPr>
        <w:t>）绩效结果应用情况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ascii="仿宋_GB2312" w:hAnsi="仿宋_GB2312" w:eastAsia="仿宋_GB2312" w:cs="仿宋_GB2312"/>
          <w:color w:val="000000"/>
          <w:kern w:val="0"/>
          <w:sz w:val="32"/>
          <w:szCs w:val="32"/>
          <w:highlight w:val="none"/>
          <w:shd w:val="clear" w:color="auto" w:fill="FFFFFF"/>
          <w:lang w:val="zh-CN" w:eastAsia="zh-CN"/>
        </w:rPr>
        <w:t>根据绩效评价结果，调整下年度预算分配。建立“绩效目标-执行进度-资金支付”联动机制，通过季度绩效监控发现“党建调研经费”使用进度滞后，及时调整支付节奏，确保年终执行率达100%。将项目执行成效与</w:t>
      </w:r>
      <w:r>
        <w:rPr>
          <w:rFonts w:hint="eastAsia" w:ascii="仿宋_GB2312" w:hAnsi="仿宋_GB2312" w:cs="仿宋_GB2312"/>
          <w:color w:val="000000"/>
          <w:kern w:val="0"/>
          <w:sz w:val="32"/>
          <w:szCs w:val="32"/>
          <w:highlight w:val="none"/>
          <w:shd w:val="clear" w:color="auto" w:fill="FFFFFF"/>
          <w:lang w:val="en-US" w:eastAsia="zh-CN"/>
        </w:rPr>
        <w:t>股</w:t>
      </w:r>
      <w:r>
        <w:rPr>
          <w:rFonts w:hint="eastAsia" w:ascii="仿宋_GB2312" w:hAnsi="仿宋_GB2312" w:eastAsia="仿宋_GB2312" w:cs="仿宋_GB2312"/>
          <w:color w:val="000000"/>
          <w:kern w:val="0"/>
          <w:sz w:val="32"/>
          <w:szCs w:val="32"/>
          <w:highlight w:val="none"/>
          <w:shd w:val="clear" w:color="auto" w:fill="FFFFFF"/>
          <w:lang w:val="zh-CN" w:eastAsia="zh-CN"/>
        </w:rPr>
        <w:t>室考核挂钩，作为</w:t>
      </w:r>
      <w:r>
        <w:rPr>
          <w:rFonts w:hint="eastAsia" w:ascii="仿宋_GB2312" w:hAnsi="仿宋_GB2312" w:cs="仿宋_GB2312"/>
          <w:color w:val="000000"/>
          <w:kern w:val="0"/>
          <w:sz w:val="32"/>
          <w:szCs w:val="32"/>
          <w:highlight w:val="none"/>
          <w:shd w:val="clear" w:color="auto" w:fill="FFFFFF"/>
          <w:lang w:val="en-US" w:eastAsia="zh-CN"/>
        </w:rPr>
        <w:t>股</w:t>
      </w:r>
      <w:r>
        <w:rPr>
          <w:rFonts w:hint="eastAsia" w:ascii="仿宋_GB2312" w:hAnsi="仿宋_GB2312" w:eastAsia="仿宋_GB2312" w:cs="仿宋_GB2312"/>
          <w:color w:val="000000"/>
          <w:kern w:val="0"/>
          <w:sz w:val="32"/>
          <w:szCs w:val="32"/>
          <w:highlight w:val="none"/>
          <w:shd w:val="clear" w:color="auto" w:fill="FFFFFF"/>
          <w:lang w:val="zh-CN" w:eastAsia="zh-CN"/>
        </w:rPr>
        <w:t>室年度评优的重要依据。</w:t>
      </w:r>
    </w:p>
    <w:p w14:paraId="158DB6E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000000"/>
          <w:kern w:val="0"/>
          <w:sz w:val="32"/>
          <w:szCs w:val="32"/>
          <w:highlight w:val="none"/>
          <w:shd w:val="clear" w:color="auto" w:fill="FFFFFF"/>
          <w:lang w:val="zh-CN" w:eastAsia="zh-CN"/>
        </w:rPr>
      </w:pPr>
      <w:r>
        <w:rPr>
          <w:rFonts w:hint="eastAsia" w:ascii="仿宋_GB2312" w:hAnsi="仿宋_GB2312" w:eastAsia="仿宋_GB2312" w:cs="仿宋_GB2312"/>
          <w:color w:val="000000"/>
          <w:kern w:val="0"/>
          <w:sz w:val="32"/>
          <w:szCs w:val="32"/>
          <w:highlight w:val="none"/>
          <w:shd w:val="clear" w:color="auto" w:fill="FFFFFF"/>
          <w:lang w:val="zh-CN" w:eastAsia="zh-CN"/>
        </w:rPr>
        <w:t>在区政府门户网站公开《部门整体支出绩效目标表》《项目支出绩效自评表》，涵盖</w:t>
      </w:r>
      <w:r>
        <w:rPr>
          <w:rFonts w:hint="eastAsia" w:ascii="仿宋_GB2312" w:hAnsi="仿宋_GB2312" w:cs="仿宋_GB2312"/>
          <w:color w:val="000000"/>
          <w:kern w:val="0"/>
          <w:sz w:val="32"/>
          <w:szCs w:val="32"/>
          <w:highlight w:val="none"/>
          <w:shd w:val="clear" w:color="auto" w:fill="FFFFFF"/>
          <w:lang w:val="en-US" w:eastAsia="zh-CN"/>
        </w:rPr>
        <w:t>所有</w:t>
      </w:r>
      <w:r>
        <w:rPr>
          <w:rFonts w:hint="eastAsia" w:ascii="仿宋_GB2312" w:hAnsi="仿宋_GB2312" w:eastAsia="仿宋_GB2312" w:cs="仿宋_GB2312"/>
          <w:color w:val="000000"/>
          <w:kern w:val="0"/>
          <w:sz w:val="32"/>
          <w:szCs w:val="32"/>
          <w:highlight w:val="none"/>
          <w:shd w:val="clear" w:color="auto" w:fill="FFFFFF"/>
          <w:lang w:val="zh-CN" w:eastAsia="zh-CN"/>
        </w:rPr>
        <w:t>项目的绩效目标、资金使用及完成情况。</w:t>
      </w:r>
    </w:p>
    <w:p w14:paraId="2B290DD7">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default" w:ascii="Times New Roman" w:hAnsi="Times New Roman" w:eastAsia="黑体" w:cs="Times New Roman"/>
          <w:color w:val="000000"/>
          <w:kern w:val="0"/>
          <w:sz w:val="32"/>
          <w:szCs w:val="32"/>
          <w:highlight w:val="none"/>
          <w:shd w:val="clear" w:color="auto" w:fill="FFFFFF"/>
          <w:lang w:val="zh-CN" w:eastAsia="zh-CN"/>
        </w:rPr>
        <w:t>四、</w:t>
      </w:r>
      <w:r>
        <w:rPr>
          <w:rFonts w:hint="default" w:ascii="Times New Roman" w:hAnsi="Times New Roman" w:eastAsia="黑体" w:cs="Times New Roman"/>
          <w:color w:val="000000"/>
          <w:kern w:val="0"/>
          <w:sz w:val="32"/>
          <w:szCs w:val="32"/>
          <w:highlight w:val="none"/>
          <w:shd w:val="clear" w:color="auto" w:fill="FFFFFF"/>
          <w:lang w:val="zh-CN"/>
        </w:rPr>
        <w:t>评价结论及建议</w:t>
      </w:r>
    </w:p>
    <w:p w14:paraId="7F284E18">
      <w:pPr>
        <w:keepNext w:val="0"/>
        <w:keepLines w:val="0"/>
        <w:pageBreakBefore w:val="0"/>
        <w:widowControl w:val="0"/>
        <w:kinsoku/>
        <w:wordWrap/>
        <w:overflowPunct/>
        <w:topLinePunct w:val="0"/>
        <w:autoSpaceDE/>
        <w:autoSpaceDN/>
        <w:adjustRightInd/>
        <w:snapToGrid/>
        <w:spacing w:line="560" w:lineRule="exact"/>
        <w:ind w:left="0" w:firstLine="643" w:firstLineChars="200"/>
        <w:rPr>
          <w:rFonts w:hint="eastAsia" w:ascii="仿宋_GB2312" w:hAnsi="仿宋_GB2312" w:eastAsia="仿宋_GB2312" w:cs="仿宋_GB2312"/>
          <w:color w:val="000000"/>
          <w:kern w:val="0"/>
          <w:sz w:val="32"/>
          <w:szCs w:val="32"/>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（一）评价结论。</w:t>
      </w:r>
      <w:r>
        <w:rPr>
          <w:rFonts w:hint="eastAsia" w:ascii="仿宋_GB2312" w:hAnsi="仿宋_GB2312" w:eastAsia="仿宋_GB2312" w:cs="仿宋_GB2312"/>
          <w:color w:val="000000"/>
          <w:kern w:val="0"/>
          <w:sz w:val="32"/>
          <w:szCs w:val="32"/>
          <w:shd w:val="clear" w:color="auto" w:fill="FFFFFF"/>
          <w:lang w:val="zh-CN" w:eastAsia="zh-CN"/>
        </w:rPr>
        <w:t>根据绩效评价结果，调整下年度预算分配。建立“绩效目标-执行进度-资金支付”联动机制，</w:t>
      </w:r>
      <w:r>
        <w:rPr>
          <w:rFonts w:ascii="仿宋_GB2312" w:hAnsi="仿宋_GB2312" w:eastAsia="仿宋_GB2312" w:cs="仿宋_GB2312"/>
          <w:color w:val="000000"/>
          <w:kern w:val="0"/>
          <w:sz w:val="32"/>
          <w:szCs w:val="32"/>
          <w:shd w:val="clear" w:color="auto" w:fill="FFFFFF"/>
          <w:lang w:val="zh-CN" w:eastAsia="zh-CN"/>
        </w:rPr>
        <w:t>提高</w:t>
      </w:r>
      <w:r>
        <w:rPr>
          <w:rFonts w:hint="eastAsia" w:ascii="仿宋_GB2312" w:hAnsi="仿宋_GB2312" w:eastAsia="仿宋_GB2312" w:cs="仿宋_GB2312"/>
          <w:color w:val="000000"/>
          <w:kern w:val="0"/>
          <w:sz w:val="32"/>
          <w:szCs w:val="32"/>
          <w:shd w:val="clear" w:color="auto" w:fill="FFFFFF"/>
          <w:lang w:val="zh-CN" w:eastAsia="zh-CN"/>
        </w:rPr>
        <w:t>年终执行率。将项目执行成效与</w:t>
      </w:r>
      <w:r>
        <w:rPr>
          <w:rFonts w:hint="eastAsia" w:ascii="仿宋_GB2312" w:hAnsi="仿宋_GB2312" w:cs="仿宋_GB2312"/>
          <w:color w:val="000000"/>
          <w:kern w:val="0"/>
          <w:sz w:val="32"/>
          <w:szCs w:val="32"/>
          <w:shd w:val="clear" w:color="auto" w:fill="FFFFFF"/>
          <w:lang w:val="en-US" w:eastAsia="zh-CN"/>
        </w:rPr>
        <w:t>股</w:t>
      </w:r>
      <w:r>
        <w:rPr>
          <w:rFonts w:hint="eastAsia" w:ascii="仿宋_GB2312" w:hAnsi="仿宋_GB2312" w:eastAsia="仿宋_GB2312" w:cs="仿宋_GB2312"/>
          <w:color w:val="000000"/>
          <w:kern w:val="0"/>
          <w:sz w:val="32"/>
          <w:szCs w:val="32"/>
          <w:shd w:val="clear" w:color="auto" w:fill="FFFFFF"/>
          <w:lang w:val="zh-CN" w:eastAsia="zh-CN"/>
        </w:rPr>
        <w:t>室考核挂钩，作为</w:t>
      </w:r>
      <w:r>
        <w:rPr>
          <w:rFonts w:hint="eastAsia" w:ascii="仿宋_GB2312" w:hAnsi="仿宋_GB2312" w:cs="仿宋_GB2312"/>
          <w:color w:val="000000"/>
          <w:kern w:val="0"/>
          <w:sz w:val="32"/>
          <w:szCs w:val="32"/>
          <w:shd w:val="clear" w:color="auto" w:fill="FFFFFF"/>
          <w:lang w:val="en-US" w:eastAsia="zh-CN"/>
        </w:rPr>
        <w:t>股</w:t>
      </w:r>
      <w:r>
        <w:rPr>
          <w:rFonts w:hint="eastAsia" w:ascii="仿宋_GB2312" w:hAnsi="仿宋_GB2312" w:eastAsia="仿宋_GB2312" w:cs="仿宋_GB2312"/>
          <w:color w:val="000000"/>
          <w:kern w:val="0"/>
          <w:sz w:val="32"/>
          <w:szCs w:val="32"/>
          <w:shd w:val="clear" w:color="auto" w:fill="FFFFFF"/>
          <w:lang w:val="zh-CN" w:eastAsia="zh-CN"/>
        </w:rPr>
        <w:t>室年度评优的重要依据。</w:t>
      </w:r>
    </w:p>
    <w:p w14:paraId="5E621722">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contextualSpacing/>
        <w:jc w:val="both"/>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（二）存在问题。</w:t>
      </w:r>
    </w:p>
    <w:p w14:paraId="62C3771B">
      <w:pPr>
        <w:keepNext w:val="0"/>
        <w:keepLines w:val="0"/>
        <w:pageBreakBefore w:val="0"/>
        <w:widowControl w:val="0"/>
        <w:kinsoku/>
        <w:wordWrap/>
        <w:overflowPunct/>
        <w:topLinePunct w:val="0"/>
        <w:autoSpaceDE/>
        <w:autoSpaceDN/>
        <w:adjustRightInd/>
        <w:snapToGrid/>
        <w:spacing w:line="560" w:lineRule="exact"/>
        <w:ind w:left="0" w:firstLine="640" w:firstLineChars="200"/>
        <w:rPr>
          <w:rFonts w:hint="eastAsia" w:ascii="仿宋_GB2312" w:hAnsi="仿宋_GB2312" w:eastAsia="仿宋_GB2312" w:cs="仿宋_GB2312"/>
          <w:color w:val="000000"/>
          <w:kern w:val="0"/>
          <w:sz w:val="32"/>
          <w:szCs w:val="32"/>
          <w:shd w:val="clear" w:color="auto" w:fill="FFFFFF"/>
          <w:lang w:val="zh-CN" w:eastAsia="zh-CN"/>
        </w:rPr>
      </w:pPr>
      <w:r>
        <w:rPr>
          <w:rFonts w:hint="eastAsia" w:ascii="仿宋_GB2312" w:hAnsi="仿宋_GB2312" w:eastAsia="仿宋_GB2312" w:cs="仿宋_GB2312"/>
          <w:color w:val="000000"/>
          <w:kern w:val="0"/>
          <w:sz w:val="32"/>
          <w:szCs w:val="32"/>
          <w:shd w:val="clear" w:color="auto" w:fill="FFFFFF"/>
          <w:lang w:val="en-US" w:eastAsia="zh-CN"/>
        </w:rPr>
        <w:t>一</w:t>
      </w:r>
      <w:r>
        <w:rPr>
          <w:rFonts w:hint="default" w:ascii="仿宋_GB2312" w:hAnsi="仿宋_GB2312" w:eastAsia="仿宋_GB2312" w:cs="仿宋_GB2312"/>
          <w:color w:val="000000"/>
          <w:kern w:val="0"/>
          <w:sz w:val="32"/>
          <w:szCs w:val="32"/>
          <w:shd w:val="clear" w:color="auto" w:fill="FFFFFF"/>
          <w:lang w:val="en-US" w:eastAsia="zh-CN"/>
        </w:rPr>
        <w:t>是</w:t>
      </w:r>
      <w:r>
        <w:rPr>
          <w:rFonts w:hint="eastAsia" w:ascii="仿宋_GB2312" w:hAnsi="仿宋_GB2312" w:eastAsia="仿宋_GB2312" w:cs="仿宋_GB2312"/>
          <w:color w:val="000000"/>
          <w:kern w:val="0"/>
          <w:sz w:val="32"/>
          <w:szCs w:val="32"/>
          <w:shd w:val="clear" w:color="auto" w:fill="FFFFFF"/>
          <w:lang w:val="en-US" w:eastAsia="zh-CN"/>
        </w:rPr>
        <w:t>绩效评价的专业度有</w:t>
      </w:r>
      <w:r>
        <w:rPr>
          <w:rFonts w:hint="default" w:ascii="仿宋_GB2312" w:hAnsi="仿宋_GB2312" w:eastAsia="仿宋_GB2312" w:cs="仿宋_GB2312"/>
          <w:color w:val="000000"/>
          <w:kern w:val="0"/>
          <w:sz w:val="32"/>
          <w:szCs w:val="32"/>
          <w:shd w:val="clear" w:color="auto" w:fill="FFFFFF"/>
          <w:lang w:val="en-US" w:eastAsia="zh-CN"/>
        </w:rPr>
        <w:t>待加强。主体责任压得不实，日常</w:t>
      </w:r>
      <w:r>
        <w:rPr>
          <w:rFonts w:hint="eastAsia" w:ascii="仿宋_GB2312" w:hAnsi="仿宋_GB2312" w:eastAsia="仿宋_GB2312" w:cs="仿宋_GB2312"/>
          <w:color w:val="000000"/>
          <w:kern w:val="0"/>
          <w:sz w:val="32"/>
          <w:szCs w:val="32"/>
          <w:shd w:val="clear" w:color="auto" w:fill="FFFFFF"/>
          <w:lang w:val="en-US" w:eastAsia="zh-CN"/>
        </w:rPr>
        <w:t>学习</w:t>
      </w:r>
      <w:r>
        <w:rPr>
          <w:rFonts w:hint="default" w:ascii="仿宋_GB2312" w:hAnsi="仿宋_GB2312" w:eastAsia="仿宋_GB2312" w:cs="仿宋_GB2312"/>
          <w:color w:val="000000"/>
          <w:kern w:val="0"/>
          <w:sz w:val="32"/>
          <w:szCs w:val="32"/>
          <w:shd w:val="clear" w:color="auto" w:fill="FFFFFF"/>
          <w:lang w:val="en-US" w:eastAsia="zh-CN"/>
        </w:rPr>
        <w:t>力度不够，</w:t>
      </w:r>
      <w:r>
        <w:rPr>
          <w:rFonts w:hint="eastAsia" w:ascii="仿宋_GB2312" w:hAnsi="仿宋_GB2312" w:eastAsia="仿宋_GB2312" w:cs="仿宋_GB2312"/>
          <w:color w:val="000000"/>
          <w:kern w:val="0"/>
          <w:sz w:val="32"/>
          <w:szCs w:val="32"/>
          <w:shd w:val="clear" w:color="auto" w:fill="FFFFFF"/>
          <w:lang w:val="en-US" w:eastAsia="zh-CN"/>
        </w:rPr>
        <w:t>质效与</w:t>
      </w:r>
      <w:r>
        <w:rPr>
          <w:rFonts w:hint="default" w:ascii="仿宋_GB2312" w:hAnsi="仿宋_GB2312" w:eastAsia="仿宋_GB2312" w:cs="仿宋_GB2312"/>
          <w:color w:val="000000"/>
          <w:kern w:val="0"/>
          <w:sz w:val="32"/>
          <w:szCs w:val="32"/>
          <w:shd w:val="clear" w:color="auto" w:fill="FFFFFF"/>
          <w:lang w:val="en-US" w:eastAsia="zh-CN"/>
        </w:rPr>
        <w:t>深度融合还有待</w:t>
      </w:r>
      <w:r>
        <w:rPr>
          <w:rFonts w:hint="eastAsia" w:ascii="仿宋_GB2312" w:hAnsi="仿宋_GB2312" w:eastAsia="仿宋_GB2312" w:cs="仿宋_GB2312"/>
          <w:color w:val="000000"/>
          <w:kern w:val="0"/>
          <w:sz w:val="32"/>
          <w:szCs w:val="32"/>
          <w:shd w:val="clear" w:color="auto" w:fill="FFFFFF"/>
          <w:lang w:val="en-US" w:eastAsia="zh-CN"/>
        </w:rPr>
        <w:t>进一步探索</w:t>
      </w:r>
      <w:r>
        <w:rPr>
          <w:rFonts w:hint="default" w:ascii="仿宋_GB2312" w:hAnsi="仿宋_GB2312" w:eastAsia="仿宋_GB2312" w:cs="仿宋_GB2312"/>
          <w:color w:val="000000"/>
          <w:kern w:val="0"/>
          <w:sz w:val="32"/>
          <w:szCs w:val="32"/>
          <w:shd w:val="clear" w:color="auto" w:fill="FFFFFF"/>
          <w:lang w:val="en-US" w:eastAsia="zh-CN"/>
        </w:rPr>
        <w:t>；二是</w:t>
      </w:r>
      <w:r>
        <w:rPr>
          <w:rFonts w:hint="eastAsia" w:ascii="仿宋_GB2312" w:hAnsi="仿宋_GB2312" w:eastAsia="仿宋_GB2312" w:cs="仿宋_GB2312"/>
          <w:color w:val="000000"/>
          <w:kern w:val="0"/>
          <w:sz w:val="32"/>
          <w:szCs w:val="32"/>
          <w:shd w:val="clear" w:color="auto" w:fill="FFFFFF"/>
          <w:lang w:val="en-US" w:eastAsia="zh-CN"/>
        </w:rPr>
        <w:t>存量资金</w:t>
      </w:r>
      <w:r>
        <w:rPr>
          <w:rFonts w:hint="eastAsia" w:ascii="仿宋_GB2312" w:hAnsi="仿宋_GB2312" w:eastAsia="仿宋_GB2312" w:cs="仿宋_GB2312"/>
          <w:color w:val="000000"/>
          <w:kern w:val="0"/>
          <w:sz w:val="32"/>
          <w:szCs w:val="32"/>
          <w:shd w:val="clear" w:color="auto" w:fill="FFFFFF"/>
          <w:lang w:val="zh-CN" w:eastAsia="zh-CN"/>
        </w:rPr>
        <w:t>盘活</w:t>
      </w:r>
      <w:r>
        <w:rPr>
          <w:rFonts w:hint="eastAsia" w:ascii="仿宋_GB2312" w:hAnsi="仿宋_GB2312" w:eastAsia="仿宋_GB2312" w:cs="仿宋_GB2312"/>
          <w:color w:val="000000"/>
          <w:kern w:val="0"/>
          <w:sz w:val="32"/>
          <w:szCs w:val="32"/>
          <w:shd w:val="clear" w:color="auto" w:fill="FFFFFF"/>
          <w:lang w:val="en-US" w:eastAsia="zh-CN"/>
        </w:rPr>
        <w:t>不足</w:t>
      </w:r>
      <w:r>
        <w:rPr>
          <w:rFonts w:hint="default" w:ascii="仿宋_GB2312" w:hAnsi="仿宋_GB2312" w:eastAsia="仿宋_GB2312" w:cs="仿宋_GB2312"/>
          <w:color w:val="000000"/>
          <w:kern w:val="0"/>
          <w:sz w:val="32"/>
          <w:szCs w:val="32"/>
          <w:shd w:val="clear" w:color="auto" w:fill="FFFFFF"/>
          <w:lang w:val="en-US" w:eastAsia="zh-CN"/>
        </w:rPr>
        <w:t>。</w:t>
      </w:r>
      <w:r>
        <w:rPr>
          <w:rFonts w:hint="eastAsia" w:ascii="仿宋_GB2312" w:hAnsi="仿宋_GB2312" w:eastAsia="仿宋_GB2312" w:cs="仿宋_GB2312"/>
          <w:color w:val="000000"/>
          <w:kern w:val="0"/>
          <w:sz w:val="32"/>
          <w:szCs w:val="32"/>
          <w:shd w:val="clear" w:color="auto" w:fill="FFFFFF"/>
          <w:lang w:val="en-US" w:eastAsia="zh-CN"/>
        </w:rPr>
        <w:t>对存量资金的盘活度不够，需加强部门预算管理，及时盘活存量资金。</w:t>
      </w:r>
    </w:p>
    <w:p w14:paraId="16ECD7DD">
      <w:pPr>
        <w:spacing w:line="560" w:lineRule="exact"/>
        <w:ind w:firstLine="643" w:firstLineChars="200"/>
        <w:contextualSpacing/>
        <w:rPr>
          <w:rFonts w:hint="default"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（三）改进建议。</w:t>
      </w:r>
      <w:bookmarkStart w:id="67" w:name="_Hlk110546638"/>
    </w:p>
    <w:p w14:paraId="565DA9D7">
      <w:pPr>
        <w:keepNext w:val="0"/>
        <w:keepLines w:val="0"/>
        <w:pageBreakBefore w:val="0"/>
        <w:widowControl w:val="0"/>
        <w:kinsoku/>
        <w:wordWrap/>
        <w:overflowPunct/>
        <w:topLinePunct w:val="0"/>
        <w:autoSpaceDE/>
        <w:autoSpaceDN/>
        <w:adjustRightInd/>
        <w:snapToGrid/>
        <w:spacing w:line="560" w:lineRule="exact"/>
        <w:ind w:left="0" w:firstLine="640" w:firstLineChars="200"/>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一是加强理论学习。组织单位财务人员认真学习《中华人民共和国预算法》等相关法规、制度,提高单位领导对全面预算管理的重视程度,增强财务人员的预算意识。二是严格制度管理。认真贯彻落实中央八项规定，切实加强“三公”经费和会议费、培训费管理，严格按照规定开支有关经费，确保单位“三公”经费只减不增。三是建立健全制度。建立健全并认真执行各项资金使用管理制度，建立内部控制机制，资金使用严格履行审批程序，确保资金支出合法、真实。严格落实会计核算、报销审批制度，加强对资金使用环节的监督。</w:t>
      </w:r>
    </w:p>
    <w:p w14:paraId="27E79DF0">
      <w:pPr>
        <w:pStyle w:val="25"/>
        <w:rPr>
          <w:rFonts w:hint="eastAsia"/>
          <w:lang w:val="zh-CN"/>
        </w:rPr>
      </w:pPr>
    </w:p>
    <w:bookmarkEnd w:id="67"/>
    <w:p w14:paraId="347679C0">
      <w:pPr>
        <w:pStyle w:val="11"/>
        <w:keepNext w:val="0"/>
        <w:keepLines w:val="0"/>
        <w:pageBreakBefore w:val="0"/>
        <w:numPr>
          <w:ilvl w:val="0"/>
          <w:numId w:val="0"/>
        </w:numPr>
        <w:kinsoku/>
        <w:wordWrap/>
        <w:overflowPunct/>
        <w:topLinePunct w:val="0"/>
        <w:autoSpaceDE/>
        <w:autoSpaceDN/>
        <w:bidi w:val="0"/>
        <w:spacing w:line="560" w:lineRule="exact"/>
        <w:jc w:val="left"/>
        <w:textAlignment w:val="auto"/>
        <w:rPr>
          <w:rFonts w:hint="eastAsia" w:ascii="Times New Roman" w:hAnsi="Times New Roman" w:eastAsia="仿宋_GB2312" w:cs="Times New Roman"/>
          <w:kern w:val="2"/>
          <w:sz w:val="32"/>
          <w:szCs w:val="32"/>
          <w:u w:val="none"/>
          <w:lang w:val="zh-CN" w:eastAsia="zh-CN" w:bidi="ar"/>
        </w:rPr>
      </w:pPr>
    </w:p>
    <w:p w14:paraId="33E843D2">
      <w:pPr>
        <w:pStyle w:val="11"/>
        <w:keepNext w:val="0"/>
        <w:keepLines w:val="0"/>
        <w:pageBreakBefore w:val="0"/>
        <w:numPr>
          <w:ilvl w:val="0"/>
          <w:numId w:val="0"/>
        </w:numPr>
        <w:kinsoku/>
        <w:wordWrap/>
        <w:overflowPunct/>
        <w:topLinePunct w:val="0"/>
        <w:autoSpaceDE/>
        <w:autoSpaceDN/>
        <w:bidi w:val="0"/>
        <w:spacing w:line="560" w:lineRule="exact"/>
        <w:jc w:val="left"/>
        <w:textAlignment w:val="auto"/>
        <w:rPr>
          <w:rFonts w:hint="default" w:ascii="Times New Roman" w:hAnsi="Times New Roman" w:eastAsia="仿宋_GB2312" w:cs="Times New Roman"/>
          <w:kern w:val="2"/>
          <w:sz w:val="32"/>
          <w:szCs w:val="32"/>
          <w:u w:val="none"/>
          <w:lang w:val="en-US" w:eastAsia="zh-CN" w:bidi="ar"/>
        </w:rPr>
      </w:pPr>
      <w:r>
        <w:rPr>
          <w:rFonts w:hint="eastAsia" w:ascii="Times New Roman" w:hAnsi="Times New Roman" w:eastAsia="仿宋_GB2312" w:cs="Times New Roman"/>
          <w:kern w:val="2"/>
          <w:sz w:val="32"/>
          <w:szCs w:val="32"/>
          <w:u w:val="none"/>
          <w:lang w:val="zh-CN" w:eastAsia="zh-CN" w:bidi="ar"/>
        </w:rPr>
        <w:t>附表：</w:t>
      </w:r>
      <w:r>
        <w:rPr>
          <w:rFonts w:hint="eastAsia" w:ascii="Times New Roman" w:eastAsia="仿宋_GB2312" w:cs="Times New Roman"/>
          <w:kern w:val="2"/>
          <w:sz w:val="32"/>
          <w:szCs w:val="32"/>
          <w:u w:val="none"/>
          <w:lang w:val="en-US" w:eastAsia="zh-CN" w:bidi="ar"/>
        </w:rPr>
        <w:t>1.部门整体支出绩效自评表</w:t>
      </w:r>
    </w:p>
    <w:p w14:paraId="1E279E99">
      <w:pPr>
        <w:pStyle w:val="11"/>
        <w:keepNext w:val="0"/>
        <w:keepLines w:val="0"/>
        <w:pageBreakBefore w:val="0"/>
        <w:numPr>
          <w:ilvl w:val="0"/>
          <w:numId w:val="0"/>
        </w:numPr>
        <w:kinsoku/>
        <w:wordWrap/>
        <w:overflowPunct/>
        <w:topLinePunct w:val="0"/>
        <w:autoSpaceDE/>
        <w:autoSpaceDN/>
        <w:bidi w:val="0"/>
        <w:spacing w:line="560" w:lineRule="exact"/>
        <w:ind w:firstLine="960" w:firstLineChars="300"/>
        <w:jc w:val="left"/>
        <w:textAlignment w:val="auto"/>
        <w:rPr>
          <w:rFonts w:hint="eastAsia" w:ascii="Times New Roman" w:hAnsi="Times New Roman" w:eastAsia="仿宋_GB2312" w:cs="Times New Roman"/>
          <w:kern w:val="2"/>
          <w:sz w:val="32"/>
          <w:szCs w:val="32"/>
          <w:u w:val="none"/>
          <w:lang w:val="en-US" w:eastAsia="zh-CN" w:bidi="ar"/>
        </w:rPr>
        <w:sectPr>
          <w:footerReference r:id="rId6" w:type="default"/>
          <w:pgSz w:w="11906" w:h="16838"/>
          <w:pgMar w:top="1440" w:right="1800" w:bottom="1440" w:left="1800" w:header="851" w:footer="992" w:gutter="0"/>
          <w:pgNumType w:fmt="numberInDash" w:start="1"/>
          <w:cols w:space="425" w:num="1"/>
          <w:docGrid w:type="lines" w:linePitch="312" w:charSpace="0"/>
        </w:sectPr>
      </w:pPr>
      <w:r>
        <w:rPr>
          <w:rFonts w:hint="eastAsia" w:ascii="Times New Roman" w:eastAsia="仿宋_GB2312" w:cs="Times New Roman"/>
          <w:kern w:val="2"/>
          <w:sz w:val="32"/>
          <w:szCs w:val="32"/>
          <w:u w:val="none"/>
          <w:lang w:val="en-US" w:eastAsia="zh-CN" w:bidi="ar"/>
        </w:rPr>
        <w:t>2.</w:t>
      </w:r>
      <w:r>
        <w:rPr>
          <w:rFonts w:hint="eastAsia" w:ascii="Times New Roman" w:hAnsi="Times New Roman" w:eastAsia="仿宋_GB2312" w:cs="Times New Roman"/>
          <w:kern w:val="2"/>
          <w:sz w:val="32"/>
          <w:szCs w:val="32"/>
          <w:u w:val="none"/>
          <w:lang w:val="en-US" w:eastAsia="zh-CN" w:bidi="ar"/>
        </w:rPr>
        <w:t>部门预算项目支出绩效自评表</w:t>
      </w:r>
      <w:r>
        <w:rPr>
          <w:rFonts w:hint="eastAsia" w:ascii="Times New Roman" w:eastAsia="仿宋_GB2312" w:cs="Times New Roman"/>
          <w:kern w:val="2"/>
          <w:sz w:val="32"/>
          <w:szCs w:val="32"/>
          <w:u w:val="none"/>
          <w:lang w:val="en-US" w:eastAsia="zh-CN" w:bidi="ar"/>
        </w:rPr>
        <w:t>（2024年度）</w:t>
      </w:r>
    </w:p>
    <w:tbl>
      <w:tblPr>
        <w:tblStyle w:val="21"/>
        <w:tblW w:w="150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94"/>
        <w:gridCol w:w="1094"/>
        <w:gridCol w:w="3597"/>
        <w:gridCol w:w="650"/>
        <w:gridCol w:w="2654"/>
        <w:gridCol w:w="4342"/>
        <w:gridCol w:w="758"/>
        <w:gridCol w:w="871"/>
      </w:tblGrid>
      <w:tr w14:paraId="0AC6C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2" w:hRule="atLeast"/>
        </w:trPr>
        <w:tc>
          <w:tcPr>
            <w:tcW w:w="1506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AA694">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24"/>
                <w:szCs w:val="24"/>
                <w:u w:val="none"/>
                <w:lang w:val="en-US" w:eastAsia="zh-CN" w:bidi="ar"/>
              </w:rPr>
              <w:t>部门整体支出绩效自评表</w:t>
            </w:r>
          </w:p>
        </w:tc>
      </w:tr>
      <w:tr w14:paraId="6F4DD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43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099A9">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绩效指标</w:t>
            </w:r>
          </w:p>
        </w:tc>
        <w:tc>
          <w:tcPr>
            <w:tcW w:w="26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EF746">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指标解释</w:t>
            </w:r>
          </w:p>
        </w:tc>
        <w:tc>
          <w:tcPr>
            <w:tcW w:w="434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AA3CD">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评分说明</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D8553">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自评得分</w:t>
            </w:r>
          </w:p>
        </w:tc>
        <w:tc>
          <w:tcPr>
            <w:tcW w:w="87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316EE">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备注</w:t>
            </w:r>
          </w:p>
        </w:tc>
      </w:tr>
      <w:tr w14:paraId="28781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767DE">
            <w:pPr>
              <w:keepNext w:val="0"/>
              <w:keepLines w:val="0"/>
              <w:widowControl/>
              <w:suppressLineNumbers w:val="0"/>
              <w:jc w:val="lef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一级指标</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830FF">
            <w:pPr>
              <w:keepNext w:val="0"/>
              <w:keepLines w:val="0"/>
              <w:widowControl/>
              <w:suppressLineNumbers w:val="0"/>
              <w:jc w:val="lef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二级指标</w:t>
            </w:r>
          </w:p>
        </w:tc>
        <w:tc>
          <w:tcPr>
            <w:tcW w:w="3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1383E">
            <w:pPr>
              <w:keepNext w:val="0"/>
              <w:keepLines w:val="0"/>
              <w:widowControl/>
              <w:suppressLineNumbers w:val="0"/>
              <w:jc w:val="lef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三级指标</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1DA28">
            <w:pPr>
              <w:keepNext w:val="0"/>
              <w:keepLines w:val="0"/>
              <w:widowControl/>
              <w:suppressLineNumbers w:val="0"/>
              <w:jc w:val="lef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指标分值</w:t>
            </w:r>
          </w:p>
        </w:tc>
        <w:tc>
          <w:tcPr>
            <w:tcW w:w="2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CDC99">
            <w:pPr>
              <w:jc w:val="center"/>
              <w:rPr>
                <w:rFonts w:hint="eastAsia" w:ascii="宋体" w:hAnsi="宋体" w:eastAsia="宋体" w:cs="宋体"/>
                <w:b/>
                <w:bCs/>
                <w:i w:val="0"/>
                <w:iCs w:val="0"/>
                <w:color w:val="auto"/>
                <w:sz w:val="18"/>
                <w:szCs w:val="18"/>
                <w:u w:val="none"/>
              </w:rPr>
            </w:pPr>
          </w:p>
        </w:tc>
        <w:tc>
          <w:tcPr>
            <w:tcW w:w="434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C32D0">
            <w:pPr>
              <w:jc w:val="center"/>
              <w:rPr>
                <w:rFonts w:hint="eastAsia" w:ascii="宋体" w:hAnsi="宋体" w:eastAsia="宋体" w:cs="宋体"/>
                <w:b/>
                <w:bCs/>
                <w:i w:val="0"/>
                <w:iCs w:val="0"/>
                <w:color w:val="auto"/>
                <w:sz w:val="18"/>
                <w:szCs w:val="18"/>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3306E">
            <w:pPr>
              <w:jc w:val="center"/>
              <w:rPr>
                <w:rFonts w:hint="eastAsia" w:ascii="宋体" w:hAnsi="宋体" w:eastAsia="宋体" w:cs="宋体"/>
                <w:b/>
                <w:bCs/>
                <w:i w:val="0"/>
                <w:iCs w:val="0"/>
                <w:color w:val="auto"/>
                <w:sz w:val="18"/>
                <w:szCs w:val="18"/>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F70C1">
            <w:pPr>
              <w:jc w:val="center"/>
              <w:rPr>
                <w:rFonts w:hint="eastAsia" w:ascii="宋体" w:hAnsi="宋体" w:eastAsia="宋体" w:cs="宋体"/>
                <w:b/>
                <w:bCs/>
                <w:i w:val="0"/>
                <w:iCs w:val="0"/>
                <w:color w:val="auto"/>
                <w:sz w:val="18"/>
                <w:szCs w:val="18"/>
                <w:u w:val="none"/>
              </w:rPr>
            </w:pPr>
          </w:p>
        </w:tc>
      </w:tr>
      <w:tr w14:paraId="1143E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10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E8BF95">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总体绩效</w:t>
            </w:r>
            <w:r>
              <w:rPr>
                <w:rFonts w:hint="eastAsia" w:ascii="宋体" w:hAnsi="宋体" w:eastAsia="宋体" w:cs="宋体"/>
                <w:b/>
                <w:bCs/>
                <w:i w:val="0"/>
                <w:iCs w:val="0"/>
                <w:color w:val="auto"/>
                <w:kern w:val="0"/>
                <w:sz w:val="18"/>
                <w:szCs w:val="18"/>
                <w:u w:val="none"/>
                <w:lang w:val="en-US" w:eastAsia="zh-CN" w:bidi="ar"/>
              </w:rPr>
              <w:br w:type="textWrapping"/>
            </w:r>
            <w:r>
              <w:rPr>
                <w:rFonts w:hint="eastAsia" w:ascii="宋体" w:hAnsi="宋体" w:eastAsia="宋体" w:cs="宋体"/>
                <w:b/>
                <w:bCs/>
                <w:i w:val="0"/>
                <w:iCs w:val="0"/>
                <w:color w:val="auto"/>
                <w:kern w:val="0"/>
                <w:sz w:val="18"/>
                <w:szCs w:val="18"/>
                <w:u w:val="none"/>
                <w:lang w:val="en-US" w:eastAsia="zh-CN" w:bidi="ar"/>
              </w:rPr>
              <w:t>（56分）</w:t>
            </w:r>
          </w:p>
        </w:tc>
        <w:tc>
          <w:tcPr>
            <w:tcW w:w="1094" w:type="dxa"/>
            <w:vMerge w:val="restart"/>
            <w:tcBorders>
              <w:top w:val="single" w:color="000000" w:sz="4" w:space="0"/>
              <w:left w:val="single" w:color="000000" w:sz="4" w:space="0"/>
              <w:bottom w:val="nil"/>
              <w:right w:val="single" w:color="000000" w:sz="4" w:space="0"/>
            </w:tcBorders>
            <w:shd w:val="clear" w:color="auto" w:fill="auto"/>
            <w:vAlign w:val="center"/>
          </w:tcPr>
          <w:p w14:paraId="58FD3E4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履职效能</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（10分）</w:t>
            </w:r>
          </w:p>
        </w:tc>
        <w:tc>
          <w:tcPr>
            <w:tcW w:w="3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DEDB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向区委和区委巡察工作领导小组报告工作情况履职效果</w:t>
            </w:r>
          </w:p>
        </w:tc>
        <w:tc>
          <w:tcPr>
            <w:tcW w:w="650" w:type="dxa"/>
            <w:vMerge w:val="restart"/>
            <w:tcBorders>
              <w:top w:val="single" w:color="000000" w:sz="4" w:space="0"/>
              <w:left w:val="single" w:color="000000" w:sz="4" w:space="0"/>
              <w:bottom w:val="nil"/>
              <w:right w:val="single" w:color="000000" w:sz="4" w:space="0"/>
            </w:tcBorders>
            <w:shd w:val="clear" w:color="auto" w:fill="auto"/>
            <w:noWrap/>
            <w:vAlign w:val="center"/>
          </w:tcPr>
          <w:p w14:paraId="1E6F41A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2654" w:type="dxa"/>
            <w:vMerge w:val="restart"/>
            <w:tcBorders>
              <w:top w:val="single" w:color="000000" w:sz="4" w:space="0"/>
              <w:left w:val="single" w:color="000000" w:sz="4" w:space="0"/>
              <w:bottom w:val="nil"/>
              <w:right w:val="single" w:color="000000" w:sz="4" w:space="0"/>
            </w:tcBorders>
            <w:shd w:val="clear" w:color="auto" w:fill="auto"/>
            <w:vAlign w:val="center"/>
          </w:tcPr>
          <w:p w14:paraId="432F2D8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部门整体绩效目标中选定4-6个核心职能目标，反映该项职能目标完成效果情况</w:t>
            </w:r>
          </w:p>
        </w:tc>
        <w:tc>
          <w:tcPr>
            <w:tcW w:w="4342" w:type="dxa"/>
            <w:vMerge w:val="restart"/>
            <w:tcBorders>
              <w:top w:val="single" w:color="000000" w:sz="4" w:space="0"/>
              <w:left w:val="single" w:color="000000" w:sz="4" w:space="0"/>
              <w:bottom w:val="nil"/>
              <w:right w:val="single" w:color="000000" w:sz="4" w:space="0"/>
            </w:tcBorders>
            <w:shd w:val="clear" w:color="auto" w:fill="auto"/>
            <w:vAlign w:val="center"/>
          </w:tcPr>
          <w:p w14:paraId="408710D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门整体绩效目标中选定4-6个可量化计算、可评价的核心职能目标，分别设定指标分值、指标解释、评分方法和评分说明，总分值不超过10分。该项指标得分=年终完成履职效果目标数量÷年初目标设置总数×100%×指标分值。履职效能总分为各项履职效果得分的和。</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480F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433DD">
            <w:pPr>
              <w:rPr>
                <w:rFonts w:hint="eastAsia" w:ascii="宋体" w:hAnsi="宋体" w:eastAsia="宋体" w:cs="宋体"/>
                <w:i w:val="0"/>
                <w:iCs w:val="0"/>
                <w:color w:val="auto"/>
                <w:sz w:val="18"/>
                <w:szCs w:val="18"/>
                <w:u w:val="none"/>
              </w:rPr>
            </w:pPr>
          </w:p>
        </w:tc>
      </w:tr>
      <w:tr w14:paraId="67961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B9F83">
            <w:pPr>
              <w:jc w:val="center"/>
              <w:rPr>
                <w:rFonts w:hint="eastAsia" w:ascii="宋体" w:hAnsi="宋体" w:eastAsia="宋体" w:cs="宋体"/>
                <w:b/>
                <w:bCs/>
                <w:i w:val="0"/>
                <w:iCs w:val="0"/>
                <w:color w:val="auto"/>
                <w:sz w:val="18"/>
                <w:szCs w:val="18"/>
                <w:u w:val="none"/>
              </w:rPr>
            </w:pPr>
          </w:p>
        </w:tc>
        <w:tc>
          <w:tcPr>
            <w:tcW w:w="1094" w:type="dxa"/>
            <w:vMerge w:val="continue"/>
            <w:tcBorders>
              <w:top w:val="single" w:color="000000" w:sz="4" w:space="0"/>
              <w:left w:val="single" w:color="000000" w:sz="4" w:space="0"/>
              <w:bottom w:val="nil"/>
              <w:right w:val="single" w:color="000000" w:sz="4" w:space="0"/>
            </w:tcBorders>
            <w:shd w:val="clear" w:color="auto" w:fill="auto"/>
            <w:vAlign w:val="center"/>
          </w:tcPr>
          <w:p w14:paraId="21089722">
            <w:pPr>
              <w:jc w:val="center"/>
              <w:rPr>
                <w:rFonts w:hint="eastAsia" w:ascii="宋体" w:hAnsi="宋体" w:eastAsia="宋体" w:cs="宋体"/>
                <w:i w:val="0"/>
                <w:iCs w:val="0"/>
                <w:color w:val="auto"/>
                <w:sz w:val="18"/>
                <w:szCs w:val="18"/>
                <w:u w:val="none"/>
              </w:rPr>
            </w:pPr>
          </w:p>
        </w:tc>
        <w:tc>
          <w:tcPr>
            <w:tcW w:w="3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D764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开展巡察轮次履职效果</w:t>
            </w:r>
          </w:p>
        </w:tc>
        <w:tc>
          <w:tcPr>
            <w:tcW w:w="650" w:type="dxa"/>
            <w:vMerge w:val="continue"/>
            <w:tcBorders>
              <w:top w:val="single" w:color="000000" w:sz="4" w:space="0"/>
              <w:left w:val="single" w:color="000000" w:sz="4" w:space="0"/>
              <w:bottom w:val="nil"/>
              <w:right w:val="single" w:color="000000" w:sz="4" w:space="0"/>
            </w:tcBorders>
            <w:shd w:val="clear" w:color="auto" w:fill="auto"/>
            <w:noWrap/>
            <w:vAlign w:val="center"/>
          </w:tcPr>
          <w:p w14:paraId="634683A8">
            <w:pPr>
              <w:jc w:val="center"/>
              <w:rPr>
                <w:rFonts w:hint="eastAsia" w:ascii="宋体" w:hAnsi="宋体" w:eastAsia="宋体" w:cs="宋体"/>
                <w:i w:val="0"/>
                <w:iCs w:val="0"/>
                <w:color w:val="auto"/>
                <w:sz w:val="18"/>
                <w:szCs w:val="18"/>
                <w:u w:val="none"/>
              </w:rPr>
            </w:pPr>
          </w:p>
        </w:tc>
        <w:tc>
          <w:tcPr>
            <w:tcW w:w="2654" w:type="dxa"/>
            <w:vMerge w:val="continue"/>
            <w:tcBorders>
              <w:top w:val="single" w:color="000000" w:sz="4" w:space="0"/>
              <w:left w:val="single" w:color="000000" w:sz="4" w:space="0"/>
              <w:bottom w:val="nil"/>
              <w:right w:val="single" w:color="000000" w:sz="4" w:space="0"/>
            </w:tcBorders>
            <w:shd w:val="clear" w:color="auto" w:fill="auto"/>
            <w:vAlign w:val="center"/>
          </w:tcPr>
          <w:p w14:paraId="4FD30F28">
            <w:pPr>
              <w:jc w:val="left"/>
              <w:rPr>
                <w:rFonts w:hint="eastAsia" w:ascii="宋体" w:hAnsi="宋体" w:eastAsia="宋体" w:cs="宋体"/>
                <w:i w:val="0"/>
                <w:iCs w:val="0"/>
                <w:color w:val="auto"/>
                <w:sz w:val="18"/>
                <w:szCs w:val="18"/>
                <w:u w:val="none"/>
              </w:rPr>
            </w:pPr>
          </w:p>
        </w:tc>
        <w:tc>
          <w:tcPr>
            <w:tcW w:w="4342" w:type="dxa"/>
            <w:vMerge w:val="continue"/>
            <w:tcBorders>
              <w:top w:val="single" w:color="000000" w:sz="4" w:space="0"/>
              <w:left w:val="single" w:color="000000" w:sz="4" w:space="0"/>
              <w:bottom w:val="nil"/>
              <w:right w:val="single" w:color="000000" w:sz="4" w:space="0"/>
            </w:tcBorders>
            <w:shd w:val="clear" w:color="auto" w:fill="auto"/>
            <w:vAlign w:val="center"/>
          </w:tcPr>
          <w:p w14:paraId="7F60AC43">
            <w:pPr>
              <w:jc w:val="left"/>
              <w:rPr>
                <w:rFonts w:hint="eastAsia" w:ascii="宋体" w:hAnsi="宋体" w:eastAsia="宋体" w:cs="宋体"/>
                <w:i w:val="0"/>
                <w:iCs w:val="0"/>
                <w:color w:val="auto"/>
                <w:sz w:val="18"/>
                <w:szCs w:val="18"/>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4974F">
            <w:pPr>
              <w:jc w:val="center"/>
              <w:rPr>
                <w:rFonts w:hint="eastAsia" w:ascii="宋体" w:hAnsi="宋体" w:eastAsia="宋体" w:cs="宋体"/>
                <w:i w:val="0"/>
                <w:iCs w:val="0"/>
                <w:color w:val="auto"/>
                <w:sz w:val="18"/>
                <w:szCs w:val="18"/>
                <w:u w:val="none"/>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2FB2E">
            <w:pPr>
              <w:rPr>
                <w:rFonts w:hint="eastAsia" w:ascii="宋体" w:hAnsi="宋体" w:eastAsia="宋体" w:cs="宋体"/>
                <w:i w:val="0"/>
                <w:iCs w:val="0"/>
                <w:color w:val="auto"/>
                <w:sz w:val="18"/>
                <w:szCs w:val="18"/>
                <w:u w:val="none"/>
              </w:rPr>
            </w:pPr>
          </w:p>
        </w:tc>
      </w:tr>
      <w:tr w14:paraId="42BA5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6863D">
            <w:pPr>
              <w:jc w:val="center"/>
              <w:rPr>
                <w:rFonts w:hint="eastAsia" w:ascii="宋体" w:hAnsi="宋体" w:eastAsia="宋体" w:cs="宋体"/>
                <w:b/>
                <w:bCs/>
                <w:i w:val="0"/>
                <w:iCs w:val="0"/>
                <w:color w:val="auto"/>
                <w:sz w:val="18"/>
                <w:szCs w:val="18"/>
                <w:u w:val="none"/>
              </w:rPr>
            </w:pPr>
          </w:p>
        </w:tc>
        <w:tc>
          <w:tcPr>
            <w:tcW w:w="1094" w:type="dxa"/>
            <w:vMerge w:val="continue"/>
            <w:tcBorders>
              <w:top w:val="single" w:color="000000" w:sz="4" w:space="0"/>
              <w:left w:val="single" w:color="000000" w:sz="4" w:space="0"/>
              <w:bottom w:val="nil"/>
              <w:right w:val="single" w:color="000000" w:sz="4" w:space="0"/>
            </w:tcBorders>
            <w:shd w:val="clear" w:color="auto" w:fill="auto"/>
            <w:vAlign w:val="center"/>
          </w:tcPr>
          <w:p w14:paraId="64534582">
            <w:pPr>
              <w:jc w:val="center"/>
              <w:rPr>
                <w:rFonts w:hint="eastAsia" w:ascii="宋体" w:hAnsi="宋体" w:eastAsia="宋体" w:cs="宋体"/>
                <w:i w:val="0"/>
                <w:iCs w:val="0"/>
                <w:color w:val="auto"/>
                <w:sz w:val="18"/>
                <w:szCs w:val="18"/>
                <w:u w:val="none"/>
              </w:rPr>
            </w:pPr>
          </w:p>
        </w:tc>
        <w:tc>
          <w:tcPr>
            <w:tcW w:w="3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404C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巡察行政事业单位及乡镇履职效果</w:t>
            </w:r>
          </w:p>
        </w:tc>
        <w:tc>
          <w:tcPr>
            <w:tcW w:w="650" w:type="dxa"/>
            <w:vMerge w:val="continue"/>
            <w:tcBorders>
              <w:top w:val="single" w:color="000000" w:sz="4" w:space="0"/>
              <w:left w:val="single" w:color="000000" w:sz="4" w:space="0"/>
              <w:bottom w:val="nil"/>
              <w:right w:val="single" w:color="000000" w:sz="4" w:space="0"/>
            </w:tcBorders>
            <w:shd w:val="clear" w:color="auto" w:fill="auto"/>
            <w:noWrap/>
            <w:vAlign w:val="center"/>
          </w:tcPr>
          <w:p w14:paraId="285ABA2B">
            <w:pPr>
              <w:jc w:val="center"/>
              <w:rPr>
                <w:rFonts w:hint="eastAsia" w:ascii="宋体" w:hAnsi="宋体" w:eastAsia="宋体" w:cs="宋体"/>
                <w:i w:val="0"/>
                <w:iCs w:val="0"/>
                <w:color w:val="auto"/>
                <w:sz w:val="18"/>
                <w:szCs w:val="18"/>
                <w:u w:val="none"/>
              </w:rPr>
            </w:pPr>
          </w:p>
        </w:tc>
        <w:tc>
          <w:tcPr>
            <w:tcW w:w="2654" w:type="dxa"/>
            <w:vMerge w:val="continue"/>
            <w:tcBorders>
              <w:top w:val="single" w:color="000000" w:sz="4" w:space="0"/>
              <w:left w:val="single" w:color="000000" w:sz="4" w:space="0"/>
              <w:bottom w:val="nil"/>
              <w:right w:val="single" w:color="000000" w:sz="4" w:space="0"/>
            </w:tcBorders>
            <w:shd w:val="clear" w:color="auto" w:fill="auto"/>
            <w:vAlign w:val="center"/>
          </w:tcPr>
          <w:p w14:paraId="3E63A13C">
            <w:pPr>
              <w:jc w:val="left"/>
              <w:rPr>
                <w:rFonts w:hint="eastAsia" w:ascii="宋体" w:hAnsi="宋体" w:eastAsia="宋体" w:cs="宋体"/>
                <w:i w:val="0"/>
                <w:iCs w:val="0"/>
                <w:color w:val="auto"/>
                <w:sz w:val="18"/>
                <w:szCs w:val="18"/>
                <w:u w:val="none"/>
              </w:rPr>
            </w:pPr>
          </w:p>
        </w:tc>
        <w:tc>
          <w:tcPr>
            <w:tcW w:w="4342" w:type="dxa"/>
            <w:vMerge w:val="continue"/>
            <w:tcBorders>
              <w:top w:val="single" w:color="000000" w:sz="4" w:space="0"/>
              <w:left w:val="single" w:color="000000" w:sz="4" w:space="0"/>
              <w:bottom w:val="nil"/>
              <w:right w:val="single" w:color="000000" w:sz="4" w:space="0"/>
            </w:tcBorders>
            <w:shd w:val="clear" w:color="auto" w:fill="auto"/>
            <w:vAlign w:val="center"/>
          </w:tcPr>
          <w:p w14:paraId="21A9E109">
            <w:pPr>
              <w:jc w:val="left"/>
              <w:rPr>
                <w:rFonts w:hint="eastAsia" w:ascii="宋体" w:hAnsi="宋体" w:eastAsia="宋体" w:cs="宋体"/>
                <w:i w:val="0"/>
                <w:iCs w:val="0"/>
                <w:color w:val="auto"/>
                <w:sz w:val="18"/>
                <w:szCs w:val="18"/>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F5AA4">
            <w:pPr>
              <w:jc w:val="center"/>
              <w:rPr>
                <w:rFonts w:hint="eastAsia" w:ascii="宋体" w:hAnsi="宋体" w:eastAsia="宋体" w:cs="宋体"/>
                <w:i w:val="0"/>
                <w:iCs w:val="0"/>
                <w:color w:val="auto"/>
                <w:sz w:val="18"/>
                <w:szCs w:val="18"/>
                <w:u w:val="none"/>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093EA">
            <w:pPr>
              <w:rPr>
                <w:rFonts w:hint="eastAsia" w:ascii="宋体" w:hAnsi="宋体" w:eastAsia="宋体" w:cs="宋体"/>
                <w:i w:val="0"/>
                <w:iCs w:val="0"/>
                <w:color w:val="auto"/>
                <w:sz w:val="18"/>
                <w:szCs w:val="18"/>
                <w:u w:val="none"/>
              </w:rPr>
            </w:pPr>
          </w:p>
        </w:tc>
      </w:tr>
      <w:tr w14:paraId="6ED17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B8E01">
            <w:pPr>
              <w:jc w:val="center"/>
              <w:rPr>
                <w:rFonts w:hint="eastAsia" w:ascii="宋体" w:hAnsi="宋体" w:eastAsia="宋体" w:cs="宋体"/>
                <w:b/>
                <w:bCs/>
                <w:i w:val="0"/>
                <w:iCs w:val="0"/>
                <w:color w:val="auto"/>
                <w:sz w:val="18"/>
                <w:szCs w:val="18"/>
                <w:u w:val="none"/>
              </w:rPr>
            </w:pPr>
          </w:p>
        </w:tc>
        <w:tc>
          <w:tcPr>
            <w:tcW w:w="1094" w:type="dxa"/>
            <w:vMerge w:val="continue"/>
            <w:tcBorders>
              <w:top w:val="single" w:color="000000" w:sz="4" w:space="0"/>
              <w:left w:val="single" w:color="000000" w:sz="4" w:space="0"/>
              <w:bottom w:val="nil"/>
              <w:right w:val="single" w:color="000000" w:sz="4" w:space="0"/>
            </w:tcBorders>
            <w:shd w:val="clear" w:color="auto" w:fill="auto"/>
            <w:vAlign w:val="center"/>
          </w:tcPr>
          <w:p w14:paraId="14E209AA">
            <w:pPr>
              <w:jc w:val="center"/>
              <w:rPr>
                <w:rFonts w:hint="eastAsia" w:ascii="宋体" w:hAnsi="宋体" w:eastAsia="宋体" w:cs="宋体"/>
                <w:i w:val="0"/>
                <w:iCs w:val="0"/>
                <w:color w:val="auto"/>
                <w:sz w:val="18"/>
                <w:szCs w:val="18"/>
                <w:u w:val="none"/>
              </w:rPr>
            </w:pPr>
          </w:p>
        </w:tc>
        <w:tc>
          <w:tcPr>
            <w:tcW w:w="3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E80A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巡察整改反馈完成率履职效果</w:t>
            </w:r>
          </w:p>
        </w:tc>
        <w:tc>
          <w:tcPr>
            <w:tcW w:w="650" w:type="dxa"/>
            <w:vMerge w:val="continue"/>
            <w:tcBorders>
              <w:top w:val="single" w:color="000000" w:sz="4" w:space="0"/>
              <w:left w:val="single" w:color="000000" w:sz="4" w:space="0"/>
              <w:bottom w:val="nil"/>
              <w:right w:val="single" w:color="000000" w:sz="4" w:space="0"/>
            </w:tcBorders>
            <w:shd w:val="clear" w:color="auto" w:fill="auto"/>
            <w:noWrap/>
            <w:vAlign w:val="center"/>
          </w:tcPr>
          <w:p w14:paraId="36F613C4">
            <w:pPr>
              <w:jc w:val="center"/>
              <w:rPr>
                <w:rFonts w:hint="eastAsia" w:ascii="宋体" w:hAnsi="宋体" w:eastAsia="宋体" w:cs="宋体"/>
                <w:i w:val="0"/>
                <w:iCs w:val="0"/>
                <w:color w:val="auto"/>
                <w:sz w:val="18"/>
                <w:szCs w:val="18"/>
                <w:u w:val="none"/>
              </w:rPr>
            </w:pPr>
          </w:p>
        </w:tc>
        <w:tc>
          <w:tcPr>
            <w:tcW w:w="2654" w:type="dxa"/>
            <w:vMerge w:val="continue"/>
            <w:tcBorders>
              <w:top w:val="single" w:color="000000" w:sz="4" w:space="0"/>
              <w:left w:val="single" w:color="000000" w:sz="4" w:space="0"/>
              <w:bottom w:val="nil"/>
              <w:right w:val="single" w:color="000000" w:sz="4" w:space="0"/>
            </w:tcBorders>
            <w:shd w:val="clear" w:color="auto" w:fill="auto"/>
            <w:vAlign w:val="center"/>
          </w:tcPr>
          <w:p w14:paraId="42E5CA78">
            <w:pPr>
              <w:jc w:val="left"/>
              <w:rPr>
                <w:rFonts w:hint="eastAsia" w:ascii="宋体" w:hAnsi="宋体" w:eastAsia="宋体" w:cs="宋体"/>
                <w:i w:val="0"/>
                <w:iCs w:val="0"/>
                <w:color w:val="auto"/>
                <w:sz w:val="18"/>
                <w:szCs w:val="18"/>
                <w:u w:val="none"/>
              </w:rPr>
            </w:pPr>
          </w:p>
        </w:tc>
        <w:tc>
          <w:tcPr>
            <w:tcW w:w="4342" w:type="dxa"/>
            <w:vMerge w:val="continue"/>
            <w:tcBorders>
              <w:top w:val="single" w:color="000000" w:sz="4" w:space="0"/>
              <w:left w:val="single" w:color="000000" w:sz="4" w:space="0"/>
              <w:bottom w:val="nil"/>
              <w:right w:val="single" w:color="000000" w:sz="4" w:space="0"/>
            </w:tcBorders>
            <w:shd w:val="clear" w:color="auto" w:fill="auto"/>
            <w:vAlign w:val="center"/>
          </w:tcPr>
          <w:p w14:paraId="4AE3DC34">
            <w:pPr>
              <w:jc w:val="left"/>
              <w:rPr>
                <w:rFonts w:hint="eastAsia" w:ascii="宋体" w:hAnsi="宋体" w:eastAsia="宋体" w:cs="宋体"/>
                <w:i w:val="0"/>
                <w:iCs w:val="0"/>
                <w:color w:val="auto"/>
                <w:sz w:val="18"/>
                <w:szCs w:val="18"/>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A22B0">
            <w:pPr>
              <w:jc w:val="center"/>
              <w:rPr>
                <w:rFonts w:hint="eastAsia" w:ascii="宋体" w:hAnsi="宋体" w:eastAsia="宋体" w:cs="宋体"/>
                <w:i w:val="0"/>
                <w:iCs w:val="0"/>
                <w:color w:val="auto"/>
                <w:sz w:val="18"/>
                <w:szCs w:val="18"/>
                <w:u w:val="none"/>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399DF">
            <w:pPr>
              <w:rPr>
                <w:rFonts w:hint="eastAsia" w:ascii="宋体" w:hAnsi="宋体" w:eastAsia="宋体" w:cs="宋体"/>
                <w:i w:val="0"/>
                <w:iCs w:val="0"/>
                <w:color w:val="auto"/>
                <w:sz w:val="18"/>
                <w:szCs w:val="18"/>
                <w:u w:val="none"/>
              </w:rPr>
            </w:pPr>
          </w:p>
        </w:tc>
      </w:tr>
      <w:tr w14:paraId="78BED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7" w:hRule="atLeast"/>
        </w:trPr>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DFBAA">
            <w:pPr>
              <w:jc w:val="center"/>
              <w:rPr>
                <w:rFonts w:hint="eastAsia" w:ascii="宋体" w:hAnsi="宋体" w:eastAsia="宋体" w:cs="宋体"/>
                <w:b/>
                <w:bCs/>
                <w:i w:val="0"/>
                <w:iCs w:val="0"/>
                <w:color w:val="auto"/>
                <w:sz w:val="18"/>
                <w:szCs w:val="18"/>
                <w:u w:val="none"/>
              </w:rPr>
            </w:pPr>
          </w:p>
        </w:tc>
        <w:tc>
          <w:tcPr>
            <w:tcW w:w="10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25DEB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预算管理</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（31分）</w:t>
            </w:r>
          </w:p>
        </w:tc>
        <w:tc>
          <w:tcPr>
            <w:tcW w:w="3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4DAE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预算编制质量</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7A25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w:t>
            </w:r>
          </w:p>
        </w:tc>
        <w:tc>
          <w:tcPr>
            <w:tcW w:w="2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328A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部门是否严格按要求编制年初部门预算，年初预算编制的科学性和准确性</w:t>
            </w:r>
          </w:p>
        </w:tc>
        <w:tc>
          <w:tcPr>
            <w:tcW w:w="4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FF35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该项指标得分=（1-财政拨款预算偏离度）×100%×8。偏离度=|预算执行数-调整预算数|÷调整预算数。</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AE54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9E699">
            <w:pPr>
              <w:rPr>
                <w:rFonts w:hint="eastAsia" w:ascii="宋体" w:hAnsi="宋体" w:eastAsia="宋体" w:cs="宋体"/>
                <w:i w:val="0"/>
                <w:iCs w:val="0"/>
                <w:color w:val="auto"/>
                <w:sz w:val="18"/>
                <w:szCs w:val="18"/>
                <w:u w:val="none"/>
              </w:rPr>
            </w:pPr>
          </w:p>
        </w:tc>
      </w:tr>
      <w:tr w14:paraId="45E14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7" w:hRule="atLeast"/>
        </w:trPr>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EBF47">
            <w:pPr>
              <w:jc w:val="center"/>
              <w:rPr>
                <w:rFonts w:hint="eastAsia" w:ascii="宋体" w:hAnsi="宋体" w:eastAsia="宋体" w:cs="宋体"/>
                <w:b/>
                <w:bCs/>
                <w:i w:val="0"/>
                <w:iCs w:val="0"/>
                <w:color w:val="auto"/>
                <w:sz w:val="18"/>
                <w:szCs w:val="18"/>
                <w:u w:val="none"/>
              </w:rPr>
            </w:pP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E030A">
            <w:pPr>
              <w:jc w:val="center"/>
              <w:rPr>
                <w:rFonts w:hint="eastAsia" w:ascii="宋体" w:hAnsi="宋体" w:eastAsia="宋体" w:cs="宋体"/>
                <w:i w:val="0"/>
                <w:iCs w:val="0"/>
                <w:color w:val="auto"/>
                <w:sz w:val="18"/>
                <w:szCs w:val="18"/>
                <w:u w:val="none"/>
              </w:rPr>
            </w:pPr>
          </w:p>
        </w:tc>
        <w:tc>
          <w:tcPr>
            <w:tcW w:w="3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63C7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支出执行进度</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7919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w:t>
            </w:r>
          </w:p>
        </w:tc>
        <w:tc>
          <w:tcPr>
            <w:tcW w:w="2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9AD2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部门1至12月预算执行情况</w:t>
            </w:r>
          </w:p>
        </w:tc>
        <w:tc>
          <w:tcPr>
            <w:tcW w:w="4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261D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该项指标得分=中省转移支付资金1至12月实际支出数÷1-12月部门预算数*3+专项债券资金实际支出数÷1-12月部门预算数*3+专项预算项目1至12月实际支出数÷1-12月预算数*3。</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BBFD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56F0D">
            <w:pPr>
              <w:rPr>
                <w:rFonts w:hint="eastAsia" w:ascii="宋体" w:hAnsi="宋体" w:eastAsia="宋体" w:cs="宋体"/>
                <w:i w:val="0"/>
                <w:iCs w:val="0"/>
                <w:color w:val="auto"/>
                <w:sz w:val="18"/>
                <w:szCs w:val="18"/>
                <w:u w:val="none"/>
              </w:rPr>
            </w:pPr>
          </w:p>
        </w:tc>
      </w:tr>
      <w:tr w14:paraId="25FA4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E3819">
            <w:pPr>
              <w:jc w:val="center"/>
              <w:rPr>
                <w:rFonts w:hint="eastAsia" w:ascii="宋体" w:hAnsi="宋体" w:eastAsia="宋体" w:cs="宋体"/>
                <w:b/>
                <w:bCs/>
                <w:i w:val="0"/>
                <w:iCs w:val="0"/>
                <w:color w:val="auto"/>
                <w:sz w:val="18"/>
                <w:szCs w:val="18"/>
                <w:u w:val="none"/>
              </w:rPr>
            </w:pP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E69F7">
            <w:pPr>
              <w:jc w:val="center"/>
              <w:rPr>
                <w:rFonts w:hint="eastAsia" w:ascii="宋体" w:hAnsi="宋体" w:eastAsia="宋体" w:cs="宋体"/>
                <w:i w:val="0"/>
                <w:iCs w:val="0"/>
                <w:color w:val="auto"/>
                <w:sz w:val="18"/>
                <w:szCs w:val="18"/>
                <w:u w:val="none"/>
              </w:rPr>
            </w:pPr>
          </w:p>
        </w:tc>
        <w:tc>
          <w:tcPr>
            <w:tcW w:w="3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CEB7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预算年终结余</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119F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w:t>
            </w:r>
          </w:p>
        </w:tc>
        <w:tc>
          <w:tcPr>
            <w:tcW w:w="2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3582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部门整体年终预算结余情况</w:t>
            </w:r>
          </w:p>
        </w:tc>
        <w:tc>
          <w:tcPr>
            <w:tcW w:w="4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35E5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该项指标得分=（1-部门整体预算结余率）×100%×8部门整体预算结余率为当年年终部门预算注销金额和结转金额占部门预算总金额的比率。</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C539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E002A">
            <w:pPr>
              <w:rPr>
                <w:rFonts w:hint="eastAsia" w:ascii="宋体" w:hAnsi="宋体" w:eastAsia="宋体" w:cs="宋体"/>
                <w:i w:val="0"/>
                <w:iCs w:val="0"/>
                <w:color w:val="auto"/>
                <w:sz w:val="18"/>
                <w:szCs w:val="18"/>
                <w:u w:val="none"/>
              </w:rPr>
            </w:pPr>
          </w:p>
        </w:tc>
      </w:tr>
      <w:tr w14:paraId="4145B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9" w:hRule="atLeast"/>
        </w:trPr>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8E04E">
            <w:pPr>
              <w:jc w:val="center"/>
              <w:rPr>
                <w:rFonts w:hint="eastAsia" w:ascii="宋体" w:hAnsi="宋体" w:eastAsia="宋体" w:cs="宋体"/>
                <w:b/>
                <w:bCs/>
                <w:i w:val="0"/>
                <w:iCs w:val="0"/>
                <w:color w:val="auto"/>
                <w:sz w:val="18"/>
                <w:szCs w:val="18"/>
                <w:u w:val="none"/>
              </w:rPr>
            </w:pP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431EA">
            <w:pPr>
              <w:jc w:val="center"/>
              <w:rPr>
                <w:rFonts w:hint="eastAsia" w:ascii="宋体" w:hAnsi="宋体" w:eastAsia="宋体" w:cs="宋体"/>
                <w:i w:val="0"/>
                <w:iCs w:val="0"/>
                <w:color w:val="auto"/>
                <w:sz w:val="18"/>
                <w:szCs w:val="18"/>
                <w:u w:val="none"/>
              </w:rPr>
            </w:pPr>
          </w:p>
        </w:tc>
        <w:tc>
          <w:tcPr>
            <w:tcW w:w="3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8B26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严控一般性支出</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0D78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2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5947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部门严控“三公”经费、会议、培训、差旅、办节办展、办公设备购置、信息网络及软件购置更新、课题经费等8项一般性支出情况</w:t>
            </w:r>
          </w:p>
        </w:tc>
        <w:tc>
          <w:tcPr>
            <w:tcW w:w="4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A0A9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该项指标得分=基础分值+加分值。</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1.基础分值。一般性支出财政拨款年初预算较上年实现压减得1.5分；一般性支出财政拨款预算执行较上年实现压减得1.5分。</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2.加分值。一般性支出财政拨款年初预算较上年每压减1%得0.2分，累计不超过1分；一般性支出财政拨款预算执行较上年每压减1%得0.4分，累计不超过2分。</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8A13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5.8</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52715">
            <w:pPr>
              <w:rPr>
                <w:rFonts w:hint="eastAsia" w:ascii="宋体" w:hAnsi="宋体" w:eastAsia="宋体" w:cs="宋体"/>
                <w:i w:val="0"/>
                <w:iCs w:val="0"/>
                <w:color w:val="auto"/>
                <w:sz w:val="18"/>
                <w:szCs w:val="18"/>
                <w:u w:val="none"/>
              </w:rPr>
            </w:pPr>
          </w:p>
        </w:tc>
      </w:tr>
      <w:tr w14:paraId="2DBCA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4" w:hRule="atLeast"/>
        </w:trPr>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CE520">
            <w:pPr>
              <w:jc w:val="center"/>
              <w:rPr>
                <w:rFonts w:hint="eastAsia" w:ascii="宋体" w:hAnsi="宋体" w:eastAsia="宋体" w:cs="宋体"/>
                <w:b/>
                <w:bCs/>
                <w:i w:val="0"/>
                <w:iCs w:val="0"/>
                <w:color w:val="auto"/>
                <w:sz w:val="18"/>
                <w:szCs w:val="18"/>
                <w:u w:val="none"/>
              </w:rPr>
            </w:pPr>
          </w:p>
        </w:tc>
        <w:tc>
          <w:tcPr>
            <w:tcW w:w="10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EC385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资产管理</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（9分）</w:t>
            </w:r>
          </w:p>
        </w:tc>
        <w:tc>
          <w:tcPr>
            <w:tcW w:w="3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810D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人均资产变化率</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0AC6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2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71B5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部门人均资产变化情况</w:t>
            </w:r>
          </w:p>
        </w:tc>
        <w:tc>
          <w:tcPr>
            <w:tcW w:w="4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3219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Style w:val="48"/>
                <w:color w:val="auto"/>
                <w:sz w:val="18"/>
                <w:szCs w:val="18"/>
                <w:lang w:val="en-US" w:eastAsia="zh-CN" w:bidi="ar"/>
              </w:rPr>
              <w:t>部门人均资产变化率Y=（2024年行政事业单位人均占有资产-2023年行政事业单位人均占有资产）÷2023年行政事业单位人均占有资产×100%。行政事业单位人均占有资产=（固定资产净值+无形资产净值）÷行政事业单位编制内实有人数。</w:t>
            </w:r>
            <w:r>
              <w:rPr>
                <w:rFonts w:hint="eastAsia" w:ascii="宋体" w:hAnsi="宋体" w:eastAsia="宋体" w:cs="宋体"/>
                <w:i w:val="0"/>
                <w:iCs w:val="0"/>
                <w:color w:val="auto"/>
                <w:kern w:val="0"/>
                <w:sz w:val="18"/>
                <w:szCs w:val="18"/>
                <w:u w:val="none"/>
                <w:lang w:val="en-US" w:eastAsia="zh-CN" w:bidi="ar"/>
              </w:rPr>
              <w:t>2024年市直行政事业单位人均资产变化率平均值N为-4.63%</w:t>
            </w:r>
            <w:r>
              <w:rPr>
                <w:rStyle w:val="48"/>
                <w:color w:val="auto"/>
                <w:sz w:val="18"/>
                <w:szCs w:val="18"/>
                <w:lang w:val="en-US" w:eastAsia="zh-CN" w:bidi="ar"/>
              </w:rPr>
              <w:t>，Y≤N，得3分；N＜Y≤0.8N（即-3.704%），得2分；0.8N＜Y≤0.5N（即-2.32%），得1分；Y＞0.5N，得0分。</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A634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2978D">
            <w:pPr>
              <w:rPr>
                <w:rFonts w:hint="eastAsia" w:ascii="宋体" w:hAnsi="宋体" w:eastAsia="宋体" w:cs="宋体"/>
                <w:i w:val="0"/>
                <w:iCs w:val="0"/>
                <w:color w:val="auto"/>
                <w:sz w:val="18"/>
                <w:szCs w:val="18"/>
                <w:u w:val="none"/>
              </w:rPr>
            </w:pPr>
          </w:p>
        </w:tc>
      </w:tr>
      <w:tr w14:paraId="4A7AA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4" w:hRule="atLeast"/>
        </w:trPr>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575EA">
            <w:pPr>
              <w:jc w:val="center"/>
              <w:rPr>
                <w:rFonts w:hint="eastAsia" w:ascii="宋体" w:hAnsi="宋体" w:eastAsia="宋体" w:cs="宋体"/>
                <w:b/>
                <w:bCs/>
                <w:i w:val="0"/>
                <w:iCs w:val="0"/>
                <w:color w:val="auto"/>
                <w:sz w:val="18"/>
                <w:szCs w:val="18"/>
                <w:u w:val="none"/>
              </w:rPr>
            </w:pP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77AE0">
            <w:pPr>
              <w:jc w:val="center"/>
              <w:rPr>
                <w:rFonts w:hint="eastAsia" w:ascii="宋体" w:hAnsi="宋体" w:eastAsia="宋体" w:cs="宋体"/>
                <w:i w:val="0"/>
                <w:iCs w:val="0"/>
                <w:color w:val="auto"/>
                <w:sz w:val="18"/>
                <w:szCs w:val="18"/>
                <w:u w:val="none"/>
              </w:rPr>
            </w:pPr>
          </w:p>
        </w:tc>
        <w:tc>
          <w:tcPr>
            <w:tcW w:w="3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4265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资产利用率</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B7D1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2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34B1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部门资产超最低使用年限情况</w:t>
            </w:r>
          </w:p>
        </w:tc>
        <w:tc>
          <w:tcPr>
            <w:tcW w:w="4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9D3A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Style w:val="48"/>
                <w:color w:val="auto"/>
                <w:sz w:val="18"/>
                <w:szCs w:val="18"/>
                <w:lang w:val="en-US" w:eastAsia="zh-CN" w:bidi="ar"/>
              </w:rPr>
              <w:t>该项指标得分=（超最低使用年限的办公家具账面原值÷办公家具账面原值×100%×1.5）</w:t>
            </w:r>
            <w:r>
              <w:rPr>
                <w:rFonts w:hint="eastAsia" w:ascii="宋体" w:hAnsi="宋体" w:eastAsia="宋体" w:cs="宋体"/>
                <w:i w:val="0"/>
                <w:iCs w:val="0"/>
                <w:color w:val="auto"/>
                <w:kern w:val="0"/>
                <w:sz w:val="18"/>
                <w:szCs w:val="18"/>
                <w:u w:val="none"/>
                <w:lang w:val="en-US" w:eastAsia="zh-CN" w:bidi="ar"/>
              </w:rPr>
              <w:t>省级平均值办公家具为N=16.77%。Y≥N，得1.5分；0.8N≤Y＜N，得1分；0.5N≤Y＜0.8N，得0.5分；Y＜0.5N，得0分。</w:t>
            </w:r>
            <w:r>
              <w:rPr>
                <w:rStyle w:val="48"/>
                <w:color w:val="auto"/>
                <w:sz w:val="18"/>
                <w:szCs w:val="18"/>
                <w:lang w:val="en-US" w:eastAsia="zh-CN" w:bidi="ar"/>
              </w:rPr>
              <w:t>+（超最低使用年限的办公设备账面原值÷办公设备账面原值×100%×1.5）。</w:t>
            </w:r>
            <w:r>
              <w:rPr>
                <w:rFonts w:hint="eastAsia" w:ascii="宋体" w:hAnsi="宋体" w:eastAsia="宋体" w:cs="宋体"/>
                <w:i w:val="0"/>
                <w:iCs w:val="0"/>
                <w:color w:val="auto"/>
                <w:kern w:val="0"/>
                <w:sz w:val="18"/>
                <w:szCs w:val="18"/>
                <w:u w:val="none"/>
                <w:lang w:val="en-US" w:eastAsia="zh-CN" w:bidi="ar"/>
              </w:rPr>
              <w:t>省级平均值办公设备为N=41.20%。Y≥N，得1.5分；0.8N≤Y＜N，得1分；0.5N≤Y＜0.8N，得0.5分；Y＜0.5N，得0分。</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86A8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BD9D9">
            <w:pPr>
              <w:rPr>
                <w:rFonts w:hint="eastAsia" w:ascii="宋体" w:hAnsi="宋体" w:eastAsia="宋体" w:cs="宋体"/>
                <w:i w:val="0"/>
                <w:iCs w:val="0"/>
                <w:color w:val="auto"/>
                <w:sz w:val="18"/>
                <w:szCs w:val="18"/>
                <w:u w:val="none"/>
              </w:rPr>
            </w:pPr>
          </w:p>
        </w:tc>
      </w:tr>
      <w:tr w14:paraId="6E38A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3" w:hRule="atLeast"/>
        </w:trPr>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15CB4">
            <w:pPr>
              <w:jc w:val="center"/>
              <w:rPr>
                <w:rFonts w:hint="eastAsia" w:ascii="宋体" w:hAnsi="宋体" w:eastAsia="宋体" w:cs="宋体"/>
                <w:b/>
                <w:bCs/>
                <w:i w:val="0"/>
                <w:iCs w:val="0"/>
                <w:color w:val="auto"/>
                <w:sz w:val="18"/>
                <w:szCs w:val="18"/>
                <w:u w:val="none"/>
              </w:rPr>
            </w:pP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58F5F">
            <w:pPr>
              <w:jc w:val="center"/>
              <w:rPr>
                <w:rFonts w:hint="eastAsia" w:ascii="宋体" w:hAnsi="宋体" w:eastAsia="宋体" w:cs="宋体"/>
                <w:i w:val="0"/>
                <w:iCs w:val="0"/>
                <w:color w:val="auto"/>
                <w:sz w:val="18"/>
                <w:szCs w:val="18"/>
                <w:u w:val="none"/>
              </w:rPr>
            </w:pPr>
          </w:p>
        </w:tc>
        <w:tc>
          <w:tcPr>
            <w:tcW w:w="3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498B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资产盘活率</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FBE5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2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2569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部门闲置一年以上的资产盘活情况</w:t>
            </w:r>
          </w:p>
        </w:tc>
        <w:tc>
          <w:tcPr>
            <w:tcW w:w="4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A18A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门闲置资产占比变化率=(本年闲置资产账面价值÷本年总资产账面价值)÷(上一年度闲置资产账面价值÷上一年度总资产账面价值)×100%，变化率在60%以下的得2.4分，60%-80%的得1.8分，80-100%的得1.2分，100%以上的不得分。两年均无闲置资产或上年度有闲置资产评价年度无闲置资产的，该项指标得3分。</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0A3E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25DBB">
            <w:pPr>
              <w:rPr>
                <w:rFonts w:hint="eastAsia" w:ascii="宋体" w:hAnsi="宋体" w:eastAsia="宋体" w:cs="宋体"/>
                <w:i w:val="0"/>
                <w:iCs w:val="0"/>
                <w:color w:val="auto"/>
                <w:sz w:val="18"/>
                <w:szCs w:val="18"/>
                <w:u w:val="none"/>
              </w:rPr>
            </w:pPr>
          </w:p>
        </w:tc>
      </w:tr>
      <w:tr w14:paraId="0D3E4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57266">
            <w:pPr>
              <w:jc w:val="center"/>
              <w:rPr>
                <w:rFonts w:hint="eastAsia" w:ascii="宋体" w:hAnsi="宋体" w:eastAsia="宋体" w:cs="宋体"/>
                <w:b/>
                <w:bCs/>
                <w:i w:val="0"/>
                <w:iCs w:val="0"/>
                <w:color w:val="auto"/>
                <w:sz w:val="18"/>
                <w:szCs w:val="18"/>
                <w:u w:val="none"/>
              </w:rPr>
            </w:pPr>
          </w:p>
        </w:tc>
        <w:tc>
          <w:tcPr>
            <w:tcW w:w="10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E5232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采购管理</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（6分）</w:t>
            </w:r>
          </w:p>
        </w:tc>
        <w:tc>
          <w:tcPr>
            <w:tcW w:w="3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8119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支持中小企业发展</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E2FC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2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12F5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部门是否严格执行政府采购促进中小企业发展相关管理办法</w:t>
            </w:r>
          </w:p>
        </w:tc>
        <w:tc>
          <w:tcPr>
            <w:tcW w:w="4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FE61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对适宜由中小企业提供的采购项目和采购包，预留采购份额专门面向中小企业采购，并在采购预算中单独列示，不符合要求的扣3分。</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E26A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E4C75">
            <w:pPr>
              <w:rPr>
                <w:rFonts w:hint="eastAsia" w:ascii="宋体" w:hAnsi="宋体" w:eastAsia="宋体" w:cs="宋体"/>
                <w:i w:val="0"/>
                <w:iCs w:val="0"/>
                <w:color w:val="auto"/>
                <w:sz w:val="18"/>
                <w:szCs w:val="18"/>
                <w:u w:val="none"/>
              </w:rPr>
            </w:pPr>
          </w:p>
        </w:tc>
      </w:tr>
      <w:tr w14:paraId="1BFCF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3587C">
            <w:pPr>
              <w:jc w:val="center"/>
              <w:rPr>
                <w:rFonts w:hint="eastAsia" w:ascii="宋体" w:hAnsi="宋体" w:eastAsia="宋体" w:cs="宋体"/>
                <w:b/>
                <w:bCs/>
                <w:i w:val="0"/>
                <w:iCs w:val="0"/>
                <w:color w:val="auto"/>
                <w:sz w:val="18"/>
                <w:szCs w:val="18"/>
                <w:u w:val="none"/>
              </w:rPr>
            </w:pP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F6143">
            <w:pPr>
              <w:jc w:val="center"/>
              <w:rPr>
                <w:rFonts w:hint="eastAsia" w:ascii="宋体" w:hAnsi="宋体" w:eastAsia="宋体" w:cs="宋体"/>
                <w:i w:val="0"/>
                <w:iCs w:val="0"/>
                <w:color w:val="auto"/>
                <w:sz w:val="18"/>
                <w:szCs w:val="18"/>
                <w:u w:val="none"/>
              </w:rPr>
            </w:pPr>
          </w:p>
        </w:tc>
        <w:tc>
          <w:tcPr>
            <w:tcW w:w="3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8170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采购执行率</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7A6C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2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0D8E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部门政府采购项目资金支付比例情况</w:t>
            </w:r>
          </w:p>
        </w:tc>
        <w:tc>
          <w:tcPr>
            <w:tcW w:w="4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EAAA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该项指标得分=当年政府采购实际支付总金额÷（当年政府采购总预算数-当年已完成采购项目节约金额）×100%×3。</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477E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06234">
            <w:pPr>
              <w:rPr>
                <w:rFonts w:hint="eastAsia" w:ascii="宋体" w:hAnsi="宋体" w:eastAsia="宋体" w:cs="宋体"/>
                <w:i w:val="0"/>
                <w:iCs w:val="0"/>
                <w:color w:val="auto"/>
                <w:sz w:val="18"/>
                <w:szCs w:val="18"/>
                <w:u w:val="none"/>
              </w:rPr>
            </w:pPr>
          </w:p>
        </w:tc>
      </w:tr>
      <w:tr w14:paraId="7F5C8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9" w:hRule="atLeast"/>
        </w:trPr>
        <w:tc>
          <w:tcPr>
            <w:tcW w:w="10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A230D1">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项目绩效</w:t>
            </w:r>
            <w:r>
              <w:rPr>
                <w:rFonts w:hint="eastAsia" w:ascii="宋体" w:hAnsi="宋体" w:eastAsia="宋体" w:cs="宋体"/>
                <w:b/>
                <w:bCs/>
                <w:i w:val="0"/>
                <w:iCs w:val="0"/>
                <w:color w:val="auto"/>
                <w:kern w:val="0"/>
                <w:sz w:val="18"/>
                <w:szCs w:val="18"/>
                <w:u w:val="none"/>
                <w:lang w:val="en-US" w:eastAsia="zh-CN" w:bidi="ar"/>
              </w:rPr>
              <w:br w:type="textWrapping"/>
            </w:r>
            <w:r>
              <w:rPr>
                <w:rFonts w:hint="eastAsia" w:ascii="宋体" w:hAnsi="宋体" w:eastAsia="宋体" w:cs="宋体"/>
                <w:b/>
                <w:bCs/>
                <w:i w:val="0"/>
                <w:iCs w:val="0"/>
                <w:color w:val="auto"/>
                <w:kern w:val="0"/>
                <w:sz w:val="18"/>
                <w:szCs w:val="18"/>
                <w:u w:val="none"/>
                <w:lang w:val="en-US" w:eastAsia="zh-CN" w:bidi="ar"/>
              </w:rPr>
              <w:t>（44分）</w:t>
            </w:r>
          </w:p>
        </w:tc>
        <w:tc>
          <w:tcPr>
            <w:tcW w:w="10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AD9FB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项目决策</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（12分）</w:t>
            </w:r>
          </w:p>
        </w:tc>
        <w:tc>
          <w:tcPr>
            <w:tcW w:w="3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1069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决策程序</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5C0A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2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3324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部门预算项目设立是否按规定履行评估论证、申报程序</w:t>
            </w:r>
          </w:p>
        </w:tc>
        <w:tc>
          <w:tcPr>
            <w:tcW w:w="4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13C4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该项指标得分=4-部门未履行事前评估程序的部门预算阶段项目（含一次性项目）数量÷应该开展部门预算阶段项目（含一次性项目）总数×100%×4。抽评的部门预算阶段项目（含一次性项目）总数10个以下的全部纳入，每增加5个多纳入1个，最多不超过30个，下同。若无部门预算阶段项目（含一次性项目），则主要查看部门预算项目整体决策程序。</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9FAF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D4AF0">
            <w:pPr>
              <w:rPr>
                <w:rFonts w:hint="eastAsia" w:ascii="宋体" w:hAnsi="宋体" w:eastAsia="宋体" w:cs="宋体"/>
                <w:i w:val="0"/>
                <w:iCs w:val="0"/>
                <w:color w:val="auto"/>
                <w:sz w:val="18"/>
                <w:szCs w:val="18"/>
                <w:u w:val="none"/>
              </w:rPr>
            </w:pPr>
          </w:p>
        </w:tc>
      </w:tr>
      <w:tr w14:paraId="556F5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3" w:hRule="atLeast"/>
        </w:trPr>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BD589">
            <w:pPr>
              <w:jc w:val="center"/>
              <w:rPr>
                <w:rFonts w:hint="eastAsia" w:ascii="宋体" w:hAnsi="宋体" w:eastAsia="宋体" w:cs="宋体"/>
                <w:b/>
                <w:bCs/>
                <w:i w:val="0"/>
                <w:iCs w:val="0"/>
                <w:color w:val="auto"/>
                <w:sz w:val="18"/>
                <w:szCs w:val="18"/>
                <w:u w:val="none"/>
              </w:rPr>
            </w:pP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72A2A">
            <w:pPr>
              <w:jc w:val="center"/>
              <w:rPr>
                <w:rFonts w:hint="eastAsia" w:ascii="宋体" w:hAnsi="宋体" w:eastAsia="宋体" w:cs="宋体"/>
                <w:i w:val="0"/>
                <w:iCs w:val="0"/>
                <w:color w:val="auto"/>
                <w:sz w:val="18"/>
                <w:szCs w:val="18"/>
                <w:u w:val="none"/>
              </w:rPr>
            </w:pPr>
          </w:p>
        </w:tc>
        <w:tc>
          <w:tcPr>
            <w:tcW w:w="3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3206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目标设置</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B727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2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EF56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部门预算项目绩效目标与计划期内的任务量、预算安排的资金量匹配情况，绩效目标设置是否科学合理、规范完整、量化细化、预算匹配</w:t>
            </w:r>
          </w:p>
        </w:tc>
        <w:tc>
          <w:tcPr>
            <w:tcW w:w="4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6E71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该项指标得分=4-绩效目标与计划期内的任务量、预算安排不相匹配的部门预算阶段项目（含一次性项目）数量÷部门预算阶段项目（含一次性项目）总数×100%×4。若无部门预算阶段项目（含一次性项目），则抽评涉及核心业务、资金量大的其他部门预算项目，下同。</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CC81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25A58">
            <w:pPr>
              <w:rPr>
                <w:rFonts w:hint="eastAsia" w:ascii="宋体" w:hAnsi="宋体" w:eastAsia="宋体" w:cs="宋体"/>
                <w:i w:val="0"/>
                <w:iCs w:val="0"/>
                <w:color w:val="auto"/>
                <w:sz w:val="18"/>
                <w:szCs w:val="18"/>
                <w:u w:val="none"/>
              </w:rPr>
            </w:pPr>
          </w:p>
        </w:tc>
      </w:tr>
      <w:tr w14:paraId="4ACC5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0297B">
            <w:pPr>
              <w:jc w:val="center"/>
              <w:rPr>
                <w:rFonts w:hint="eastAsia" w:ascii="宋体" w:hAnsi="宋体" w:eastAsia="宋体" w:cs="宋体"/>
                <w:b/>
                <w:bCs/>
                <w:i w:val="0"/>
                <w:iCs w:val="0"/>
                <w:color w:val="auto"/>
                <w:sz w:val="18"/>
                <w:szCs w:val="18"/>
                <w:u w:val="none"/>
              </w:rPr>
            </w:pP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BDCD8">
            <w:pPr>
              <w:jc w:val="center"/>
              <w:rPr>
                <w:rFonts w:hint="eastAsia" w:ascii="宋体" w:hAnsi="宋体" w:eastAsia="宋体" w:cs="宋体"/>
                <w:i w:val="0"/>
                <w:iCs w:val="0"/>
                <w:color w:val="auto"/>
                <w:sz w:val="18"/>
                <w:szCs w:val="18"/>
                <w:u w:val="none"/>
              </w:rPr>
            </w:pPr>
          </w:p>
        </w:tc>
        <w:tc>
          <w:tcPr>
            <w:tcW w:w="3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1CF7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项目入库</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7438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2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FC4B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部门预算项目是否在规定时间完成项目入库</w:t>
            </w:r>
          </w:p>
        </w:tc>
        <w:tc>
          <w:tcPr>
            <w:tcW w:w="4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E151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该项指标得分=4-规定时间未入财政库部门预算阶段项目（含一次性项目）数量÷最终安排部门预算阶段项目（含一次性项目）总数×100%×4。（默认满分）</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3C9E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F3E8E">
            <w:pPr>
              <w:rPr>
                <w:rFonts w:hint="eastAsia" w:ascii="宋体" w:hAnsi="宋体" w:eastAsia="宋体" w:cs="宋体"/>
                <w:i w:val="0"/>
                <w:iCs w:val="0"/>
                <w:color w:val="auto"/>
                <w:sz w:val="18"/>
                <w:szCs w:val="18"/>
                <w:u w:val="none"/>
              </w:rPr>
            </w:pPr>
          </w:p>
        </w:tc>
      </w:tr>
      <w:tr w14:paraId="5295A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DE2A9">
            <w:pPr>
              <w:jc w:val="center"/>
              <w:rPr>
                <w:rFonts w:hint="eastAsia" w:ascii="宋体" w:hAnsi="宋体" w:eastAsia="宋体" w:cs="宋体"/>
                <w:b/>
                <w:bCs/>
                <w:i w:val="0"/>
                <w:iCs w:val="0"/>
                <w:color w:val="auto"/>
                <w:sz w:val="18"/>
                <w:szCs w:val="18"/>
                <w:u w:val="none"/>
              </w:rPr>
            </w:pPr>
          </w:p>
        </w:tc>
        <w:tc>
          <w:tcPr>
            <w:tcW w:w="10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6BD87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项目执行</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（15分）</w:t>
            </w:r>
          </w:p>
        </w:tc>
        <w:tc>
          <w:tcPr>
            <w:tcW w:w="3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94CF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执行同向</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F4DC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2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B088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部门预算项目实际列支内容是否与绩效目标设置方向相符</w:t>
            </w:r>
          </w:p>
        </w:tc>
        <w:tc>
          <w:tcPr>
            <w:tcW w:w="4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FAA2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该项指标得分=4-实际列支内容与绩效目标设置方向不相符的部门预算阶段项目（含一次性项目）数量÷部门预算阶段项目（含一次性项目）总数×100%×5。</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9104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393EB">
            <w:pPr>
              <w:rPr>
                <w:rFonts w:hint="eastAsia" w:ascii="宋体" w:hAnsi="宋体" w:eastAsia="宋体" w:cs="宋体"/>
                <w:i w:val="0"/>
                <w:iCs w:val="0"/>
                <w:color w:val="auto"/>
                <w:sz w:val="18"/>
                <w:szCs w:val="18"/>
                <w:u w:val="none"/>
              </w:rPr>
            </w:pPr>
          </w:p>
        </w:tc>
      </w:tr>
      <w:tr w14:paraId="3D443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7" w:hRule="atLeast"/>
        </w:trPr>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ACD30">
            <w:pPr>
              <w:jc w:val="center"/>
              <w:rPr>
                <w:rFonts w:hint="eastAsia" w:ascii="宋体" w:hAnsi="宋体" w:eastAsia="宋体" w:cs="宋体"/>
                <w:b/>
                <w:bCs/>
                <w:i w:val="0"/>
                <w:iCs w:val="0"/>
                <w:color w:val="auto"/>
                <w:sz w:val="18"/>
                <w:szCs w:val="18"/>
                <w:u w:val="none"/>
              </w:rPr>
            </w:pP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D2CFD">
            <w:pPr>
              <w:jc w:val="center"/>
              <w:rPr>
                <w:rFonts w:hint="eastAsia" w:ascii="宋体" w:hAnsi="宋体" w:eastAsia="宋体" w:cs="宋体"/>
                <w:i w:val="0"/>
                <w:iCs w:val="0"/>
                <w:color w:val="auto"/>
                <w:sz w:val="18"/>
                <w:szCs w:val="18"/>
                <w:u w:val="none"/>
              </w:rPr>
            </w:pPr>
          </w:p>
        </w:tc>
        <w:tc>
          <w:tcPr>
            <w:tcW w:w="3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6ED0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项目调整</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D3B1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2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F843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部门预算项目是否采取对应调整措施</w:t>
            </w:r>
          </w:p>
        </w:tc>
        <w:tc>
          <w:tcPr>
            <w:tcW w:w="4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4881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该项指标得分=4-应采取未采取收回预算、调整目标等处置措施的部门预算阶段项目（含一次性项目）数量÷应采取收回预算、调整目标等处置措施的部门预算阶段项目（含一次性项目）总数×100%×6。</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6B32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328B8">
            <w:pPr>
              <w:rPr>
                <w:rFonts w:hint="eastAsia" w:ascii="宋体" w:hAnsi="宋体" w:eastAsia="宋体" w:cs="宋体"/>
                <w:i w:val="0"/>
                <w:iCs w:val="0"/>
                <w:color w:val="auto"/>
                <w:sz w:val="18"/>
                <w:szCs w:val="18"/>
                <w:u w:val="none"/>
              </w:rPr>
            </w:pPr>
          </w:p>
        </w:tc>
      </w:tr>
      <w:tr w14:paraId="12735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7" w:hRule="atLeast"/>
        </w:trPr>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BE06F">
            <w:pPr>
              <w:jc w:val="center"/>
              <w:rPr>
                <w:rFonts w:hint="eastAsia" w:ascii="宋体" w:hAnsi="宋体" w:eastAsia="宋体" w:cs="宋体"/>
                <w:b/>
                <w:bCs/>
                <w:i w:val="0"/>
                <w:iCs w:val="0"/>
                <w:color w:val="auto"/>
                <w:sz w:val="18"/>
                <w:szCs w:val="18"/>
                <w:u w:val="none"/>
              </w:rPr>
            </w:pP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202D0">
            <w:pPr>
              <w:jc w:val="center"/>
              <w:rPr>
                <w:rFonts w:hint="eastAsia" w:ascii="宋体" w:hAnsi="宋体" w:eastAsia="宋体" w:cs="宋体"/>
                <w:i w:val="0"/>
                <w:iCs w:val="0"/>
                <w:color w:val="auto"/>
                <w:sz w:val="18"/>
                <w:szCs w:val="18"/>
                <w:u w:val="none"/>
              </w:rPr>
            </w:pPr>
          </w:p>
        </w:tc>
        <w:tc>
          <w:tcPr>
            <w:tcW w:w="3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C034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执行结果</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AA61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2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5A68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部门预算项目预算执行情况</w:t>
            </w:r>
          </w:p>
        </w:tc>
        <w:tc>
          <w:tcPr>
            <w:tcW w:w="4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C873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该项指标得分=预算结余率小于10%的常年项目数量÷部门预算常年项目总数×100%×2+预算结余率小于10%的一次性项目和阶段项目数量÷部门预算一次性项目和阶段项目总数×100%×2。</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E91C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F6C29">
            <w:pPr>
              <w:rPr>
                <w:rFonts w:hint="eastAsia" w:ascii="宋体" w:hAnsi="宋体" w:eastAsia="宋体" w:cs="宋体"/>
                <w:i w:val="0"/>
                <w:iCs w:val="0"/>
                <w:color w:val="auto"/>
                <w:sz w:val="18"/>
                <w:szCs w:val="18"/>
                <w:u w:val="none"/>
              </w:rPr>
            </w:pPr>
          </w:p>
        </w:tc>
      </w:tr>
      <w:tr w14:paraId="10D56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779E2">
            <w:pPr>
              <w:jc w:val="center"/>
              <w:rPr>
                <w:rFonts w:hint="eastAsia" w:ascii="宋体" w:hAnsi="宋体" w:eastAsia="宋体" w:cs="宋体"/>
                <w:b/>
                <w:bCs/>
                <w:i w:val="0"/>
                <w:iCs w:val="0"/>
                <w:color w:val="auto"/>
                <w:sz w:val="18"/>
                <w:szCs w:val="18"/>
                <w:u w:val="none"/>
              </w:rPr>
            </w:pPr>
          </w:p>
        </w:tc>
        <w:tc>
          <w:tcPr>
            <w:tcW w:w="10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2C4E2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目标实现</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（17分）</w:t>
            </w:r>
          </w:p>
        </w:tc>
        <w:tc>
          <w:tcPr>
            <w:tcW w:w="3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37E9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目标完成</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E859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2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BD42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部门预算项目绩效目标数量指标完成情况</w:t>
            </w:r>
          </w:p>
        </w:tc>
        <w:tc>
          <w:tcPr>
            <w:tcW w:w="4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1830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该项指标得分=完成绩效目标数量指标的部门预算阶段项目（含一次性项目）数量÷部门预算阶段项目（含一次性项目）总数×100%×6。</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449C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54EF4">
            <w:pPr>
              <w:rPr>
                <w:rFonts w:hint="eastAsia" w:ascii="宋体" w:hAnsi="宋体" w:eastAsia="宋体" w:cs="宋体"/>
                <w:i w:val="0"/>
                <w:iCs w:val="0"/>
                <w:color w:val="auto"/>
                <w:sz w:val="18"/>
                <w:szCs w:val="18"/>
                <w:u w:val="none"/>
              </w:rPr>
            </w:pPr>
          </w:p>
        </w:tc>
      </w:tr>
      <w:tr w14:paraId="4CA21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3" w:hRule="atLeast"/>
        </w:trPr>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B73A5">
            <w:pPr>
              <w:jc w:val="center"/>
              <w:rPr>
                <w:rFonts w:hint="eastAsia" w:ascii="宋体" w:hAnsi="宋体" w:eastAsia="宋体" w:cs="宋体"/>
                <w:b/>
                <w:bCs/>
                <w:i w:val="0"/>
                <w:iCs w:val="0"/>
                <w:color w:val="auto"/>
                <w:sz w:val="18"/>
                <w:szCs w:val="18"/>
                <w:u w:val="none"/>
              </w:rPr>
            </w:pP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52DA1">
            <w:pPr>
              <w:jc w:val="center"/>
              <w:rPr>
                <w:rFonts w:hint="eastAsia" w:ascii="宋体" w:hAnsi="宋体" w:eastAsia="宋体" w:cs="宋体"/>
                <w:i w:val="0"/>
                <w:iCs w:val="0"/>
                <w:color w:val="auto"/>
                <w:sz w:val="18"/>
                <w:szCs w:val="18"/>
                <w:u w:val="none"/>
              </w:rPr>
            </w:pPr>
          </w:p>
        </w:tc>
        <w:tc>
          <w:tcPr>
            <w:tcW w:w="3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9164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目标偏离</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91C1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2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4B9F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部门预算项目绩效目标数量指标实现程度与预期目标的偏离情况</w:t>
            </w:r>
          </w:p>
        </w:tc>
        <w:tc>
          <w:tcPr>
            <w:tcW w:w="4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AA3A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该项指标得分=已完成预期指标值的数量指标中偏离度在30%内的指标个数÷已完成预期指标值的数量指标个数×100%×6。偏离度=|（绩效指标实际完成值-设定预期指标值）÷设定预期指标值|。部门预算阶段项目（含一次性项目）绩效目标实际完成值偏离预期指标30%以上（含30%）的，不计分。</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958B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2B9B9">
            <w:pPr>
              <w:rPr>
                <w:rFonts w:hint="eastAsia" w:ascii="宋体" w:hAnsi="宋体" w:eastAsia="宋体" w:cs="宋体"/>
                <w:i w:val="0"/>
                <w:iCs w:val="0"/>
                <w:color w:val="auto"/>
                <w:sz w:val="18"/>
                <w:szCs w:val="18"/>
                <w:u w:val="none"/>
              </w:rPr>
            </w:pPr>
          </w:p>
        </w:tc>
      </w:tr>
      <w:tr w14:paraId="047CF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319A2">
            <w:pPr>
              <w:jc w:val="center"/>
              <w:rPr>
                <w:rFonts w:hint="eastAsia" w:ascii="宋体" w:hAnsi="宋体" w:eastAsia="宋体" w:cs="宋体"/>
                <w:b/>
                <w:bCs/>
                <w:i w:val="0"/>
                <w:iCs w:val="0"/>
                <w:color w:val="auto"/>
                <w:sz w:val="18"/>
                <w:szCs w:val="18"/>
                <w:u w:val="none"/>
              </w:rPr>
            </w:pP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67226">
            <w:pPr>
              <w:jc w:val="center"/>
              <w:rPr>
                <w:rFonts w:hint="eastAsia" w:ascii="宋体" w:hAnsi="宋体" w:eastAsia="宋体" w:cs="宋体"/>
                <w:i w:val="0"/>
                <w:iCs w:val="0"/>
                <w:color w:val="auto"/>
                <w:sz w:val="18"/>
                <w:szCs w:val="18"/>
                <w:u w:val="none"/>
              </w:rPr>
            </w:pPr>
          </w:p>
        </w:tc>
        <w:tc>
          <w:tcPr>
            <w:tcW w:w="3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C431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实现效果</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B07F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2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7A54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部门预算项目绩效目标效益指标实施效果</w:t>
            </w:r>
          </w:p>
        </w:tc>
        <w:tc>
          <w:tcPr>
            <w:tcW w:w="4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BE4F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该项指标得分=完成绩效目标效益指标的部门预算阶段项目（含一次性项目）数量÷部门预算阶段项目（含一次性项目）总数×100%×5。</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93BA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B73AA">
            <w:pPr>
              <w:rPr>
                <w:rFonts w:hint="eastAsia" w:ascii="宋体" w:hAnsi="宋体" w:eastAsia="宋体" w:cs="宋体"/>
                <w:i w:val="0"/>
                <w:iCs w:val="0"/>
                <w:color w:val="auto"/>
                <w:sz w:val="18"/>
                <w:szCs w:val="18"/>
                <w:u w:val="none"/>
              </w:rPr>
            </w:pPr>
          </w:p>
        </w:tc>
      </w:tr>
      <w:tr w14:paraId="116FD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109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8850F">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扣分项</w:t>
            </w:r>
          </w:p>
        </w:tc>
        <w:tc>
          <w:tcPr>
            <w:tcW w:w="109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0317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财务管理</w:t>
            </w:r>
          </w:p>
        </w:tc>
        <w:tc>
          <w:tcPr>
            <w:tcW w:w="3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D0B8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财务管理制度</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9BAE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2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BC7D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部门财务管理制度建立情况</w:t>
            </w:r>
          </w:p>
        </w:tc>
        <w:tc>
          <w:tcPr>
            <w:tcW w:w="4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7A17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部门未制定内部财务管理制度等制度机制的,财务管理制度未得到落实，发现一处扣1分，扣完为止。</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84608">
            <w:pPr>
              <w:jc w:val="center"/>
              <w:rPr>
                <w:rFonts w:hint="eastAsia" w:ascii="宋体" w:hAnsi="宋体" w:eastAsia="宋体" w:cs="宋体"/>
                <w:i w:val="0"/>
                <w:iCs w:val="0"/>
                <w:color w:val="auto"/>
                <w:sz w:val="18"/>
                <w:szCs w:val="18"/>
                <w:u w:val="none"/>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28437">
            <w:pPr>
              <w:rPr>
                <w:rFonts w:hint="eastAsia" w:ascii="宋体" w:hAnsi="宋体" w:eastAsia="宋体" w:cs="宋体"/>
                <w:i w:val="0"/>
                <w:iCs w:val="0"/>
                <w:color w:val="auto"/>
                <w:sz w:val="18"/>
                <w:szCs w:val="18"/>
                <w:u w:val="none"/>
              </w:rPr>
            </w:pPr>
          </w:p>
        </w:tc>
      </w:tr>
      <w:tr w14:paraId="77159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709D2">
            <w:pPr>
              <w:jc w:val="center"/>
              <w:rPr>
                <w:rFonts w:hint="eastAsia" w:ascii="宋体" w:hAnsi="宋体" w:eastAsia="宋体" w:cs="宋体"/>
                <w:b/>
                <w:bCs/>
                <w:i w:val="0"/>
                <w:iCs w:val="0"/>
                <w:color w:val="auto"/>
                <w:sz w:val="18"/>
                <w:szCs w:val="18"/>
                <w:u w:val="none"/>
              </w:rPr>
            </w:pP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3F44B">
            <w:pPr>
              <w:jc w:val="center"/>
              <w:rPr>
                <w:rFonts w:hint="eastAsia" w:ascii="宋体" w:hAnsi="宋体" w:eastAsia="宋体" w:cs="宋体"/>
                <w:i w:val="0"/>
                <w:iCs w:val="0"/>
                <w:color w:val="auto"/>
                <w:sz w:val="18"/>
                <w:szCs w:val="18"/>
                <w:u w:val="none"/>
              </w:rPr>
            </w:pPr>
          </w:p>
        </w:tc>
        <w:tc>
          <w:tcPr>
            <w:tcW w:w="3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4C19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财务岗位设置</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CA40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2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DAD1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部门财务岗位设置是否符合相关财务管理制度要求</w:t>
            </w:r>
          </w:p>
        </w:tc>
        <w:tc>
          <w:tcPr>
            <w:tcW w:w="4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B965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部门未合理设置财务工作岗位，职责权限不明确，未严格实行不相容岗位分离，发现一处扣1分，扣完为止。</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0F2B1">
            <w:pPr>
              <w:jc w:val="center"/>
              <w:rPr>
                <w:rFonts w:hint="eastAsia" w:ascii="宋体" w:hAnsi="宋体" w:eastAsia="宋体" w:cs="宋体"/>
                <w:i w:val="0"/>
                <w:iCs w:val="0"/>
                <w:color w:val="auto"/>
                <w:sz w:val="18"/>
                <w:szCs w:val="18"/>
                <w:u w:val="none"/>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FEE0D">
            <w:pPr>
              <w:rPr>
                <w:rFonts w:hint="eastAsia" w:ascii="宋体" w:hAnsi="宋体" w:eastAsia="宋体" w:cs="宋体"/>
                <w:i w:val="0"/>
                <w:iCs w:val="0"/>
                <w:color w:val="auto"/>
                <w:sz w:val="18"/>
                <w:szCs w:val="18"/>
                <w:u w:val="none"/>
              </w:rPr>
            </w:pPr>
          </w:p>
        </w:tc>
      </w:tr>
      <w:tr w14:paraId="559AA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07266">
            <w:pPr>
              <w:jc w:val="center"/>
              <w:rPr>
                <w:rFonts w:hint="eastAsia" w:ascii="宋体" w:hAnsi="宋体" w:eastAsia="宋体" w:cs="宋体"/>
                <w:b/>
                <w:bCs/>
                <w:i w:val="0"/>
                <w:iCs w:val="0"/>
                <w:color w:val="auto"/>
                <w:sz w:val="18"/>
                <w:szCs w:val="18"/>
                <w:u w:val="none"/>
              </w:rPr>
            </w:pP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33768">
            <w:pPr>
              <w:jc w:val="center"/>
              <w:rPr>
                <w:rFonts w:hint="eastAsia" w:ascii="宋体" w:hAnsi="宋体" w:eastAsia="宋体" w:cs="宋体"/>
                <w:i w:val="0"/>
                <w:iCs w:val="0"/>
                <w:color w:val="auto"/>
                <w:sz w:val="18"/>
                <w:szCs w:val="18"/>
                <w:u w:val="none"/>
              </w:rPr>
            </w:pPr>
          </w:p>
        </w:tc>
        <w:tc>
          <w:tcPr>
            <w:tcW w:w="3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B276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资金使用规范</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3589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2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8DA6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部门资金使用是否符合相关财务管理制度规定</w:t>
            </w:r>
          </w:p>
        </w:tc>
        <w:tc>
          <w:tcPr>
            <w:tcW w:w="4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5192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部门资金使用不符合相关财务管理制度规定的，发现一处扣1分，扣完为止。</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0C391">
            <w:pPr>
              <w:jc w:val="center"/>
              <w:rPr>
                <w:rFonts w:hint="eastAsia" w:ascii="宋体" w:hAnsi="宋体" w:eastAsia="宋体" w:cs="宋体"/>
                <w:i w:val="0"/>
                <w:iCs w:val="0"/>
                <w:color w:val="auto"/>
                <w:sz w:val="18"/>
                <w:szCs w:val="18"/>
                <w:u w:val="none"/>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968AB">
            <w:pPr>
              <w:rPr>
                <w:rFonts w:hint="eastAsia" w:ascii="宋体" w:hAnsi="宋体" w:eastAsia="宋体" w:cs="宋体"/>
                <w:i w:val="0"/>
                <w:iCs w:val="0"/>
                <w:color w:val="auto"/>
                <w:sz w:val="18"/>
                <w:szCs w:val="18"/>
                <w:u w:val="none"/>
              </w:rPr>
            </w:pPr>
          </w:p>
        </w:tc>
      </w:tr>
      <w:tr w14:paraId="4FB5C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7" w:hRule="atLeast"/>
        </w:trPr>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DF642">
            <w:pPr>
              <w:jc w:val="center"/>
              <w:rPr>
                <w:rFonts w:hint="eastAsia" w:ascii="宋体" w:hAnsi="宋体" w:eastAsia="宋体" w:cs="宋体"/>
                <w:b/>
                <w:bCs/>
                <w:i w:val="0"/>
                <w:iCs w:val="0"/>
                <w:color w:val="auto"/>
                <w:sz w:val="18"/>
                <w:szCs w:val="18"/>
                <w:u w:val="none"/>
              </w:rPr>
            </w:pPr>
          </w:p>
        </w:tc>
        <w:tc>
          <w:tcPr>
            <w:tcW w:w="46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CE75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预算绩效存在问题</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1E3D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2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E65A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预算管理和绩效管理工作存在问题</w:t>
            </w:r>
          </w:p>
        </w:tc>
        <w:tc>
          <w:tcPr>
            <w:tcW w:w="4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2CE9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依据评价年度人大监督、巡视巡察、审计监督、财会监督等结果以及评价指标体系涉及的履职效果、预算管理、财务管理、资产管理、采购管理、项目绩效等方面出现的问题，每有一个问题点扣1分，扣完为止。</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97B9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3FBC1">
            <w:pPr>
              <w:rPr>
                <w:rFonts w:hint="eastAsia" w:ascii="宋体" w:hAnsi="宋体" w:eastAsia="宋体" w:cs="宋体"/>
                <w:i w:val="0"/>
                <w:iCs w:val="0"/>
                <w:color w:val="auto"/>
                <w:sz w:val="18"/>
                <w:szCs w:val="18"/>
                <w:u w:val="none"/>
              </w:rPr>
            </w:pPr>
          </w:p>
        </w:tc>
      </w:tr>
      <w:tr w14:paraId="1D99C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00304">
            <w:pPr>
              <w:jc w:val="center"/>
              <w:rPr>
                <w:rFonts w:hint="eastAsia" w:ascii="宋体" w:hAnsi="宋体" w:eastAsia="宋体" w:cs="宋体"/>
                <w:b/>
                <w:bCs/>
                <w:i w:val="0"/>
                <w:iCs w:val="0"/>
                <w:color w:val="auto"/>
                <w:sz w:val="18"/>
                <w:szCs w:val="18"/>
                <w:u w:val="none"/>
              </w:rPr>
            </w:pPr>
          </w:p>
        </w:tc>
        <w:tc>
          <w:tcPr>
            <w:tcW w:w="46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C994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被评价部门配合度</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7DE2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2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EDF7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被评价对象工作配合情况</w:t>
            </w:r>
          </w:p>
        </w:tc>
        <w:tc>
          <w:tcPr>
            <w:tcW w:w="4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C939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评价工作开展过程中，被评价对象拖延推诿、提交资料不及时等拒不配合评价工作的，每发现一次扣1分，扣完为止。</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B6424">
            <w:pPr>
              <w:rPr>
                <w:rFonts w:hint="eastAsia" w:ascii="宋体" w:hAnsi="宋体" w:eastAsia="宋体" w:cs="宋体"/>
                <w:i w:val="0"/>
                <w:iCs w:val="0"/>
                <w:color w:val="auto"/>
                <w:sz w:val="18"/>
                <w:szCs w:val="18"/>
                <w:u w:val="none"/>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BE2BF">
            <w:pPr>
              <w:rPr>
                <w:rFonts w:hint="eastAsia" w:ascii="宋体" w:hAnsi="宋体" w:eastAsia="宋体" w:cs="宋体"/>
                <w:i w:val="0"/>
                <w:iCs w:val="0"/>
                <w:color w:val="auto"/>
                <w:sz w:val="18"/>
                <w:szCs w:val="18"/>
                <w:u w:val="none"/>
              </w:rPr>
            </w:pPr>
          </w:p>
        </w:tc>
      </w:tr>
      <w:tr w14:paraId="0336F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57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A6D3C">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分值</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83468">
            <w:pPr>
              <w:rPr>
                <w:rFonts w:hint="eastAsia" w:ascii="宋体" w:hAnsi="宋体" w:eastAsia="宋体" w:cs="宋体"/>
                <w:i w:val="0"/>
                <w:iCs w:val="0"/>
                <w:color w:val="auto"/>
                <w:sz w:val="18"/>
                <w:szCs w:val="18"/>
                <w:u w:val="none"/>
              </w:rPr>
            </w:pP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A2541">
            <w:pPr>
              <w:rPr>
                <w:rFonts w:hint="eastAsia" w:ascii="宋体" w:hAnsi="宋体" w:eastAsia="宋体" w:cs="宋体"/>
                <w:i w:val="0"/>
                <w:iCs w:val="0"/>
                <w:color w:val="auto"/>
                <w:sz w:val="18"/>
                <w:szCs w:val="18"/>
                <w:u w:val="none"/>
              </w:rPr>
            </w:pPr>
          </w:p>
        </w:tc>
        <w:tc>
          <w:tcPr>
            <w:tcW w:w="4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C28EA">
            <w:pPr>
              <w:rPr>
                <w:rFonts w:hint="eastAsia" w:ascii="宋体" w:hAnsi="宋体" w:eastAsia="宋体" w:cs="宋体"/>
                <w:i w:val="0"/>
                <w:iCs w:val="0"/>
                <w:color w:val="auto"/>
                <w:sz w:val="18"/>
                <w:szCs w:val="18"/>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C8A1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94.2</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36795">
            <w:pPr>
              <w:rPr>
                <w:rFonts w:hint="eastAsia" w:ascii="宋体" w:hAnsi="宋体" w:eastAsia="宋体" w:cs="宋体"/>
                <w:i w:val="0"/>
                <w:iCs w:val="0"/>
                <w:color w:val="auto"/>
                <w:sz w:val="18"/>
                <w:szCs w:val="18"/>
                <w:u w:val="none"/>
              </w:rPr>
            </w:pPr>
          </w:p>
        </w:tc>
      </w:tr>
    </w:tbl>
    <w:p w14:paraId="2E2C1145">
      <w:pPr>
        <w:pStyle w:val="11"/>
        <w:keepNext w:val="0"/>
        <w:keepLines w:val="0"/>
        <w:pageBreakBefore w:val="0"/>
        <w:numPr>
          <w:ilvl w:val="0"/>
          <w:numId w:val="0"/>
        </w:numPr>
        <w:kinsoku/>
        <w:wordWrap/>
        <w:overflowPunct/>
        <w:topLinePunct w:val="0"/>
        <w:autoSpaceDE/>
        <w:autoSpaceDN/>
        <w:bidi w:val="0"/>
        <w:spacing w:line="560" w:lineRule="exact"/>
        <w:ind w:firstLine="960" w:firstLineChars="300"/>
        <w:jc w:val="left"/>
        <w:textAlignment w:val="auto"/>
        <w:rPr>
          <w:rFonts w:hint="eastAsia" w:ascii="Times New Roman" w:hAnsi="Times New Roman" w:eastAsia="仿宋_GB2312" w:cs="Times New Roman"/>
          <w:kern w:val="2"/>
          <w:sz w:val="32"/>
          <w:szCs w:val="32"/>
          <w:u w:val="none"/>
          <w:lang w:val="en-US" w:eastAsia="zh-CN" w:bidi="ar"/>
        </w:rPr>
        <w:sectPr>
          <w:footerReference r:id="rId7" w:type="default"/>
          <w:pgSz w:w="16838" w:h="11906" w:orient="landscape"/>
          <w:pgMar w:top="1800" w:right="1440" w:bottom="1800" w:left="1440" w:header="851" w:footer="992" w:gutter="0"/>
          <w:pgNumType w:fmt="numberInDash" w:start="24"/>
          <w:cols w:space="425" w:num="1"/>
          <w:docGrid w:type="lines" w:linePitch="312" w:charSpace="0"/>
        </w:sectPr>
      </w:pPr>
    </w:p>
    <w:tbl>
      <w:tblPr>
        <w:tblStyle w:val="21"/>
        <w:tblW w:w="98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6"/>
        <w:gridCol w:w="1316"/>
        <w:gridCol w:w="1143"/>
        <w:gridCol w:w="1443"/>
        <w:gridCol w:w="396"/>
        <w:gridCol w:w="1100"/>
        <w:gridCol w:w="396"/>
        <w:gridCol w:w="846"/>
        <w:gridCol w:w="501"/>
        <w:gridCol w:w="585"/>
        <w:gridCol w:w="1518"/>
      </w:tblGrid>
      <w:tr w14:paraId="6C8B8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9" w:hRule="atLeast"/>
        </w:trPr>
        <w:tc>
          <w:tcPr>
            <w:tcW w:w="98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6A5D9FE">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2A50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A8C82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2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143BEB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51090423T000009622306-安可资金</w:t>
            </w:r>
          </w:p>
        </w:tc>
      </w:tr>
      <w:tr w14:paraId="26178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14D2F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4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BB136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中共遂宁市安居区委巡察工作领导小组办公室部门</w:t>
            </w:r>
          </w:p>
        </w:tc>
        <w:tc>
          <w:tcPr>
            <w:tcW w:w="846" w:type="dxa"/>
            <w:tcBorders>
              <w:top w:val="nil"/>
              <w:left w:val="nil"/>
              <w:bottom w:val="nil"/>
              <w:right w:val="nil"/>
            </w:tcBorders>
            <w:shd w:val="clear" w:color="auto" w:fill="auto"/>
            <w:vAlign w:val="center"/>
          </w:tcPr>
          <w:p w14:paraId="7EB63CE6">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8531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中共遂宁市安居区委巡察工作领导小组办公室</w:t>
            </w:r>
          </w:p>
        </w:tc>
      </w:tr>
      <w:tr w14:paraId="6E855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58AFF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49646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4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180A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4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CA9952">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59D1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02169">
            <w:pPr>
              <w:rPr>
                <w:rFonts w:hint="eastAsia" w:ascii="宋体" w:hAnsi="宋体" w:eastAsia="宋体" w:cs="宋体"/>
                <w:i w:val="0"/>
                <w:iCs w:val="0"/>
                <w:color w:val="000000"/>
                <w:sz w:val="18"/>
                <w:szCs w:val="18"/>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15E02">
            <w:pPr>
              <w:rPr>
                <w:rFonts w:hint="eastAsia" w:ascii="宋体" w:hAnsi="宋体" w:eastAsia="宋体" w:cs="宋体"/>
                <w:i w:val="0"/>
                <w:iCs w:val="0"/>
                <w:color w:val="000000"/>
                <w:sz w:val="18"/>
                <w:szCs w:val="18"/>
                <w:u w:val="none"/>
              </w:rPr>
            </w:pPr>
          </w:p>
        </w:tc>
        <w:tc>
          <w:tcPr>
            <w:tcW w:w="44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D2AFD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根据巡察工作需要，采购涉密电脑。</w:t>
            </w:r>
          </w:p>
        </w:tc>
        <w:tc>
          <w:tcPr>
            <w:tcW w:w="34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F0C6B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完成8台涉密电脑采购</w:t>
            </w:r>
          </w:p>
        </w:tc>
      </w:tr>
      <w:tr w14:paraId="5511B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082DB">
            <w:pPr>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FA01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2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4E256A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通过询价招标流程最终确定采购供应商，经室务会决策同意最终购置涉密电脑8台</w:t>
            </w:r>
          </w:p>
        </w:tc>
      </w:tr>
      <w:tr w14:paraId="651FC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6E04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239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277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8D2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8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8945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DD6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A70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511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D7A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E68C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BA334">
            <w:pPr>
              <w:jc w:val="center"/>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C78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75F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BF3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18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F044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F64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F4F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357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71D5C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3"/>
                <w:szCs w:val="13"/>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E8E8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9C1A6">
            <w:pPr>
              <w:jc w:val="center"/>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F90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AF2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960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18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8885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415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88F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602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BA13D">
            <w:pPr>
              <w:rPr>
                <w:rFonts w:hint="eastAsia" w:ascii="黑体" w:hAnsi="黑体" w:eastAsia="黑体" w:cs="黑体"/>
                <w:i w:val="0"/>
                <w:iCs w:val="0"/>
                <w:color w:val="000000"/>
                <w:sz w:val="18"/>
                <w:szCs w:val="18"/>
                <w:u w:val="none"/>
              </w:rPr>
            </w:pPr>
          </w:p>
        </w:tc>
      </w:tr>
      <w:tr w14:paraId="23015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038DF">
            <w:pPr>
              <w:jc w:val="center"/>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1D4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987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4A1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13C9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F9B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E28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C7F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C4D55">
            <w:pPr>
              <w:rPr>
                <w:rFonts w:hint="eastAsia" w:ascii="黑体" w:hAnsi="黑体" w:eastAsia="黑体" w:cs="黑体"/>
                <w:i w:val="0"/>
                <w:iCs w:val="0"/>
                <w:color w:val="000000"/>
                <w:sz w:val="18"/>
                <w:szCs w:val="18"/>
                <w:u w:val="none"/>
              </w:rPr>
            </w:pPr>
          </w:p>
        </w:tc>
      </w:tr>
      <w:tr w14:paraId="293FF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C18B5">
            <w:pPr>
              <w:jc w:val="center"/>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139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BB5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029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7ABB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02A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478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428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7F4B6">
            <w:pPr>
              <w:rPr>
                <w:rFonts w:hint="eastAsia" w:ascii="黑体" w:hAnsi="黑体" w:eastAsia="黑体" w:cs="黑体"/>
                <w:i w:val="0"/>
                <w:iCs w:val="0"/>
                <w:color w:val="000000"/>
                <w:sz w:val="18"/>
                <w:szCs w:val="18"/>
                <w:u w:val="none"/>
              </w:rPr>
            </w:pPr>
          </w:p>
        </w:tc>
      </w:tr>
      <w:tr w14:paraId="72967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41A47">
            <w:pPr>
              <w:jc w:val="center"/>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226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B0AC7">
            <w:pPr>
              <w:jc w:val="center"/>
              <w:rPr>
                <w:rFonts w:hint="eastAsia" w:ascii="微软雅黑" w:hAnsi="微软雅黑" w:eastAsia="微软雅黑" w:cs="微软雅黑"/>
                <w:i w:val="0"/>
                <w:iCs w:val="0"/>
                <w:color w:val="000000"/>
                <w:sz w:val="16"/>
                <w:szCs w:val="16"/>
                <w:u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FC43E">
            <w:pPr>
              <w:jc w:val="center"/>
              <w:rPr>
                <w:rFonts w:hint="eastAsia" w:ascii="微软雅黑" w:hAnsi="微软雅黑" w:eastAsia="微软雅黑" w:cs="微软雅黑"/>
                <w:i w:val="0"/>
                <w:iCs w:val="0"/>
                <w:color w:val="000000"/>
                <w:sz w:val="16"/>
                <w:szCs w:val="16"/>
                <w:u w:val="none"/>
              </w:rPr>
            </w:pPr>
          </w:p>
        </w:tc>
        <w:tc>
          <w:tcPr>
            <w:tcW w:w="18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0D93D6">
            <w:pPr>
              <w:jc w:val="center"/>
              <w:rPr>
                <w:rFonts w:hint="eastAsia" w:ascii="微软雅黑" w:hAnsi="微软雅黑" w:eastAsia="微软雅黑" w:cs="微软雅黑"/>
                <w:i w:val="0"/>
                <w:iCs w:val="0"/>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E759C">
            <w:pPr>
              <w:jc w:val="center"/>
              <w:rPr>
                <w:rFonts w:hint="eastAsia" w:ascii="微软雅黑" w:hAnsi="微软雅黑" w:eastAsia="微软雅黑" w:cs="微软雅黑"/>
                <w:i w:val="0"/>
                <w:iCs w:val="0"/>
                <w:color w:val="000000"/>
                <w:sz w:val="16"/>
                <w:szCs w:val="16"/>
                <w:u w:val="none"/>
              </w:rPr>
            </w:pP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E43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392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4F990">
            <w:pPr>
              <w:rPr>
                <w:rFonts w:hint="eastAsia" w:ascii="黑体" w:hAnsi="黑体" w:eastAsia="黑体" w:cs="黑体"/>
                <w:i w:val="0"/>
                <w:iCs w:val="0"/>
                <w:color w:val="000000"/>
                <w:sz w:val="18"/>
                <w:szCs w:val="18"/>
                <w:u w:val="none"/>
              </w:rPr>
            </w:pPr>
          </w:p>
        </w:tc>
      </w:tr>
      <w:tr w14:paraId="7F960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4"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7E16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A28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92A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DEC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113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C00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B5C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ACC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180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AB6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0AC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51DF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B9E52">
            <w:pPr>
              <w:jc w:val="center"/>
              <w:rPr>
                <w:rFonts w:hint="eastAsia" w:ascii="宋体" w:hAnsi="宋体" w:eastAsia="宋体" w:cs="宋体"/>
                <w:i w:val="0"/>
                <w:iCs w:val="0"/>
                <w:color w:val="000000"/>
                <w:sz w:val="18"/>
                <w:szCs w:val="18"/>
                <w:u w:val="none"/>
              </w:rPr>
            </w:pP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343E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7E44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C665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购买涉密电脑数量</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001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155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4E7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3F8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5F7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B80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A8E63">
            <w:pPr>
              <w:jc w:val="center"/>
              <w:rPr>
                <w:rFonts w:hint="eastAsia" w:ascii="宋体" w:hAnsi="宋体" w:eastAsia="宋体" w:cs="宋体"/>
                <w:i w:val="0"/>
                <w:iCs w:val="0"/>
                <w:color w:val="000000"/>
                <w:sz w:val="18"/>
                <w:szCs w:val="18"/>
                <w:u w:val="none"/>
              </w:rPr>
            </w:pPr>
          </w:p>
        </w:tc>
      </w:tr>
      <w:tr w14:paraId="74CAB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A66A4">
            <w:pPr>
              <w:jc w:val="center"/>
              <w:rPr>
                <w:rFonts w:hint="eastAsia" w:ascii="宋体" w:hAnsi="宋体" w:eastAsia="宋体" w:cs="宋体"/>
                <w:i w:val="0"/>
                <w:iCs w:val="0"/>
                <w:color w:val="000000"/>
                <w:sz w:val="18"/>
                <w:szCs w:val="18"/>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D332F">
            <w:pPr>
              <w:jc w:val="center"/>
              <w:rPr>
                <w:rFonts w:hint="eastAsia" w:ascii="宋体" w:hAnsi="宋体" w:eastAsia="宋体" w:cs="宋体"/>
                <w:i w:val="0"/>
                <w:iCs w:val="0"/>
                <w:color w:val="000000"/>
                <w:sz w:val="18"/>
                <w:szCs w:val="18"/>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30CC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9A1B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电脑验收合格率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27D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8E7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F92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41D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B4E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675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44BAB">
            <w:pPr>
              <w:jc w:val="center"/>
              <w:rPr>
                <w:rFonts w:hint="eastAsia" w:ascii="宋体" w:hAnsi="宋体" w:eastAsia="宋体" w:cs="宋体"/>
                <w:i w:val="0"/>
                <w:iCs w:val="0"/>
                <w:color w:val="000000"/>
                <w:sz w:val="18"/>
                <w:szCs w:val="18"/>
                <w:u w:val="none"/>
              </w:rPr>
            </w:pPr>
          </w:p>
        </w:tc>
      </w:tr>
      <w:tr w14:paraId="6201B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F6832">
            <w:pPr>
              <w:jc w:val="center"/>
              <w:rPr>
                <w:rFonts w:hint="eastAsia" w:ascii="宋体" w:hAnsi="宋体" w:eastAsia="宋体" w:cs="宋体"/>
                <w:i w:val="0"/>
                <w:iCs w:val="0"/>
                <w:color w:val="000000"/>
                <w:sz w:val="18"/>
                <w:szCs w:val="18"/>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00C1B">
            <w:pPr>
              <w:jc w:val="center"/>
              <w:rPr>
                <w:rFonts w:hint="eastAsia" w:ascii="宋体" w:hAnsi="宋体" w:eastAsia="宋体" w:cs="宋体"/>
                <w:i w:val="0"/>
                <w:iCs w:val="0"/>
                <w:color w:val="000000"/>
                <w:sz w:val="18"/>
                <w:szCs w:val="18"/>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03AC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CBEC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采购完成时限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966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324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D40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E82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8A6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C06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65244">
            <w:pPr>
              <w:jc w:val="center"/>
              <w:rPr>
                <w:rFonts w:hint="eastAsia" w:ascii="宋体" w:hAnsi="宋体" w:eastAsia="宋体" w:cs="宋体"/>
                <w:i w:val="0"/>
                <w:iCs w:val="0"/>
                <w:color w:val="000000"/>
                <w:sz w:val="18"/>
                <w:szCs w:val="18"/>
                <w:u w:val="none"/>
              </w:rPr>
            </w:pPr>
          </w:p>
        </w:tc>
      </w:tr>
      <w:tr w14:paraId="48AF0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8B511">
            <w:pPr>
              <w:jc w:val="center"/>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3AA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6AE4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9529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进一步提升巡察保密程度</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410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81C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优良差</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7FAA4">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E4E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791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FB7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E1592">
            <w:pPr>
              <w:jc w:val="center"/>
              <w:rPr>
                <w:rFonts w:hint="eastAsia" w:ascii="宋体" w:hAnsi="宋体" w:eastAsia="宋体" w:cs="宋体"/>
                <w:i w:val="0"/>
                <w:iCs w:val="0"/>
                <w:color w:val="000000"/>
                <w:sz w:val="18"/>
                <w:szCs w:val="18"/>
                <w:u w:val="none"/>
              </w:rPr>
            </w:pPr>
          </w:p>
        </w:tc>
      </w:tr>
      <w:tr w14:paraId="1EA37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05D65">
            <w:pPr>
              <w:jc w:val="center"/>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DDB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ADA8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1460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工作人员满意度</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E7F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48A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A00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738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852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76A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C08DD">
            <w:pPr>
              <w:jc w:val="center"/>
              <w:rPr>
                <w:rFonts w:hint="eastAsia" w:ascii="宋体" w:hAnsi="宋体" w:eastAsia="宋体" w:cs="宋体"/>
                <w:i w:val="0"/>
                <w:iCs w:val="0"/>
                <w:color w:val="000000"/>
                <w:sz w:val="18"/>
                <w:szCs w:val="18"/>
                <w:u w:val="none"/>
              </w:rPr>
            </w:pPr>
          </w:p>
        </w:tc>
      </w:tr>
      <w:tr w14:paraId="659A9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1A503">
            <w:pPr>
              <w:jc w:val="center"/>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245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9224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4B6A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每台电脑采购成本</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6AC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AA6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537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0D3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13000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A02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029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C7735">
            <w:pPr>
              <w:jc w:val="center"/>
              <w:rPr>
                <w:rFonts w:hint="eastAsia" w:ascii="宋体" w:hAnsi="宋体" w:eastAsia="宋体" w:cs="宋体"/>
                <w:i w:val="0"/>
                <w:iCs w:val="0"/>
                <w:color w:val="000000"/>
                <w:sz w:val="18"/>
                <w:szCs w:val="18"/>
                <w:u w:val="none"/>
              </w:rPr>
            </w:pPr>
          </w:p>
        </w:tc>
      </w:tr>
      <w:tr w14:paraId="46539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721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88012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62687">
            <w:pPr>
              <w:jc w:val="center"/>
              <w:rPr>
                <w:rFonts w:hint="eastAsia" w:ascii="宋体" w:hAnsi="宋体" w:eastAsia="宋体" w:cs="宋体"/>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25D3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96.5</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E03BD">
            <w:pPr>
              <w:rPr>
                <w:rFonts w:hint="eastAsia" w:ascii="宋体" w:hAnsi="宋体" w:eastAsia="宋体" w:cs="宋体"/>
                <w:i w:val="0"/>
                <w:iCs w:val="0"/>
                <w:color w:val="000000"/>
                <w:sz w:val="18"/>
                <w:szCs w:val="18"/>
                <w:u w:val="none"/>
              </w:rPr>
            </w:pPr>
          </w:p>
        </w:tc>
      </w:tr>
      <w:tr w14:paraId="58143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72D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24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E61E358">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部门预算项目绩效得分为96.5分，评价结果优。</w:t>
            </w:r>
          </w:p>
        </w:tc>
      </w:tr>
      <w:tr w14:paraId="64BA2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40F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24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C121D3E">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电脑与部分软件系统不兼容，降低部分工作效率。</w:t>
            </w:r>
          </w:p>
        </w:tc>
      </w:tr>
      <w:tr w14:paraId="0505B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80E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24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E2158B0">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不断更新系统软件。</w:t>
            </w:r>
          </w:p>
        </w:tc>
      </w:tr>
      <w:tr w14:paraId="4EEEB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487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0D3EA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项目负责人：袁玉婷</w:t>
            </w:r>
          </w:p>
        </w:tc>
        <w:tc>
          <w:tcPr>
            <w:tcW w:w="494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FF0E8D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财务负责人：郭潇</w:t>
            </w:r>
          </w:p>
        </w:tc>
      </w:tr>
    </w:tbl>
    <w:p w14:paraId="7E55FFE3">
      <w:pPr>
        <w:pStyle w:val="11"/>
        <w:keepNext w:val="0"/>
        <w:keepLines w:val="0"/>
        <w:pageBreakBefore w:val="0"/>
        <w:numPr>
          <w:ilvl w:val="0"/>
          <w:numId w:val="0"/>
        </w:numPr>
        <w:kinsoku/>
        <w:wordWrap/>
        <w:overflowPunct/>
        <w:topLinePunct w:val="0"/>
        <w:autoSpaceDE/>
        <w:autoSpaceDN/>
        <w:bidi w:val="0"/>
        <w:spacing w:line="560" w:lineRule="exact"/>
        <w:jc w:val="left"/>
        <w:textAlignment w:val="auto"/>
        <w:rPr>
          <w:rFonts w:hint="eastAsia" w:ascii="Times New Roman" w:hAnsi="Times New Roman" w:eastAsia="仿宋_GB2312" w:cs="Times New Roman"/>
          <w:kern w:val="2"/>
          <w:sz w:val="32"/>
          <w:szCs w:val="32"/>
          <w:u w:val="none"/>
          <w:lang w:val="en-US" w:eastAsia="zh-CN" w:bidi="ar"/>
        </w:rPr>
      </w:pPr>
    </w:p>
    <w:p w14:paraId="5F4D30D8">
      <w:pPr>
        <w:pStyle w:val="11"/>
        <w:keepNext w:val="0"/>
        <w:keepLines w:val="0"/>
        <w:pageBreakBefore w:val="0"/>
        <w:numPr>
          <w:ilvl w:val="0"/>
          <w:numId w:val="0"/>
        </w:numPr>
        <w:kinsoku/>
        <w:wordWrap/>
        <w:overflowPunct/>
        <w:topLinePunct w:val="0"/>
        <w:autoSpaceDE/>
        <w:autoSpaceDN/>
        <w:bidi w:val="0"/>
        <w:spacing w:line="560" w:lineRule="exact"/>
        <w:ind w:firstLine="960" w:firstLineChars="300"/>
        <w:jc w:val="left"/>
        <w:textAlignment w:val="auto"/>
        <w:rPr>
          <w:rFonts w:hint="eastAsia" w:ascii="Times New Roman" w:hAnsi="Times New Roman" w:eastAsia="仿宋_GB2312" w:cs="Times New Roman"/>
          <w:kern w:val="2"/>
          <w:sz w:val="32"/>
          <w:szCs w:val="32"/>
          <w:u w:val="none"/>
          <w:lang w:val="zh-CN" w:eastAsia="zh-CN" w:bidi="ar"/>
        </w:rPr>
      </w:pPr>
    </w:p>
    <w:tbl>
      <w:tblPr>
        <w:tblStyle w:val="21"/>
        <w:tblW w:w="980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271"/>
        <w:gridCol w:w="1123"/>
        <w:gridCol w:w="1406"/>
        <w:gridCol w:w="396"/>
        <w:gridCol w:w="1042"/>
        <w:gridCol w:w="396"/>
        <w:gridCol w:w="846"/>
        <w:gridCol w:w="486"/>
        <w:gridCol w:w="576"/>
        <w:gridCol w:w="1685"/>
      </w:tblGrid>
      <w:tr w14:paraId="04002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80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A77FDD3">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FF9F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F940A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5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C358BF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51090422T000000394460-巡察工作专项经费</w:t>
            </w:r>
          </w:p>
        </w:tc>
      </w:tr>
      <w:tr w14:paraId="66AC4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18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D8941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9241D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中共遂宁市安居区委巡察工作领导小组办公室部门</w:t>
            </w:r>
          </w:p>
        </w:tc>
        <w:tc>
          <w:tcPr>
            <w:tcW w:w="846" w:type="dxa"/>
            <w:tcBorders>
              <w:top w:val="nil"/>
              <w:left w:val="nil"/>
              <w:bottom w:val="nil"/>
              <w:right w:val="nil"/>
            </w:tcBorders>
            <w:shd w:val="clear" w:color="auto" w:fill="auto"/>
            <w:vAlign w:val="center"/>
          </w:tcPr>
          <w:p w14:paraId="4EF703EF">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C62A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中共遂宁市安居区委巡察工作领导小组办公室</w:t>
            </w:r>
          </w:p>
        </w:tc>
      </w:tr>
      <w:tr w14:paraId="4ED85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C11FA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C156A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1AD6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533BDC">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20EB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0F9AC">
            <w:pPr>
              <w:rPr>
                <w:rFonts w:hint="eastAsia" w:ascii="宋体" w:hAnsi="宋体" w:eastAsia="宋体" w:cs="宋体"/>
                <w:i w:val="0"/>
                <w:iCs w:val="0"/>
                <w:color w:val="000000"/>
                <w:sz w:val="18"/>
                <w:szCs w:val="18"/>
                <w:u w:val="none"/>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A779B">
            <w:pPr>
              <w:rPr>
                <w:rFonts w:hint="eastAsia" w:ascii="宋体" w:hAnsi="宋体" w:eastAsia="宋体" w:cs="宋体"/>
                <w:i w:val="0"/>
                <w:iCs w:val="0"/>
                <w:color w:val="000000"/>
                <w:sz w:val="18"/>
                <w:szCs w:val="18"/>
                <w:u w:val="none"/>
              </w:rPr>
            </w:pPr>
          </w:p>
        </w:tc>
        <w:tc>
          <w:tcPr>
            <w:tcW w:w="43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9C601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完成2轮巡察工作，预计累计巡察单位及乡镇20个。</w:t>
            </w:r>
          </w:p>
        </w:tc>
        <w:tc>
          <w:tcPr>
            <w:tcW w:w="35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5E476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全年共开展2轮常规巡察和1轮联动专项巡察，共巡察154个党组织。</w:t>
            </w:r>
          </w:p>
        </w:tc>
      </w:tr>
      <w:tr w14:paraId="27062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DD0BD">
            <w:pPr>
              <w:rPr>
                <w:rFonts w:hint="eastAsia" w:ascii="宋体" w:hAnsi="宋体" w:eastAsia="宋体" w:cs="宋体"/>
                <w:i w:val="0"/>
                <w:iCs w:val="0"/>
                <w:color w:val="000000"/>
                <w:sz w:val="18"/>
                <w:szCs w:val="18"/>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04DE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5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8B084C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开展了五届区委第七、八轮常规巡察及殡葬行业、基层养老院食堂食品安全领域突出问题专项巡察，扎实开展巡察工作专项检查反馈问题整改，做优“巡察+”品牌，不断深化巡察与其他部门协作配合，推动安居巡察高效有力开展。</w:t>
            </w:r>
          </w:p>
        </w:tc>
      </w:tr>
      <w:tr w14:paraId="6BD61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9313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52A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292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95C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8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5234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B72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991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BC0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F41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0675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DA93E">
            <w:pPr>
              <w:jc w:val="center"/>
              <w:rPr>
                <w:rFonts w:hint="eastAsia" w:ascii="宋体" w:hAnsi="宋体" w:eastAsia="宋体" w:cs="宋体"/>
                <w:i w:val="0"/>
                <w:iCs w:val="0"/>
                <w:color w:val="000000"/>
                <w:sz w:val="18"/>
                <w:szCs w:val="18"/>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88E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45D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79.00</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C7B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63.00</w:t>
            </w:r>
          </w:p>
        </w:tc>
        <w:tc>
          <w:tcPr>
            <w:tcW w:w="18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9C8A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649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BA0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891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1A3047">
            <w:pPr>
              <w:keepNext w:val="0"/>
              <w:keepLines w:val="0"/>
              <w:widowControl/>
              <w:suppressLineNumbers w:val="0"/>
              <w:jc w:val="left"/>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CAB2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3F25C">
            <w:pPr>
              <w:jc w:val="center"/>
              <w:rPr>
                <w:rFonts w:hint="eastAsia" w:ascii="宋体" w:hAnsi="宋体" w:eastAsia="宋体" w:cs="宋体"/>
                <w:i w:val="0"/>
                <w:iCs w:val="0"/>
                <w:color w:val="000000"/>
                <w:sz w:val="18"/>
                <w:szCs w:val="18"/>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677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FEE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79.00</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148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63.00</w:t>
            </w:r>
          </w:p>
        </w:tc>
        <w:tc>
          <w:tcPr>
            <w:tcW w:w="18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FEAC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279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5EB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389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D1F6A">
            <w:pPr>
              <w:rPr>
                <w:rFonts w:hint="eastAsia" w:ascii="黑体" w:hAnsi="黑体" w:eastAsia="黑体" w:cs="黑体"/>
                <w:i w:val="0"/>
                <w:iCs w:val="0"/>
                <w:color w:val="000000"/>
                <w:sz w:val="18"/>
                <w:szCs w:val="18"/>
                <w:u w:val="none"/>
              </w:rPr>
            </w:pPr>
          </w:p>
        </w:tc>
      </w:tr>
      <w:tr w14:paraId="0FC16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DAC9C">
            <w:pPr>
              <w:jc w:val="center"/>
              <w:rPr>
                <w:rFonts w:hint="eastAsia" w:ascii="宋体" w:hAnsi="宋体" w:eastAsia="宋体" w:cs="宋体"/>
                <w:i w:val="0"/>
                <w:iCs w:val="0"/>
                <w:color w:val="000000"/>
                <w:sz w:val="18"/>
                <w:szCs w:val="18"/>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4E9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4CF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B1E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276E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547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B42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8B6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A5728">
            <w:pPr>
              <w:rPr>
                <w:rFonts w:hint="eastAsia" w:ascii="黑体" w:hAnsi="黑体" w:eastAsia="黑体" w:cs="黑体"/>
                <w:i w:val="0"/>
                <w:iCs w:val="0"/>
                <w:color w:val="000000"/>
                <w:sz w:val="18"/>
                <w:szCs w:val="18"/>
                <w:u w:val="none"/>
              </w:rPr>
            </w:pPr>
          </w:p>
        </w:tc>
      </w:tr>
      <w:tr w14:paraId="2E85B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6A32B">
            <w:pPr>
              <w:jc w:val="center"/>
              <w:rPr>
                <w:rFonts w:hint="eastAsia" w:ascii="宋体" w:hAnsi="宋体" w:eastAsia="宋体" w:cs="宋体"/>
                <w:i w:val="0"/>
                <w:iCs w:val="0"/>
                <w:color w:val="000000"/>
                <w:sz w:val="18"/>
                <w:szCs w:val="18"/>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C10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466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762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4E5F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C68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0A7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9C4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0DBE1">
            <w:pPr>
              <w:rPr>
                <w:rFonts w:hint="eastAsia" w:ascii="黑体" w:hAnsi="黑体" w:eastAsia="黑体" w:cs="黑体"/>
                <w:i w:val="0"/>
                <w:iCs w:val="0"/>
                <w:color w:val="000000"/>
                <w:sz w:val="18"/>
                <w:szCs w:val="18"/>
                <w:u w:val="none"/>
              </w:rPr>
            </w:pPr>
          </w:p>
        </w:tc>
      </w:tr>
      <w:tr w14:paraId="165BB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C8F82">
            <w:pPr>
              <w:jc w:val="center"/>
              <w:rPr>
                <w:rFonts w:hint="eastAsia" w:ascii="宋体" w:hAnsi="宋体" w:eastAsia="宋体" w:cs="宋体"/>
                <w:i w:val="0"/>
                <w:iCs w:val="0"/>
                <w:color w:val="000000"/>
                <w:sz w:val="18"/>
                <w:szCs w:val="18"/>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462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A4A81">
            <w:pPr>
              <w:jc w:val="center"/>
              <w:rPr>
                <w:rFonts w:hint="eastAsia" w:ascii="微软雅黑" w:hAnsi="微软雅黑" w:eastAsia="微软雅黑" w:cs="微软雅黑"/>
                <w:i w:val="0"/>
                <w:iCs w:val="0"/>
                <w:color w:val="000000"/>
                <w:sz w:val="16"/>
                <w:szCs w:val="16"/>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ADE65">
            <w:pPr>
              <w:jc w:val="center"/>
              <w:rPr>
                <w:rFonts w:hint="eastAsia" w:ascii="微软雅黑" w:hAnsi="微软雅黑" w:eastAsia="微软雅黑" w:cs="微软雅黑"/>
                <w:i w:val="0"/>
                <w:iCs w:val="0"/>
                <w:color w:val="000000"/>
                <w:sz w:val="16"/>
                <w:szCs w:val="16"/>
                <w:u w:val="none"/>
              </w:rPr>
            </w:pPr>
          </w:p>
        </w:tc>
        <w:tc>
          <w:tcPr>
            <w:tcW w:w="18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DA6FAB">
            <w:pPr>
              <w:jc w:val="center"/>
              <w:rPr>
                <w:rFonts w:hint="eastAsia" w:ascii="微软雅黑" w:hAnsi="微软雅黑" w:eastAsia="微软雅黑" w:cs="微软雅黑"/>
                <w:i w:val="0"/>
                <w:iCs w:val="0"/>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F16B5">
            <w:pPr>
              <w:jc w:val="center"/>
              <w:rPr>
                <w:rFonts w:hint="eastAsia" w:ascii="微软雅黑" w:hAnsi="微软雅黑" w:eastAsia="微软雅黑" w:cs="微软雅黑"/>
                <w:i w:val="0"/>
                <w:iCs w:val="0"/>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BA4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309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7C944">
            <w:pPr>
              <w:rPr>
                <w:rFonts w:hint="eastAsia" w:ascii="黑体" w:hAnsi="黑体" w:eastAsia="黑体" w:cs="黑体"/>
                <w:i w:val="0"/>
                <w:iCs w:val="0"/>
                <w:color w:val="000000"/>
                <w:sz w:val="18"/>
                <w:szCs w:val="18"/>
                <w:u w:val="none"/>
              </w:rPr>
            </w:pPr>
          </w:p>
        </w:tc>
      </w:tr>
      <w:tr w14:paraId="54611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77BB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80D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294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68C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68E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376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515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A12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C9E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40D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361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3BD7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077CF">
            <w:pPr>
              <w:jc w:val="center"/>
              <w:rPr>
                <w:rFonts w:hint="eastAsia" w:ascii="宋体" w:hAnsi="宋体" w:eastAsia="宋体" w:cs="宋体"/>
                <w:i w:val="0"/>
                <w:iCs w:val="0"/>
                <w:color w:val="000000"/>
                <w:sz w:val="18"/>
                <w:szCs w:val="18"/>
                <w:u w:val="none"/>
              </w:rPr>
            </w:pPr>
          </w:p>
        </w:tc>
        <w:tc>
          <w:tcPr>
            <w:tcW w:w="12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138F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FAAC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CBF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开展巡察轮次</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A9F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0DD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127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E3D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ABF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19D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48D83">
            <w:pPr>
              <w:jc w:val="center"/>
              <w:rPr>
                <w:rFonts w:hint="eastAsia" w:ascii="微软雅黑" w:hAnsi="微软雅黑" w:eastAsia="微软雅黑" w:cs="微软雅黑"/>
                <w:i w:val="0"/>
                <w:iCs w:val="0"/>
                <w:color w:val="000000"/>
                <w:sz w:val="16"/>
                <w:szCs w:val="16"/>
                <w:u w:val="none"/>
              </w:rPr>
            </w:pPr>
          </w:p>
        </w:tc>
      </w:tr>
      <w:tr w14:paraId="21F57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7CB10">
            <w:pPr>
              <w:jc w:val="center"/>
              <w:rPr>
                <w:rFonts w:hint="eastAsia" w:ascii="宋体" w:hAnsi="宋体" w:eastAsia="宋体" w:cs="宋体"/>
                <w:i w:val="0"/>
                <w:iCs w:val="0"/>
                <w:color w:val="000000"/>
                <w:sz w:val="18"/>
                <w:szCs w:val="18"/>
                <w:u w:val="none"/>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BCF09">
            <w:pPr>
              <w:jc w:val="center"/>
              <w:rPr>
                <w:rFonts w:hint="eastAsia" w:ascii="宋体" w:hAnsi="宋体" w:eastAsia="宋体" w:cs="宋体"/>
                <w:i w:val="0"/>
                <w:iCs w:val="0"/>
                <w:color w:val="000000"/>
                <w:sz w:val="18"/>
                <w:szCs w:val="18"/>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8A9E6">
            <w:pPr>
              <w:jc w:val="center"/>
              <w:rPr>
                <w:rFonts w:hint="eastAsia" w:ascii="宋体" w:hAnsi="宋体" w:eastAsia="宋体" w:cs="宋体"/>
                <w:i w:val="0"/>
                <w:iCs w:val="0"/>
                <w:color w:val="000000"/>
                <w:sz w:val="18"/>
                <w:szCs w:val="18"/>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DF0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巡察行政事业单位及乡镇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790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624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F92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8CB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511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355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D8B63">
            <w:pPr>
              <w:jc w:val="center"/>
              <w:rPr>
                <w:rFonts w:hint="eastAsia" w:ascii="微软雅黑" w:hAnsi="微软雅黑" w:eastAsia="微软雅黑" w:cs="微软雅黑"/>
                <w:i w:val="0"/>
                <w:iCs w:val="0"/>
                <w:color w:val="000000"/>
                <w:sz w:val="16"/>
                <w:szCs w:val="16"/>
                <w:u w:val="none"/>
              </w:rPr>
            </w:pPr>
          </w:p>
        </w:tc>
      </w:tr>
      <w:tr w14:paraId="2D160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EBA73">
            <w:pPr>
              <w:jc w:val="center"/>
              <w:rPr>
                <w:rFonts w:hint="eastAsia" w:ascii="宋体" w:hAnsi="宋体" w:eastAsia="宋体" w:cs="宋体"/>
                <w:i w:val="0"/>
                <w:iCs w:val="0"/>
                <w:color w:val="000000"/>
                <w:sz w:val="18"/>
                <w:szCs w:val="18"/>
                <w:u w:val="none"/>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457F8">
            <w:pPr>
              <w:jc w:val="center"/>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0C0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4EA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巡察整改反馈完成率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A7A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058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03E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77E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7AC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2D7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DF42D">
            <w:pPr>
              <w:jc w:val="center"/>
              <w:rPr>
                <w:rFonts w:hint="eastAsia" w:ascii="微软雅黑" w:hAnsi="微软雅黑" w:eastAsia="微软雅黑" w:cs="微软雅黑"/>
                <w:i w:val="0"/>
                <w:iCs w:val="0"/>
                <w:color w:val="000000"/>
                <w:sz w:val="16"/>
                <w:szCs w:val="16"/>
                <w:u w:val="none"/>
              </w:rPr>
            </w:pPr>
          </w:p>
        </w:tc>
      </w:tr>
      <w:tr w14:paraId="57748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75625">
            <w:pPr>
              <w:jc w:val="center"/>
              <w:rPr>
                <w:rFonts w:hint="eastAsia" w:ascii="宋体" w:hAnsi="宋体" w:eastAsia="宋体" w:cs="宋体"/>
                <w:i w:val="0"/>
                <w:iCs w:val="0"/>
                <w:color w:val="000000"/>
                <w:sz w:val="18"/>
                <w:szCs w:val="18"/>
                <w:u w:val="none"/>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CF471">
            <w:pPr>
              <w:jc w:val="center"/>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23E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BF4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巡察1轮时限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518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324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0F7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C07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CC1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B9A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B82B4">
            <w:pPr>
              <w:jc w:val="center"/>
              <w:rPr>
                <w:rFonts w:hint="eastAsia" w:ascii="微软雅黑" w:hAnsi="微软雅黑" w:eastAsia="微软雅黑" w:cs="微软雅黑"/>
                <w:i w:val="0"/>
                <w:iCs w:val="0"/>
                <w:color w:val="000000"/>
                <w:sz w:val="16"/>
                <w:szCs w:val="16"/>
                <w:u w:val="none"/>
              </w:rPr>
            </w:pPr>
          </w:p>
        </w:tc>
      </w:tr>
      <w:tr w14:paraId="0F28D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99418">
            <w:pPr>
              <w:jc w:val="center"/>
              <w:rPr>
                <w:rFonts w:hint="eastAsia" w:ascii="宋体" w:hAnsi="宋体" w:eastAsia="宋体" w:cs="宋体"/>
                <w:i w:val="0"/>
                <w:iCs w:val="0"/>
                <w:color w:val="000000"/>
                <w:sz w:val="18"/>
                <w:szCs w:val="18"/>
                <w:u w:val="none"/>
              </w:rPr>
            </w:pPr>
          </w:p>
        </w:tc>
        <w:tc>
          <w:tcPr>
            <w:tcW w:w="12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A7F8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E14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6F3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通过巡察发现问题推动改革，促进社会经济发展</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17A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F2B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优良差</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1D5AC">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685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优良差</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3F1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B00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B63BD">
            <w:pPr>
              <w:jc w:val="center"/>
              <w:rPr>
                <w:rFonts w:hint="eastAsia" w:ascii="微软雅黑" w:hAnsi="微软雅黑" w:eastAsia="微软雅黑" w:cs="微软雅黑"/>
                <w:i w:val="0"/>
                <w:iCs w:val="0"/>
                <w:color w:val="000000"/>
                <w:sz w:val="16"/>
                <w:szCs w:val="16"/>
                <w:u w:val="none"/>
              </w:rPr>
            </w:pPr>
          </w:p>
        </w:tc>
      </w:tr>
      <w:tr w14:paraId="1C72C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08BED">
            <w:pPr>
              <w:jc w:val="center"/>
              <w:rPr>
                <w:rFonts w:hint="eastAsia" w:ascii="宋体" w:hAnsi="宋体" w:eastAsia="宋体" w:cs="宋体"/>
                <w:i w:val="0"/>
                <w:iCs w:val="0"/>
                <w:color w:val="000000"/>
                <w:sz w:val="18"/>
                <w:szCs w:val="18"/>
                <w:u w:val="none"/>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86EAD">
            <w:pPr>
              <w:jc w:val="center"/>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C65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C73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通过巡察使全面从严治党向纵深发展，进一步提升群众满意度和获得感</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381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880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优良差</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BC727">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DD2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优良差</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21F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CFF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F2DB4">
            <w:pPr>
              <w:jc w:val="center"/>
              <w:rPr>
                <w:rFonts w:hint="eastAsia" w:ascii="微软雅黑" w:hAnsi="微软雅黑" w:eastAsia="微软雅黑" w:cs="微软雅黑"/>
                <w:i w:val="0"/>
                <w:iCs w:val="0"/>
                <w:color w:val="000000"/>
                <w:sz w:val="16"/>
                <w:szCs w:val="16"/>
                <w:u w:val="none"/>
              </w:rPr>
            </w:pPr>
          </w:p>
        </w:tc>
      </w:tr>
      <w:tr w14:paraId="55B51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0DDAE">
            <w:pPr>
              <w:jc w:val="center"/>
              <w:rPr>
                <w:rFonts w:hint="eastAsia" w:ascii="宋体" w:hAnsi="宋体" w:eastAsia="宋体" w:cs="宋体"/>
                <w:i w:val="0"/>
                <w:iCs w:val="0"/>
                <w:color w:val="000000"/>
                <w:sz w:val="18"/>
                <w:szCs w:val="18"/>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C36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72E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331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人民群众满意度</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8AE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2B2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5F1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D18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A96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F4E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F9955">
            <w:pPr>
              <w:jc w:val="center"/>
              <w:rPr>
                <w:rFonts w:hint="eastAsia" w:ascii="微软雅黑" w:hAnsi="微软雅黑" w:eastAsia="微软雅黑" w:cs="微软雅黑"/>
                <w:i w:val="0"/>
                <w:iCs w:val="0"/>
                <w:color w:val="000000"/>
                <w:sz w:val="16"/>
                <w:szCs w:val="16"/>
                <w:u w:val="none"/>
              </w:rPr>
            </w:pPr>
          </w:p>
        </w:tc>
      </w:tr>
      <w:tr w14:paraId="6A058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30CDE">
            <w:pPr>
              <w:jc w:val="center"/>
              <w:rPr>
                <w:rFonts w:hint="eastAsia" w:ascii="宋体" w:hAnsi="宋体" w:eastAsia="宋体" w:cs="宋体"/>
                <w:i w:val="0"/>
                <w:iCs w:val="0"/>
                <w:color w:val="000000"/>
                <w:sz w:val="18"/>
                <w:szCs w:val="18"/>
                <w:u w:val="none"/>
              </w:rPr>
            </w:pPr>
          </w:p>
        </w:tc>
        <w:tc>
          <w:tcPr>
            <w:tcW w:w="12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5535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1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3BDF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B85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每天工作经费</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820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57A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777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B8A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B1C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21B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4E4E8">
            <w:pPr>
              <w:jc w:val="center"/>
              <w:rPr>
                <w:rFonts w:hint="eastAsia" w:ascii="微软雅黑" w:hAnsi="微软雅黑" w:eastAsia="微软雅黑" w:cs="微软雅黑"/>
                <w:i w:val="0"/>
                <w:iCs w:val="0"/>
                <w:color w:val="000000"/>
                <w:sz w:val="16"/>
                <w:szCs w:val="16"/>
                <w:u w:val="none"/>
              </w:rPr>
            </w:pPr>
          </w:p>
        </w:tc>
      </w:tr>
      <w:tr w14:paraId="519D7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AC043">
            <w:pPr>
              <w:jc w:val="center"/>
              <w:rPr>
                <w:rFonts w:hint="eastAsia" w:ascii="宋体" w:hAnsi="宋体" w:eastAsia="宋体" w:cs="宋体"/>
                <w:i w:val="0"/>
                <w:iCs w:val="0"/>
                <w:color w:val="000000"/>
                <w:sz w:val="18"/>
                <w:szCs w:val="18"/>
                <w:u w:val="none"/>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F2D31">
            <w:pPr>
              <w:jc w:val="center"/>
              <w:rPr>
                <w:rFonts w:hint="eastAsia" w:ascii="宋体" w:hAnsi="宋体" w:eastAsia="宋体" w:cs="宋体"/>
                <w:i w:val="0"/>
                <w:iCs w:val="0"/>
                <w:color w:val="000000"/>
                <w:sz w:val="18"/>
                <w:szCs w:val="18"/>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7C0C8">
            <w:pPr>
              <w:jc w:val="center"/>
              <w:rPr>
                <w:rFonts w:hint="eastAsia" w:ascii="宋体" w:hAnsi="宋体" w:eastAsia="宋体" w:cs="宋体"/>
                <w:i w:val="0"/>
                <w:iCs w:val="0"/>
                <w:color w:val="000000"/>
                <w:sz w:val="18"/>
                <w:szCs w:val="18"/>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77B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每天公杂费用</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2CF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666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221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045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1E4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B2A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26099">
            <w:pPr>
              <w:jc w:val="center"/>
              <w:rPr>
                <w:rFonts w:hint="eastAsia" w:ascii="微软雅黑" w:hAnsi="微软雅黑" w:eastAsia="微软雅黑" w:cs="微软雅黑"/>
                <w:i w:val="0"/>
                <w:iCs w:val="0"/>
                <w:color w:val="000000"/>
                <w:sz w:val="16"/>
                <w:szCs w:val="16"/>
                <w:u w:val="none"/>
              </w:rPr>
            </w:pPr>
          </w:p>
        </w:tc>
      </w:tr>
      <w:tr w14:paraId="247E6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A6C92">
            <w:pPr>
              <w:jc w:val="center"/>
              <w:rPr>
                <w:rFonts w:hint="eastAsia" w:ascii="宋体" w:hAnsi="宋体" w:eastAsia="宋体" w:cs="宋体"/>
                <w:i w:val="0"/>
                <w:iCs w:val="0"/>
                <w:color w:val="000000"/>
                <w:sz w:val="18"/>
                <w:szCs w:val="18"/>
                <w:u w:val="none"/>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17882">
            <w:pPr>
              <w:jc w:val="center"/>
              <w:rPr>
                <w:rFonts w:hint="eastAsia" w:ascii="宋体" w:hAnsi="宋体" w:eastAsia="宋体" w:cs="宋体"/>
                <w:i w:val="0"/>
                <w:iCs w:val="0"/>
                <w:color w:val="000000"/>
                <w:sz w:val="18"/>
                <w:szCs w:val="18"/>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C7C05">
            <w:pPr>
              <w:jc w:val="center"/>
              <w:rPr>
                <w:rFonts w:hint="eastAsia" w:ascii="宋体" w:hAnsi="宋体" w:eastAsia="宋体" w:cs="宋体"/>
                <w:i w:val="0"/>
                <w:iCs w:val="0"/>
                <w:color w:val="000000"/>
                <w:sz w:val="18"/>
                <w:szCs w:val="18"/>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E7D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每天生活费用</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F63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62F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97E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E71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699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757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F285C">
            <w:pPr>
              <w:jc w:val="center"/>
              <w:rPr>
                <w:rFonts w:hint="eastAsia" w:ascii="微软雅黑" w:hAnsi="微软雅黑" w:eastAsia="微软雅黑" w:cs="微软雅黑"/>
                <w:i w:val="0"/>
                <w:iCs w:val="0"/>
                <w:color w:val="000000"/>
                <w:sz w:val="16"/>
                <w:szCs w:val="16"/>
                <w:u w:val="none"/>
              </w:rPr>
            </w:pPr>
          </w:p>
        </w:tc>
      </w:tr>
      <w:tr w14:paraId="2E030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FA205">
            <w:pPr>
              <w:jc w:val="center"/>
              <w:rPr>
                <w:rFonts w:hint="eastAsia" w:ascii="宋体" w:hAnsi="宋体" w:eastAsia="宋体" w:cs="宋体"/>
                <w:i w:val="0"/>
                <w:iCs w:val="0"/>
                <w:color w:val="000000"/>
                <w:sz w:val="18"/>
                <w:szCs w:val="18"/>
                <w:u w:val="none"/>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87497">
            <w:pPr>
              <w:jc w:val="center"/>
              <w:rPr>
                <w:rFonts w:hint="eastAsia" w:ascii="宋体" w:hAnsi="宋体" w:eastAsia="宋体" w:cs="宋体"/>
                <w:i w:val="0"/>
                <w:iCs w:val="0"/>
                <w:color w:val="000000"/>
                <w:sz w:val="18"/>
                <w:szCs w:val="18"/>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6A1E1">
            <w:pPr>
              <w:jc w:val="center"/>
              <w:rPr>
                <w:rFonts w:hint="eastAsia" w:ascii="宋体" w:hAnsi="宋体" w:eastAsia="宋体" w:cs="宋体"/>
                <w:i w:val="0"/>
                <w:iCs w:val="0"/>
                <w:color w:val="000000"/>
                <w:sz w:val="18"/>
                <w:szCs w:val="18"/>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182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每天住宿费用</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7DE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5CE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E5B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A85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146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D80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71A14">
            <w:pPr>
              <w:jc w:val="center"/>
              <w:rPr>
                <w:rFonts w:hint="eastAsia" w:ascii="微软雅黑" w:hAnsi="微软雅黑" w:eastAsia="微软雅黑" w:cs="微软雅黑"/>
                <w:i w:val="0"/>
                <w:iCs w:val="0"/>
                <w:color w:val="000000"/>
                <w:sz w:val="16"/>
                <w:szCs w:val="16"/>
                <w:u w:val="none"/>
              </w:rPr>
            </w:pPr>
          </w:p>
        </w:tc>
      </w:tr>
      <w:tr w14:paraId="1E731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5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19119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D41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C544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98.4</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55C4F">
            <w:pPr>
              <w:rPr>
                <w:rFonts w:hint="eastAsia" w:ascii="宋体" w:hAnsi="宋体" w:eastAsia="宋体" w:cs="宋体"/>
                <w:i w:val="0"/>
                <w:iCs w:val="0"/>
                <w:color w:val="000000"/>
                <w:sz w:val="18"/>
                <w:szCs w:val="18"/>
                <w:u w:val="none"/>
              </w:rPr>
            </w:pPr>
          </w:p>
        </w:tc>
      </w:tr>
      <w:tr w14:paraId="5CB34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229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22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5A5BA05">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部门预算项目绩效得分为98.4分，全年共开展2轮常规巡察和1轮联动专项巡察，共巡察154个党组织，全覆盖任务进度为76.6%，全面深化了政治监督，坚持把严的主基调贯穿巡察整改各方面全过程，推动巡察整改规范高效开展。</w:t>
            </w:r>
          </w:p>
        </w:tc>
      </w:tr>
      <w:tr w14:paraId="2B8EF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CBA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22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E6A7585">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巡察整改主体责任压得不实，日常监督力度不够，整改销号与质效评估如何实现深度融合还有待进一步探索。目前已经具备了初步的全面、全程运用条件，但具体全员应用还有差距，特别是巡察整改期间，对被巡察单位的整改质效还有待加强。</w:t>
            </w:r>
          </w:p>
        </w:tc>
      </w:tr>
      <w:tr w14:paraId="3C0B2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1FD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22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A9F96B7">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持续加大巡察整改力度。发挥统筹协调、跟踪督导、汇总报告作用，用好区委巡察工作联席会以及整改培训会制度，压实巡察整改主体责任、监督责任、督促责任。联合纪委、组织部、绩效办等部门，持续开展巡察整改质效评估和整改销号工作，倒逼被巡察党组织提升巡察整改质量。</w:t>
            </w:r>
          </w:p>
        </w:tc>
      </w:tr>
      <w:tr w14:paraId="3E92E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AEDC0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项目负责人：杨琦</w:t>
            </w:r>
          </w:p>
        </w:tc>
        <w:tc>
          <w:tcPr>
            <w:tcW w:w="50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133A3E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财务负责人：袁玉婷</w:t>
            </w:r>
          </w:p>
        </w:tc>
      </w:tr>
    </w:tbl>
    <w:p w14:paraId="6D243233">
      <w:pPr>
        <w:pStyle w:val="11"/>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7FDF5F31">
      <w:pPr>
        <w:pStyle w:val="9"/>
        <w:rPr>
          <w:rFonts w:hint="eastAsia" w:ascii="Times New Roman" w:hAnsi="Times New Roman" w:cs="宋体"/>
          <w:color w:val="FF0000"/>
          <w:kern w:val="0"/>
          <w:sz w:val="32"/>
          <w:szCs w:val="32"/>
          <w:highlight w:val="yellow"/>
          <w:shd w:val="clear" w:color="auto" w:fill="FFFFFF"/>
          <w:lang w:val="zh-CN"/>
        </w:rPr>
      </w:pPr>
    </w:p>
    <w:p w14:paraId="73811360">
      <w:pPr>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黑体" w:cs="黑体"/>
          <w:color w:val="auto"/>
          <w:kern w:val="0"/>
          <w:sz w:val="32"/>
          <w:szCs w:val="32"/>
          <w:highlight w:val="none"/>
          <w:shd w:val="clear" w:color="auto" w:fill="FFFFFF"/>
          <w:lang w:val="zh-CN"/>
        </w:rPr>
        <w:br w:type="page"/>
      </w:r>
      <w:bookmarkStart w:id="68" w:name="_Toc15396618"/>
    </w:p>
    <w:p w14:paraId="6B5E57EF">
      <w:pPr>
        <w:widowControl/>
        <w:jc w:val="center"/>
        <w:outlineLvl w:val="0"/>
        <w:rPr>
          <w:rFonts w:hint="eastAsia" w:ascii="Times New Roman" w:hAnsi="Times New Roman" w:eastAsia="仿宋"/>
          <w:b w:val="0"/>
          <w:color w:val="auto"/>
          <w:highlight w:val="none"/>
        </w:rPr>
      </w:pPr>
      <w:bookmarkStart w:id="69" w:name="_Toc14216"/>
      <w:r>
        <w:rPr>
          <w:rFonts w:hint="eastAsia" w:ascii="Times New Roman" w:hAnsi="Times New Roman" w:eastAsia="黑体"/>
          <w:color w:val="auto"/>
          <w:sz w:val="44"/>
          <w:szCs w:val="44"/>
          <w:highlight w:val="none"/>
        </w:rPr>
        <w:t>第</w:t>
      </w:r>
      <w:r>
        <w:rPr>
          <w:rStyle w:val="36"/>
          <w:rFonts w:hint="eastAsia" w:ascii="Times New Roman" w:hAnsi="Times New Roman" w:eastAsia="黑体"/>
          <w:b w:val="0"/>
          <w:color w:val="auto"/>
          <w:highlight w:val="none"/>
        </w:rPr>
        <w:t>五部分 附表</w:t>
      </w:r>
      <w:bookmarkEnd w:id="66"/>
      <w:bookmarkEnd w:id="68"/>
      <w:bookmarkEnd w:id="69"/>
      <w:bookmarkStart w:id="70" w:name="_Toc15396619"/>
    </w:p>
    <w:p w14:paraId="689E2E8F">
      <w:pPr>
        <w:pStyle w:val="20"/>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4A7BDFA7">
      <w:pPr>
        <w:pStyle w:val="20"/>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70"/>
    </w:p>
    <w:p w14:paraId="2D6F66D1">
      <w:pPr>
        <w:pStyle w:val="20"/>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1" w:name="_Toc15396620"/>
      <w:r>
        <w:rPr>
          <w:rFonts w:hint="eastAsia" w:ascii="Times New Roman" w:hAnsi="Times New Roman" w:eastAsia="仿宋_GB2312" w:cs="仿宋_GB2312"/>
          <w:color w:val="auto"/>
          <w:sz w:val="32"/>
          <w:szCs w:val="32"/>
          <w:highlight w:val="none"/>
        </w:rPr>
        <w:t>二、收入决算表</w:t>
      </w:r>
      <w:bookmarkEnd w:id="71"/>
    </w:p>
    <w:p w14:paraId="7980B0CD">
      <w:pPr>
        <w:pStyle w:val="20"/>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2" w:name="_Toc15396621"/>
      <w:r>
        <w:rPr>
          <w:rFonts w:hint="eastAsia" w:ascii="Times New Roman" w:hAnsi="Times New Roman" w:eastAsia="仿宋_GB2312" w:cs="仿宋_GB2312"/>
          <w:color w:val="auto"/>
          <w:sz w:val="32"/>
          <w:szCs w:val="32"/>
          <w:highlight w:val="none"/>
        </w:rPr>
        <w:t>三、支出决算表</w:t>
      </w:r>
      <w:bookmarkEnd w:id="72"/>
    </w:p>
    <w:p w14:paraId="6DA61654">
      <w:pPr>
        <w:pStyle w:val="20"/>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3" w:name="_Toc15396622"/>
      <w:r>
        <w:rPr>
          <w:rFonts w:hint="eastAsia" w:ascii="Times New Roman" w:hAnsi="Times New Roman" w:eastAsia="仿宋_GB2312" w:cs="仿宋_GB2312"/>
          <w:color w:val="auto"/>
          <w:sz w:val="32"/>
          <w:szCs w:val="32"/>
          <w:highlight w:val="none"/>
        </w:rPr>
        <w:t>四、财政拨款收入支出决算总表</w:t>
      </w:r>
      <w:bookmarkEnd w:id="73"/>
    </w:p>
    <w:p w14:paraId="42909163">
      <w:pPr>
        <w:pStyle w:val="20"/>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4" w:name="_Toc15396623"/>
      <w:r>
        <w:rPr>
          <w:rFonts w:hint="eastAsia" w:ascii="Times New Roman" w:hAnsi="Times New Roman" w:eastAsia="仿宋_GB2312" w:cs="仿宋_GB2312"/>
          <w:color w:val="auto"/>
          <w:sz w:val="32"/>
          <w:szCs w:val="32"/>
          <w:highlight w:val="none"/>
        </w:rPr>
        <w:t>五、财政拨款支出决算明细表</w:t>
      </w:r>
      <w:bookmarkEnd w:id="74"/>
      <w:bookmarkStart w:id="75" w:name="_Toc15396624"/>
    </w:p>
    <w:p w14:paraId="1C155497">
      <w:pPr>
        <w:pStyle w:val="20"/>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75"/>
    </w:p>
    <w:p w14:paraId="11346590">
      <w:pPr>
        <w:pStyle w:val="20"/>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6" w:name="_Toc15396625"/>
      <w:r>
        <w:rPr>
          <w:rFonts w:hint="eastAsia" w:ascii="Times New Roman" w:hAnsi="Times New Roman" w:eastAsia="仿宋_GB2312" w:cs="仿宋_GB2312"/>
          <w:color w:val="auto"/>
          <w:sz w:val="32"/>
          <w:szCs w:val="32"/>
          <w:highlight w:val="none"/>
        </w:rPr>
        <w:t>七、一般公共预算财政拨款支出决算明细表</w:t>
      </w:r>
      <w:bookmarkEnd w:id="76"/>
    </w:p>
    <w:p w14:paraId="6FF030A6">
      <w:pPr>
        <w:pStyle w:val="20"/>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7" w:name="_Toc15396626"/>
      <w:r>
        <w:rPr>
          <w:rFonts w:hint="eastAsia" w:ascii="Times New Roman" w:hAnsi="Times New Roman" w:eastAsia="仿宋_GB2312" w:cs="仿宋_GB2312"/>
          <w:color w:val="auto"/>
          <w:sz w:val="32"/>
          <w:szCs w:val="32"/>
          <w:highlight w:val="none"/>
        </w:rPr>
        <w:t>八、一般公共预算财政拨款基本支出决算表</w:t>
      </w:r>
      <w:bookmarkEnd w:id="77"/>
    </w:p>
    <w:p w14:paraId="2376F8F6">
      <w:pPr>
        <w:pStyle w:val="20"/>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8" w:name="_Toc15396627"/>
      <w:r>
        <w:rPr>
          <w:rFonts w:hint="eastAsia" w:ascii="Times New Roman" w:hAnsi="Times New Roman" w:eastAsia="仿宋_GB2312" w:cs="仿宋_GB2312"/>
          <w:color w:val="auto"/>
          <w:sz w:val="32"/>
          <w:szCs w:val="32"/>
          <w:highlight w:val="none"/>
        </w:rPr>
        <w:t>九、一般公共预算财政拨款项目支出决算表</w:t>
      </w:r>
      <w:bookmarkEnd w:id="78"/>
    </w:p>
    <w:p w14:paraId="2DE9AFD1">
      <w:pPr>
        <w:pStyle w:val="20"/>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9" w:name="_Toc15396628"/>
      <w:r>
        <w:rPr>
          <w:rFonts w:hint="eastAsia" w:ascii="Times New Roman" w:hAnsi="Times New Roman" w:eastAsia="仿宋_GB2312" w:cs="仿宋_GB2312"/>
          <w:color w:val="auto"/>
          <w:sz w:val="32"/>
          <w:szCs w:val="32"/>
          <w:highlight w:val="none"/>
        </w:rPr>
        <w:t>十、</w:t>
      </w:r>
      <w:bookmarkEnd w:id="79"/>
      <w:r>
        <w:rPr>
          <w:rFonts w:hint="eastAsia" w:ascii="Times New Roman" w:hAnsi="Times New Roman" w:eastAsia="仿宋_GB2312" w:cs="仿宋_GB2312"/>
          <w:color w:val="auto"/>
          <w:sz w:val="32"/>
          <w:szCs w:val="32"/>
          <w:highlight w:val="none"/>
        </w:rPr>
        <w:t>政府性基金预算财政拨款收入支出决算表</w:t>
      </w:r>
    </w:p>
    <w:p w14:paraId="3EEE7215">
      <w:pPr>
        <w:pStyle w:val="20"/>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80" w:name="_Toc15396629"/>
      <w:r>
        <w:rPr>
          <w:rFonts w:hint="eastAsia" w:ascii="Times New Roman" w:hAnsi="Times New Roman" w:eastAsia="仿宋_GB2312" w:cs="仿宋_GB2312"/>
          <w:color w:val="auto"/>
          <w:sz w:val="32"/>
          <w:szCs w:val="32"/>
          <w:highlight w:val="none"/>
        </w:rPr>
        <w:t>十一、</w:t>
      </w:r>
      <w:bookmarkEnd w:id="80"/>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21CAF771">
      <w:pPr>
        <w:pStyle w:val="20"/>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81" w:name="_Toc15396630"/>
      <w:r>
        <w:rPr>
          <w:rFonts w:hint="eastAsia" w:ascii="Times New Roman" w:hAnsi="Times New Roman" w:eastAsia="仿宋_GB2312" w:cs="仿宋_GB2312"/>
          <w:color w:val="auto"/>
          <w:sz w:val="32"/>
          <w:szCs w:val="32"/>
          <w:highlight w:val="none"/>
        </w:rPr>
        <w:t>十二、</w:t>
      </w:r>
      <w:bookmarkEnd w:id="81"/>
      <w:r>
        <w:rPr>
          <w:rFonts w:hint="eastAsia" w:ascii="Times New Roman" w:hAnsi="Times New Roman" w:eastAsia="仿宋_GB2312" w:cs="仿宋_GB2312"/>
          <w:color w:val="auto"/>
          <w:sz w:val="32"/>
          <w:szCs w:val="32"/>
          <w:highlight w:val="none"/>
          <w:lang w:eastAsia="zh-CN"/>
        </w:rPr>
        <w:t>国有资本经营预算财政拨款支出决算表</w:t>
      </w:r>
    </w:p>
    <w:p w14:paraId="195A5EC7">
      <w:pPr>
        <w:pStyle w:val="20"/>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82" w:name="_Toc15396631"/>
      <w:r>
        <w:rPr>
          <w:rFonts w:hint="eastAsia" w:ascii="Times New Roman" w:hAnsi="Times New Roman" w:eastAsia="仿宋_GB2312" w:cs="仿宋_GB2312"/>
          <w:color w:val="auto"/>
          <w:sz w:val="32"/>
          <w:szCs w:val="32"/>
          <w:highlight w:val="none"/>
        </w:rPr>
        <w:t>十三、</w:t>
      </w:r>
      <w:bookmarkEnd w:id="82"/>
      <w:r>
        <w:rPr>
          <w:rFonts w:hint="eastAsia" w:ascii="Times New Roman" w:hAnsi="Times New Roman" w:eastAsia="仿宋_GB2312" w:cs="仿宋_GB2312"/>
          <w:color w:val="auto"/>
          <w:sz w:val="32"/>
          <w:szCs w:val="32"/>
          <w:highlight w:val="none"/>
          <w:lang w:eastAsia="zh-CN"/>
        </w:rPr>
        <w:t>财政拨款“三公”经费支出决算表</w:t>
      </w:r>
    </w:p>
    <w:p w14:paraId="46982150">
      <w:pPr>
        <w:rPr>
          <w:rFonts w:hint="eastAsia" w:ascii="Times New Roman" w:hAnsi="Times New Roman"/>
          <w:lang w:eastAsia="zh-CN"/>
        </w:rPr>
      </w:pPr>
    </w:p>
    <w:sectPr>
      <w:footerReference r:id="rId8" w:type="default"/>
      <w:pgSz w:w="11906" w:h="16838"/>
      <w:pgMar w:top="1440" w:right="1800" w:bottom="1440" w:left="1800" w:header="851" w:footer="992" w:gutter="0"/>
      <w:pgNumType w:fmt="numberInDash" w:start="29"/>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黑体"/>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FangSong_GB2312">
    <w:altName w:val="仿宋"/>
    <w:panose1 w:val="02010609060101010101"/>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C6EC0">
    <w:pPr>
      <w:pStyle w:val="16"/>
      <w:jc w:val="center"/>
    </w:pPr>
  </w:p>
  <w:p w14:paraId="3BD00177">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79982">
    <w:pPr>
      <w:pStyle w:val="1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641A70">
                          <w:pPr>
                            <w:pStyle w:val="16"/>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0641A70">
                    <w:pPr>
                      <w:pStyle w:val="16"/>
                    </w:pPr>
                    <w:r>
                      <w:fldChar w:fldCharType="begin"/>
                    </w:r>
                    <w:r>
                      <w:instrText xml:space="preserve"> PAGE  \* MERGEFORMAT </w:instrText>
                    </w:r>
                    <w:r>
                      <w:fldChar w:fldCharType="separate"/>
                    </w:r>
                    <w:r>
                      <w:t>- 1 -</w:t>
                    </w:r>
                    <w:r>
                      <w:fldChar w:fldCharType="end"/>
                    </w:r>
                  </w:p>
                </w:txbxContent>
              </v:textbox>
            </v:shape>
          </w:pict>
        </mc:Fallback>
      </mc:AlternateContent>
    </w:r>
  </w:p>
  <w:p w14:paraId="294C441B">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9CEBC">
    <w:pPr>
      <w:pStyle w:val="1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B17C72">
                          <w:pPr>
                            <w:pStyle w:val="16"/>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4B17C72">
                    <w:pPr>
                      <w:pStyle w:val="16"/>
                    </w:pPr>
                    <w:r>
                      <w:fldChar w:fldCharType="begin"/>
                    </w:r>
                    <w:r>
                      <w:instrText xml:space="preserve"> PAGE  \* MERGEFORMAT </w:instrText>
                    </w:r>
                    <w:r>
                      <w:fldChar w:fldCharType="separate"/>
                    </w:r>
                    <w:r>
                      <w:t>- 1 -</w:t>
                    </w:r>
                    <w:r>
                      <w:fldChar w:fldCharType="end"/>
                    </w:r>
                  </w:p>
                </w:txbxContent>
              </v:textbox>
            </v:shape>
          </w:pict>
        </mc:Fallback>
      </mc:AlternateContent>
    </w:r>
  </w:p>
  <w:p w14:paraId="6C877803">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40374">
    <w:pPr>
      <w:pStyle w:val="16"/>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451CAF">
                          <w:pPr>
                            <w:pStyle w:val="16"/>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5451CAF">
                    <w:pPr>
                      <w:pStyle w:val="16"/>
                    </w:pPr>
                    <w:r>
                      <w:fldChar w:fldCharType="begin"/>
                    </w:r>
                    <w:r>
                      <w:instrText xml:space="preserve"> PAGE  \* MERGEFORMAT </w:instrText>
                    </w:r>
                    <w:r>
                      <w:fldChar w:fldCharType="separate"/>
                    </w:r>
                    <w:r>
                      <w:t>- 1 -</w:t>
                    </w:r>
                    <w:r>
                      <w:fldChar w:fldCharType="end"/>
                    </w:r>
                  </w:p>
                </w:txbxContent>
              </v:textbox>
            </v:shape>
          </w:pict>
        </mc:Fallback>
      </mc:AlternateContent>
    </w:r>
  </w:p>
  <w:p w14:paraId="34C01124">
    <w:pPr>
      <w:pStyle w:val="1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EB6AB">
    <w:pPr>
      <w:pStyle w:val="16"/>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FD2196">
                          <w:pPr>
                            <w:pStyle w:val="16"/>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BFD2196">
                    <w:pPr>
                      <w:pStyle w:val="16"/>
                    </w:pPr>
                    <w:r>
                      <w:fldChar w:fldCharType="begin"/>
                    </w:r>
                    <w:r>
                      <w:instrText xml:space="preserve"> PAGE  \* MERGEFORMAT </w:instrText>
                    </w:r>
                    <w:r>
                      <w:fldChar w:fldCharType="separate"/>
                    </w:r>
                    <w:r>
                      <w:t>- 1 -</w:t>
                    </w:r>
                    <w:r>
                      <w:fldChar w:fldCharType="end"/>
                    </w:r>
                  </w:p>
                </w:txbxContent>
              </v:textbox>
            </v:shape>
          </w:pict>
        </mc:Fallback>
      </mc:AlternateContent>
    </w:r>
  </w:p>
  <w:p w14:paraId="74EC8AF9">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D404E">
    <w:pPr>
      <w:pStyle w:val="1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1YzliZTA0YjY4Zjk5NmFkNzNjOWM5OTA2MTdiMzQ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5711"/>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75B8"/>
    <w:rsid w:val="01E5483E"/>
    <w:rsid w:val="02FEBE30"/>
    <w:rsid w:val="039B59D4"/>
    <w:rsid w:val="05B17302"/>
    <w:rsid w:val="060A7D56"/>
    <w:rsid w:val="061E35DE"/>
    <w:rsid w:val="066E0107"/>
    <w:rsid w:val="07996F6E"/>
    <w:rsid w:val="07B514F5"/>
    <w:rsid w:val="07DFD8BA"/>
    <w:rsid w:val="09367531"/>
    <w:rsid w:val="09867E8F"/>
    <w:rsid w:val="0A2032A3"/>
    <w:rsid w:val="0A536929"/>
    <w:rsid w:val="0BE023D5"/>
    <w:rsid w:val="0CA8290A"/>
    <w:rsid w:val="0D35B1ED"/>
    <w:rsid w:val="0DE7103D"/>
    <w:rsid w:val="0F824F30"/>
    <w:rsid w:val="0F98263C"/>
    <w:rsid w:val="0FB42C9E"/>
    <w:rsid w:val="0FBC7598"/>
    <w:rsid w:val="101860EC"/>
    <w:rsid w:val="10C055FF"/>
    <w:rsid w:val="11761E61"/>
    <w:rsid w:val="11772AA4"/>
    <w:rsid w:val="118107EC"/>
    <w:rsid w:val="11CB3458"/>
    <w:rsid w:val="13D50BC4"/>
    <w:rsid w:val="140009C8"/>
    <w:rsid w:val="15545754"/>
    <w:rsid w:val="15E61BAF"/>
    <w:rsid w:val="165E0673"/>
    <w:rsid w:val="16BB723D"/>
    <w:rsid w:val="17216686"/>
    <w:rsid w:val="175B40AA"/>
    <w:rsid w:val="176D0D92"/>
    <w:rsid w:val="17C328B1"/>
    <w:rsid w:val="186504BB"/>
    <w:rsid w:val="18A11583"/>
    <w:rsid w:val="19A445FC"/>
    <w:rsid w:val="1AD20CCC"/>
    <w:rsid w:val="1BE8440E"/>
    <w:rsid w:val="1C6E7E6B"/>
    <w:rsid w:val="1C8E144E"/>
    <w:rsid w:val="1C9B157B"/>
    <w:rsid w:val="1D155CEE"/>
    <w:rsid w:val="1D996845"/>
    <w:rsid w:val="1E504393"/>
    <w:rsid w:val="1E740ACF"/>
    <w:rsid w:val="1FF35744"/>
    <w:rsid w:val="1FF6BC77"/>
    <w:rsid w:val="20DC7978"/>
    <w:rsid w:val="218F4327"/>
    <w:rsid w:val="21C45BE8"/>
    <w:rsid w:val="22E859B7"/>
    <w:rsid w:val="22E9024C"/>
    <w:rsid w:val="23513BD9"/>
    <w:rsid w:val="23860B96"/>
    <w:rsid w:val="240371BF"/>
    <w:rsid w:val="257B0F03"/>
    <w:rsid w:val="260F557C"/>
    <w:rsid w:val="262B6176"/>
    <w:rsid w:val="281408E2"/>
    <w:rsid w:val="2877544C"/>
    <w:rsid w:val="290D304F"/>
    <w:rsid w:val="29B30F38"/>
    <w:rsid w:val="29FD04D3"/>
    <w:rsid w:val="2A905339"/>
    <w:rsid w:val="2BFF7BC6"/>
    <w:rsid w:val="2C8A61B5"/>
    <w:rsid w:val="2D9B6CC3"/>
    <w:rsid w:val="2DF04E50"/>
    <w:rsid w:val="2F040D46"/>
    <w:rsid w:val="2FAE5751"/>
    <w:rsid w:val="2FB1A395"/>
    <w:rsid w:val="2FD9A7D8"/>
    <w:rsid w:val="30040182"/>
    <w:rsid w:val="319F7F4E"/>
    <w:rsid w:val="3304709D"/>
    <w:rsid w:val="332C6C18"/>
    <w:rsid w:val="349D6851"/>
    <w:rsid w:val="35146C8D"/>
    <w:rsid w:val="3624500D"/>
    <w:rsid w:val="36AA5135"/>
    <w:rsid w:val="36BE0DA7"/>
    <w:rsid w:val="376B6AA6"/>
    <w:rsid w:val="376D39B2"/>
    <w:rsid w:val="37E16F03"/>
    <w:rsid w:val="37F470B1"/>
    <w:rsid w:val="37F53A3B"/>
    <w:rsid w:val="382B101F"/>
    <w:rsid w:val="38920381"/>
    <w:rsid w:val="389B6C89"/>
    <w:rsid w:val="38D469F0"/>
    <w:rsid w:val="39627CCD"/>
    <w:rsid w:val="397BAF1F"/>
    <w:rsid w:val="3A2B49B3"/>
    <w:rsid w:val="3AB79AF3"/>
    <w:rsid w:val="3B7EF35A"/>
    <w:rsid w:val="3B9FDB6C"/>
    <w:rsid w:val="3BF5BC2F"/>
    <w:rsid w:val="3CEBA265"/>
    <w:rsid w:val="3D98207C"/>
    <w:rsid w:val="3DEE7CF3"/>
    <w:rsid w:val="3E3A3F5C"/>
    <w:rsid w:val="3E78745D"/>
    <w:rsid w:val="3EAD6023"/>
    <w:rsid w:val="3FF4CAE0"/>
    <w:rsid w:val="3FF7B227"/>
    <w:rsid w:val="425C2DC8"/>
    <w:rsid w:val="44E268DA"/>
    <w:rsid w:val="44F93E44"/>
    <w:rsid w:val="45D16192"/>
    <w:rsid w:val="45ED0FAD"/>
    <w:rsid w:val="46624C36"/>
    <w:rsid w:val="46D00C57"/>
    <w:rsid w:val="478B0985"/>
    <w:rsid w:val="47950030"/>
    <w:rsid w:val="47C816C6"/>
    <w:rsid w:val="486A6C7A"/>
    <w:rsid w:val="4956038A"/>
    <w:rsid w:val="4A337134"/>
    <w:rsid w:val="4A383661"/>
    <w:rsid w:val="4A627F82"/>
    <w:rsid w:val="4B0E749A"/>
    <w:rsid w:val="4B4F25DA"/>
    <w:rsid w:val="4BE068DB"/>
    <w:rsid w:val="4D0B7780"/>
    <w:rsid w:val="4D577224"/>
    <w:rsid w:val="4DBF1CEB"/>
    <w:rsid w:val="4EAB630A"/>
    <w:rsid w:val="4ECE2238"/>
    <w:rsid w:val="4F833267"/>
    <w:rsid w:val="4FE9BD67"/>
    <w:rsid w:val="4FFB052F"/>
    <w:rsid w:val="502A587C"/>
    <w:rsid w:val="50371DAC"/>
    <w:rsid w:val="511F590C"/>
    <w:rsid w:val="521C55EE"/>
    <w:rsid w:val="525D0B15"/>
    <w:rsid w:val="532A129B"/>
    <w:rsid w:val="537E6D0A"/>
    <w:rsid w:val="53F74C96"/>
    <w:rsid w:val="541262B5"/>
    <w:rsid w:val="56261BDC"/>
    <w:rsid w:val="56E47B74"/>
    <w:rsid w:val="5773785B"/>
    <w:rsid w:val="57BD3DD4"/>
    <w:rsid w:val="58173319"/>
    <w:rsid w:val="586D2146"/>
    <w:rsid w:val="59B03041"/>
    <w:rsid w:val="59C575B8"/>
    <w:rsid w:val="5AF92295"/>
    <w:rsid w:val="5BDD79E6"/>
    <w:rsid w:val="5BF561CA"/>
    <w:rsid w:val="5BFF5DFC"/>
    <w:rsid w:val="5CD71FC4"/>
    <w:rsid w:val="5D1F11B5"/>
    <w:rsid w:val="5D9A1755"/>
    <w:rsid w:val="5DAE1B18"/>
    <w:rsid w:val="5DE7D9E5"/>
    <w:rsid w:val="5DF01D80"/>
    <w:rsid w:val="5E1200F3"/>
    <w:rsid w:val="5EB90A6A"/>
    <w:rsid w:val="5ECEC941"/>
    <w:rsid w:val="5FBF9FF3"/>
    <w:rsid w:val="5FCD4E2C"/>
    <w:rsid w:val="5FEF394A"/>
    <w:rsid w:val="5FF67715"/>
    <w:rsid w:val="60ED618B"/>
    <w:rsid w:val="62207017"/>
    <w:rsid w:val="62BF3928"/>
    <w:rsid w:val="632808D0"/>
    <w:rsid w:val="63873D6E"/>
    <w:rsid w:val="647F5392"/>
    <w:rsid w:val="64AE6312"/>
    <w:rsid w:val="664B1D71"/>
    <w:rsid w:val="668015E0"/>
    <w:rsid w:val="67AA3209"/>
    <w:rsid w:val="67B77D49"/>
    <w:rsid w:val="68471A21"/>
    <w:rsid w:val="698D0931"/>
    <w:rsid w:val="69E82B0F"/>
    <w:rsid w:val="69F43BE2"/>
    <w:rsid w:val="6A5401BF"/>
    <w:rsid w:val="6A971BBD"/>
    <w:rsid w:val="6AC46385"/>
    <w:rsid w:val="6B053271"/>
    <w:rsid w:val="6BBD1A66"/>
    <w:rsid w:val="6C037151"/>
    <w:rsid w:val="6C4A05C8"/>
    <w:rsid w:val="6C8742B8"/>
    <w:rsid w:val="6DBF5E93"/>
    <w:rsid w:val="6DD62813"/>
    <w:rsid w:val="6DFF077E"/>
    <w:rsid w:val="6E7E3605"/>
    <w:rsid w:val="6E7FDCC7"/>
    <w:rsid w:val="6ED6A62E"/>
    <w:rsid w:val="6EE00B15"/>
    <w:rsid w:val="6EEF002C"/>
    <w:rsid w:val="6F6FB3EB"/>
    <w:rsid w:val="6F8731EA"/>
    <w:rsid w:val="6F8F4ED7"/>
    <w:rsid w:val="6FCE6052"/>
    <w:rsid w:val="6FD57C00"/>
    <w:rsid w:val="6FEFFFD8"/>
    <w:rsid w:val="6FF5CC65"/>
    <w:rsid w:val="6FFB47EC"/>
    <w:rsid w:val="6FFF034A"/>
    <w:rsid w:val="70567EF9"/>
    <w:rsid w:val="71142A8E"/>
    <w:rsid w:val="712A28F1"/>
    <w:rsid w:val="715C0E4B"/>
    <w:rsid w:val="72233669"/>
    <w:rsid w:val="72734D90"/>
    <w:rsid w:val="7332FE48"/>
    <w:rsid w:val="736D135E"/>
    <w:rsid w:val="737016F6"/>
    <w:rsid w:val="73AB61DA"/>
    <w:rsid w:val="73AD73D5"/>
    <w:rsid w:val="73B6EB34"/>
    <w:rsid w:val="73F27B52"/>
    <w:rsid w:val="73FA497D"/>
    <w:rsid w:val="744731E5"/>
    <w:rsid w:val="74BBD01D"/>
    <w:rsid w:val="74ED5379"/>
    <w:rsid w:val="756E27F8"/>
    <w:rsid w:val="75DEEEC2"/>
    <w:rsid w:val="75E31D80"/>
    <w:rsid w:val="76A718F8"/>
    <w:rsid w:val="76E3355F"/>
    <w:rsid w:val="76F854DD"/>
    <w:rsid w:val="76FF5125"/>
    <w:rsid w:val="776F6FFA"/>
    <w:rsid w:val="778769C8"/>
    <w:rsid w:val="77DC22F5"/>
    <w:rsid w:val="79086DAD"/>
    <w:rsid w:val="79C35121"/>
    <w:rsid w:val="79D7FD79"/>
    <w:rsid w:val="79EE5BA4"/>
    <w:rsid w:val="79FA37C8"/>
    <w:rsid w:val="7A894339"/>
    <w:rsid w:val="7AB150FA"/>
    <w:rsid w:val="7AEE202C"/>
    <w:rsid w:val="7AFF7572"/>
    <w:rsid w:val="7B6C7DFB"/>
    <w:rsid w:val="7BBFBED0"/>
    <w:rsid w:val="7BC3E394"/>
    <w:rsid w:val="7C1F3737"/>
    <w:rsid w:val="7C3C3BD3"/>
    <w:rsid w:val="7CBFC87B"/>
    <w:rsid w:val="7CFE0F48"/>
    <w:rsid w:val="7D3038A0"/>
    <w:rsid w:val="7D7EC23E"/>
    <w:rsid w:val="7D8F677B"/>
    <w:rsid w:val="7DA62E7B"/>
    <w:rsid w:val="7DE71C1A"/>
    <w:rsid w:val="7DEB6F53"/>
    <w:rsid w:val="7E6A2DE9"/>
    <w:rsid w:val="7E8ADEBF"/>
    <w:rsid w:val="7EEF11D3"/>
    <w:rsid w:val="7F0971A6"/>
    <w:rsid w:val="7F3F679B"/>
    <w:rsid w:val="7F4FC4EF"/>
    <w:rsid w:val="7F5E4D54"/>
    <w:rsid w:val="7F6E0135"/>
    <w:rsid w:val="7FA30C79"/>
    <w:rsid w:val="7FAF8ABF"/>
    <w:rsid w:val="7FB7269E"/>
    <w:rsid w:val="7FC96657"/>
    <w:rsid w:val="7FDA9588"/>
    <w:rsid w:val="7FDF220F"/>
    <w:rsid w:val="7FEDC5F7"/>
    <w:rsid w:val="7FEDD9DE"/>
    <w:rsid w:val="7FF5890D"/>
    <w:rsid w:val="7FF93490"/>
    <w:rsid w:val="99FF2014"/>
    <w:rsid w:val="A6DD0D7F"/>
    <w:rsid w:val="ADC6F725"/>
    <w:rsid w:val="B7CF06AB"/>
    <w:rsid w:val="B7CFA926"/>
    <w:rsid w:val="B7F8786B"/>
    <w:rsid w:val="BABB6AA1"/>
    <w:rsid w:val="BB2F4199"/>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FFA9E8"/>
    <w:rsid w:val="E5F4E9DC"/>
    <w:rsid w:val="E70FE695"/>
    <w:rsid w:val="ECFED1BC"/>
    <w:rsid w:val="ED1D69BB"/>
    <w:rsid w:val="ED7FD312"/>
    <w:rsid w:val="EF53993F"/>
    <w:rsid w:val="EF6FD633"/>
    <w:rsid w:val="EFBFB2F4"/>
    <w:rsid w:val="EFBFFA21"/>
    <w:rsid w:val="F2BEBCB8"/>
    <w:rsid w:val="F36FB518"/>
    <w:rsid w:val="F3DE1A04"/>
    <w:rsid w:val="F3F722E5"/>
    <w:rsid w:val="FA5F1E70"/>
    <w:rsid w:val="FA5FDB97"/>
    <w:rsid w:val="FB7F486A"/>
    <w:rsid w:val="FBFF5B2E"/>
    <w:rsid w:val="FD7FFE2B"/>
    <w:rsid w:val="FDEE196B"/>
    <w:rsid w:val="FDFE6575"/>
    <w:rsid w:val="FEDFDDC2"/>
    <w:rsid w:val="FEED32F6"/>
    <w:rsid w:val="FEF781DD"/>
    <w:rsid w:val="FF3F7E3F"/>
    <w:rsid w:val="FFBA12D7"/>
    <w:rsid w:val="FFDFFAEE"/>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6"/>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40"/>
    <w:unhideWhenUsed/>
    <w:qFormat/>
    <w:uiPriority w:val="9"/>
    <w:pPr>
      <w:keepNext/>
      <w:keepLines/>
      <w:spacing w:before="260" w:after="260" w:line="416" w:lineRule="auto"/>
      <w:outlineLvl w:val="2"/>
    </w:pPr>
    <w:rPr>
      <w:b/>
      <w:bCs/>
      <w:sz w:val="32"/>
      <w:szCs w:val="32"/>
    </w:rPr>
  </w:style>
  <w:style w:type="character" w:default="1" w:styleId="22">
    <w:name w:val="Default Paragraph Font"/>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customStyle="1" w:styleId="2">
    <w:name w:val="章标题"/>
    <w:basedOn w:val="3"/>
    <w:next w:val="4"/>
    <w:qFormat/>
    <w:uiPriority w:val="99"/>
    <w:pPr>
      <w:widowControl/>
      <w:spacing w:before="158" w:after="153" w:line="323" w:lineRule="atLeast"/>
      <w:ind w:right="-120"/>
      <w:jc w:val="center"/>
      <w:textAlignment w:val="baseline"/>
    </w:pPr>
    <w:rPr>
      <w:rFonts w:ascii="Times New Roman" w:hAnsi="Times New Roman" w:eastAsia="宋体"/>
      <w:color w:val="FF0000"/>
      <w:sz w:val="18"/>
    </w:rPr>
  </w:style>
  <w:style w:type="paragraph" w:customStyle="1" w:styleId="3">
    <w:name w:val="正文1"/>
    <w:qFormat/>
    <w:uiPriority w:val="0"/>
    <w:pPr>
      <w:jc w:val="both"/>
    </w:pPr>
    <w:rPr>
      <w:rFonts w:ascii="Calibri" w:hAnsi="Calibri" w:eastAsia="宋体" w:cs="Times New Roman"/>
      <w:sz w:val="21"/>
      <w:szCs w:val="24"/>
      <w:lang w:val="en-US" w:eastAsia="zh-CN" w:bidi="ar-SA"/>
    </w:rPr>
  </w:style>
  <w:style w:type="paragraph" w:customStyle="1" w:styleId="4">
    <w:name w:val="节标题"/>
    <w:basedOn w:val="1"/>
    <w:next w:val="1"/>
    <w:qFormat/>
    <w:uiPriority w:val="99"/>
    <w:pPr>
      <w:widowControl/>
      <w:spacing w:line="289" w:lineRule="atLeast"/>
      <w:jc w:val="center"/>
      <w:textAlignment w:val="baseline"/>
    </w:pPr>
    <w:rPr>
      <w:color w:val="000000"/>
      <w:sz w:val="28"/>
    </w:rPr>
  </w:style>
  <w:style w:type="paragraph" w:styleId="8">
    <w:name w:val="annotation text"/>
    <w:basedOn w:val="1"/>
    <w:semiHidden/>
    <w:unhideWhenUsed/>
    <w:qFormat/>
    <w:uiPriority w:val="99"/>
    <w:pPr>
      <w:jc w:val="left"/>
    </w:pPr>
  </w:style>
  <w:style w:type="paragraph" w:styleId="9">
    <w:name w:val="Body Text"/>
    <w:basedOn w:val="1"/>
    <w:link w:val="33"/>
    <w:qFormat/>
    <w:uiPriority w:val="99"/>
    <w:pPr>
      <w:spacing w:beforeLines="30"/>
    </w:pPr>
    <w:rPr>
      <w:rFonts w:ascii="仿宋_GB2312" w:eastAsia="仿宋_GB2312"/>
      <w:kern w:val="0"/>
      <w:sz w:val="30"/>
    </w:rPr>
  </w:style>
  <w:style w:type="paragraph" w:styleId="10">
    <w:name w:val="Body Text Indent"/>
    <w:basedOn w:val="1"/>
    <w:next w:val="11"/>
    <w:qFormat/>
    <w:uiPriority w:val="0"/>
    <w:pPr>
      <w:spacing w:after="120"/>
      <w:ind w:leftChars="200"/>
    </w:pPr>
    <w:rPr>
      <w:rFonts w:ascii="仿宋_GB2312"/>
      <w:szCs w:val="32"/>
    </w:rPr>
  </w:style>
  <w:style w:type="paragraph" w:styleId="11">
    <w:name w:val="Body Text First Indent 2"/>
    <w:basedOn w:val="10"/>
    <w:unhideWhenUsed/>
    <w:qFormat/>
    <w:uiPriority w:val="99"/>
    <w:pPr>
      <w:ind w:firstLine="420" w:firstLineChars="200"/>
    </w:pPr>
  </w:style>
  <w:style w:type="paragraph" w:styleId="12">
    <w:name w:val="toc 5"/>
    <w:basedOn w:val="1"/>
    <w:next w:val="1"/>
    <w:qFormat/>
    <w:uiPriority w:val="0"/>
    <w:pPr>
      <w:ind w:left="1680"/>
    </w:pPr>
    <w:rPr>
      <w:rFonts w:ascii="Times New Roman" w:hAnsi="Times New Roman" w:eastAsia="宋体" w:cs="Times New Roman"/>
      <w:szCs w:val="24"/>
    </w:rPr>
  </w:style>
  <w:style w:type="paragraph" w:styleId="13">
    <w:name w:val="toc 3"/>
    <w:basedOn w:val="1"/>
    <w:next w:val="1"/>
    <w:unhideWhenUsed/>
    <w:qFormat/>
    <w:uiPriority w:val="39"/>
    <w:pPr>
      <w:tabs>
        <w:tab w:val="right" w:leader="dot" w:pos="8296"/>
      </w:tabs>
      <w:ind w:left="840" w:leftChars="400"/>
    </w:pPr>
  </w:style>
  <w:style w:type="paragraph" w:styleId="14">
    <w:name w:val="Plain Text"/>
    <w:basedOn w:val="1"/>
    <w:next w:val="12"/>
    <w:unhideWhenUsed/>
    <w:qFormat/>
    <w:uiPriority w:val="0"/>
    <w:rPr>
      <w:rFonts w:ascii="宋体" w:hAnsi="Courier New" w:cs="Courier New"/>
      <w:szCs w:val="21"/>
    </w:rPr>
  </w:style>
  <w:style w:type="paragraph" w:styleId="15">
    <w:name w:val="Balloon Text"/>
    <w:basedOn w:val="1"/>
    <w:link w:val="39"/>
    <w:semiHidden/>
    <w:unhideWhenUsed/>
    <w:qFormat/>
    <w:uiPriority w:val="99"/>
    <w:rPr>
      <w:sz w:val="18"/>
      <w:szCs w:val="18"/>
    </w:rPr>
  </w:style>
  <w:style w:type="paragraph" w:styleId="16">
    <w:name w:val="footer"/>
    <w:basedOn w:val="1"/>
    <w:next w:val="1"/>
    <w:link w:val="31"/>
    <w:qFormat/>
    <w:uiPriority w:val="99"/>
    <w:pPr>
      <w:tabs>
        <w:tab w:val="center" w:pos="4153"/>
        <w:tab w:val="right" w:pos="8306"/>
      </w:tabs>
      <w:snapToGrid w:val="0"/>
      <w:jc w:val="left"/>
    </w:pPr>
    <w:rPr>
      <w:rFonts w:ascii="Calibri" w:hAnsi="Calibri"/>
      <w:kern w:val="0"/>
      <w:sz w:val="18"/>
      <w:szCs w:val="18"/>
    </w:rPr>
  </w:style>
  <w:style w:type="paragraph" w:styleId="17">
    <w:name w:val="header"/>
    <w:basedOn w:val="1"/>
    <w:link w:val="2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8">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9">
    <w:name w:val="footnote text"/>
    <w:basedOn w:val="1"/>
    <w:next w:val="11"/>
    <w:semiHidden/>
    <w:qFormat/>
    <w:uiPriority w:val="0"/>
    <w:pPr>
      <w:snapToGrid w:val="0"/>
      <w:jc w:val="left"/>
    </w:pPr>
    <w:rPr>
      <w:sz w:val="18"/>
      <w:szCs w:val="18"/>
    </w:rPr>
  </w:style>
  <w:style w:type="paragraph" w:styleId="20">
    <w:name w:val="toc 2"/>
    <w:basedOn w:val="1"/>
    <w:next w:val="1"/>
    <w:unhideWhenUsed/>
    <w:qFormat/>
    <w:uiPriority w:val="39"/>
    <w:pPr>
      <w:tabs>
        <w:tab w:val="right" w:leader="dot" w:pos="8296"/>
      </w:tabs>
      <w:ind w:left="420" w:leftChars="200"/>
    </w:pPr>
  </w:style>
  <w:style w:type="character" w:styleId="23">
    <w:name w:val="Strong"/>
    <w:basedOn w:val="22"/>
    <w:qFormat/>
    <w:uiPriority w:val="99"/>
    <w:rPr>
      <w:b/>
    </w:rPr>
  </w:style>
  <w:style w:type="character" w:styleId="24">
    <w:name w:val="Hyperlink"/>
    <w:basedOn w:val="22"/>
    <w:unhideWhenUsed/>
    <w:qFormat/>
    <w:uiPriority w:val="99"/>
    <w:rPr>
      <w:color w:val="0000FF" w:themeColor="hyperlink"/>
      <w:u w:val="single"/>
      <w14:textFill>
        <w14:solidFill>
          <w14:schemeClr w14:val="hlink"/>
        </w14:solidFill>
      </w14:textFill>
    </w:rPr>
  </w:style>
  <w:style w:type="paragraph" w:customStyle="1" w:styleId="25">
    <w:name w:val="正文-公1"/>
    <w:basedOn w:val="26"/>
    <w:next w:val="1"/>
    <w:qFormat/>
    <w:uiPriority w:val="0"/>
    <w:pPr>
      <w:ind w:firstLine="200" w:firstLineChars="200"/>
    </w:pPr>
    <w:rPr>
      <w:rFonts w:eastAsia="宋体"/>
      <w:sz w:val="21"/>
      <w:szCs w:val="20"/>
    </w:rPr>
  </w:style>
  <w:style w:type="paragraph" w:customStyle="1" w:styleId="26">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5"/>
    <w:autoRedefine/>
    <w:qFormat/>
    <w:uiPriority w:val="0"/>
    <w:pPr>
      <w:widowControl w:val="0"/>
      <w:jc w:val="both"/>
    </w:pPr>
    <w:rPr>
      <w:rFonts w:ascii="Times New Roman" w:hAnsi="Times New Roman" w:eastAsia="宋体" w:cs="Times New Roman"/>
      <w:kern w:val="2"/>
      <w:sz w:val="21"/>
      <w:lang w:val="en-US" w:eastAsia="zh-CN"/>
    </w:rPr>
  </w:style>
  <w:style w:type="paragraph" w:customStyle="1" w:styleId="27">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8">
    <w:name w:val="Header Char"/>
    <w:basedOn w:val="22"/>
    <w:semiHidden/>
    <w:qFormat/>
    <w:uiPriority w:val="99"/>
    <w:rPr>
      <w:rFonts w:ascii="Times New Roman" w:hAnsi="Times New Roman"/>
      <w:sz w:val="18"/>
      <w:szCs w:val="18"/>
    </w:rPr>
  </w:style>
  <w:style w:type="character" w:customStyle="1" w:styleId="29">
    <w:name w:val="页眉 Char"/>
    <w:link w:val="17"/>
    <w:semiHidden/>
    <w:qFormat/>
    <w:locked/>
    <w:uiPriority w:val="99"/>
    <w:rPr>
      <w:sz w:val="18"/>
    </w:rPr>
  </w:style>
  <w:style w:type="character" w:customStyle="1" w:styleId="30">
    <w:name w:val="Footer Char"/>
    <w:basedOn w:val="22"/>
    <w:semiHidden/>
    <w:qFormat/>
    <w:uiPriority w:val="99"/>
    <w:rPr>
      <w:rFonts w:ascii="Times New Roman" w:hAnsi="Times New Roman"/>
      <w:sz w:val="18"/>
      <w:szCs w:val="18"/>
    </w:rPr>
  </w:style>
  <w:style w:type="character" w:customStyle="1" w:styleId="31">
    <w:name w:val="页脚 Char"/>
    <w:link w:val="16"/>
    <w:qFormat/>
    <w:locked/>
    <w:uiPriority w:val="99"/>
    <w:rPr>
      <w:sz w:val="18"/>
    </w:rPr>
  </w:style>
  <w:style w:type="character" w:customStyle="1" w:styleId="32">
    <w:name w:val="Body Text Char"/>
    <w:basedOn w:val="22"/>
    <w:semiHidden/>
    <w:qFormat/>
    <w:uiPriority w:val="99"/>
    <w:rPr>
      <w:rFonts w:ascii="Times New Roman" w:hAnsi="Times New Roman"/>
      <w:szCs w:val="24"/>
    </w:rPr>
  </w:style>
  <w:style w:type="character" w:customStyle="1" w:styleId="33">
    <w:name w:val="正文文本 Char"/>
    <w:link w:val="9"/>
    <w:qFormat/>
    <w:locked/>
    <w:uiPriority w:val="99"/>
    <w:rPr>
      <w:rFonts w:ascii="仿宋_GB2312" w:hAnsi="Times New Roman" w:eastAsia="仿宋_GB2312"/>
      <w:sz w:val="24"/>
    </w:rPr>
  </w:style>
  <w:style w:type="paragraph" w:customStyle="1" w:styleId="34">
    <w:name w:val="Default"/>
    <w:next w:val="17"/>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5">
    <w:name w:val="List Paragraph"/>
    <w:basedOn w:val="1"/>
    <w:qFormat/>
    <w:uiPriority w:val="34"/>
    <w:pPr>
      <w:ind w:firstLine="420" w:firstLineChars="200"/>
    </w:pPr>
  </w:style>
  <w:style w:type="character" w:customStyle="1" w:styleId="36">
    <w:name w:val="标题 1 Char"/>
    <w:basedOn w:val="22"/>
    <w:link w:val="5"/>
    <w:qFormat/>
    <w:uiPriority w:val="9"/>
    <w:rPr>
      <w:rFonts w:ascii="Times New Roman" w:hAnsi="Times New Roman"/>
      <w:b/>
      <w:bCs/>
      <w:kern w:val="44"/>
      <w:sz w:val="44"/>
      <w:szCs w:val="44"/>
    </w:rPr>
  </w:style>
  <w:style w:type="character" w:customStyle="1" w:styleId="37">
    <w:name w:val="标题 2 Char"/>
    <w:basedOn w:val="22"/>
    <w:link w:val="6"/>
    <w:qFormat/>
    <w:uiPriority w:val="9"/>
    <w:rPr>
      <w:rFonts w:asciiTheme="majorHAnsi" w:hAnsiTheme="majorHAnsi" w:eastAsiaTheme="majorEastAsia" w:cstheme="majorBidi"/>
      <w:b/>
      <w:bCs/>
      <w:kern w:val="2"/>
      <w:sz w:val="32"/>
      <w:szCs w:val="32"/>
    </w:rPr>
  </w:style>
  <w:style w:type="paragraph" w:customStyle="1" w:styleId="38">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9">
    <w:name w:val="批注框文本 Char"/>
    <w:basedOn w:val="22"/>
    <w:link w:val="15"/>
    <w:semiHidden/>
    <w:qFormat/>
    <w:uiPriority w:val="99"/>
    <w:rPr>
      <w:rFonts w:ascii="Times New Roman" w:hAnsi="Times New Roman"/>
      <w:kern w:val="2"/>
      <w:sz w:val="18"/>
      <w:szCs w:val="18"/>
    </w:rPr>
  </w:style>
  <w:style w:type="character" w:customStyle="1" w:styleId="40">
    <w:name w:val="标题 3 Char"/>
    <w:basedOn w:val="22"/>
    <w:link w:val="7"/>
    <w:qFormat/>
    <w:uiPriority w:val="9"/>
    <w:rPr>
      <w:rFonts w:ascii="Times New Roman" w:hAnsi="Times New Roman"/>
      <w:b/>
      <w:bCs/>
      <w:kern w:val="2"/>
      <w:sz w:val="32"/>
      <w:szCs w:val="32"/>
    </w:rPr>
  </w:style>
  <w:style w:type="paragraph" w:customStyle="1" w:styleId="41">
    <w:name w:val="TOC Heading"/>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42">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43">
    <w:name w:val="WPSOffice手动目录 1"/>
    <w:qFormat/>
    <w:uiPriority w:val="0"/>
    <w:pPr>
      <w:ind w:leftChars="0"/>
    </w:pPr>
    <w:rPr>
      <w:rFonts w:asciiTheme="minorHAnsi" w:hAnsiTheme="minorHAnsi" w:eastAsiaTheme="minorEastAsia" w:cstheme="minorBidi"/>
      <w:sz w:val="20"/>
      <w:szCs w:val="20"/>
    </w:rPr>
  </w:style>
  <w:style w:type="paragraph" w:customStyle="1" w:styleId="44">
    <w:name w:val="WPSOffice手动目录 2"/>
    <w:qFormat/>
    <w:uiPriority w:val="0"/>
    <w:pPr>
      <w:ind w:leftChars="200"/>
    </w:pPr>
    <w:rPr>
      <w:rFonts w:asciiTheme="minorHAnsi" w:hAnsiTheme="minorHAnsi" w:eastAsiaTheme="minorEastAsia" w:cstheme="minorBidi"/>
      <w:sz w:val="20"/>
      <w:szCs w:val="20"/>
    </w:rPr>
  </w:style>
  <w:style w:type="paragraph" w:customStyle="1" w:styleId="45">
    <w:name w:val="质联正文"/>
    <w:basedOn w:val="1"/>
    <w:qFormat/>
    <w:uiPriority w:val="3"/>
    <w:pPr>
      <w:spacing w:line="600" w:lineRule="exact"/>
      <w:ind w:firstLine="640" w:firstLineChars="200"/>
    </w:pPr>
    <w:rPr>
      <w:kern w:val="0"/>
      <w:szCs w:val="28"/>
      <w:lang w:val="zh-CN"/>
    </w:rPr>
  </w:style>
  <w:style w:type="character" w:customStyle="1" w:styleId="46">
    <w:name w:val="font21"/>
    <w:basedOn w:val="22"/>
    <w:qFormat/>
    <w:uiPriority w:val="0"/>
    <w:rPr>
      <w:rFonts w:hint="eastAsia" w:ascii="黑体" w:hAnsi="宋体" w:eastAsia="黑体" w:cs="黑体"/>
      <w:b/>
      <w:bCs/>
      <w:color w:val="000000"/>
      <w:sz w:val="30"/>
      <w:szCs w:val="30"/>
      <w:u w:val="none"/>
    </w:rPr>
  </w:style>
  <w:style w:type="character" w:customStyle="1" w:styleId="47">
    <w:name w:val="font81"/>
    <w:basedOn w:val="22"/>
    <w:qFormat/>
    <w:uiPriority w:val="0"/>
    <w:rPr>
      <w:rFonts w:hint="eastAsia" w:ascii="黑体" w:hAnsi="宋体" w:eastAsia="黑体" w:cs="黑体"/>
      <w:b/>
      <w:bCs/>
      <w:color w:val="000000"/>
      <w:sz w:val="30"/>
      <w:szCs w:val="30"/>
      <w:u w:val="none"/>
    </w:rPr>
  </w:style>
  <w:style w:type="character" w:customStyle="1" w:styleId="48">
    <w:name w:val="font01"/>
    <w:basedOn w:val="22"/>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chart" Target="charts/chart7.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6.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Sheet1!$B$2:$B$3</c:f>
              <c:numCache>
                <c:formatCode>General</c:formatCode>
                <c:ptCount val="2"/>
                <c:pt idx="0">
                  <c:v>406.07</c:v>
                </c:pt>
                <c:pt idx="1">
                  <c:v>406.07</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Sheet1!$C$2:$C$3</c:f>
              <c:numCache>
                <c:formatCode>General</c:formatCode>
                <c:ptCount val="2"/>
                <c:pt idx="0">
                  <c:v>433.36</c:v>
                </c:pt>
                <c:pt idx="1">
                  <c:v>433.36</c:v>
                </c:pt>
              </c:numCache>
            </c:numRef>
          </c:val>
        </c:ser>
        <c:dLbls>
          <c:showLegendKey val="0"/>
          <c:showVal val="0"/>
          <c:showCatName val="0"/>
          <c:showSerName val="0"/>
          <c:showPercent val="0"/>
          <c:showBubbleSize val="0"/>
        </c:dLbls>
        <c:gapWidth val="219"/>
        <c:overlap val="-27"/>
        <c:axId val="563125012"/>
        <c:axId val="543336824"/>
      </c:barChart>
      <c:catAx>
        <c:axId val="56312501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43336824"/>
        <c:crosses val="autoZero"/>
        <c:auto val="1"/>
        <c:lblAlgn val="ctr"/>
        <c:lblOffset val="100"/>
        <c:noMultiLvlLbl val="0"/>
      </c:catAx>
      <c:valAx>
        <c:axId val="5433368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63125012"/>
        <c:crosses val="autoZero"/>
        <c:crossBetween val="between"/>
        <c:majorUnit val="50"/>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d06ddb4-fe9a-4ed3-86b0-92f2d2adbab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占比(%)</c:v>
                </c:pt>
              </c:strCache>
            </c:strRef>
          </c:tx>
          <c:spPr/>
          <c:explosion val="0"/>
          <c:dPt>
            <c:idx val="0"/>
            <c:bubble3D val="0"/>
            <c:spPr>
              <a:solidFill>
                <a:schemeClr val="accent1"/>
              </a:solidFill>
              <a:ln w="19050">
                <a:no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一般公共预算财政拨款收入</c:v>
                </c:pt>
              </c:strCache>
            </c:strRef>
          </c:cat>
          <c:val>
            <c:numRef>
              <c:f>Sheet1!$B$2</c:f>
              <c:numCache>
                <c:formatCode>0%</c:formatCode>
                <c:ptCount val="1"/>
                <c:pt idx="0">
                  <c:v>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339f8d7-e157-4650-8190-3967a304d1b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ltLang="zh-CN"/>
              <a:t>占比（</a:t>
            </a:r>
            <a:r>
              <a:rPr lang="en-US" altLang="zh-CN"/>
              <a:t>%</a:t>
            </a:r>
            <a:r>
              <a:rPr altLang="zh-CN"/>
              <a:t>）</a:t>
            </a:r>
            <a:endParaRPr altLang="zh-CN"/>
          </a:p>
        </c:rich>
      </c:tx>
      <c:layout/>
      <c:overlay val="0"/>
      <c:spPr>
        <a:noFill/>
        <a:ln>
          <a:noFill/>
        </a:ln>
        <a:effectLst/>
      </c:sp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tx>
            <c:strRef>
              <c:f>Sheet1!$B$1</c:f>
              <c:strCache>
                <c:ptCount val="1"/>
                <c:pt idx="0">
                  <c:v>销售额</c:v>
                </c:pt>
              </c:strCache>
            </c:strRef>
          </c:tx>
          <c:spPr>
            <a:scene3d>
              <a:camera prst="orthographicFront"/>
              <a:lightRig rig="threePt" dir="t"/>
            </a:scene3d>
            <a:sp3d contourW="25400"/>
          </c:spPr>
          <c:explosion val="0"/>
          <c:dPt>
            <c:idx val="0"/>
            <c:bubble3D val="0"/>
            <c:spPr>
              <a:solidFill>
                <a:schemeClr val="accent1"/>
              </a:solidFill>
              <a:ln w="25400">
                <a:solidFill>
                  <a:schemeClr val="lt1"/>
                </a:solidFill>
              </a:ln>
              <a:effectLst/>
              <a:scene3d>
                <a:camera prst="orthographicFront"/>
                <a:lightRig rig="threePt" dir="t"/>
              </a:scene3d>
              <a:sp3d contourW="25400"/>
            </c:spPr>
          </c:dPt>
          <c:dPt>
            <c:idx val="1"/>
            <c:bubble3D val="0"/>
            <c:spPr>
              <a:solidFill>
                <a:schemeClr val="accent2"/>
              </a:solidFill>
              <a:ln w="25400">
                <a:solidFill>
                  <a:schemeClr val="lt1"/>
                </a:solidFill>
              </a:ln>
              <a:effectLst/>
              <a:scene3d>
                <a:camera prst="orthographicFront"/>
                <a:lightRig rig="threePt" dir="t"/>
              </a:scene3d>
              <a:sp3d contourW="25400"/>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71.16</c:v>
                </c:pt>
                <c:pt idx="1">
                  <c:v>28.84</c:v>
                </c:pt>
              </c:numCache>
            </c:numRef>
          </c:val>
        </c:ser>
        <c:dLbls>
          <c:showLegendKey val="0"/>
          <c:showVal val="1"/>
          <c:showCatName val="0"/>
          <c:showSerName val="0"/>
          <c:showPercent val="0"/>
          <c:showBubbleSize val="0"/>
        </c:dLbls>
      </c:pie3D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172f036-09e3-448b-8555-419e22fccce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421625"/>
          <c:y val="0.02"/>
        </c:manualLayout>
      </c:layout>
      <c:overlay val="0"/>
      <c:spPr>
        <a:noFill/>
        <a:ln>
          <a:noFill/>
        </a:ln>
        <a:effectLst/>
      </c:spPr>
      <c:tx>
        <c:rich>
          <a:bodyPr/>
          <a:lstStyle/>
          <a:p>
            <a:pPr>
              <a:defRPr/>
            </a:pPr>
          </a:p>
        </c:rich>
      </c:tx>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财政拨款收入</c:v>
                </c:pt>
                <c:pt idx="1">
                  <c:v>财政拨款支出</c:v>
                </c:pt>
              </c:strCache>
            </c:strRef>
          </c:cat>
          <c:val>
            <c:numRef>
              <c:f>Sheet1!$B$2:$B$3</c:f>
              <c:numCache>
                <c:formatCode>General</c:formatCode>
                <c:ptCount val="2"/>
                <c:pt idx="0">
                  <c:v>406.07</c:v>
                </c:pt>
                <c:pt idx="1">
                  <c:v>406.07</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财政拨款收入</c:v>
                </c:pt>
                <c:pt idx="1">
                  <c:v>财政拨款支出</c:v>
                </c:pt>
              </c:strCache>
            </c:strRef>
          </c:cat>
          <c:val>
            <c:numRef>
              <c:f>Sheet1!$C$2:$C$3</c:f>
              <c:numCache>
                <c:formatCode>General</c:formatCode>
                <c:ptCount val="2"/>
                <c:pt idx="0">
                  <c:v>433.36</c:v>
                </c:pt>
                <c:pt idx="1">
                  <c:v>433.36</c:v>
                </c:pt>
              </c:numCache>
            </c:numRef>
          </c:val>
        </c:ser>
        <c:dLbls>
          <c:showLegendKey val="0"/>
          <c:showVal val="1"/>
          <c:showCatName val="0"/>
          <c:showSerName val="0"/>
          <c:showPercent val="0"/>
          <c:showBubbleSize val="0"/>
        </c:dLbls>
        <c:gapWidth val="219"/>
        <c:overlap val="-27"/>
        <c:axId val="944755782"/>
        <c:axId val="493294534"/>
      </c:barChart>
      <c:catAx>
        <c:axId val="944755782"/>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93294534"/>
        <c:crosses val="autoZero"/>
        <c:auto val="1"/>
        <c:lblAlgn val="ctr"/>
        <c:lblOffset val="100"/>
        <c:noMultiLvlLbl val="0"/>
      </c:catAx>
      <c:valAx>
        <c:axId val="49329453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44755782"/>
        <c:crosses val="autoZero"/>
        <c:crossBetween val="between"/>
        <c:majorUnit val="30"/>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7c89423-48a2-4526-bf38-b0a59aaa51ed}"/>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436"/>
          <c:y val="0.047"/>
        </c:manualLayout>
      </c:layout>
      <c:overlay val="0"/>
      <c:spPr>
        <a:noFill/>
        <a:ln>
          <a:noFill/>
        </a:ln>
        <a:effectLst/>
      </c:spPr>
      <c:tx>
        <c:rich>
          <a:bodyPr/>
          <a:lstStyle/>
          <a:p>
            <a:pPr>
              <a:defRPr/>
            </a:pPr>
          </a:p>
        </c:rich>
      </c:tx>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c:f>
              <c:strCache>
                <c:ptCount val="1"/>
                <c:pt idx="0">
                  <c:v>一般公共预算财政拨款支出</c:v>
                </c:pt>
              </c:strCache>
            </c:strRef>
          </c:cat>
          <c:val>
            <c:numRef>
              <c:f>Sheet1!$B$2</c:f>
              <c:numCache>
                <c:formatCode>General</c:formatCode>
                <c:ptCount val="1"/>
                <c:pt idx="0">
                  <c:v>406.07</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c:f>
              <c:strCache>
                <c:ptCount val="1"/>
                <c:pt idx="0">
                  <c:v>一般公共预算财政拨款支出</c:v>
                </c:pt>
              </c:strCache>
            </c:strRef>
          </c:cat>
          <c:val>
            <c:numRef>
              <c:f>Sheet1!$C$2</c:f>
              <c:numCache>
                <c:formatCode>General</c:formatCode>
                <c:ptCount val="1"/>
                <c:pt idx="0">
                  <c:v>433.36</c:v>
                </c:pt>
              </c:numCache>
            </c:numRef>
          </c:val>
        </c:ser>
        <c:dLbls>
          <c:showLegendKey val="0"/>
          <c:showVal val="1"/>
          <c:showCatName val="0"/>
          <c:showSerName val="0"/>
          <c:showPercent val="0"/>
          <c:showBubbleSize val="0"/>
        </c:dLbls>
        <c:gapWidth val="219"/>
        <c:overlap val="-27"/>
        <c:axId val="944755782"/>
        <c:axId val="493294534"/>
      </c:barChart>
      <c:catAx>
        <c:axId val="944755782"/>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93294534"/>
        <c:crosses val="autoZero"/>
        <c:auto val="1"/>
        <c:lblAlgn val="ctr"/>
        <c:lblOffset val="100"/>
        <c:noMultiLvlLbl val="0"/>
      </c:catAx>
      <c:valAx>
        <c:axId val="49329453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44755782"/>
        <c:crosses val="autoZero"/>
        <c:crossBetween val="between"/>
        <c:majorUnit val="50"/>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3f8db07-f34a-4d94-bbf8-8c85383cd443}"/>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占比（%）</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2"/>
              <c:layout>
                <c:manualLayout>
                  <c:x val="0.0890224573290977"/>
                  <c:y val="-0.060077176577386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一般公共服务支出</c:v>
                </c:pt>
                <c:pt idx="1">
                  <c:v>社会保障和就业支出</c:v>
                </c:pt>
                <c:pt idx="2">
                  <c:v>卫生健康支出</c:v>
                </c:pt>
                <c:pt idx="3">
                  <c:v>住房保障支出</c:v>
                </c:pt>
              </c:strCache>
            </c:strRef>
          </c:cat>
          <c:val>
            <c:numRef>
              <c:f>Sheet1!$B$2:$B$5</c:f>
              <c:numCache>
                <c:formatCode>0.00%</c:formatCode>
                <c:ptCount val="4"/>
                <c:pt idx="0">
                  <c:v>0.835859331733431</c:v>
                </c:pt>
                <c:pt idx="1">
                  <c:v>0.0747415543658852</c:v>
                </c:pt>
                <c:pt idx="2">
                  <c:v>0.0358593317334318</c:v>
                </c:pt>
                <c:pt idx="3">
                  <c:v>0.0534890160605501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658cc66-d69b-4382-9703-9d93df64d37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tx>
            <c:strRef>
              <c:f>Sheet1!$B$1</c:f>
              <c:strCache>
                <c:ptCount val="1"/>
                <c:pt idx="0">
                  <c:v>占比（%）</c:v>
                </c:pt>
              </c:strCache>
            </c:strRef>
          </c:tx>
          <c:spPr>
            <a:scene3d>
              <a:camera prst="orthographicFront"/>
              <a:lightRig rig="threePt" dir="t"/>
            </a:scene3d>
            <a:sp3d contourW="25400"/>
          </c:spPr>
          <c:explosion val="0"/>
          <c:dPt>
            <c:idx val="0"/>
            <c:bubble3D val="0"/>
            <c:spPr>
              <a:solidFill>
                <a:schemeClr val="accent1"/>
              </a:solidFill>
              <a:ln w="25400">
                <a:solidFill>
                  <a:schemeClr val="lt1"/>
                </a:solidFill>
              </a:ln>
              <a:effectLst/>
              <a:scene3d>
                <a:camera prst="orthographicFront"/>
                <a:lightRig rig="threePt" dir="t"/>
              </a:scene3d>
              <a:sp3d contourW="25400"/>
            </c:spPr>
          </c:dPt>
          <c:dPt>
            <c:idx val="1"/>
            <c:bubble3D val="0"/>
            <c:spPr>
              <a:solidFill>
                <a:schemeClr val="accent2"/>
              </a:solidFill>
              <a:ln w="25400">
                <a:solidFill>
                  <a:schemeClr val="lt1"/>
                </a:solidFill>
              </a:ln>
              <a:effectLst/>
              <a:scene3d>
                <a:camera prst="orthographicFront"/>
                <a:lightRig rig="threePt" dir="t"/>
              </a:scene3d>
              <a:sp3d contourW="25400"/>
            </c:spPr>
          </c:dPt>
          <c:dPt>
            <c:idx val="2"/>
            <c:bubble3D val="0"/>
            <c:spPr>
              <a:solidFill>
                <a:schemeClr val="accent3"/>
              </a:solidFill>
              <a:ln w="25400">
                <a:solidFill>
                  <a:schemeClr val="lt1"/>
                </a:solidFill>
              </a:ln>
              <a:effectLst/>
              <a:scene3d>
                <a:camera prst="orthographicFront"/>
                <a:lightRig rig="threePt" dir="t"/>
              </a:scene3d>
              <a:sp3d contourW="25400"/>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因公出国（境）费支出</c:v>
                </c:pt>
                <c:pt idx="1">
                  <c:v>公务用车购置及运行维护费支出</c:v>
                </c:pt>
                <c:pt idx="2">
                  <c:v>公务接待费支出</c:v>
                </c:pt>
              </c:strCache>
            </c:strRef>
          </c:cat>
          <c:val>
            <c:numRef>
              <c:f>Sheet1!$B$2:$B$4</c:f>
              <c:numCache>
                <c:formatCode>General</c:formatCode>
                <c:ptCount val="3"/>
                <c:pt idx="0">
                  <c:v>0</c:v>
                </c:pt>
                <c:pt idx="1">
                  <c:v>0</c:v>
                </c:pt>
                <c:pt idx="2">
                  <c:v>100</c:v>
                </c:pt>
              </c:numCache>
            </c:numRef>
          </c:val>
        </c:ser>
        <c:dLbls>
          <c:showLegendKey val="0"/>
          <c:showVal val="1"/>
          <c:showCatName val="0"/>
          <c:showSerName val="0"/>
          <c:showPercent val="0"/>
          <c:showBubbleSize val="0"/>
        </c:dLbls>
      </c:pie3D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1a8987a-1c98-4cb8-8ada-e593ca5ae49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35</Pages>
  <Words>9943</Words>
  <Characters>10705</Characters>
  <Lines>61</Lines>
  <Paragraphs>17</Paragraphs>
  <TotalTime>4</TotalTime>
  <ScaleCrop>false</ScaleCrop>
  <LinksUpToDate>false</LinksUpToDate>
  <CharactersWithSpaces>10890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2020-08-08T17:49:00Z</dcterms:created>
  <dc:creator>曹颖</dc:creator>
  <cp:lastModifiedBy>Administrator</cp:lastModifiedBy>
  <cp:lastPrinted>2025-07-29T14:54:00Z</cp:lastPrinted>
  <dcterms:modified xsi:type="dcterms:W3CDTF">2025-08-28T03:49:33Z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3BF536824C220DA3E40E8B68BA118B1C_42</vt:lpwstr>
  </property>
  <property fmtid="{D5CDD505-2E9C-101B-9397-08002B2CF9AE}" pid="4" name="KSOTemplateDocerSaveRecord">
    <vt:lpwstr>eyJoZGlkIjoiZGM4NjUzNDA1NDkyY2MxZmJmZThlN2U3ZTFkMjcwOGYifQ==</vt:lpwstr>
  </property>
</Properties>
</file>