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4ED6">
      <w:pPr>
        <w:pStyle w:val="9"/>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96597"/>
      <w:bookmarkStart w:id="2" w:name="_Toc15396475"/>
      <w:bookmarkStart w:id="3" w:name="_Toc15377193"/>
      <w:bookmarkStart w:id="4" w:name="_Toc15378441"/>
    </w:p>
    <w:p w14:paraId="72F763A7">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29A4B297">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bookmarkEnd w:id="0"/>
      <w:bookmarkEnd w:id="1"/>
      <w:bookmarkEnd w:id="2"/>
      <w:bookmarkEnd w:id="3"/>
      <w:bookmarkEnd w:id="4"/>
    </w:p>
    <w:p w14:paraId="13EF7B52">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四川省遂宁市安居区工商业联合会</w:t>
      </w:r>
    </w:p>
    <w:p w14:paraId="0D9079EC">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p>
    <w:p w14:paraId="74FB719E">
      <w:pPr>
        <w:pStyle w:val="15"/>
        <w:rPr>
          <w:rFonts w:hint="eastAsia" w:ascii="方正小标宋简体" w:hAnsi="宋体" w:eastAsia="方正小标宋简体"/>
          <w:color w:val="000000"/>
          <w:sz w:val="72"/>
          <w:szCs w:val="72"/>
          <w:lang w:eastAsia="zh-CN"/>
        </w:rPr>
        <w:sectPr>
          <w:footerReference r:id="rId3" w:type="default"/>
          <w:footerReference r:id="rId4" w:type="even"/>
          <w:pgSz w:w="11906" w:h="16838"/>
          <w:pgMar w:top="1440" w:right="1800" w:bottom="1440" w:left="1800" w:header="851" w:footer="992" w:gutter="0"/>
          <w:pgNumType w:fmt="decimal"/>
          <w:cols w:space="720" w:num="1"/>
          <w:rtlGutter w:val="0"/>
          <w:docGrid w:type="lines" w:linePitch="312" w:charSpace="0"/>
        </w:sectPr>
      </w:pPr>
    </w:p>
    <w:p w14:paraId="7A967871">
      <w:pPr>
        <w:widowControl/>
        <w:jc w:val="center"/>
        <w:rPr>
          <w:rFonts w:hint="eastAsia" w:ascii="黑体" w:hAnsi="黑体" w:eastAsia="黑体" w:cs="黑体"/>
          <w:b/>
          <w:bCs/>
          <w:sz w:val="48"/>
          <w:szCs w:val="48"/>
          <w:lang w:eastAsia="zh-CN"/>
        </w:rPr>
      </w:pPr>
      <w:r>
        <w:rPr>
          <w:rFonts w:hint="eastAsia" w:ascii="Times New Roman" w:hAnsi="Times New Roman" w:eastAsia="黑体" w:cs="Times New Roman"/>
          <w:color w:val="auto"/>
          <w:sz w:val="48"/>
          <w:szCs w:val="48"/>
          <w:highlight w:val="none"/>
          <w:lang w:eastAsia="zh-CN"/>
        </w:rPr>
        <w:t>目录</w:t>
      </w:r>
    </w:p>
    <w:p w14:paraId="01A954F5">
      <w:pPr>
        <w:pStyle w:val="15"/>
        <w:jc w:val="center"/>
        <w:rPr>
          <w:rFonts w:hint="eastAsia" w:ascii="仿宋" w:hAnsi="仿宋" w:eastAsia="仿宋" w:cs="仿宋"/>
          <w:b w:val="0"/>
          <w:bCs w:val="0"/>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公开时间：</w:t>
      </w:r>
      <w:r>
        <w:rPr>
          <w:rFonts w:hint="default" w:ascii="Times New Roman" w:hAnsi="Times New Roman" w:eastAsia="仿宋_GB2312" w:cs="Times New Roman"/>
          <w:color w:val="auto"/>
          <w:kern w:val="2"/>
          <w:sz w:val="32"/>
          <w:szCs w:val="32"/>
          <w:highlight w:val="none"/>
          <w:lang w:val="en-US" w:eastAsia="zh-CN" w:bidi="ar-SA"/>
        </w:rPr>
        <w:t>202</w:t>
      </w:r>
      <w:r>
        <w:rPr>
          <w:rFonts w:hint="default" w:ascii="Times New Roman" w:hAnsi="Times New Roman" w:eastAsia="仿宋" w:cs="Times New Roman"/>
          <w:b w:val="0"/>
          <w:bCs w:val="0"/>
          <w:sz w:val="32"/>
          <w:szCs w:val="32"/>
          <w:lang w:val="en-US" w:eastAsia="zh-CN"/>
        </w:rPr>
        <w:t>5</w:t>
      </w:r>
      <w:r>
        <w:rPr>
          <w:rFonts w:hint="eastAsia" w:ascii="Times New Roman" w:hAnsi="Times New Roman" w:eastAsia="仿宋_GB2312" w:cs="仿宋_GB2312"/>
          <w:color w:val="auto"/>
          <w:kern w:val="2"/>
          <w:sz w:val="32"/>
          <w:szCs w:val="32"/>
          <w:highlight w:val="none"/>
          <w:lang w:val="en-US" w:eastAsia="zh-CN" w:bidi="ar-SA"/>
        </w:rPr>
        <w:t>年8月28日</w:t>
      </w:r>
    </w:p>
    <w:p w14:paraId="2191D4DD">
      <w:pPr>
        <w:pStyle w:val="14"/>
        <w:rPr>
          <w:rFonts w:hint="eastAsia" w:ascii="Times New Roman" w:hAnsi="Times New Roman" w:eastAsia="仿宋_GB2312" w:cs="Times New Roman"/>
          <w:sz w:val="32"/>
          <w:szCs w:val="32"/>
          <w:lang w:val="en-US" w:eastAsia="zh-CN"/>
        </w:rPr>
      </w:pPr>
      <w:r>
        <w:rPr>
          <w:rFonts w:hint="eastAsia" w:ascii="黑体" w:hAnsi="黑体" w:eastAsia="黑体" w:cs="黑体"/>
          <w:color w:val="auto"/>
          <w:sz w:val="32"/>
          <w:szCs w:val="32"/>
          <w:u w:val="none"/>
        </w:rPr>
        <w:t>第一部分 部门概况</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w:t>
      </w:r>
    </w:p>
    <w:p w14:paraId="53D6222D">
      <w:pPr>
        <w:pStyle w:val="16"/>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一、</w:t>
      </w:r>
      <w:r>
        <w:rPr>
          <w:rFonts w:hint="eastAsia" w:ascii="Times New Roman" w:hAnsi="Times New Roman" w:eastAsia="仿宋_GB2312" w:cs="仿宋_GB2312"/>
          <w:color w:val="auto"/>
          <w:sz w:val="32"/>
          <w:szCs w:val="32"/>
          <w:highlight w:val="none"/>
          <w:lang w:eastAsia="zh-CN"/>
        </w:rPr>
        <w:t>部门职责</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w:t>
      </w:r>
    </w:p>
    <w:p w14:paraId="63BE356A">
      <w:pPr>
        <w:pStyle w:val="16"/>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二、</w:t>
      </w:r>
      <w:r>
        <w:rPr>
          <w:rFonts w:hint="eastAsia" w:ascii="Times New Roman" w:hAnsi="Times New Roman" w:eastAsia="仿宋_GB2312" w:cs="仿宋_GB2312"/>
          <w:color w:val="auto"/>
          <w:sz w:val="32"/>
          <w:szCs w:val="32"/>
          <w:highlight w:val="none"/>
        </w:rPr>
        <w:t>机构设置</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w:t>
      </w:r>
    </w:p>
    <w:p w14:paraId="1073EAF3">
      <w:pPr>
        <w:pStyle w:val="14"/>
        <w:rPr>
          <w:rFonts w:hint="eastAsia" w:ascii="Times New Roman" w:hAnsi="Times New Roman" w:eastAsia="仿宋_GB2312" w:cs="Times New Roman"/>
          <w:sz w:val="32"/>
          <w:szCs w:val="32"/>
          <w:lang w:val="en-US" w:eastAsia="zh-CN"/>
        </w:rPr>
      </w:pPr>
      <w:r>
        <w:rPr>
          <w:rFonts w:hint="eastAsia" w:ascii="黑体" w:hAnsi="黑体" w:eastAsia="黑体" w:cs="黑体"/>
          <w:color w:val="auto"/>
          <w:sz w:val="32"/>
          <w:szCs w:val="32"/>
          <w:u w:val="none"/>
        </w:rPr>
        <w:t xml:space="preserve">第二部分 </w:t>
      </w:r>
      <w:r>
        <w:rPr>
          <w:rFonts w:hint="eastAsia" w:ascii="黑体" w:hAnsi="黑体" w:eastAsia="黑体" w:cs="黑体"/>
          <w:color w:val="auto"/>
          <w:sz w:val="32"/>
          <w:szCs w:val="32"/>
          <w:u w:val="none"/>
          <w:lang w:eastAsia="zh-CN"/>
        </w:rPr>
        <w:t>202</w:t>
      </w:r>
      <w:r>
        <w:rPr>
          <w:rFonts w:hint="eastAsia" w:ascii="黑体" w:hAnsi="黑体" w:eastAsia="黑体" w:cs="黑体"/>
          <w:color w:val="auto"/>
          <w:sz w:val="32"/>
          <w:szCs w:val="32"/>
          <w:u w:val="none"/>
          <w:lang w:val="en-US" w:eastAsia="zh-CN"/>
        </w:rPr>
        <w:t>4</w:t>
      </w:r>
      <w:r>
        <w:rPr>
          <w:rFonts w:hint="eastAsia" w:ascii="黑体" w:hAnsi="黑体" w:eastAsia="黑体" w:cs="黑体"/>
          <w:color w:val="auto"/>
          <w:sz w:val="32"/>
          <w:szCs w:val="32"/>
          <w:u w:val="none"/>
          <w:lang w:eastAsia="zh-CN"/>
        </w:rPr>
        <w:t>年</w:t>
      </w:r>
      <w:r>
        <w:rPr>
          <w:rFonts w:hint="eastAsia" w:ascii="黑体" w:hAnsi="黑体" w:eastAsia="黑体" w:cs="黑体"/>
          <w:color w:val="auto"/>
          <w:sz w:val="32"/>
          <w:szCs w:val="32"/>
          <w:u w:val="none"/>
        </w:rPr>
        <w:t>度部门决算情况说明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w:t>
      </w:r>
    </w:p>
    <w:p w14:paraId="674C35E7">
      <w:pPr>
        <w:pStyle w:val="16"/>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一、</w:t>
      </w:r>
      <w:r>
        <w:rPr>
          <w:rFonts w:hint="default" w:ascii="Times New Roman" w:hAnsi="Times New Roman" w:eastAsia="仿宋_GB2312" w:cs="Times New Roman"/>
          <w:color w:val="auto"/>
          <w:sz w:val="32"/>
          <w:szCs w:val="32"/>
          <w:u w:val="none"/>
        </w:rPr>
        <w:t>收</w:t>
      </w:r>
      <w:r>
        <w:rPr>
          <w:rFonts w:hint="default" w:ascii="Times New Roman" w:hAnsi="Times New Roman" w:eastAsia="仿宋_GB2312" w:cs="Times New Roman"/>
          <w:bCs/>
          <w:color w:val="auto"/>
          <w:sz w:val="32"/>
          <w:szCs w:val="32"/>
          <w:u w:val="none"/>
        </w:rPr>
        <w:t>入支出决算总体情况说明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w:t>
      </w:r>
    </w:p>
    <w:p w14:paraId="0CBEEDAC">
      <w:pPr>
        <w:pStyle w:val="16"/>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二、</w:t>
      </w:r>
      <w:r>
        <w:rPr>
          <w:rFonts w:hint="default" w:ascii="Times New Roman" w:hAnsi="Times New Roman" w:eastAsia="仿宋_GB2312" w:cs="Times New Roman"/>
          <w:color w:val="auto"/>
          <w:sz w:val="32"/>
          <w:szCs w:val="32"/>
          <w:u w:val="none"/>
        </w:rPr>
        <w:t>收</w:t>
      </w:r>
      <w:r>
        <w:rPr>
          <w:rFonts w:hint="default" w:ascii="Times New Roman" w:hAnsi="Times New Roman" w:eastAsia="仿宋_GB2312" w:cs="Times New Roman"/>
          <w:bCs/>
          <w:color w:val="auto"/>
          <w:sz w:val="32"/>
          <w:szCs w:val="32"/>
          <w:u w:val="none"/>
        </w:rPr>
        <w:t>入决算情况说明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w:t>
      </w:r>
    </w:p>
    <w:p w14:paraId="64205B15">
      <w:pPr>
        <w:pStyle w:val="16"/>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auto"/>
          <w:sz w:val="32"/>
          <w:szCs w:val="32"/>
          <w:u w:val="none"/>
        </w:rPr>
        <w:t>三、</w:t>
      </w:r>
      <w:r>
        <w:rPr>
          <w:rFonts w:hint="default" w:ascii="Times New Roman" w:hAnsi="Times New Roman" w:eastAsia="仿宋_GB2312" w:cs="Times New Roman"/>
          <w:color w:val="auto"/>
          <w:sz w:val="32"/>
          <w:szCs w:val="32"/>
          <w:u w:val="none"/>
        </w:rPr>
        <w:t>支</w:t>
      </w:r>
      <w:r>
        <w:rPr>
          <w:rFonts w:hint="default" w:ascii="Times New Roman" w:hAnsi="Times New Roman" w:eastAsia="仿宋_GB2312" w:cs="Times New Roman"/>
          <w:bCs/>
          <w:color w:val="auto"/>
          <w:sz w:val="32"/>
          <w:szCs w:val="32"/>
          <w:u w:val="none"/>
        </w:rPr>
        <w:t>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3</w:t>
      </w:r>
    </w:p>
    <w:p w14:paraId="03A6F35F">
      <w:pPr>
        <w:pStyle w:val="16"/>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四、财</w:t>
      </w:r>
      <w:r>
        <w:rPr>
          <w:rFonts w:hint="default" w:ascii="Times New Roman" w:hAnsi="Times New Roman" w:eastAsia="仿宋_GB2312" w:cs="Times New Roman"/>
          <w:bCs/>
          <w:color w:val="auto"/>
          <w:sz w:val="32"/>
          <w:szCs w:val="32"/>
          <w:u w:val="none"/>
        </w:rPr>
        <w:t>政拨款收入支出决算总体情况说明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3</w:t>
      </w:r>
    </w:p>
    <w:p w14:paraId="48732217">
      <w:pPr>
        <w:pStyle w:val="16"/>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五、一</w:t>
      </w:r>
      <w:r>
        <w:rPr>
          <w:rFonts w:hint="default" w:ascii="Times New Roman" w:hAnsi="Times New Roman" w:eastAsia="仿宋_GB2312" w:cs="Times New Roman"/>
          <w:bCs/>
          <w:color w:val="auto"/>
          <w:sz w:val="32"/>
          <w:szCs w:val="32"/>
          <w:u w:val="none"/>
        </w:rPr>
        <w:t>般公共预算财政拨款支出决算情况说明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4</w:t>
      </w:r>
    </w:p>
    <w:p w14:paraId="15A7BB0C">
      <w:pPr>
        <w:pStyle w:val="16"/>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六、一</w:t>
      </w:r>
      <w:r>
        <w:rPr>
          <w:rFonts w:hint="default" w:ascii="Times New Roman" w:hAnsi="Times New Roman" w:eastAsia="仿宋_GB2312" w:cs="Times New Roman"/>
          <w:bCs/>
          <w:color w:val="auto"/>
          <w:sz w:val="32"/>
          <w:szCs w:val="32"/>
          <w:u w:val="none"/>
        </w:rPr>
        <w:t>般公共预算财政拨款基本支出决算情况说明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6</w:t>
      </w:r>
    </w:p>
    <w:p w14:paraId="60C69825">
      <w:pPr>
        <w:pStyle w:val="16"/>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七、</w:t>
      </w:r>
      <w:r>
        <w:rPr>
          <w:rFonts w:hint="default" w:ascii="Times New Roman" w:hAnsi="Times New Roman" w:eastAsia="仿宋_GB2312" w:cs="Times New Roman"/>
          <w:bCs/>
          <w:color w:val="auto"/>
          <w:sz w:val="32"/>
          <w:szCs w:val="32"/>
          <w:u w:val="none"/>
        </w:rPr>
        <w:t>财政拨款</w:t>
      </w:r>
      <w:r>
        <w:rPr>
          <w:rFonts w:hint="eastAsia"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u w:val="none"/>
        </w:rPr>
        <w:t>三公</w:t>
      </w:r>
      <w:r>
        <w:rPr>
          <w:rFonts w:hint="eastAsia"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u w:val="none"/>
        </w:rPr>
        <w:t>经费支出决算情况说明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7</w:t>
      </w:r>
    </w:p>
    <w:p w14:paraId="72C8C4C6">
      <w:pPr>
        <w:pStyle w:val="1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八、</w:t>
      </w:r>
      <w:r>
        <w:rPr>
          <w:rFonts w:hint="default" w:ascii="Times New Roman" w:hAnsi="Times New Roman" w:eastAsia="仿宋_GB2312" w:cs="Times New Roman"/>
          <w:bCs/>
          <w:color w:val="auto"/>
          <w:sz w:val="32"/>
          <w:szCs w:val="32"/>
          <w:u w:val="none"/>
        </w:rPr>
        <w:t>政府性基金预算支出决算情况说明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9</w:t>
      </w:r>
    </w:p>
    <w:p w14:paraId="6B586583">
      <w:pPr>
        <w:pStyle w:val="16"/>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Cs/>
          <w:color w:val="auto"/>
          <w:sz w:val="32"/>
          <w:szCs w:val="32"/>
          <w:u w:val="none"/>
        </w:rPr>
        <w:t>九、</w:t>
      </w:r>
      <w:r>
        <w:rPr>
          <w:rFonts w:hint="default" w:ascii="Times New Roman" w:hAnsi="Times New Roman" w:eastAsia="仿宋_GB2312" w:cs="Times New Roman"/>
          <w:color w:val="auto"/>
          <w:sz w:val="32"/>
          <w:szCs w:val="32"/>
          <w:u w:val="none"/>
        </w:rPr>
        <w:t>国</w:t>
      </w:r>
      <w:r>
        <w:rPr>
          <w:rFonts w:hint="default" w:ascii="Times New Roman" w:hAnsi="Times New Roman" w:eastAsia="仿宋_GB2312" w:cs="Times New Roman"/>
          <w:bCs/>
          <w:color w:val="auto"/>
          <w:sz w:val="32"/>
          <w:szCs w:val="32"/>
          <w:u w:val="none"/>
        </w:rPr>
        <w:t>有资本经营预算支出决算情况说明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9</w:t>
      </w:r>
    </w:p>
    <w:p w14:paraId="37A30FE3">
      <w:pPr>
        <w:pStyle w:val="1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rPr>
        <w:t>十</w:t>
      </w:r>
      <w:r>
        <w:rPr>
          <w:rFonts w:hint="default" w:ascii="Times New Roman" w:hAnsi="Times New Roman" w:eastAsia="仿宋_GB2312" w:cs="Times New Roman"/>
          <w:bCs/>
          <w:color w:val="auto"/>
          <w:sz w:val="32"/>
          <w:szCs w:val="32"/>
          <w:u w:val="none"/>
        </w:rPr>
        <w:t>、其他重要事项的情况说明</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9</w:t>
      </w:r>
    </w:p>
    <w:p w14:paraId="575D0FA8">
      <w:pPr>
        <w:pStyle w:val="14"/>
        <w:rPr>
          <w:rFonts w:hint="default" w:ascii="Times New Roman" w:hAnsi="Times New Roman" w:eastAsia="仿宋_GB2312" w:cs="Times New Roman"/>
          <w:color w:val="auto"/>
          <w:sz w:val="32"/>
          <w:szCs w:val="32"/>
          <w:u w:val="none"/>
          <w:lang w:val="en-US" w:eastAsia="zh-CN"/>
        </w:rPr>
      </w:pPr>
      <w:r>
        <w:rPr>
          <w:rFonts w:hint="eastAsia" w:ascii="黑体" w:hAnsi="黑体" w:eastAsia="黑体" w:cs="黑体"/>
          <w:bCs/>
          <w:color w:val="auto"/>
          <w:kern w:val="44"/>
          <w:sz w:val="32"/>
          <w:szCs w:val="32"/>
          <w:u w:val="none"/>
        </w:rPr>
        <w:t>第三部分</w:t>
      </w:r>
      <w:r>
        <w:rPr>
          <w:rFonts w:hint="eastAsia" w:ascii="黑体" w:hAnsi="黑体" w:eastAsia="黑体" w:cs="黑体"/>
          <w:color w:val="auto"/>
          <w:sz w:val="32"/>
          <w:szCs w:val="32"/>
          <w:u w:val="none"/>
        </w:rPr>
        <w:t xml:space="preserve"> 名</w:t>
      </w:r>
      <w:r>
        <w:rPr>
          <w:rFonts w:hint="eastAsia" w:ascii="黑体" w:hAnsi="黑体" w:eastAsia="黑体" w:cs="黑体"/>
          <w:bCs/>
          <w:color w:val="auto"/>
          <w:kern w:val="44"/>
          <w:sz w:val="32"/>
          <w:szCs w:val="32"/>
          <w:u w:val="none"/>
        </w:rPr>
        <w:t>词解释</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lang w:val="en-US" w:eastAsia="zh-CN"/>
        </w:rPr>
        <w:t>2</w:t>
      </w:r>
    </w:p>
    <w:p w14:paraId="6A3D52AA">
      <w:pPr>
        <w:pStyle w:val="14"/>
        <w:rPr>
          <w:rFonts w:hint="default" w:ascii="Times New Roman" w:hAnsi="Times New Roman" w:eastAsia="仿宋_GB2312" w:cs="Times New Roman"/>
          <w:color w:val="auto"/>
          <w:sz w:val="32"/>
          <w:szCs w:val="32"/>
          <w:u w:val="none"/>
          <w:lang w:val="en-US" w:eastAsia="zh-CN"/>
        </w:rPr>
      </w:pPr>
      <w:r>
        <w:rPr>
          <w:rFonts w:hint="eastAsia" w:ascii="黑体" w:hAnsi="黑体" w:eastAsia="黑体" w:cs="黑体"/>
          <w:color w:val="auto"/>
          <w:sz w:val="32"/>
          <w:szCs w:val="32"/>
          <w:u w:val="none"/>
        </w:rPr>
        <w:t>第</w:t>
      </w:r>
      <w:r>
        <w:rPr>
          <w:rFonts w:hint="eastAsia" w:ascii="黑体" w:hAnsi="黑体" w:eastAsia="黑体" w:cs="黑体"/>
          <w:bCs/>
          <w:color w:val="auto"/>
          <w:kern w:val="44"/>
          <w:sz w:val="32"/>
          <w:szCs w:val="32"/>
          <w:u w:val="none"/>
        </w:rPr>
        <w:t>四部分 附件</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16</w:t>
      </w:r>
    </w:p>
    <w:p w14:paraId="2463BE56">
      <w:pPr>
        <w:pStyle w:val="14"/>
        <w:rPr>
          <w:rFonts w:hint="default" w:ascii="Times New Roman" w:hAnsi="Times New Roman" w:eastAsia="仿宋_GB2312" w:cs="Times New Roman"/>
          <w:sz w:val="32"/>
          <w:szCs w:val="32"/>
          <w:lang w:val="en-US" w:eastAsia="zh-CN"/>
        </w:rPr>
      </w:pPr>
      <w:r>
        <w:rPr>
          <w:rFonts w:hint="eastAsia" w:ascii="黑体" w:hAnsi="黑体" w:eastAsia="黑体" w:cs="黑体"/>
          <w:color w:val="auto"/>
          <w:sz w:val="32"/>
          <w:szCs w:val="32"/>
          <w:u w:val="none"/>
        </w:rPr>
        <w:t>第</w:t>
      </w:r>
      <w:r>
        <w:rPr>
          <w:rFonts w:hint="eastAsia" w:ascii="黑体" w:hAnsi="黑体" w:eastAsia="黑体" w:cs="黑体"/>
          <w:bCs/>
          <w:color w:val="auto"/>
          <w:kern w:val="44"/>
          <w:sz w:val="32"/>
          <w:szCs w:val="32"/>
          <w:u w:val="none"/>
        </w:rPr>
        <w:t>五部分 附表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1D485CDD">
      <w:pPr>
        <w:pStyle w:val="16"/>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color w:val="auto"/>
          <w:sz w:val="32"/>
          <w:szCs w:val="32"/>
          <w:u w:val="none"/>
        </w:rPr>
        <w:t>收入支出决算总表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08DA266A">
      <w:pPr>
        <w:pStyle w:val="1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auto"/>
          <w:sz w:val="32"/>
          <w:szCs w:val="32"/>
          <w:u w:val="none"/>
        </w:rPr>
        <w:t>收入</w:t>
      </w:r>
      <w:r>
        <w:rPr>
          <w:rFonts w:hint="default" w:ascii="Times New Roman" w:hAnsi="Times New Roman" w:eastAsia="仿宋_GB2312" w:cs="Times New Roman"/>
          <w:color w:val="auto"/>
          <w:sz w:val="32"/>
          <w:szCs w:val="32"/>
          <w:u w:val="none"/>
          <w:lang w:eastAsia="zh-CN"/>
        </w:rPr>
        <w:t>决算</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1AAC93A2">
      <w:pPr>
        <w:pStyle w:val="16"/>
        <w:rPr>
          <w:rFonts w:hint="default" w:ascii="Times New Roman" w:hAnsi="Times New Roman" w:eastAsia="仿宋_GB2312" w:cs="Times New Roman"/>
          <w:sz w:val="32"/>
          <w:szCs w:val="32"/>
          <w:lang w:eastAsia="zh-CN"/>
        </w:rPr>
        <w:sectPr>
          <w:footerReference r:id="rId5" w:type="default"/>
          <w:pgSz w:w="11906" w:h="16838"/>
          <w:pgMar w:top="1440" w:right="2143" w:bottom="1440" w:left="1800" w:header="851" w:footer="992" w:gutter="0"/>
          <w:pgNumType w:fmt="decimal" w:start="1"/>
          <w:cols w:space="720" w:num="1"/>
          <w:rtlGutter w:val="0"/>
          <w:docGrid w:type="lines" w:linePitch="312" w:charSpace="0"/>
        </w:sectPr>
      </w:pPr>
    </w:p>
    <w:p w14:paraId="479517A8">
      <w:pPr>
        <w:pStyle w:val="16"/>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lang w:eastAsia="zh-CN"/>
        </w:rPr>
        <w:t>支出决算</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04D429C5">
      <w:pPr>
        <w:pStyle w:val="16"/>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color w:val="auto"/>
          <w:sz w:val="32"/>
          <w:szCs w:val="32"/>
          <w:u w:val="none"/>
        </w:rPr>
        <w:t>财政拨款收入支出决算总表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12C4F699">
      <w:pPr>
        <w:pStyle w:val="1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财政拨款支出决算</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66585BE2">
      <w:pPr>
        <w:pStyle w:val="16"/>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09339529">
      <w:pPr>
        <w:pStyle w:val="1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一般公共预算财政拨款支出</w:t>
      </w:r>
      <w:r>
        <w:rPr>
          <w:rFonts w:hint="eastAsia" w:ascii="Times New Roman" w:hAnsi="Times New Roman" w:eastAsia="仿宋_GB2312" w:cs="Times New Roman"/>
          <w:color w:val="auto"/>
          <w:sz w:val="32"/>
          <w:szCs w:val="32"/>
          <w:u w:val="none"/>
          <w:lang w:val="en-US" w:eastAsia="zh-CN"/>
        </w:rPr>
        <w:t>决算</w:t>
      </w:r>
      <w:r>
        <w:rPr>
          <w:rFonts w:hint="default" w:ascii="Times New Roman" w:hAnsi="Times New Roman" w:eastAsia="仿宋_GB2312" w:cs="Times New Roman"/>
          <w:color w:val="auto"/>
          <w:sz w:val="32"/>
          <w:szCs w:val="32"/>
          <w:u w:val="none"/>
          <w:lang w:eastAsia="zh-CN"/>
        </w:rPr>
        <w:t>明细</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3F2D5C62">
      <w:pPr>
        <w:pStyle w:val="16"/>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一般公共预算财政拨款基本支出决算</w:t>
      </w:r>
      <w:r>
        <w:rPr>
          <w:rFonts w:hint="eastAsia" w:ascii="Times New Roman" w:hAnsi="Times New Roman" w:eastAsia="仿宋_GB2312" w:cs="Times New Roman"/>
          <w:color w:val="auto"/>
          <w:sz w:val="32"/>
          <w:szCs w:val="32"/>
          <w:u w:val="none"/>
          <w:lang w:val="en-US" w:eastAsia="zh-CN"/>
        </w:rPr>
        <w:t>明细</w:t>
      </w:r>
      <w:r>
        <w:rPr>
          <w:rFonts w:hint="default" w:ascii="Times New Roman" w:hAnsi="Times New Roman" w:eastAsia="仿宋_GB2312" w:cs="Times New Roman"/>
          <w:color w:val="auto"/>
          <w:sz w:val="32"/>
          <w:szCs w:val="32"/>
          <w:u w:val="none"/>
        </w:rPr>
        <w:t>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31036F35">
      <w:pPr>
        <w:pStyle w:val="1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u w:val="none"/>
        </w:rPr>
        <w:t>一般公共预算财政拨款</w:t>
      </w:r>
      <w:r>
        <w:rPr>
          <w:rFonts w:hint="default" w:ascii="Times New Roman" w:hAnsi="Times New Roman" w:eastAsia="仿宋_GB2312" w:cs="Times New Roman"/>
          <w:color w:val="auto"/>
          <w:sz w:val="32"/>
          <w:szCs w:val="32"/>
          <w:u w:val="none"/>
          <w:lang w:eastAsia="zh-CN"/>
        </w:rPr>
        <w:t>项目</w:t>
      </w:r>
      <w:r>
        <w:rPr>
          <w:rFonts w:hint="default" w:ascii="Times New Roman" w:hAnsi="Times New Roman" w:eastAsia="仿宋_GB2312" w:cs="Times New Roman"/>
          <w:color w:val="auto"/>
          <w:sz w:val="32"/>
          <w:szCs w:val="32"/>
          <w:u w:val="none"/>
        </w:rPr>
        <w:t>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634E47F5">
      <w:pPr>
        <w:pStyle w:val="16"/>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、政府性基金预算财政拨款收入支出决算表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1CFD0FE6">
      <w:pPr>
        <w:pStyle w:val="16"/>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、国有资本经营预算财政拨款收入支出决算表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65978467">
      <w:pPr>
        <w:pStyle w:val="16"/>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、国有资本经营预算财政拨款支出决算表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16121F0C">
      <w:pPr>
        <w:pStyle w:val="16"/>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、财政拨款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经费支出决算表</w:t>
      </w:r>
      <w:r>
        <w:rPr>
          <w:rFonts w:hint="default" w:ascii="Times New Roman" w:hAnsi="Times New Roman" w:eastAsia="仿宋_GB2312" w:cs="Times New Roman"/>
          <w:color w:val="auto"/>
          <w:sz w:val="32"/>
          <w:szCs w:val="32"/>
          <w:u w:val="none"/>
        </w:rPr>
        <w:tab/>
      </w:r>
      <w:r>
        <w:rPr>
          <w:rFonts w:hint="eastAsia" w:ascii="Times New Roman" w:hAnsi="Times New Roman" w:eastAsia="仿宋_GB2312" w:cs="Times New Roman"/>
          <w:color w:val="auto"/>
          <w:sz w:val="32"/>
          <w:szCs w:val="32"/>
          <w:u w:val="none"/>
          <w:lang w:val="en-US" w:eastAsia="zh-CN"/>
        </w:rPr>
        <w:t>25</w:t>
      </w:r>
    </w:p>
    <w:p w14:paraId="3BD235D1">
      <w:pPr>
        <w:rPr>
          <w:rFonts w:hint="default" w:ascii="Times New Roman" w:hAnsi="Times New Roman" w:eastAsia="仿宋_GB2312" w:cs="Times New Roman"/>
          <w:lang w:val="en-US" w:eastAsia="zh-CN"/>
        </w:rPr>
        <w:sectPr>
          <w:footerReference r:id="rId6" w:type="default"/>
          <w:pgSz w:w="11906" w:h="16838"/>
          <w:pgMar w:top="1440" w:right="2143" w:bottom="1440" w:left="1800" w:header="851" w:footer="992" w:gutter="0"/>
          <w:pgNumType w:fmt="decimal" w:start="1"/>
          <w:cols w:space="720" w:num="1"/>
          <w:rtlGutter w:val="0"/>
          <w:docGrid w:type="lines" w:linePitch="312" w:charSpace="0"/>
        </w:sectPr>
      </w:pPr>
    </w:p>
    <w:p w14:paraId="5DFB2084">
      <w:pPr>
        <w:pStyle w:val="5"/>
        <w:jc w:val="center"/>
        <w:rPr>
          <w:rStyle w:val="26"/>
          <w:rFonts w:hint="eastAsia" w:ascii="Times New Roman" w:hAnsi="Times New Roman" w:eastAsia="方正小标宋简体" w:cs="方正小标宋简体"/>
          <w:b w:val="0"/>
          <w:bCs w:val="0"/>
          <w:color w:val="auto"/>
          <w:highlight w:val="none"/>
        </w:rPr>
      </w:pPr>
      <w:r>
        <w:rPr>
          <w:rStyle w:val="26"/>
          <w:rFonts w:hint="eastAsia" w:ascii="Times New Roman" w:hAnsi="Times New Roman" w:eastAsia="方正小标宋简体" w:cs="方正小标宋简体"/>
          <w:b w:val="0"/>
          <w:bCs w:val="0"/>
          <w:color w:val="auto"/>
          <w:highlight w:val="none"/>
        </w:rPr>
        <w:t>第一部分 部门概况</w:t>
      </w:r>
    </w:p>
    <w:p w14:paraId="6002AB1B">
      <w:pPr>
        <w:snapToGrid w:val="0"/>
        <w:spacing w:line="50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一、部门</w:t>
      </w:r>
      <w:r>
        <w:rPr>
          <w:rFonts w:hint="eastAsia" w:ascii="黑体" w:hAnsi="黑体" w:eastAsia="黑体"/>
          <w:sz w:val="32"/>
          <w:szCs w:val="32"/>
          <w:lang w:val="en-US" w:eastAsia="zh-CN"/>
        </w:rPr>
        <w:t>概况</w:t>
      </w:r>
    </w:p>
    <w:p w14:paraId="625E5296">
      <w:pPr>
        <w:snapToGrid w:val="0"/>
        <w:spacing w:line="500" w:lineRule="exact"/>
        <w:ind w:firstLine="643" w:firstLineChars="200"/>
        <w:rPr>
          <w:rFonts w:hint="default" w:ascii="楷体_GB2312" w:hAnsi="仿宋" w:eastAsia="楷体_GB2312"/>
          <w:b/>
          <w:color w:val="auto"/>
          <w:sz w:val="32"/>
          <w:szCs w:val="32"/>
          <w:lang w:val="en-US" w:eastAsia="zh-CN"/>
        </w:rPr>
      </w:pPr>
      <w:r>
        <w:rPr>
          <w:rFonts w:hint="eastAsia" w:ascii="楷体_GB2312" w:hAnsi="仿宋" w:eastAsia="楷体_GB2312"/>
          <w:b/>
          <w:color w:val="auto"/>
          <w:sz w:val="32"/>
          <w:szCs w:val="32"/>
        </w:rPr>
        <w:t>（一）</w:t>
      </w:r>
      <w:r>
        <w:rPr>
          <w:rFonts w:hint="eastAsia" w:ascii="楷体_GB2312" w:hAnsi="仿宋" w:eastAsia="楷体_GB2312"/>
          <w:b/>
          <w:color w:val="auto"/>
          <w:sz w:val="32"/>
          <w:szCs w:val="32"/>
          <w:lang w:val="en-US" w:eastAsia="zh-CN"/>
        </w:rPr>
        <w:t>部门职责</w:t>
      </w:r>
    </w:p>
    <w:p w14:paraId="3DBCBDFE">
      <w:pPr>
        <w:snapToGrid w:val="0"/>
        <w:spacing w:line="5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参与大政方针及政治、经济、社会生活中的重要问题的政治协商，参政议政，民主监督；引导会员积极参加国家经济建设，推动社会主义市场经济体制逐步完善，促进社会全面进步；做工商界代表人士政治安排的推荐工作；在非公有制经济人士中，宣传、贯彻党和国家的方针政策，加强思想政治工作，推动企业文化建设，引导会员做中国特色社会主义事业的建设者；代表并维护会员的合法权益，反映会员的意见、要求和建议；引导会员积极参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光彩事业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；为会员提供信息和科技、管理、法律、会计、审计、融资、咨询等服务；开展工商专业培训，帮助会员改进经营管理，完善财会管理，提高生产技术和产品质量；组织会员举办和参加各种对内对外展销会</w:t>
      </w:r>
      <w:bookmarkStart w:id="23" w:name="_GoBack"/>
      <w:bookmarkEnd w:id="23"/>
      <w:r>
        <w:rPr>
          <w:rFonts w:hint="default" w:ascii="Times New Roman" w:hAnsi="Times New Roman" w:eastAsia="仿宋_GB2312" w:cs="Times New Roman"/>
          <w:color w:val="auto"/>
          <w:sz w:val="32"/>
          <w:szCs w:val="32"/>
          <w:lang w:eastAsia="zh-CN"/>
        </w:rPr>
        <w:t>、交易会，组织会员出国、出境考察访问，帮助会员开拓国内、国际市场；增进与香港特别行政区、澳门特别行政区及台湾地区和世界各国工商社团及工商经济界人士的联系和友谊，促进经济、技术和贸易合作；办好</w:t>
      </w:r>
      <w:r>
        <w:rPr>
          <w:rFonts w:hint="default" w:ascii="Times New Roman" w:hAnsi="Times New Roman" w:eastAsia="仿宋_GB2312" w:cs="Times New Roman"/>
          <w:color w:val="auto"/>
          <w:sz w:val="32"/>
          <w:szCs w:val="32"/>
          <w:lang w:val="en-US" w:eastAsia="zh-CN"/>
        </w:rPr>
        <w:t>会员</w:t>
      </w:r>
      <w:r>
        <w:rPr>
          <w:rFonts w:hint="default" w:ascii="Times New Roman" w:hAnsi="Times New Roman" w:eastAsia="仿宋_GB2312" w:cs="Times New Roman"/>
          <w:color w:val="auto"/>
          <w:sz w:val="32"/>
          <w:szCs w:val="32"/>
          <w:lang w:eastAsia="zh-CN"/>
        </w:rPr>
        <w:t>企业、事业；承办政府和有关部门的委托事项。</w:t>
      </w:r>
    </w:p>
    <w:p w14:paraId="30CEFE71">
      <w:pPr>
        <w:snapToGrid w:val="0"/>
        <w:spacing w:line="500" w:lineRule="exact"/>
        <w:ind w:firstLine="643" w:firstLineChars="200"/>
        <w:rPr>
          <w:rFonts w:hint="default" w:ascii="楷体_GB2312" w:hAnsi="仿宋" w:eastAsia="楷体_GB2312"/>
          <w:b/>
          <w:color w:val="auto"/>
          <w:sz w:val="32"/>
          <w:szCs w:val="32"/>
          <w:lang w:val="en-US" w:eastAsia="zh-CN"/>
        </w:rPr>
      </w:pPr>
      <w:r>
        <w:rPr>
          <w:rFonts w:hint="eastAsia" w:ascii="楷体_GB2312" w:hAnsi="仿宋" w:eastAsia="楷体_GB2312"/>
          <w:b/>
          <w:color w:val="auto"/>
          <w:sz w:val="32"/>
          <w:szCs w:val="32"/>
          <w:lang w:val="en-US" w:eastAsia="zh-CN"/>
        </w:rPr>
        <w:t>（二）机构设置</w:t>
      </w:r>
    </w:p>
    <w:p w14:paraId="3DB6521C">
      <w:pPr>
        <w:numPr>
          <w:ilvl w:val="0"/>
          <w:numId w:val="0"/>
        </w:numPr>
        <w:snapToGrid w:val="0"/>
        <w:spacing w:line="500"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color w:val="auto"/>
          <w:sz w:val="32"/>
          <w:szCs w:val="32"/>
          <w:lang w:eastAsia="zh-CN"/>
        </w:rPr>
        <w:t>区工商联属行政机关，下属二级决算单位</w:t>
      </w:r>
      <w:r>
        <w:rPr>
          <w:rFonts w:hint="default" w:ascii="Times New Roman" w:hAnsi="Times New Roman" w:eastAsia="仿宋_GB2312" w:cs="Times New Roman"/>
          <w:color w:val="auto"/>
          <w:sz w:val="32"/>
          <w:szCs w:val="32"/>
          <w:lang w:val="en-US" w:eastAsia="zh-CN"/>
        </w:rPr>
        <w:t>0个，其中行政单位0个，参照公务员法管理的事业单位0个，其他事业单位0个。</w:t>
      </w:r>
      <w:r>
        <w:rPr>
          <w:rFonts w:hint="default" w:ascii="Times New Roman" w:hAnsi="Times New Roman" w:eastAsia="仿宋_GB2312" w:cs="Times New Roman"/>
          <w:color w:val="auto"/>
          <w:sz w:val="32"/>
          <w:szCs w:val="32"/>
          <w:lang w:eastAsia="zh-CN"/>
        </w:rPr>
        <w:t>区工商联核定行政编制</w:t>
      </w:r>
      <w:r>
        <w:rPr>
          <w:rFonts w:hint="default" w:ascii="Times New Roman" w:hAnsi="Times New Roman" w:eastAsia="仿宋_GB2312" w:cs="Times New Roman"/>
          <w:color w:val="auto"/>
          <w:sz w:val="32"/>
          <w:szCs w:val="32"/>
          <w:lang w:val="en-US" w:eastAsia="zh-CN"/>
        </w:rPr>
        <w:t>4名、工勤编制1名；实有在编在岗行政编制3名，机关工勤1名，2024年度决算人数4人，行政人员3名，机关工勤1名。</w:t>
      </w:r>
    </w:p>
    <w:p w14:paraId="476D8A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仿宋_GB2312" w:eastAsia="仿宋_GB2312" w:cs="Times New Roman"/>
          <w:color w:val="0000FF"/>
          <w:sz w:val="32"/>
          <w:szCs w:val="32"/>
          <w:lang w:val="en-US" w:eastAsia="zh-CN"/>
        </w:rPr>
        <w:sectPr>
          <w:footerReference r:id="rId7" w:type="default"/>
          <w:pgSz w:w="11906" w:h="16838"/>
          <w:pgMar w:top="1440" w:right="1800" w:bottom="1440" w:left="1800" w:header="851" w:footer="992" w:gutter="0"/>
          <w:pgNumType w:fmt="decimal" w:start="1"/>
          <w:cols w:space="720" w:num="1"/>
          <w:rtlGutter w:val="0"/>
          <w:docGrid w:type="lines" w:linePitch="312" w:charSpace="0"/>
        </w:sectPr>
      </w:pPr>
      <w:bookmarkStart w:id="5" w:name="_Toc15396602"/>
      <w:bookmarkStart w:id="6" w:name="_Toc15377204"/>
    </w:p>
    <w:p w14:paraId="17429A79">
      <w:pPr>
        <w:pStyle w:val="5"/>
        <w:jc w:val="center"/>
        <w:rPr>
          <w:rFonts w:hint="eastAsia" w:ascii="Times New Roman" w:hAnsi="Times New Roman" w:eastAsia="方正小标宋简体" w:cs="方正小标宋简体"/>
          <w:b w:val="0"/>
          <w:color w:val="auto"/>
          <w:highlight w:val="none"/>
          <w:lang w:val="en-US" w:eastAsia="zh-CN"/>
        </w:rPr>
      </w:pPr>
      <w:r>
        <w:rPr>
          <w:rFonts w:hint="eastAsia" w:ascii="Times New Roman" w:hAnsi="Times New Roman" w:eastAsia="方正小标宋简体" w:cs="方正小标宋简体"/>
          <w:b w:val="0"/>
          <w:color w:val="auto"/>
          <w:highlight w:val="none"/>
          <w:lang w:val="en-US" w:eastAsia="zh-CN"/>
        </w:rPr>
        <w:t>第二部分 2024年度部门决算情况说明</w:t>
      </w:r>
      <w:bookmarkEnd w:id="5"/>
      <w:bookmarkEnd w:id="6"/>
    </w:p>
    <w:p w14:paraId="2973A3E8">
      <w:pPr>
        <w:pStyle w:val="2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rPr>
      </w:pPr>
      <w:bookmarkStart w:id="7" w:name="_Toc15396603"/>
      <w:bookmarkStart w:id="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收入支出决算总体情况说明</w:t>
      </w:r>
      <w:bookmarkEnd w:id="7"/>
      <w:bookmarkEnd w:id="8"/>
    </w:p>
    <w:p w14:paraId="646B562E">
      <w:pPr>
        <w:pStyle w:val="2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2024年度财政拨款收、支总计</w:t>
      </w:r>
      <w:r>
        <w:rPr>
          <w:rFonts w:hint="eastAsia" w:ascii="Times New Roman" w:hAnsi="Times New Roman" w:eastAsia="仿宋_GB2312" w:cs="仿宋_GB2312"/>
          <w:color w:val="auto"/>
          <w:sz w:val="32"/>
          <w:szCs w:val="32"/>
          <w:highlight w:val="none"/>
          <w:lang w:val="en-US" w:eastAsia="zh-CN"/>
        </w:rPr>
        <w:t>111.62万元</w:t>
      </w:r>
      <w:r>
        <w:rPr>
          <w:rFonts w:hint="eastAsia" w:ascii="Times New Roman" w:hAnsi="Times New Roman" w:eastAsia="仿宋_GB2312" w:cs="仿宋_GB2312"/>
          <w:color w:val="auto"/>
          <w:sz w:val="32"/>
          <w:szCs w:val="32"/>
          <w:highlight w:val="none"/>
          <w:lang w:eastAsia="zh-CN"/>
        </w:rPr>
        <w:t>。与2023年相比，财政拨款收、支总计减少</w:t>
      </w:r>
      <w:r>
        <w:rPr>
          <w:rFonts w:hint="eastAsia" w:ascii="Times New Roman" w:hAnsi="Times New Roman" w:eastAsia="仿宋_GB2312" w:cs="仿宋_GB2312"/>
          <w:color w:val="auto"/>
          <w:sz w:val="32"/>
          <w:szCs w:val="32"/>
          <w:highlight w:val="none"/>
          <w:lang w:val="en-US" w:eastAsia="zh-CN"/>
        </w:rPr>
        <w:t>40.58</w:t>
      </w:r>
      <w:r>
        <w:rPr>
          <w:rFonts w:hint="eastAsia" w:ascii="Times New Roman" w:hAnsi="Times New Roman" w:eastAsia="仿宋_GB2312" w:cs="仿宋_GB2312"/>
          <w:color w:val="auto"/>
          <w:sz w:val="32"/>
          <w:szCs w:val="32"/>
          <w:highlight w:val="none"/>
          <w:lang w:eastAsia="zh-CN"/>
        </w:rPr>
        <w:t>万元，下降</w:t>
      </w:r>
      <w:r>
        <w:rPr>
          <w:rFonts w:hint="eastAsia" w:ascii="Times New Roman" w:hAnsi="Times New Roman" w:eastAsia="仿宋_GB2312" w:cs="仿宋_GB2312"/>
          <w:color w:val="auto"/>
          <w:sz w:val="32"/>
          <w:szCs w:val="32"/>
          <w:highlight w:val="none"/>
          <w:lang w:val="en-US" w:eastAsia="zh-CN"/>
        </w:rPr>
        <w:t>26.66</w:t>
      </w:r>
      <w:r>
        <w:rPr>
          <w:rFonts w:hint="eastAsia" w:ascii="Times New Roman" w:hAnsi="Times New Roman" w:eastAsia="仿宋_GB2312" w:cs="仿宋_GB2312"/>
          <w:color w:val="auto"/>
          <w:sz w:val="32"/>
          <w:szCs w:val="32"/>
          <w:highlight w:val="none"/>
          <w:lang w:eastAsia="zh-CN"/>
        </w:rPr>
        <w:t>%。主</w:t>
      </w:r>
      <w:r>
        <w:rPr>
          <w:rFonts w:hint="eastAsia" w:ascii="Times New Roman" w:hAnsi="Times New Roman" w:eastAsia="仿宋_GB2312" w:cs="仿宋_GB2312"/>
          <w:color w:val="auto"/>
          <w:sz w:val="32"/>
          <w:szCs w:val="32"/>
          <w:highlight w:val="none"/>
          <w:lang w:val="en-US" w:eastAsia="zh-CN"/>
        </w:rPr>
        <w:t>要</w:t>
      </w:r>
      <w:r>
        <w:rPr>
          <w:rFonts w:hint="eastAsia" w:ascii="Times New Roman" w:hAnsi="Times New Roman" w:eastAsia="仿宋_GB2312" w:cs="仿宋_GB2312"/>
          <w:color w:val="auto"/>
          <w:sz w:val="32"/>
          <w:szCs w:val="32"/>
          <w:highlight w:val="none"/>
          <w:lang w:eastAsia="zh-CN"/>
        </w:rPr>
        <w:t>原因是招商引资项目及单位人员减少导致。</w:t>
      </w:r>
    </w:p>
    <w:p w14:paraId="5D094C09">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097555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auto"/>
          <w:sz w:val="32"/>
          <w:szCs w:val="32"/>
          <w:highlight w:val="none"/>
          <w:lang w:eastAsia="zh-CN"/>
        </w:rPr>
      </w:pPr>
      <w:r>
        <w:rPr>
          <w:rFonts w:hint="eastAsia" w:ascii="仿宋_GB2312" w:eastAsia="仿宋_GB2312"/>
          <w:color w:val="000000"/>
          <w:sz w:val="32"/>
          <w:szCs w:val="32"/>
          <w:lang w:eastAsia="zh-CN"/>
        </w:rPr>
        <w:drawing>
          <wp:anchor distT="0" distB="0" distL="114300" distR="114300" simplePos="0" relativeHeight="251664384" behindDoc="0" locked="0" layoutInCell="1" allowOverlap="1">
            <wp:simplePos x="0" y="0"/>
            <wp:positionH relativeFrom="column">
              <wp:posOffset>175895</wp:posOffset>
            </wp:positionH>
            <wp:positionV relativeFrom="page">
              <wp:posOffset>3585845</wp:posOffset>
            </wp:positionV>
            <wp:extent cx="5080000" cy="3352165"/>
            <wp:effectExtent l="4445" t="4445" r="20955" b="1524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黑体"/>
          <w:color w:val="auto"/>
          <w:sz w:val="32"/>
          <w:szCs w:val="32"/>
          <w:highlight w:val="none"/>
          <w:lang w:eastAsia="zh-CN"/>
        </w:rPr>
        <w:t>二、收入决算情况说明</w:t>
      </w:r>
    </w:p>
    <w:p w14:paraId="312C27CA">
      <w:pPr>
        <w:pStyle w:val="2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w:t>
      </w:r>
      <w:r>
        <w:rPr>
          <w:rFonts w:hint="eastAsia" w:ascii="Times New Roman" w:hAnsi="Times New Roman" w:eastAsia="仿宋_GB2312" w:cs="仿宋_GB2312"/>
          <w:color w:val="auto"/>
          <w:sz w:val="32"/>
          <w:szCs w:val="32"/>
          <w:highlight w:val="none"/>
          <w:lang w:val="en-US" w:eastAsia="zh-CN"/>
        </w:rPr>
        <w:t>度</w:t>
      </w:r>
      <w:r>
        <w:rPr>
          <w:rFonts w:hint="eastAsia" w:ascii="Times New Roman" w:hAnsi="Times New Roman" w:eastAsia="仿宋_GB2312" w:cs="仿宋_GB2312"/>
          <w:color w:val="auto"/>
          <w:sz w:val="32"/>
          <w:szCs w:val="32"/>
          <w:highlight w:val="none"/>
          <w:lang w:eastAsia="zh-CN"/>
        </w:rPr>
        <w:t>区工商联本年收入合计</w:t>
      </w:r>
      <w:r>
        <w:rPr>
          <w:rFonts w:hint="eastAsia" w:ascii="Times New Roman" w:hAnsi="Times New Roman" w:eastAsia="仿宋_GB2312" w:cs="仿宋_GB2312"/>
          <w:color w:val="auto"/>
          <w:sz w:val="32"/>
          <w:szCs w:val="32"/>
          <w:highlight w:val="none"/>
          <w:lang w:val="en-US" w:eastAsia="zh-CN"/>
        </w:rPr>
        <w:t>111.62万元</w:t>
      </w:r>
      <w:r>
        <w:rPr>
          <w:rFonts w:hint="eastAsia" w:ascii="Times New Roman" w:hAnsi="Times New Roman" w:eastAsia="仿宋_GB2312" w:cs="仿宋_GB2312"/>
          <w:color w:val="auto"/>
          <w:sz w:val="32"/>
          <w:szCs w:val="32"/>
          <w:highlight w:val="none"/>
          <w:lang w:eastAsia="zh-CN"/>
        </w:rPr>
        <w:t>，其中：一</w:t>
      </w:r>
      <w:r>
        <w:rPr>
          <w:rFonts w:hint="eastAsia" w:ascii="Times New Roman" w:hAnsi="Times New Roman" w:eastAsia="仿宋_GB2312" w:cs="仿宋_GB2312"/>
          <w:color w:val="auto"/>
          <w:sz w:val="32"/>
          <w:szCs w:val="32"/>
          <w:highlight w:val="none"/>
          <w:lang w:val="en-US" w:eastAsia="zh-CN"/>
        </w:rPr>
        <w:t>般</w:t>
      </w:r>
      <w:r>
        <w:rPr>
          <w:rFonts w:hint="eastAsia" w:ascii="Times New Roman" w:hAnsi="Times New Roman" w:eastAsia="仿宋_GB2312" w:cs="仿宋_GB2312"/>
          <w:color w:val="auto"/>
          <w:sz w:val="32"/>
          <w:szCs w:val="32"/>
          <w:highlight w:val="none"/>
          <w:lang w:eastAsia="zh-CN"/>
        </w:rPr>
        <w:t>公共预算财政拨款收入</w:t>
      </w:r>
      <w:r>
        <w:rPr>
          <w:rFonts w:hint="eastAsia" w:ascii="Times New Roman" w:hAnsi="Times New Roman" w:eastAsia="仿宋_GB2312" w:cs="仿宋_GB2312"/>
          <w:color w:val="auto"/>
          <w:sz w:val="32"/>
          <w:szCs w:val="32"/>
          <w:highlight w:val="none"/>
          <w:lang w:val="en-US" w:eastAsia="zh-CN"/>
        </w:rPr>
        <w:t>111.62万元</w:t>
      </w:r>
      <w:r>
        <w:rPr>
          <w:rFonts w:hint="eastAsia" w:ascii="Times New Roman" w:hAnsi="Times New Roman" w:eastAsia="仿宋_GB2312" w:cs="仿宋_GB2312"/>
          <w:color w:val="auto"/>
          <w:sz w:val="32"/>
          <w:szCs w:val="32"/>
          <w:highlight w:val="none"/>
          <w:lang w:eastAsia="zh-CN"/>
        </w:rPr>
        <w:t>，占</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%，政府性基金财政拨款收入</w:t>
      </w:r>
      <w:r>
        <w:rPr>
          <w:rFonts w:hint="eastAsia" w:ascii="Times New Roman" w:hAnsi="Times New Roman" w:eastAsia="仿宋_GB2312" w:cs="仿宋_GB2312"/>
          <w:color w:val="auto"/>
          <w:sz w:val="32"/>
          <w:szCs w:val="32"/>
          <w:highlight w:val="none"/>
          <w:lang w:val="en-US" w:eastAsia="zh-CN"/>
        </w:rPr>
        <w:t>0万元，占0%</w:t>
      </w:r>
      <w:r>
        <w:rPr>
          <w:rFonts w:hint="eastAsia" w:ascii="Times New Roman" w:hAnsi="Times New Roman" w:eastAsia="仿宋_GB2312" w:cs="仿宋_GB2312"/>
          <w:color w:val="auto"/>
          <w:sz w:val="32"/>
          <w:szCs w:val="32"/>
          <w:highlight w:val="none"/>
          <w:lang w:eastAsia="zh-CN"/>
        </w:rPr>
        <w:t>。</w:t>
      </w:r>
    </w:p>
    <w:p w14:paraId="4A847061">
      <w:pPr>
        <w:pStyle w:val="25"/>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outlineLvl w:val="1"/>
        <w:rPr>
          <w:rFonts w:hint="eastAsia" w:ascii="Times New Roman" w:hAnsi="Times New Roman" w:eastAsia="黑体" w:cs="Times New Roman"/>
          <w:color w:val="auto"/>
          <w:kern w:val="2"/>
          <w:sz w:val="32"/>
          <w:szCs w:val="32"/>
          <w:highlight w:val="none"/>
          <w:lang w:val="en-US" w:eastAsia="zh-CN" w:bidi="ar-SA"/>
        </w:rPr>
      </w:pPr>
    </w:p>
    <w:p w14:paraId="162D5C45">
      <w:pPr>
        <w:pStyle w:val="25"/>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584723E9">
      <w:pPr>
        <w:pStyle w:val="25"/>
        <w:keepNext w:val="0"/>
        <w:keepLines w:val="0"/>
        <w:pageBreakBefore w:val="0"/>
        <w:widowControl w:val="0"/>
        <w:numPr>
          <w:ilvl w:val="0"/>
          <w:numId w:val="0"/>
        </w:numPr>
        <w:tabs>
          <w:tab w:val="center" w:pos="4153"/>
        </w:tabs>
        <w:kinsoku/>
        <w:wordWrap/>
        <w:overflowPunct/>
        <w:topLinePunct w:val="0"/>
        <w:autoSpaceDE/>
        <w:autoSpaceDN/>
        <w:bidi w:val="0"/>
        <w:adjustRightInd w:val="0"/>
        <w:snapToGrid/>
        <w:spacing w:line="600" w:lineRule="exact"/>
        <w:ind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25299209">
      <w:pPr>
        <w:pStyle w:val="25"/>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outlineLvl w:val="1"/>
        <w:rPr>
          <w:rStyle w:val="27"/>
          <w:rFonts w:ascii="黑体" w:hAnsi="黑体" w:eastAsia="黑体"/>
          <w:b/>
          <w:bCs w:val="0"/>
        </w:rPr>
      </w:pPr>
      <w:r>
        <w:rPr>
          <w:rFonts w:hint="eastAsia" w:ascii="Times New Roman" w:hAnsi="Times New Roman" w:eastAsia="黑体" w:cs="Times New Roman"/>
          <w:color w:val="auto"/>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-17780</wp:posOffset>
            </wp:positionH>
            <wp:positionV relativeFrom="page">
              <wp:posOffset>1008380</wp:posOffset>
            </wp:positionV>
            <wp:extent cx="5270500" cy="3057525"/>
            <wp:effectExtent l="4445" t="4445" r="20955" b="508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9" w:name="_Toc15377207"/>
      <w:bookmarkStart w:id="10" w:name="_Toc15396605"/>
      <w:r>
        <w:rPr>
          <w:rFonts w:hint="eastAsia" w:ascii="Times New Roman" w:hAnsi="Times New Roman" w:eastAsia="黑体" w:cs="Times New Roman"/>
          <w:color w:val="auto"/>
          <w:kern w:val="2"/>
          <w:sz w:val="32"/>
          <w:szCs w:val="32"/>
          <w:highlight w:val="none"/>
          <w:lang w:val="en-US" w:eastAsia="zh-CN" w:bidi="ar-SA"/>
        </w:rPr>
        <w:t>三、支出决算情况说明</w:t>
      </w:r>
      <w:bookmarkEnd w:id="9"/>
      <w:bookmarkEnd w:id="10"/>
    </w:p>
    <w:p w14:paraId="730B9F9C">
      <w:pPr>
        <w:pStyle w:val="2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eastAsia="黑体"/>
          <w:color w:val="000000"/>
          <w:sz w:val="32"/>
          <w:szCs w:val="32"/>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58420</wp:posOffset>
            </wp:positionH>
            <wp:positionV relativeFrom="page">
              <wp:posOffset>5664835</wp:posOffset>
            </wp:positionV>
            <wp:extent cx="5080000" cy="2828925"/>
            <wp:effectExtent l="4445" t="4445" r="20955" b="508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color w:val="auto"/>
          <w:sz w:val="32"/>
          <w:szCs w:val="32"/>
          <w:highlight w:val="none"/>
          <w:lang w:eastAsia="zh-CN"/>
        </w:rPr>
        <w:t>2024年度本年支出合计</w:t>
      </w:r>
      <w:r>
        <w:rPr>
          <w:rFonts w:hint="eastAsia" w:ascii="Times New Roman" w:hAnsi="Times New Roman" w:eastAsia="仿宋_GB2312" w:cs="仿宋_GB2312"/>
          <w:color w:val="auto"/>
          <w:sz w:val="32"/>
          <w:szCs w:val="32"/>
          <w:highlight w:val="none"/>
          <w:lang w:val="en-US" w:eastAsia="zh-CN"/>
        </w:rPr>
        <w:t>111.62万元</w:t>
      </w:r>
      <w:r>
        <w:rPr>
          <w:rFonts w:hint="eastAsia" w:ascii="Times New Roman" w:hAnsi="Times New Roman" w:eastAsia="仿宋_GB2312" w:cs="仿宋_GB2312"/>
          <w:color w:val="auto"/>
          <w:sz w:val="32"/>
          <w:szCs w:val="32"/>
          <w:highlight w:val="none"/>
          <w:lang w:eastAsia="zh-CN"/>
        </w:rPr>
        <w:t>，其中：基本支出</w:t>
      </w:r>
      <w:r>
        <w:rPr>
          <w:rFonts w:hint="eastAsia" w:ascii="Times New Roman" w:hAnsi="Times New Roman" w:eastAsia="仿宋_GB2312" w:cs="仿宋_GB2312"/>
          <w:color w:val="auto"/>
          <w:sz w:val="32"/>
          <w:szCs w:val="32"/>
          <w:highlight w:val="none"/>
          <w:lang w:val="en-US" w:eastAsia="zh-CN"/>
        </w:rPr>
        <w:t>101.03</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90.51</w:t>
      </w:r>
      <w:r>
        <w:rPr>
          <w:rFonts w:hint="eastAsia" w:ascii="Times New Roman" w:hAnsi="Times New Roman" w:eastAsia="仿宋_GB2312" w:cs="仿宋_GB2312"/>
          <w:color w:val="auto"/>
          <w:sz w:val="32"/>
          <w:szCs w:val="32"/>
          <w:highlight w:val="none"/>
          <w:lang w:eastAsia="zh-CN"/>
        </w:rPr>
        <w:t>%；项目支出</w:t>
      </w:r>
      <w:r>
        <w:rPr>
          <w:rFonts w:hint="eastAsia" w:ascii="Times New Roman" w:hAnsi="Times New Roman" w:eastAsia="仿宋_GB2312" w:cs="仿宋_GB2312"/>
          <w:color w:val="auto"/>
          <w:sz w:val="32"/>
          <w:szCs w:val="32"/>
          <w:highlight w:val="none"/>
          <w:lang w:val="en-US" w:eastAsia="zh-CN"/>
        </w:rPr>
        <w:t>10.59</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9.49</w:t>
      </w:r>
      <w:r>
        <w:rPr>
          <w:rFonts w:hint="eastAsia" w:ascii="Times New Roman" w:hAnsi="Times New Roman" w:eastAsia="仿宋_GB2312" w:cs="仿宋_GB2312"/>
          <w:color w:val="auto"/>
          <w:sz w:val="32"/>
          <w:szCs w:val="32"/>
          <w:highlight w:val="none"/>
          <w:lang w:eastAsia="zh-CN"/>
        </w:rPr>
        <w:t>%。</w:t>
      </w:r>
    </w:p>
    <w:p w14:paraId="7FE7D2F7">
      <w:pPr>
        <w:pStyle w:val="25"/>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0" w:firstLineChars="0"/>
        <w:jc w:val="center"/>
        <w:textAlignment w:val="auto"/>
        <w:outlineLvl w:val="1"/>
        <w:rPr>
          <w:rFonts w:hint="eastAsia"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t>（图3：支出决算结构图）</w:t>
      </w:r>
    </w:p>
    <w:p w14:paraId="395E5958">
      <w:pPr>
        <w:pStyle w:val="25"/>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outlineLvl w:val="1"/>
        <w:rPr>
          <w:rFonts w:hint="eastAsia"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四、财政拨款收入支出决算总体情况说明</w:t>
      </w:r>
    </w:p>
    <w:p w14:paraId="09A2013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2024年度财政拨款收、支总计111.62万元。与2023年相比，财政拨款收、支总计减少40.58万元，下降26.66%。主要原因是招商引资项目及单位人员减少导致。</w:t>
      </w:r>
    </w:p>
    <w:p w14:paraId="13A01841">
      <w:pPr>
        <w:keepNext w:val="0"/>
        <w:keepLines w:val="0"/>
        <w:pageBreakBefore w:val="0"/>
        <w:widowControl w:val="0"/>
        <w:tabs>
          <w:tab w:val="left" w:pos="398"/>
          <w:tab w:val="left" w:pos="458"/>
        </w:tabs>
        <w:kinsoku/>
        <w:wordWrap/>
        <w:overflowPunct/>
        <w:topLinePunct w:val="0"/>
        <w:autoSpaceDE/>
        <w:autoSpaceDN/>
        <w:bidi w:val="0"/>
        <w:adjustRightInd/>
        <w:snapToGrid/>
        <w:spacing w:line="600" w:lineRule="exact"/>
        <w:ind w:firstLine="0" w:firstLineChars="0"/>
        <w:jc w:val="center"/>
        <w:textAlignment w:val="auto"/>
        <w:outlineLvl w:val="1"/>
        <w:rPr>
          <w:rStyle w:val="27"/>
          <w:rFonts w:hint="eastAsia" w:ascii="Times New Roman" w:hAnsi="Times New Roman" w:eastAsia="黑体" w:cstheme="majorBidi"/>
          <w:b w:val="0"/>
          <w:color w:val="auto"/>
          <w:highlight w:val="none"/>
          <w:lang w:eastAsia="zh-CN"/>
        </w:rPr>
      </w:pPr>
      <w:r>
        <w:rPr>
          <w:rStyle w:val="27"/>
          <w:rFonts w:hint="eastAsia" w:ascii="Times New Roman" w:hAnsi="Times New Roman" w:eastAsia="黑体" w:cstheme="majorBidi"/>
          <w:b w:val="0"/>
          <w:color w:val="auto"/>
          <w:highlight w:val="none"/>
          <w:lang w:eastAsia="zh-CN"/>
        </w:rPr>
        <w:drawing>
          <wp:anchor distT="0" distB="0" distL="114300" distR="114300" simplePos="0" relativeHeight="251662336" behindDoc="0" locked="0" layoutInCell="1" allowOverlap="1">
            <wp:simplePos x="0" y="0"/>
            <wp:positionH relativeFrom="column">
              <wp:posOffset>200025</wp:posOffset>
            </wp:positionH>
            <wp:positionV relativeFrom="page">
              <wp:posOffset>1734185</wp:posOffset>
            </wp:positionV>
            <wp:extent cx="4727575" cy="3552190"/>
            <wp:effectExtent l="4445" t="4445" r="11430" b="5715"/>
            <wp:wrapTopAndBottom/>
            <wp:docPr id="6" name="图表 6"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5EA495B7">
      <w:pPr>
        <w:tabs>
          <w:tab w:val="left" w:pos="398"/>
        </w:tabs>
        <w:spacing w:line="600" w:lineRule="exact"/>
        <w:ind w:firstLine="640" w:firstLineChars="200"/>
        <w:outlineLvl w:val="1"/>
        <w:rPr>
          <w:rStyle w:val="27"/>
          <w:rFonts w:hint="default" w:ascii="Times New Roman" w:hAnsi="Times New Roman" w:eastAsia="黑体" w:cstheme="majorBidi"/>
          <w:b w:val="0"/>
          <w:color w:val="auto"/>
          <w:highlight w:val="none"/>
          <w:lang w:val="en-US" w:eastAsia="zh-CN"/>
        </w:rPr>
      </w:pPr>
      <w:r>
        <w:rPr>
          <w:rStyle w:val="27"/>
          <w:rFonts w:hint="eastAsia" w:ascii="Times New Roman" w:hAnsi="Times New Roman" w:eastAsia="黑体" w:cstheme="majorBidi"/>
          <w:b w:val="0"/>
          <w:color w:val="auto"/>
          <w:highlight w:val="none"/>
          <w:lang w:val="en-US" w:eastAsia="zh-CN"/>
        </w:rPr>
        <w:t>五、</w:t>
      </w:r>
      <w:r>
        <w:rPr>
          <w:rStyle w:val="27"/>
          <w:rFonts w:hint="eastAsia" w:ascii="Times New Roman" w:hAnsi="Times New Roman" w:eastAsia="黑体" w:cstheme="majorBidi"/>
          <w:b w:val="0"/>
          <w:color w:val="auto"/>
          <w:highlight w:val="none"/>
        </w:rPr>
        <w:t>一般公共预算财政拨款支出决算</w:t>
      </w:r>
      <w:r>
        <w:rPr>
          <w:rStyle w:val="27"/>
          <w:rFonts w:hint="eastAsia" w:ascii="Times New Roman" w:hAnsi="Times New Roman" w:eastAsia="黑体" w:cstheme="majorBidi"/>
          <w:b w:val="0"/>
          <w:color w:val="auto"/>
          <w:highlight w:val="none"/>
          <w:lang w:val="en-US" w:eastAsia="zh-CN"/>
        </w:rPr>
        <w:t>情况说明</w:t>
      </w:r>
    </w:p>
    <w:p w14:paraId="482AACF2">
      <w:pPr>
        <w:pStyle w:val="15"/>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（一）一般公共预算财政拨款支出决算总体情况</w:t>
      </w:r>
    </w:p>
    <w:p w14:paraId="5CA7CA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2024年度一般公共预算财政拨款支出111.62万元，占本年支出的100%。与2023年度相比，一般公共预算财政拨款支出减少40.58万元，下降26.66%。主要原因是招商引资项目及单位人员减少导致。</w:t>
      </w:r>
    </w:p>
    <w:p w14:paraId="572BCBB2">
      <w:pPr>
        <w:pStyle w:val="2"/>
        <w:rPr>
          <w:rFonts w:hint="eastAsia" w:ascii="Times New Roman" w:hAnsi="Times New Roman" w:eastAsia="仿宋_GB2312" w:cs="仿宋_GB2312"/>
          <w:color w:val="auto"/>
          <w:kern w:val="2"/>
          <w:sz w:val="32"/>
          <w:szCs w:val="32"/>
          <w:highlight w:val="none"/>
          <w:lang w:val="en-US" w:eastAsia="zh-CN" w:bidi="ar-SA"/>
        </w:rPr>
      </w:pPr>
    </w:p>
    <w:p w14:paraId="5450F0C8">
      <w:pPr>
        <w:pStyle w:val="3"/>
        <w:rPr>
          <w:rFonts w:hint="eastAsia" w:ascii="Times New Roman" w:hAnsi="Times New Roman" w:eastAsia="仿宋_GB2312" w:cs="仿宋_GB2312"/>
          <w:color w:val="auto"/>
          <w:kern w:val="2"/>
          <w:sz w:val="32"/>
          <w:szCs w:val="32"/>
          <w:highlight w:val="none"/>
          <w:lang w:val="en-US" w:eastAsia="zh-CN" w:bidi="ar-SA"/>
        </w:rPr>
      </w:pPr>
    </w:p>
    <w:p w14:paraId="357ECEE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1"/>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drawing>
          <wp:anchor distT="0" distB="0" distL="114300" distR="114300" simplePos="0" relativeHeight="251665408" behindDoc="0" locked="0" layoutInCell="1" allowOverlap="1">
            <wp:simplePos x="0" y="0"/>
            <wp:positionH relativeFrom="column">
              <wp:posOffset>176530</wp:posOffset>
            </wp:positionH>
            <wp:positionV relativeFrom="page">
              <wp:posOffset>995045</wp:posOffset>
            </wp:positionV>
            <wp:extent cx="4727575" cy="2315210"/>
            <wp:effectExtent l="5080" t="4445" r="10795" b="23495"/>
            <wp:wrapTopAndBottom/>
            <wp:docPr id="9" name="图表 9"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2DE9813B">
      <w:pPr>
        <w:pStyle w:val="15"/>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（二）一般公共预算财政拨款支出决算结构情况</w:t>
      </w:r>
    </w:p>
    <w:p w14:paraId="1F6ECC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2024年度一般公共预算财政拨款支出111.62万元，主要用于以下方面：一般公共服务支出87.45万元，占78.35%；社会保障和就业支出11.45万元，占10.25%；卫生健康支出5.42万元，占4.86%；住房保障支出7.29万元，占6.54%。</w:t>
      </w:r>
    </w:p>
    <w:p w14:paraId="09FB2629">
      <w:pPr>
        <w:pStyle w:val="2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rPr>
          <w:rFonts w:hint="eastAsia" w:ascii="仿宋_GB2312" w:eastAsia="仿宋_GB2312"/>
          <w:color w:val="000000"/>
          <w:sz w:val="32"/>
          <w:szCs w:val="32"/>
          <w:lang w:eastAsia="zh-CN"/>
        </w:rPr>
        <w:drawing>
          <wp:anchor distT="0" distB="0" distL="114300" distR="114300" simplePos="0" relativeHeight="251661312" behindDoc="0" locked="0" layoutInCell="1" allowOverlap="1">
            <wp:simplePos x="0" y="0"/>
            <wp:positionH relativeFrom="column">
              <wp:posOffset>242570</wp:posOffset>
            </wp:positionH>
            <wp:positionV relativeFrom="page">
              <wp:posOffset>5695950</wp:posOffset>
            </wp:positionV>
            <wp:extent cx="4709160" cy="2562860"/>
            <wp:effectExtent l="4445" t="4445" r="10795" b="61595"/>
            <wp:wrapTopAndBottom/>
            <wp:docPr id="8" name="图表 8"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3F18FCED">
      <w:pPr>
        <w:pStyle w:val="23"/>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lang w:eastAsia="zh-CN"/>
        </w:rPr>
        <w:t>（三）</w:t>
      </w:r>
      <w:r>
        <w:rPr>
          <w:rFonts w:hint="eastAsia" w:ascii="Times New Roman" w:hAnsi="Times New Roman" w:eastAsia="楷体_GB2312" w:cs="楷体_GB2312"/>
          <w:b/>
          <w:color w:val="auto"/>
          <w:sz w:val="32"/>
          <w:szCs w:val="32"/>
          <w:highlight w:val="none"/>
        </w:rPr>
        <w:t>一般公共预算财政拨款支出决算具体情况</w:t>
      </w:r>
    </w:p>
    <w:p w14:paraId="6EF2321F">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bookmarkStart w:id="11" w:name="_Toc15378460"/>
      <w:bookmarkStart w:id="12" w:name="_Toc15377213"/>
      <w:bookmarkStart w:id="1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2024年度一般公共预算支出决算数为111.62万元，完成预算100%。其中：</w:t>
      </w:r>
      <w:bookmarkEnd w:id="11"/>
      <w:bookmarkEnd w:id="12"/>
      <w:bookmarkEnd w:id="13"/>
    </w:p>
    <w:p w14:paraId="69B3053D">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1.一般公共服务（类）民主党派及工商联事务（款）行政运行（项）：支出决算为76.86万元，完成预算100%，决算数与预算数持平。</w:t>
      </w:r>
    </w:p>
    <w:p w14:paraId="18E6FCF4">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2.一般公共服务支出（类）民主党派及工商联事务（款）其他民主党派及工商联事务支出（项）：支出决算为10.59万元，完成预算100%，决算数与预算数持平。</w:t>
      </w:r>
    </w:p>
    <w:p w14:paraId="090FFD4E">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3.社会保障和就业支出（类）行政事业单位养老支出（款）机关事业单位基本养老保险缴费支出（项）：支出决算为10.97万元，完成预算100%，决算数与预算数持平。</w:t>
      </w:r>
    </w:p>
    <w:p w14:paraId="22A7E69C">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4.社会保障和就业支出（类）其他社会保障和就业支出（款）其他社会保障和就业支出（项）：支出决算为0.49万元，完成预算100%，决算数与预算数持平。</w:t>
      </w:r>
    </w:p>
    <w:p w14:paraId="2AA8DB4E">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5.医疗卫生与计划生育支出（类）行政事业单位医疗（款）行政单位医疗（项）：支出决算为4.26万元，完成预算100%，决算数与预算数持平。</w:t>
      </w:r>
    </w:p>
    <w:p w14:paraId="34DD9BAD">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6.社会保障和就业支出（类）行政事业单位离退休（款）公务员医疗保险支出（项）：支出决算为1.16万元，完成预算100%，决算数与预算数持平。</w:t>
      </w:r>
    </w:p>
    <w:p w14:paraId="475C14BF">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7.住房保障支出（类）住房改革支出（款）住房公积金（项）：支出决算为7.29万元，完成预算100%，决算数与预算数持平。</w:t>
      </w:r>
    </w:p>
    <w:p w14:paraId="57993930">
      <w:pPr>
        <w:tabs>
          <w:tab w:val="right" w:pos="8306"/>
        </w:tabs>
        <w:spacing w:line="600" w:lineRule="exact"/>
        <w:ind w:firstLine="640"/>
        <w:outlineLvl w:val="1"/>
        <w:rPr>
          <w:rStyle w:val="27"/>
          <w:rFonts w:hint="eastAsia" w:ascii="Times New Roman" w:hAnsi="Times New Roman" w:eastAsia="黑体" w:cstheme="majorBidi"/>
          <w:b w:val="0"/>
          <w:color w:val="auto"/>
          <w:highlight w:val="none"/>
        </w:rPr>
      </w:pPr>
      <w:r>
        <w:rPr>
          <w:rStyle w:val="27"/>
          <w:rFonts w:hint="eastAsia" w:ascii="Times New Roman" w:hAnsi="Times New Roman" w:eastAsia="黑体" w:cstheme="majorBidi"/>
          <w:b w:val="0"/>
          <w:color w:val="auto"/>
          <w:highlight w:val="none"/>
        </w:rPr>
        <w:t>六、一般公共预算财政拨款基本支出决算情况说明</w:t>
      </w:r>
    </w:p>
    <w:p w14:paraId="29D337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2024年度一般公共预算财政拨款基本支出101.03万元，其中：</w:t>
      </w:r>
    </w:p>
    <w:p w14:paraId="79C17E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人员经费88.21万元，主要包括：基本工资、津贴补、奖金、机关事业单位基本养老保险缴费、职工基本医疗保险缴费、公务员医疗保险补助缴费、其他社会保障缴费、住房公积金、其他工资福利支出等。</w:t>
      </w:r>
    </w:p>
    <w:p w14:paraId="3B92E8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公用经费12.81万元，主要包括：办公费、差旅费、公务接待费、工会经费、福利费、其他交通费、其他商品和服务支出等。</w:t>
      </w:r>
    </w:p>
    <w:p w14:paraId="60122241">
      <w:pPr>
        <w:spacing w:line="600" w:lineRule="exact"/>
        <w:ind w:firstLine="640"/>
        <w:rPr>
          <w:rFonts w:hint="eastAsia" w:ascii="黑体" w:eastAsia="黑体"/>
          <w:b w:val="0"/>
          <w:bCs w:val="0"/>
          <w:color w:val="000000"/>
          <w:sz w:val="32"/>
          <w:szCs w:val="32"/>
        </w:rPr>
      </w:pPr>
      <w:r>
        <w:rPr>
          <w:rFonts w:hint="eastAsia" w:ascii="黑体" w:eastAsia="黑体"/>
          <w:b w:val="0"/>
          <w:bCs w:val="0"/>
          <w:color w:val="000000"/>
          <w:sz w:val="32"/>
          <w:szCs w:val="32"/>
        </w:rPr>
        <w:t>七、</w:t>
      </w:r>
      <w:r>
        <w:rPr>
          <w:rStyle w:val="27"/>
          <w:rFonts w:hint="eastAsia" w:ascii="Times New Roman" w:hAnsi="Times New Roman" w:eastAsia="黑体"/>
          <w:b w:val="0"/>
          <w:bCs w:val="0"/>
          <w:color w:val="auto"/>
          <w:highlight w:val="none"/>
        </w:rPr>
        <w:t>财政拨款“三公”经费支出决算情况说明</w:t>
      </w:r>
    </w:p>
    <w:p w14:paraId="6C6A10C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（一）“三公”经费财政拨款支出决算总体情况说明</w:t>
      </w:r>
    </w:p>
    <w:p w14:paraId="0CF0CE83">
      <w:pPr>
        <w:spacing w:line="600" w:lineRule="exact"/>
        <w:ind w:firstLine="640"/>
        <w:rPr>
          <w:rFonts w:hint="default"/>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2024年度“三公”经费财政拨款支出决算为0.68万元，完成预算100%，较上年度减少0.12万元，下降15%。主要原因是2024年我单位按照上级要求厉行节约严格控制三公经费支出。</w:t>
      </w:r>
    </w:p>
    <w:p w14:paraId="7390FED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p>
    <w:p w14:paraId="3FAFC153">
      <w:pPr>
        <w:spacing w:line="600" w:lineRule="exact"/>
        <w:ind w:firstLine="640"/>
        <w:rPr>
          <w:rFonts w:hint="eastAsia" w:ascii="仿宋_GB2312" w:eastAsia="仿宋_GB2312"/>
          <w:b/>
          <w:color w:val="000000"/>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2024年度“三公”经费财政拨款支出决算中，因公出国（境）费支出决算0万元，占0%；公务用车购置及运行维护费支出决算0万元，占0%；公务接待费支出决算0.68万元，占100%。具体情况如下：</w:t>
      </w:r>
    </w:p>
    <w:p w14:paraId="27E0A92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65C27988">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23495</wp:posOffset>
            </wp:positionH>
            <wp:positionV relativeFrom="page">
              <wp:posOffset>966470</wp:posOffset>
            </wp:positionV>
            <wp:extent cx="5080000" cy="2972435"/>
            <wp:effectExtent l="4445" t="4445" r="20955" b="1397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2EAC89EB">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1.因公出国（境）经费支出0万元，完成预算100%。</w:t>
      </w:r>
      <w:r>
        <w:rPr>
          <w:rFonts w:hint="eastAsia" w:ascii="Times New Roman" w:hAnsi="Times New Roman" w:eastAsia="仿宋_GB2312" w:cs="仿宋_GB2312"/>
          <w:color w:val="auto"/>
          <w:kern w:val="2"/>
          <w:sz w:val="32"/>
          <w:szCs w:val="32"/>
          <w:highlight w:val="none"/>
          <w:lang w:val="en-US" w:eastAsia="zh-CN" w:bidi="ar-SA"/>
        </w:rPr>
        <w:t>全年安排因公出国（境）团组0次，出国（境）0人。因公出国（境）支出决算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32B8DC7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2.公务用车购置及运行维护费支出0万元，完成预算100%。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0AF6D1B2">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30CD1EFB">
      <w:pPr>
        <w:spacing w:line="600" w:lineRule="exact"/>
        <w:ind w:firstLine="640"/>
        <w:rPr>
          <w:rFonts w:hint="eastAsia"/>
          <w:lang w:eastAsia="zh-CN"/>
        </w:rPr>
      </w:pPr>
      <w:r>
        <w:rPr>
          <w:rFonts w:hint="default" w:ascii="Times New Roman" w:hAnsi="Times New Roman" w:eastAsia="仿宋_GB2312" w:cs="Times New Roman"/>
          <w:b w:val="0"/>
          <w:bCs w:val="0"/>
          <w:i w:val="0"/>
          <w:iCs w:val="0"/>
          <w:color w:val="auto"/>
          <w:sz w:val="32"/>
          <w:szCs w:val="32"/>
          <w:highlight w:val="none"/>
        </w:rPr>
        <w:t>公务用车运行维护费支出</w:t>
      </w:r>
      <w:r>
        <w:rPr>
          <w:rFonts w:hint="eastAsia" w:ascii="Times New Roman" w:hAnsi="Times New Roman" w:eastAsia="仿宋_GB2312" w:cs="Times New Roman"/>
          <w:b w:val="0"/>
          <w:bCs w:val="0"/>
          <w:i w:val="0"/>
          <w:iCs w:val="0"/>
          <w:color w:val="auto"/>
          <w:sz w:val="32"/>
          <w:szCs w:val="32"/>
          <w:highlight w:val="none"/>
          <w:lang w:eastAsia="zh-CN"/>
        </w:rPr>
        <w:t>0</w:t>
      </w:r>
      <w:r>
        <w:rPr>
          <w:rFonts w:hint="default" w:ascii="Times New Roman" w:hAnsi="Times New Roman" w:eastAsia="仿宋_GB2312" w:cs="Times New Roman"/>
          <w:b w:val="0"/>
          <w:bCs w:val="0"/>
          <w:i w:val="0"/>
          <w:iCs w:val="0"/>
          <w:color w:val="auto"/>
          <w:sz w:val="32"/>
          <w:szCs w:val="32"/>
          <w:highlight w:val="none"/>
        </w:rPr>
        <w:t>万元。</w:t>
      </w:r>
    </w:p>
    <w:p w14:paraId="481273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3.公务接待费支出0.68万元，完成预算100%。</w:t>
      </w:r>
      <w:r>
        <w:rPr>
          <w:rFonts w:hint="eastAsia" w:ascii="Times New Roman" w:hAnsi="Times New Roman" w:eastAsia="仿宋_GB2312" w:cs="仿宋_GB2312"/>
          <w:color w:val="auto"/>
          <w:kern w:val="2"/>
          <w:sz w:val="32"/>
          <w:szCs w:val="32"/>
          <w:highlight w:val="none"/>
          <w:lang w:val="en-US" w:eastAsia="zh-CN" w:bidi="ar-SA"/>
        </w:rPr>
        <w:t>公务接待费支出决算比2023年减少0.12万元，下降15%。主要原因是2024年本单位减少了招商引资项目接待人数相对减少。其中：</w:t>
      </w:r>
    </w:p>
    <w:p w14:paraId="399543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0.68万元，主要用于执行公务、开展业务活动开支的交通费、住宿费、用餐费等。国内公务接待13批次，45人次（不包括陪同人员），共计支出0.68万元，具体内容包括：接待上级部门检查13批次，45人。</w:t>
      </w:r>
    </w:p>
    <w:p w14:paraId="7B0D574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_GB2312"/>
          <w:lang w:val="en-US" w:eastAsia="zh-CN"/>
        </w:rPr>
      </w:pPr>
      <w:r>
        <w:rPr>
          <w:rFonts w:hint="default" w:ascii="Times New Roman" w:hAnsi="Times New Roman" w:eastAsia="仿宋_GB2312" w:cs="Times New Roman"/>
          <w:b w:val="0"/>
          <w:bCs/>
          <w:i w:val="0"/>
          <w:iCs w:val="0"/>
          <w:color w:val="auto"/>
          <w:sz w:val="32"/>
          <w:szCs w:val="32"/>
          <w:highlight w:val="none"/>
        </w:rPr>
        <w:t>外事接待支出</w:t>
      </w:r>
      <w:r>
        <w:rPr>
          <w:rFonts w:hint="eastAsia" w:ascii="Times New Roman" w:hAnsi="Times New Roman" w:eastAsia="仿宋_GB2312" w:cs="Times New Roman"/>
          <w:b w:val="0"/>
          <w:bCs/>
          <w:i w:val="0"/>
          <w:iCs w:val="0"/>
          <w:color w:val="auto"/>
          <w:sz w:val="32"/>
          <w:szCs w:val="32"/>
          <w:highlight w:val="none"/>
          <w:lang w:val="en-US" w:eastAsia="zh-CN"/>
        </w:rPr>
        <w:t>0</w:t>
      </w:r>
      <w:r>
        <w:rPr>
          <w:rFonts w:hint="default" w:ascii="Times New Roman" w:hAnsi="Times New Roman" w:eastAsia="仿宋_GB2312" w:cs="Times New Roman"/>
          <w:b w:val="0"/>
          <w:bCs/>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eastAsia" w:ascii="Times New Roman" w:hAnsi="Times New Roman" w:eastAsia="仿宋_GB2312" w:cs="Times New Roman"/>
          <w:b w:val="0"/>
          <w:bCs w:val="0"/>
          <w:i w:val="0"/>
          <w:iCs w:val="0"/>
          <w:color w:val="auto"/>
          <w:sz w:val="32"/>
          <w:szCs w:val="32"/>
          <w:highlight w:val="none"/>
          <w:lang w:eastAsia="zh-CN"/>
        </w:rPr>
        <w:t>。</w:t>
      </w:r>
    </w:p>
    <w:p w14:paraId="0EB19C7A">
      <w:pPr>
        <w:numPr>
          <w:ilvl w:val="0"/>
          <w:numId w:val="0"/>
        </w:numPr>
        <w:spacing w:line="600" w:lineRule="exact"/>
        <w:ind w:left="630" w:leftChars="0"/>
        <w:outlineLvl w:val="1"/>
        <w:rPr>
          <w:rStyle w:val="27"/>
          <w:rFonts w:hint="eastAsia" w:ascii="Times New Roman" w:hAnsi="Times New Roman" w:eastAsia="黑体" w:cstheme="majorBidi"/>
          <w:b w:val="0"/>
          <w:color w:val="auto"/>
          <w:highlight w:val="none"/>
        </w:rPr>
      </w:pPr>
      <w:r>
        <w:rPr>
          <w:rStyle w:val="27"/>
          <w:rFonts w:hint="eastAsia" w:ascii="Times New Roman" w:hAnsi="Times New Roman" w:eastAsia="黑体" w:cstheme="majorBidi"/>
          <w:b w:val="0"/>
          <w:color w:val="auto"/>
          <w:highlight w:val="none"/>
        </w:rPr>
        <w:t>八、政府性基金预算支出决算情况说明</w:t>
      </w:r>
    </w:p>
    <w:p w14:paraId="3AF84A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2024年度政府性基金预算拨款支出0万元。</w:t>
      </w:r>
    </w:p>
    <w:p w14:paraId="15914603">
      <w:pPr>
        <w:numPr>
          <w:ilvl w:val="0"/>
          <w:numId w:val="0"/>
        </w:numPr>
        <w:spacing w:line="600" w:lineRule="exact"/>
        <w:ind w:left="630" w:leftChars="0"/>
        <w:outlineLvl w:val="1"/>
        <w:rPr>
          <w:rStyle w:val="27"/>
          <w:rFonts w:hint="eastAsia" w:ascii="Times New Roman" w:hAnsi="Times New Roman" w:eastAsia="黑体" w:cstheme="majorBidi"/>
          <w:b w:val="0"/>
          <w:color w:val="auto"/>
          <w:highlight w:val="none"/>
        </w:rPr>
      </w:pPr>
      <w:r>
        <w:rPr>
          <w:rStyle w:val="27"/>
          <w:rFonts w:hint="eastAsia" w:ascii="Times New Roman" w:hAnsi="Times New Roman" w:eastAsia="黑体" w:cstheme="majorBidi"/>
          <w:b w:val="0"/>
          <w:color w:val="auto"/>
          <w:highlight w:val="none"/>
        </w:rPr>
        <w:t>九、国有资本经营预算支出决算情况说明</w:t>
      </w:r>
    </w:p>
    <w:p w14:paraId="702529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2024年度国有资本经营预算拨款支出0万元。</w:t>
      </w:r>
    </w:p>
    <w:p w14:paraId="0D3BE459">
      <w:pPr>
        <w:numPr>
          <w:ilvl w:val="0"/>
          <w:numId w:val="0"/>
        </w:numPr>
        <w:spacing w:line="600" w:lineRule="exact"/>
        <w:ind w:left="630" w:leftChars="0"/>
        <w:outlineLvl w:val="1"/>
        <w:rPr>
          <w:rStyle w:val="27"/>
          <w:rFonts w:hint="eastAsia" w:ascii="Times New Roman" w:hAnsi="Times New Roman" w:eastAsia="黑体" w:cstheme="majorBidi"/>
          <w:b w:val="0"/>
          <w:color w:val="auto"/>
          <w:highlight w:val="none"/>
        </w:rPr>
      </w:pPr>
      <w:r>
        <w:rPr>
          <w:rStyle w:val="27"/>
          <w:rFonts w:hint="eastAsia" w:ascii="Times New Roman" w:hAnsi="Times New Roman" w:eastAsia="黑体" w:cstheme="majorBidi"/>
          <w:b w:val="0"/>
          <w:color w:val="auto"/>
          <w:highlight w:val="none"/>
        </w:rPr>
        <w:t>十、其他重要事项的情况说明</w:t>
      </w:r>
    </w:p>
    <w:p w14:paraId="6588F7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（一）机关运行经费支出情况</w:t>
      </w:r>
    </w:p>
    <w:p w14:paraId="51788F7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2024年度，区工商联机关运行经费支出12.81万元，比2023年减少0.47万元，下降3.54%；主要是由于2024年单位人员减少经费项目减少。</w:t>
      </w:r>
    </w:p>
    <w:p w14:paraId="02271D57">
      <w:pPr>
        <w:spacing w:line="600" w:lineRule="exact"/>
        <w:ind w:firstLine="643" w:firstLineChars="200"/>
        <w:outlineLvl w:val="2"/>
        <w:rPr>
          <w:rFonts w:hint="default" w:ascii="Times New Roman" w:hAnsi="Times New Roman" w:eastAsia="楷体_GB2312" w:cs="楷体_GB2312"/>
          <w:b/>
          <w:color w:val="auto"/>
          <w:sz w:val="32"/>
          <w:szCs w:val="32"/>
          <w:highlight w:val="none"/>
        </w:rPr>
      </w:pPr>
      <w:bookmarkStart w:id="14" w:name="_Toc15377223"/>
      <w:r>
        <w:rPr>
          <w:rFonts w:hint="default" w:ascii="Times New Roman" w:hAnsi="Times New Roman" w:eastAsia="楷体_GB2312" w:cs="楷体_GB2312"/>
          <w:b/>
          <w:color w:val="auto"/>
          <w:sz w:val="32"/>
          <w:szCs w:val="32"/>
          <w:highlight w:val="none"/>
        </w:rPr>
        <w:t>（二）政府采购支出情况</w:t>
      </w:r>
      <w:bookmarkEnd w:id="14"/>
    </w:p>
    <w:p w14:paraId="3710788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区工商联</w:t>
      </w:r>
      <w:r>
        <w:rPr>
          <w:rFonts w:hint="default" w:ascii="Times New Roman" w:hAnsi="Times New Roman" w:eastAsia="仿宋_GB2312" w:cs="仿宋_GB2312"/>
          <w:color w:val="auto"/>
          <w:kern w:val="2"/>
          <w:sz w:val="32"/>
          <w:szCs w:val="32"/>
          <w:highlight w:val="none"/>
          <w:lang w:val="en-US" w:eastAsia="zh-CN" w:bidi="ar-SA"/>
        </w:rPr>
        <w:t>采购支出总额</w:t>
      </w:r>
      <w:r>
        <w:rPr>
          <w:rFonts w:hint="eastAsia" w:ascii="Times New Roman" w:hAnsi="Times New Roman" w:eastAsia="仿宋_GB2312" w:cs="仿宋_GB2312"/>
          <w:color w:val="auto"/>
          <w:kern w:val="2"/>
          <w:sz w:val="32"/>
          <w:szCs w:val="32"/>
          <w:highlight w:val="none"/>
          <w:lang w:val="en-US" w:eastAsia="zh-CN" w:bidi="ar-SA"/>
        </w:rPr>
        <w:t>0.59</w:t>
      </w:r>
      <w:r>
        <w:rPr>
          <w:rFonts w:hint="default" w:ascii="Times New Roman" w:hAnsi="Times New Roman" w:eastAsia="仿宋_GB2312" w:cs="仿宋_GB2312"/>
          <w:color w:val="auto"/>
          <w:kern w:val="2"/>
          <w:sz w:val="32"/>
          <w:szCs w:val="32"/>
          <w:highlight w:val="none"/>
          <w:lang w:val="en-US" w:eastAsia="zh-CN" w:bidi="ar-SA"/>
        </w:rPr>
        <w:t>万元，其中：政府采购货物支出</w:t>
      </w:r>
      <w:r>
        <w:rPr>
          <w:rFonts w:hint="eastAsia" w:ascii="Times New Roman" w:hAnsi="Times New Roman" w:eastAsia="仿宋_GB2312" w:cs="仿宋_GB2312"/>
          <w:color w:val="auto"/>
          <w:kern w:val="2"/>
          <w:sz w:val="32"/>
          <w:szCs w:val="32"/>
          <w:highlight w:val="none"/>
          <w:lang w:val="en-US" w:eastAsia="zh-CN" w:bidi="ar-SA"/>
        </w:rPr>
        <w:t>0.59</w:t>
      </w:r>
      <w:r>
        <w:rPr>
          <w:rFonts w:hint="default" w:ascii="Times New Roman" w:hAnsi="Times New Roman" w:eastAsia="仿宋_GB2312" w:cs="仿宋_GB2312"/>
          <w:color w:val="auto"/>
          <w:kern w:val="2"/>
          <w:sz w:val="32"/>
          <w:szCs w:val="32"/>
          <w:highlight w:val="none"/>
          <w:lang w:val="en-US" w:eastAsia="zh-CN" w:bidi="ar-SA"/>
        </w:rPr>
        <w:t>万元、政府采购工程支出0万元、政府采购服务支出0万元</w:t>
      </w:r>
      <w:r>
        <w:rPr>
          <w:rFonts w:hint="eastAsia" w:ascii="Times New Roman" w:hAnsi="Times New Roman" w:eastAsia="仿宋_GB2312" w:cs="仿宋_GB2312"/>
          <w:color w:val="auto"/>
          <w:kern w:val="2"/>
          <w:sz w:val="32"/>
          <w:szCs w:val="32"/>
          <w:highlight w:val="none"/>
          <w:lang w:val="en-US" w:eastAsia="zh-CN" w:bidi="ar-SA"/>
        </w:rPr>
        <w:t>；主要用于</w:t>
      </w:r>
      <w:r>
        <w:rPr>
          <w:rFonts w:ascii="Times New Roman" w:hAnsi="Times New Roman" w:eastAsia="仿宋_GB2312" w:cs="仿宋_GB2312"/>
          <w:bCs w:val="0"/>
          <w:color w:val="auto"/>
          <w:sz w:val="32"/>
          <w:szCs w:val="32"/>
          <w:highlight w:val="none"/>
        </w:rPr>
        <w:t>2024年信创替代专项资金</w:t>
      </w:r>
      <w:r>
        <w:rPr>
          <w:rFonts w:hint="default" w:ascii="Times New Roman" w:hAnsi="Times New Roman" w:eastAsia="仿宋_GB2312" w:cs="仿宋_GB2312"/>
          <w:bCs w:val="0"/>
          <w:color w:val="auto"/>
          <w:sz w:val="32"/>
          <w:szCs w:val="32"/>
          <w:highlight w:val="none"/>
        </w:rPr>
        <w:t>，采购具体内容为台式计算机</w:t>
      </w:r>
      <w:r>
        <w:rPr>
          <w:rFonts w:hint="default" w:ascii="Times New Roman" w:hAnsi="Times New Roman" w:eastAsia="仿宋_GB2312" w:cs="仿宋_GB2312"/>
          <w:bCs w:val="0"/>
          <w:color w:val="auto"/>
          <w:sz w:val="32"/>
          <w:szCs w:val="32"/>
          <w:highlight w:val="none"/>
          <w:lang w:val="en-US" w:eastAsia="zh-CN"/>
        </w:rPr>
        <w:t>1</w:t>
      </w:r>
      <w:r>
        <w:rPr>
          <w:rFonts w:hint="default" w:ascii="Times New Roman" w:hAnsi="Times New Roman" w:eastAsia="仿宋_GB2312" w:cs="仿宋_GB2312"/>
          <w:bCs w:val="0"/>
          <w:color w:val="auto"/>
          <w:sz w:val="32"/>
          <w:szCs w:val="32"/>
          <w:highlight w:val="none"/>
        </w:rPr>
        <w:t>台，总价为</w:t>
      </w:r>
      <w:r>
        <w:rPr>
          <w:rFonts w:hint="default" w:ascii="Times New Roman" w:hAnsi="Times New Roman" w:eastAsia="仿宋_GB2312" w:cs="仿宋_GB2312"/>
          <w:bCs w:val="0"/>
          <w:color w:val="auto"/>
          <w:sz w:val="32"/>
          <w:szCs w:val="32"/>
          <w:highlight w:val="none"/>
          <w:lang w:val="en-US" w:eastAsia="zh-CN"/>
        </w:rPr>
        <w:t>0.59</w:t>
      </w:r>
      <w:r>
        <w:rPr>
          <w:rFonts w:hint="default" w:ascii="Times New Roman" w:hAnsi="Times New Roman" w:eastAsia="仿宋_GB2312" w:cs="仿宋_GB2312"/>
          <w:bCs w:val="0"/>
          <w:color w:val="auto"/>
          <w:sz w:val="32"/>
          <w:szCs w:val="32"/>
          <w:highlight w:val="none"/>
          <w:lang w:eastAsia="zh-CN"/>
        </w:rPr>
        <w:t>万</w:t>
      </w:r>
      <w:r>
        <w:rPr>
          <w:rFonts w:hint="default" w:ascii="Times New Roman" w:hAnsi="Times New Roman" w:eastAsia="仿宋_GB2312" w:cs="仿宋_GB2312"/>
          <w:bCs w:val="0"/>
          <w:color w:val="auto"/>
          <w:sz w:val="32"/>
          <w:szCs w:val="32"/>
          <w:highlight w:val="none"/>
        </w:rPr>
        <w:t>元；采购类型为货物，采购方式为公开招标，付款方式为一次性付清。</w:t>
      </w:r>
      <w:r>
        <w:rPr>
          <w:rFonts w:hint="eastAsia" w:ascii="Times New Roman" w:hAnsi="Times New Roman" w:eastAsia="仿宋_GB2312" w:cs="仿宋_GB2312"/>
          <w:color w:val="auto"/>
          <w:kern w:val="2"/>
          <w:sz w:val="32"/>
          <w:szCs w:val="32"/>
          <w:highlight w:val="none"/>
          <w:lang w:val="en-US" w:eastAsia="zh-CN" w:bidi="ar-SA"/>
        </w:rPr>
        <w:t>授予中小企业合同金额</w:t>
      </w:r>
      <w:r>
        <w:rPr>
          <w:rFonts w:hint="default" w:ascii="Times New Roman" w:hAnsi="Times New Roman" w:eastAsia="仿宋_GB2312" w:cs="仿宋_GB2312"/>
          <w:color w:val="auto"/>
          <w:kern w:val="2"/>
          <w:sz w:val="32"/>
          <w:szCs w:val="32"/>
          <w:highlight w:val="none"/>
          <w:lang w:val="en-US" w:eastAsia="zh-CN" w:bidi="ar-SA"/>
        </w:rPr>
        <w:t>0.59</w:t>
      </w:r>
      <w:r>
        <w:rPr>
          <w:rFonts w:hint="eastAsia" w:ascii="Times New Roman" w:hAnsi="Times New Roman" w:eastAsia="仿宋_GB2312" w:cs="仿宋_GB2312"/>
          <w:color w:val="auto"/>
          <w:kern w:val="2"/>
          <w:sz w:val="32"/>
          <w:szCs w:val="32"/>
          <w:highlight w:val="none"/>
          <w:lang w:val="en-US" w:eastAsia="zh-CN" w:bidi="ar-SA"/>
        </w:rPr>
        <w:t>万元，占政府采购支出总额的100</w:t>
      </w:r>
      <w:r>
        <w:rPr>
          <w:rFonts w:hint="default" w:ascii="Times New Roman" w:hAnsi="Times New Roman" w:eastAsia="仿宋_GB2312" w:cs="Times New Roman"/>
          <w:color w:val="auto"/>
          <w:kern w:val="2"/>
          <w:sz w:val="32"/>
          <w:szCs w:val="32"/>
          <w:highlight w:val="none"/>
          <w:lang w:val="en-US" w:eastAsia="zh-CN" w:bidi="ar-SA"/>
        </w:rPr>
        <w:t>%，其中：授予小微企业合同金额0.59万元，占政府采购支出总额的100%。</w:t>
      </w:r>
    </w:p>
    <w:p w14:paraId="6CC9613A">
      <w:pPr>
        <w:spacing w:line="600" w:lineRule="exact"/>
        <w:ind w:firstLine="643" w:firstLineChars="200"/>
        <w:outlineLvl w:val="2"/>
        <w:rPr>
          <w:rFonts w:hint="default" w:ascii="Times New Roman" w:hAnsi="Times New Roman" w:eastAsia="楷体_GB2312" w:cs="楷体_GB2312"/>
          <w:b/>
          <w:color w:val="auto"/>
          <w:sz w:val="32"/>
          <w:szCs w:val="32"/>
          <w:highlight w:val="none"/>
        </w:rPr>
      </w:pPr>
      <w:bookmarkStart w:id="15" w:name="_Toc15377224"/>
      <w:r>
        <w:rPr>
          <w:rFonts w:hint="default" w:ascii="Times New Roman" w:hAnsi="Times New Roman" w:eastAsia="楷体_GB2312" w:cs="楷体_GB2312"/>
          <w:b/>
          <w:color w:val="auto"/>
          <w:sz w:val="32"/>
          <w:szCs w:val="32"/>
          <w:highlight w:val="none"/>
        </w:rPr>
        <w:t>（三）国有资产占有使用情况</w:t>
      </w:r>
      <w:bookmarkEnd w:id="15"/>
    </w:p>
    <w:p w14:paraId="2C704C1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截至</w:t>
      </w:r>
      <w:r>
        <w:rPr>
          <w:rFonts w:hint="eastAsia" w:ascii="Times New Roman" w:hAnsi="Times New Roman" w:eastAsia="仿宋_GB2312" w:cs="仿宋_GB2312"/>
          <w:color w:val="auto"/>
          <w:kern w:val="2"/>
          <w:sz w:val="32"/>
          <w:szCs w:val="32"/>
          <w:highlight w:val="none"/>
          <w:lang w:val="en-US" w:eastAsia="zh-CN" w:bidi="ar-SA"/>
        </w:rPr>
        <w:t>2024年</w:t>
      </w:r>
      <w:r>
        <w:rPr>
          <w:rFonts w:hint="default" w:ascii="Times New Roman" w:hAnsi="Times New Roman" w:eastAsia="仿宋_GB2312" w:cs="仿宋_GB2312"/>
          <w:color w:val="auto"/>
          <w:kern w:val="2"/>
          <w:sz w:val="32"/>
          <w:szCs w:val="32"/>
          <w:highlight w:val="none"/>
          <w:lang w:val="en-US" w:eastAsia="zh-CN" w:bidi="ar-SA"/>
        </w:rPr>
        <w:t>12月31日，</w:t>
      </w:r>
      <w:r>
        <w:rPr>
          <w:rFonts w:hint="eastAsia" w:ascii="Times New Roman" w:hAnsi="Times New Roman" w:eastAsia="仿宋_GB2312" w:cs="仿宋_GB2312"/>
          <w:color w:val="auto"/>
          <w:kern w:val="2"/>
          <w:sz w:val="32"/>
          <w:szCs w:val="32"/>
          <w:highlight w:val="none"/>
          <w:lang w:val="en-US" w:eastAsia="zh-CN" w:bidi="ar-SA"/>
        </w:rPr>
        <w:t>区工商联</w:t>
      </w:r>
      <w:r>
        <w:rPr>
          <w:rFonts w:hint="default" w:ascii="Times New Roman" w:hAnsi="Times New Roman" w:eastAsia="仿宋_GB2312" w:cs="仿宋_GB2312"/>
          <w:color w:val="auto"/>
          <w:kern w:val="2"/>
          <w:sz w:val="32"/>
          <w:szCs w:val="32"/>
          <w:highlight w:val="none"/>
          <w:lang w:val="en-US" w:eastAsia="zh-CN" w:bidi="ar-SA"/>
        </w:rPr>
        <w:t>共有车辆</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en-US" w:eastAsia="zh-CN" w:bidi="ar-SA"/>
        </w:rPr>
        <w:t>辆，其中：</w:t>
      </w:r>
      <w:r>
        <w:rPr>
          <w:rFonts w:hint="default" w:ascii="Times New Roman" w:hAnsi="Times New Roman" w:eastAsia="仿宋_GB2312" w:cs="Times New Roman"/>
          <w:color w:val="auto"/>
          <w:kern w:val="2"/>
          <w:sz w:val="32"/>
          <w:szCs w:val="32"/>
          <w:highlight w:val="none"/>
          <w:lang w:val="en-US" w:eastAsia="zh-CN" w:bidi="ar-SA"/>
        </w:rPr>
        <w:t>主要负责人用车0辆、机要通信用车0辆、应急保障用车0辆、其他用车0辆。单价100万元（含）以上设备（不含车辆）0台（套）。</w:t>
      </w:r>
    </w:p>
    <w:p w14:paraId="44BADB7E">
      <w:pPr>
        <w:spacing w:line="600" w:lineRule="exact"/>
        <w:ind w:firstLine="643" w:firstLineChars="200"/>
        <w:outlineLvl w:val="2"/>
        <w:rPr>
          <w:rFonts w:hint="eastAsia" w:ascii="Times New Roman" w:hAnsi="Times New Roman" w:eastAsia="楷体_GB2312" w:cs="楷体_GB2312"/>
          <w:b/>
          <w:color w:val="auto"/>
          <w:sz w:val="32"/>
          <w:szCs w:val="32"/>
          <w:highlight w:val="none"/>
          <w:lang w:val="en-US" w:eastAsia="zh-CN"/>
        </w:rPr>
      </w:pPr>
      <w:r>
        <w:rPr>
          <w:rFonts w:hint="eastAsia" w:ascii="Times New Roman" w:hAnsi="Times New Roman" w:eastAsia="楷体_GB2312" w:cs="楷体_GB2312"/>
          <w:b/>
          <w:color w:val="auto"/>
          <w:sz w:val="32"/>
          <w:szCs w:val="32"/>
          <w:highlight w:val="none"/>
          <w:lang w:val="en-US" w:eastAsia="zh-CN"/>
        </w:rPr>
        <w:t>（四）预算绩</w:t>
      </w:r>
      <w:r>
        <w:rPr>
          <w:rFonts w:hint="eastAsia" w:ascii="Times New Roman" w:hAnsi="Times New Roman" w:eastAsia="楷体_GB2312" w:cs="楷体_GB2312"/>
          <w:b/>
          <w:bCs w:val="0"/>
          <w:color w:val="auto"/>
          <w:sz w:val="32"/>
          <w:szCs w:val="32"/>
          <w:highlight w:val="none"/>
          <w:lang w:val="en-US" w:eastAsia="zh-CN"/>
        </w:rPr>
        <w:t>效管理情况</w:t>
      </w:r>
    </w:p>
    <w:p w14:paraId="2249D4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区工商联在2024年度预算编制阶段，组织对参政议政1个项目开展了预算事前绩效评估，对参政议政项目编制了绩效目标，预算执行过程中，选取参政议政开展绩效监控。</w:t>
      </w:r>
    </w:p>
    <w:p w14:paraId="614503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区工商联组织对2024年度一般公共预算全面开展绩效自评，形成遂宁市安居区工商业联合会整体（含部门预算项目）绩效自评报告、参政议政专项预算项目绩效自评报告；其中，遂宁市安居区工商业联合会部门整体（含部门预算项目）绩效自评得分为95分，项目全年预算数111.62万元，执行数为111.62万元，完成预算的100%；绩效自评综述工商联履行职责职能，严格按财经法规及制度使用、管理资金，成效明显，资金使用效益高、资金使用社会效益好。</w:t>
      </w:r>
    </w:p>
    <w:p w14:paraId="0683E5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sectPr>
          <w:pgSz w:w="11906" w:h="16838"/>
          <w:pgMar w:top="1440" w:right="1800" w:bottom="1440" w:left="1800" w:header="851" w:footer="992" w:gutter="0"/>
          <w:pgNumType w:fmt="decimal"/>
          <w:cols w:space="720" w:num="1"/>
          <w:rtlGutter w:val="0"/>
          <w:docGrid w:type="lines" w:linePitch="312" w:charSpace="0"/>
        </w:sectPr>
      </w:pPr>
      <w:r>
        <w:rPr>
          <w:rFonts w:hint="eastAsia" w:ascii="Times New Roman" w:hAnsi="Times New Roman" w:eastAsia="仿宋_GB2312" w:cs="仿宋_GB2312"/>
          <w:color w:val="auto"/>
          <w:kern w:val="2"/>
          <w:sz w:val="32"/>
          <w:szCs w:val="32"/>
          <w:highlight w:val="none"/>
          <w:lang w:val="en-US" w:eastAsia="zh-CN" w:bidi="ar-SA"/>
        </w:rPr>
        <w:t>区工商联组织对2024年参政议政专项预算项目绩效进行自评，得分为100分，完成了基层组织建设及招商引资任务。绩效自评综述：项目紧紧围绕《关于印发遂宁市安居区2024年度“全面招商、全员招商、全线招商”攻坚行动方案的通知》举办统战部部长与民营企业“面对面+键对键”活动6次，解决民营企业实际问题20个。为企业搭建融资平台，组织开展银政企对接活动1次，成功与农商行金融机构达成协议。成功推荐四川裕能新能源电池材料有限公司入围“2024四川民营企业100强”“2024四川制造业民营企业100强”榜单。完成全市民营企业50强推荐申报工作，入库民营企业6家。推荐3名年轻民营企业家加入市青商会；通过项目实施，改善了营商环境。绩效自评报告详见附件。</w:t>
      </w:r>
    </w:p>
    <w:p w14:paraId="7B69A0D4">
      <w:pPr>
        <w:pStyle w:val="2"/>
        <w:rPr>
          <w:rFonts w:hint="default"/>
          <w:lang w:val="en-US" w:eastAsia="zh-CN"/>
        </w:rPr>
      </w:pPr>
    </w:p>
    <w:p w14:paraId="756406A7">
      <w:pPr>
        <w:pStyle w:val="5"/>
        <w:jc w:val="center"/>
        <w:rPr>
          <w:rFonts w:hint="eastAsia" w:ascii="Times New Roman" w:hAnsi="Times New Roman" w:eastAsia="方正小标宋简体" w:cs="方正小标宋简体"/>
          <w:b w:val="0"/>
          <w:color w:val="auto"/>
          <w:highlight w:val="none"/>
          <w:lang w:val="en-US" w:eastAsia="zh-CN"/>
        </w:rPr>
      </w:pPr>
      <w:bookmarkStart w:id="16" w:name="_Toc15377225"/>
      <w:bookmarkStart w:id="17" w:name="_Toc15396613"/>
      <w:r>
        <w:rPr>
          <w:rFonts w:hint="eastAsia" w:ascii="Times New Roman" w:hAnsi="Times New Roman" w:eastAsia="方正小标宋简体" w:cs="方正小标宋简体"/>
          <w:b w:val="0"/>
          <w:color w:val="auto"/>
          <w:highlight w:val="none"/>
          <w:lang w:val="en-US" w:eastAsia="zh-CN"/>
        </w:rPr>
        <w:t>第三部分 名词解释</w:t>
      </w:r>
      <w:bookmarkEnd w:id="16"/>
      <w:bookmarkEnd w:id="17"/>
    </w:p>
    <w:p w14:paraId="67DABD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49650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448E57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0D26AE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3037CD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5.年初结转和结余：指以前年度尚未完成、结转到本年按有关规定继续使用的资金。</w:t>
      </w:r>
    </w:p>
    <w:p w14:paraId="110442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6.结余分配：指事业单位按照事业单位会计制度的规定从非财政补助结余中分配的事业基金和职工福利基金等。</w:t>
      </w:r>
    </w:p>
    <w:p w14:paraId="0C1E30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7.年末结转和结余：指单位按有关规定结转到下年或以后年度继续使用的资金。</w:t>
      </w:r>
    </w:p>
    <w:p w14:paraId="727531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8.一般公共服务支出（类）政府办公厅（室）及相关机构事务（款）行政运行（项），主要用于：人员基本工资、津贴补贴、绩效目标、福利费、办公费、手续费、差旅费、电费、邮电费等。</w:t>
      </w:r>
    </w:p>
    <w:p w14:paraId="05ABE1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9.一般公共服务支出（类）政府办公厅（室）及相关机构事务（款）其他政府办公厅（室）及相关机构事务支出（项），主要用于：差旅费、伙食补助费、维修维护费等。</w:t>
      </w:r>
    </w:p>
    <w:p w14:paraId="251875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10.一般公共服务支出（类）财政事务（款）行政运行（项），主要用于：人员基本工资、津贴补贴、绩效目标、福利费等。</w:t>
      </w:r>
    </w:p>
    <w:p w14:paraId="35126F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11.一般公共服务支出（类）财政事务（款）其他财政事务支出（项），主要用于：差旅费、维修维护费等。</w:t>
      </w:r>
    </w:p>
    <w:p w14:paraId="7123A2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12.一般公共服务支出（类）民政事务（款）其他民政事务支出（项），主要用于：印刷费、租车费等。</w:t>
      </w:r>
    </w:p>
    <w:p w14:paraId="68C8D4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13.一般公共服务支出（类）其他共产党事务（款）其他共产党事务支出（项），主要用于：印刷费、租车费等。</w:t>
      </w:r>
    </w:p>
    <w:p w14:paraId="60F401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14.文化体育与传媒支出（类）文化群众文化（项），主要用于：印刷费、劳务费等。</w:t>
      </w:r>
    </w:p>
    <w:p w14:paraId="07FD52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15.社会保障和就业支出（类）民政管理事务（款）其他民政管理事务支出（项），主要用于：印刷费、劳务费等。</w:t>
      </w:r>
    </w:p>
    <w:p w14:paraId="6FABBF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16.社会保障和就业支出（类）行政事业单位离退休（款）机关事业单位基本养老保险缴费支出（项），主要用于：机关事业单位基本养老保险缴费。</w:t>
      </w:r>
    </w:p>
    <w:p w14:paraId="347376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17.社会保障和就业支出（类）抚恤（款）死亡抚恤（项），主要用于：遗属生活补助。</w:t>
      </w:r>
    </w:p>
    <w:p w14:paraId="03F683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18.社会保障和就业支出（类）抚恤（款）其他优抚支出（项），主要用于：精简人员补助。</w:t>
      </w:r>
    </w:p>
    <w:p w14:paraId="040CEE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19.社会保障和就业支出（类）其他社会保障和就业支出（款）其他社会保障和就业支出（项），主要用于：其他社会保障和就业支出。</w:t>
      </w:r>
    </w:p>
    <w:p w14:paraId="0CC2AB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20.医疗卫生与计划生育支出（类）行政事业单位医疗（款）行政单位医疗（项），主要用于：基本医疗保险缴费、其他社会保障缴费。</w:t>
      </w:r>
    </w:p>
    <w:p w14:paraId="255C31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21.医疗卫生与计划生育支出（类）行政事业单位医疗（款）事业单位医疗（项），主要用于：基本医疗保险缴费、其他社会保障缴费。</w:t>
      </w:r>
    </w:p>
    <w:p w14:paraId="22DDB0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22.医疗卫生与计划生育支出（类）行政事业单位医疗（款）公务员医疗补助（项），主要用于：公务员医疗补助缴费。</w:t>
      </w:r>
    </w:p>
    <w:p w14:paraId="6FEC5E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23.医疗卫生与计划生育支出（类）行政事业单位医疗（款）其他行政事业单位医疗支出（项），主要用于：基本医疗保险缴费、其他社会保障缴费。</w:t>
      </w:r>
    </w:p>
    <w:p w14:paraId="6FF556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24.住房保障支出（类）住房改革支出（款）住房公积金（项），主要用于：缴纳住房公积金。</w:t>
      </w:r>
    </w:p>
    <w:p w14:paraId="202443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25.基本支出：指为保障机构正常运转、完成日常工作任务而发生的人员支出和公用支出。</w:t>
      </w:r>
    </w:p>
    <w:p w14:paraId="55B3C7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26.项目支出：指在基本支出之外为完成特定行政任务和事业发展目标所发生的支出。 </w:t>
      </w:r>
    </w:p>
    <w:p w14:paraId="0BD021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27.经营支出：指事业单位在专业业务活动及其辅助活动之外开展非独立核算经营活动发生的支出。</w:t>
      </w:r>
    </w:p>
    <w:p w14:paraId="3B2C8B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28B1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sectPr>
          <w:pgSz w:w="11906" w:h="16838"/>
          <w:pgMar w:top="1440" w:right="1800" w:bottom="1440" w:left="1800" w:header="851" w:footer="992" w:gutter="0"/>
          <w:pgNumType w:fmt="decimal"/>
          <w:cols w:space="720" w:num="1"/>
          <w:rtlGutter w:val="0"/>
          <w:docGrid w:type="lines" w:linePitch="312" w:charSpace="0"/>
        </w:sectPr>
      </w:pPr>
      <w:r>
        <w:rPr>
          <w:rFonts w:hint="eastAsia" w:ascii="Times New Roman" w:hAnsi="Times New Roman" w:eastAsia="仿宋_GB2312" w:cs="仿宋_GB2312"/>
          <w:color w:val="auto"/>
          <w:kern w:val="2"/>
          <w:sz w:val="32"/>
          <w:szCs w:val="32"/>
          <w:highlight w:val="none"/>
          <w:lang w:val="en-US" w:eastAsia="zh-CN" w:bidi="ar-SA"/>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47D2CE">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bookmarkStart w:id="18" w:name="_Toc15396614"/>
      <w:r>
        <w:rPr>
          <w:rFonts w:hint="eastAsia" w:ascii="Times New Roman" w:hAnsi="Times New Roman" w:eastAsia="方正小标宋简体" w:cs="方正小标宋简体"/>
          <w:b w:val="0"/>
          <w:bCs/>
          <w:color w:val="auto"/>
          <w:kern w:val="44"/>
          <w:sz w:val="44"/>
          <w:szCs w:val="44"/>
          <w:highlight w:val="none"/>
          <w:lang w:val="en-US" w:eastAsia="zh-CN" w:bidi="ar-SA"/>
        </w:rPr>
        <w:t>第四部分 附件</w:t>
      </w:r>
      <w:bookmarkEnd w:id="18"/>
      <w:bookmarkStart w:id="19" w:name="_Toc15396616"/>
    </w:p>
    <w:p w14:paraId="2ECCC98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63A81A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方正小标宋简体" w:cs="Times New Roman"/>
          <w:b w:val="0"/>
          <w:bCs/>
          <w:sz w:val="44"/>
          <w:szCs w:val="44"/>
          <w:highlight w:val="none"/>
          <w:shd w:val="clear" w:color="auto" w:fill="FFFFFF"/>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45EAA51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r>
        <w:rPr>
          <w:rFonts w:hint="eastAsia" w:ascii="Times New Roman" w:hAnsi="Times New Roman" w:eastAsia="方正小标宋简体" w:cs="Times New Roman"/>
          <w:b w:val="0"/>
          <w:bCs/>
          <w:sz w:val="44"/>
          <w:szCs w:val="44"/>
          <w:highlight w:val="none"/>
          <w:shd w:val="clear" w:color="auto" w:fill="FFFFFF"/>
          <w:lang w:val="en-US" w:eastAsia="zh-CN"/>
        </w:rPr>
        <w:t>遂宁市安居区工商业联合会</w:t>
      </w:r>
    </w:p>
    <w:p w14:paraId="3288EAD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yellow"/>
          <w:shd w:val="clear" w:color="auto" w:fill="FFFFFF"/>
        </w:rPr>
      </w:pPr>
      <w:r>
        <w:rPr>
          <w:rFonts w:hint="eastAsia" w:ascii="Times New Roman" w:hAnsi="Times New Roman" w:eastAsia="方正小标宋简体" w:cs="Times New Roman"/>
          <w:b w:val="0"/>
          <w:bCs/>
          <w:sz w:val="44"/>
          <w:szCs w:val="44"/>
          <w:highlight w:val="none"/>
          <w:shd w:val="clear" w:color="auto" w:fill="FFFFFF"/>
          <w:lang w:val="en-US" w:eastAsia="zh-CN"/>
        </w:rPr>
        <w:t>2024年部门整体支出绩效评价报告</w:t>
      </w:r>
      <w:bookmarkEnd w:id="19"/>
    </w:p>
    <w:p w14:paraId="44139E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p>
    <w:p w14:paraId="39A8BC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一、部门（单位）概况</w:t>
      </w:r>
    </w:p>
    <w:p w14:paraId="04D3770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val="zh-CN"/>
        </w:rPr>
        <w:t>（一）机构组成。</w:t>
      </w:r>
      <w:r>
        <w:rPr>
          <w:rFonts w:hint="eastAsia" w:ascii="Times New Roman" w:hAnsi="Times New Roman" w:eastAsia="仿宋_GB2312" w:cs="仿宋_GB2312"/>
          <w:color w:val="auto"/>
          <w:kern w:val="2"/>
          <w:sz w:val="32"/>
          <w:szCs w:val="32"/>
          <w:highlight w:val="none"/>
          <w:lang w:val="zh-CN" w:eastAsia="zh-CN" w:bidi="ar-SA"/>
        </w:rPr>
        <w:t>区工商联属行政机关，下属二级决算单位</w:t>
      </w:r>
      <w:r>
        <w:rPr>
          <w:rFonts w:hint="eastAsia" w:ascii="Times New Roman" w:hAnsi="Times New Roman" w:eastAsia="仿宋_GB2312" w:cs="仿宋_GB2312"/>
          <w:color w:val="auto"/>
          <w:kern w:val="2"/>
          <w:sz w:val="32"/>
          <w:szCs w:val="32"/>
          <w:highlight w:val="none"/>
          <w:lang w:val="en-US" w:eastAsia="zh-CN" w:bidi="ar-SA"/>
        </w:rPr>
        <w:t>0个，其中行政单位0个，参照公务员法管理的事业单位0个，其他事业单位0个。</w:t>
      </w:r>
    </w:p>
    <w:p w14:paraId="0C494D3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val="zh-CN"/>
        </w:rPr>
        <w:t>（</w:t>
      </w:r>
      <w:r>
        <w:rPr>
          <w:rFonts w:hint="eastAsia" w:ascii="Times New Roman" w:hAnsi="Times New Roman" w:eastAsia="楷体_GB2312" w:cs="楷体_GB2312"/>
          <w:b/>
          <w:color w:val="auto"/>
          <w:sz w:val="32"/>
          <w:szCs w:val="32"/>
          <w:highlight w:val="none"/>
          <w:lang w:val="en-US" w:eastAsia="zh-CN"/>
        </w:rPr>
        <w:t>二</w:t>
      </w:r>
      <w:r>
        <w:rPr>
          <w:rFonts w:hint="eastAsia" w:ascii="Times New Roman" w:hAnsi="Times New Roman" w:eastAsia="楷体_GB2312" w:cs="楷体_GB2312"/>
          <w:b/>
          <w:color w:val="auto"/>
          <w:sz w:val="32"/>
          <w:szCs w:val="32"/>
          <w:highlight w:val="none"/>
          <w:lang w:val="zh-CN"/>
        </w:rPr>
        <w:t>）机构职能。</w:t>
      </w:r>
      <w:r>
        <w:rPr>
          <w:rFonts w:hint="eastAsia" w:ascii="Times New Roman" w:hAnsi="Times New Roman" w:eastAsia="仿宋_GB2312" w:cs="仿宋_GB2312"/>
          <w:color w:val="auto"/>
          <w:kern w:val="2"/>
          <w:sz w:val="32"/>
          <w:szCs w:val="32"/>
          <w:highlight w:val="none"/>
          <w:lang w:val="en-US" w:eastAsia="zh-CN" w:bidi="ar-SA"/>
        </w:rPr>
        <w:t>参与大政方针及政治、经济、社会生活中的重要问题的政治协商，参政议政，民主监督；引导会员积极参加国家经济建设，推动</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HYPERLINK "http://www.so.com/s?q=%E7%A4%BE%E4%BC%9A%E4%B8%BB%E4%B9%89%E5%B8%82%E5%9C%BA%E7%BB%8F%E6%B5%8E%E4%BD%93%E5%88%B6&amp;ie=utf-8&amp;src=wenda_link" \t "_blank"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社会主义市场经济体制</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逐步完善，促进社会全面进步；做工商界代表人士政治安排的推荐工作；在</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HYPERLINK "http://www.so.com/s?q=%E9%9D%9E%E5%85%AC%E6%9C%89%E5%88%B6%E7%BB%8F%E6%B5%8E&amp;ie=utf-8&amp;src=wenda_link" \t "_blank"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非公有制经济</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人士中，宣传、贯彻党和国家的方针政策，加强</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HYPERLINK "http://www.so.com/s?q=%E6%80%9D%E6%83%B3%E6%94%BF%E6%B2%BB%E5%B7%A5%E4%BD%9C&amp;ie=utf-8&amp;src=wenda_link" \t "_blank"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思想政治工作</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，推动</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HYPERLINK "http://www.so.com/s?q=%E4%BC%81%E4%B8%9A%E6%96%87%E5%8C%96%E5%BB%BA%E8%AE%BE&amp;ie=utf-8&amp;src=wenda_link" \t "_blank"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企业文化建设</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，引导会员做</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HYPERLINK "http://www.so.com/s?q=%E4%B8%AD%E5%9B%BD%E7%89%B9%E8%89%B2%E7%A4%BE%E4%BC%9A%E4%B8%BB%E4%B9%89&amp;ie=utf-8&amp;src=wenda_link" \t "_blank"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中国特色社会主义</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事业的建设者；代表并维护会员的合法权益，反映会员的意见、要求和建议；引导会员积极参与“光彩事业”；为会员提供信息和科技、管理、法律、</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HYPERLINK "http://www.so.com/s?q=%E4%BC%9A%E8%AE%A1&amp;ie=utf-8&amp;src=wenda_link" \t "_blank"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会计</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、审计、融资、咨询等服务；开展工商专业培训，帮助会员改进经营管理，完善财会管理，提高生产技术和产品质量；组织会员举办和参加各种对内对外</w:t>
      </w:r>
      <w:r>
        <w:rPr>
          <w:rFonts w:hint="eastAsia" w:ascii="Times New Roman" w:hAnsi="Times New Roman" w:eastAsia="仿宋_GB2312" w:cs="仿宋_GB2312"/>
          <w:color w:val="auto"/>
          <w:kern w:val="2"/>
          <w:sz w:val="32"/>
          <w:szCs w:val="32"/>
          <w:highlight w:val="none"/>
          <w:lang w:val="en-US" w:eastAsia="zh-CN" w:bidi="ar-SA"/>
        </w:rPr>
        <w:fldChar w:fldCharType="begin"/>
      </w:r>
      <w:r>
        <w:rPr>
          <w:rFonts w:hint="eastAsia" w:ascii="Times New Roman" w:hAnsi="Times New Roman" w:eastAsia="仿宋_GB2312" w:cs="仿宋_GB2312"/>
          <w:color w:val="auto"/>
          <w:kern w:val="2"/>
          <w:sz w:val="32"/>
          <w:szCs w:val="32"/>
          <w:highlight w:val="none"/>
          <w:lang w:val="en-US" w:eastAsia="zh-CN" w:bidi="ar-SA"/>
        </w:rPr>
        <w:instrText xml:space="preserve"> HYPERLINK "http://www.so.com/s?q=%E5%B1%95%E9%94%80%E4%BC%9A&amp;ie=utf-8&amp;src=wenda_link" \t "_blank" </w:instrText>
      </w:r>
      <w:r>
        <w:rPr>
          <w:rFonts w:hint="eastAsia" w:ascii="Times New Roman" w:hAnsi="Times New Roman" w:eastAsia="仿宋_GB2312" w:cs="仿宋_GB2312"/>
          <w:color w:val="auto"/>
          <w:kern w:val="2"/>
          <w:sz w:val="32"/>
          <w:szCs w:val="32"/>
          <w:highlight w:val="none"/>
          <w:lang w:val="en-US" w:eastAsia="zh-CN" w:bidi="ar-SA"/>
        </w:rPr>
        <w:fldChar w:fldCharType="separate"/>
      </w:r>
      <w:r>
        <w:rPr>
          <w:rFonts w:hint="eastAsia" w:ascii="Times New Roman" w:hAnsi="Times New Roman" w:eastAsia="仿宋_GB2312" w:cs="仿宋_GB2312"/>
          <w:color w:val="auto"/>
          <w:kern w:val="2"/>
          <w:sz w:val="32"/>
          <w:szCs w:val="32"/>
          <w:highlight w:val="none"/>
          <w:lang w:val="en-US" w:eastAsia="zh-CN" w:bidi="ar-SA"/>
        </w:rPr>
        <w:t>展销会</w:t>
      </w:r>
      <w:r>
        <w:rPr>
          <w:rFonts w:hint="eastAsia" w:ascii="Times New Roman" w:hAnsi="Times New Roman" w:eastAsia="仿宋_GB2312" w:cs="仿宋_GB2312"/>
          <w:color w:val="auto"/>
          <w:kern w:val="2"/>
          <w:sz w:val="32"/>
          <w:szCs w:val="32"/>
          <w:highlight w:val="none"/>
          <w:lang w:val="en-US" w:eastAsia="zh-CN" w:bidi="ar-SA"/>
        </w:rPr>
        <w:fldChar w:fldCharType="end"/>
      </w:r>
      <w:r>
        <w:rPr>
          <w:rFonts w:hint="eastAsia" w:ascii="Times New Roman" w:hAnsi="Times New Roman" w:eastAsia="仿宋_GB2312" w:cs="仿宋_GB2312"/>
          <w:color w:val="auto"/>
          <w:kern w:val="2"/>
          <w:sz w:val="32"/>
          <w:szCs w:val="32"/>
          <w:highlight w:val="none"/>
          <w:lang w:val="en-US" w:eastAsia="zh-CN" w:bidi="ar-SA"/>
        </w:rPr>
        <w:t>、交易会，组织会员出国、出境考察访问，帮助会员开拓国内、国际市场；增进与香港特别行政区、澳门特别行政区及台湾地区和世界各国工商社团及工商经济界人士的联系和友谊，促进经济、技术和贸易合作；办好会办企业、事业；承办政府和有关部门的委托事项。</w:t>
      </w:r>
    </w:p>
    <w:p w14:paraId="0A6458B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rPr>
        <w:t>（三）人员概况。</w:t>
      </w:r>
      <w:r>
        <w:rPr>
          <w:rFonts w:hint="eastAsia" w:ascii="Times New Roman" w:hAnsi="Times New Roman" w:eastAsia="仿宋_GB2312" w:cs="仿宋_GB2312"/>
          <w:color w:val="auto"/>
          <w:kern w:val="2"/>
          <w:sz w:val="32"/>
          <w:szCs w:val="32"/>
          <w:highlight w:val="none"/>
          <w:lang w:val="en-US" w:eastAsia="zh-CN" w:bidi="ar-SA"/>
        </w:rPr>
        <w:t>2024年区工商联核定行政编制4名、工勤编制1名；实有在编在岗行政编制3名，机关工勤1名；2024年度决算人数4人，行政人员3名，机关工勤1名。</w:t>
      </w:r>
    </w:p>
    <w:p w14:paraId="2823E0D2">
      <w:pPr>
        <w:spacing w:line="580" w:lineRule="exact"/>
        <w:ind w:firstLine="640" w:firstLineChars="200"/>
        <w:jc w:val="both"/>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二、部门财政资金收支情况</w:t>
      </w:r>
    </w:p>
    <w:p w14:paraId="5DF7FB67">
      <w:pPr>
        <w:pStyle w:val="23"/>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（一）收入情况。</w:t>
      </w:r>
      <w:r>
        <w:rPr>
          <w:rFonts w:hint="eastAsia" w:ascii="Times New Roman" w:hAnsi="Times New Roman" w:eastAsia="仿宋_GB2312" w:cs="仿宋_GB2312"/>
          <w:color w:val="auto"/>
          <w:kern w:val="2"/>
          <w:sz w:val="32"/>
          <w:szCs w:val="32"/>
          <w:highlight w:val="none"/>
          <w:lang w:val="en-US" w:eastAsia="zh-CN" w:bidi="ar-SA"/>
        </w:rPr>
        <w:t>区工商联2024年收入预算111.62万元，其中：一般公共预算拨款收入111.62万元，占100%。</w:t>
      </w:r>
    </w:p>
    <w:p w14:paraId="55B394E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（二）支出</w:t>
      </w:r>
      <w:r>
        <w:rPr>
          <w:rFonts w:hint="eastAsia" w:ascii="Times New Roman" w:hAnsi="Times New Roman" w:eastAsia="楷体_GB2312" w:cs="Times New Roman"/>
          <w:b/>
          <w:bCs/>
          <w:color w:val="000000"/>
          <w:kern w:val="0"/>
          <w:sz w:val="32"/>
          <w:szCs w:val="32"/>
          <w:highlight w:val="none"/>
          <w:shd w:val="clear" w:color="auto" w:fill="FFFFFF"/>
          <w:lang w:val="zh-CN"/>
        </w:rPr>
        <w:t>情况。</w:t>
      </w:r>
      <w:r>
        <w:rPr>
          <w:rFonts w:hint="eastAsia" w:ascii="Times New Roman" w:hAnsi="Times New Roman" w:eastAsia="仿宋_GB2312" w:cs="仿宋_GB2312"/>
          <w:color w:val="auto"/>
          <w:kern w:val="2"/>
          <w:sz w:val="32"/>
          <w:szCs w:val="32"/>
          <w:highlight w:val="none"/>
          <w:lang w:val="en-US" w:eastAsia="zh-CN" w:bidi="ar-SA"/>
        </w:rPr>
        <w:t>区工商联2024年本年支出合计111.62万元，其中：基本支出101.03万元，占90.51%；项目支出10.59万元，占9.49%。</w:t>
      </w:r>
    </w:p>
    <w:p w14:paraId="70D54E8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en-US" w:eastAsia="zh-CN"/>
        </w:rPr>
        <w:t>（三）结余分配和结转结余情况。</w:t>
      </w:r>
      <w:r>
        <w:rPr>
          <w:rFonts w:hint="eastAsia" w:ascii="Times New Roman" w:hAnsi="Times New Roman" w:eastAsia="仿宋_GB2312" w:cs="仿宋_GB2312"/>
          <w:color w:val="auto"/>
          <w:kern w:val="2"/>
          <w:sz w:val="32"/>
          <w:szCs w:val="32"/>
          <w:highlight w:val="none"/>
          <w:lang w:val="en-US" w:eastAsia="zh-CN" w:bidi="ar-SA"/>
        </w:rPr>
        <w:t>区工商联2024年决算没有结转结余。</w:t>
      </w:r>
    </w:p>
    <w:p w14:paraId="132FC09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en-US" w:eastAsia="zh-CN"/>
        </w:rPr>
        <w:t>三、</w:t>
      </w:r>
      <w:r>
        <w:rPr>
          <w:rFonts w:hint="eastAsia" w:ascii="Times New Roman" w:hAnsi="Times New Roman" w:eastAsia="黑体" w:cs="Times New Roman"/>
          <w:color w:val="000000"/>
          <w:kern w:val="0"/>
          <w:sz w:val="32"/>
          <w:szCs w:val="32"/>
          <w:highlight w:val="none"/>
          <w:shd w:val="clear" w:color="auto" w:fill="FFFFFF"/>
          <w:lang w:val="zh-CN" w:eastAsia="zh-CN"/>
        </w:rPr>
        <w:t>部门整体预算绩效管理情况</w:t>
      </w:r>
    </w:p>
    <w:p w14:paraId="353DE13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（一）</w:t>
      </w:r>
      <w:r>
        <w:rPr>
          <w:rFonts w:hint="eastAsia" w:ascii="Times New Roman" w:hAnsi="Times New Roman" w:eastAsia="楷体_GB2312" w:cs="Times New Roman"/>
          <w:b/>
          <w:bCs/>
          <w:color w:val="000000"/>
          <w:kern w:val="0"/>
          <w:sz w:val="32"/>
          <w:szCs w:val="32"/>
          <w:highlight w:val="none"/>
          <w:shd w:val="clear" w:color="auto" w:fill="FFFFFF"/>
          <w:lang w:val="zh-CN" w:eastAsia="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eastAsia="zh-CN"/>
        </w:rPr>
        <w:t>总体绩效分析。</w:t>
      </w:r>
      <w:r>
        <w:rPr>
          <w:rFonts w:hint="eastAsia" w:ascii="Times New Roman" w:hAnsi="Times New Roman" w:eastAsia="仿宋_GB2312" w:cs="仿宋_GB2312"/>
          <w:color w:val="auto"/>
          <w:kern w:val="2"/>
          <w:sz w:val="32"/>
          <w:szCs w:val="32"/>
          <w:highlight w:val="none"/>
          <w:lang w:val="en-US" w:eastAsia="zh-CN" w:bidi="ar-SA"/>
        </w:rPr>
        <w:t>区工商联</w:t>
      </w:r>
      <w:r>
        <w:rPr>
          <w:rFonts w:hint="default" w:ascii="Times New Roman" w:hAnsi="Times New Roman" w:eastAsia="仿宋_GB2312" w:cs="仿宋_GB2312"/>
          <w:color w:val="auto"/>
          <w:kern w:val="2"/>
          <w:sz w:val="32"/>
          <w:szCs w:val="32"/>
          <w:highlight w:val="none"/>
          <w:lang w:val="zh-CN" w:eastAsia="zh-CN" w:bidi="ar-SA"/>
        </w:rPr>
        <w:t>根据部门整体支出绩效自评打分表</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依次</w:t>
      </w:r>
      <w:r>
        <w:rPr>
          <w:rFonts w:hint="eastAsia" w:ascii="Times New Roman" w:hAnsi="Times New Roman" w:eastAsia="仿宋_GB2312" w:cs="仿宋_GB2312"/>
          <w:color w:val="auto"/>
          <w:kern w:val="2"/>
          <w:sz w:val="32"/>
          <w:szCs w:val="32"/>
          <w:highlight w:val="none"/>
          <w:lang w:val="en-US" w:eastAsia="zh-CN" w:bidi="ar-SA"/>
        </w:rPr>
        <w:t>对</w:t>
      </w:r>
      <w:r>
        <w:rPr>
          <w:rFonts w:hint="default" w:ascii="Times New Roman" w:hAnsi="Times New Roman" w:eastAsia="仿宋_GB2312" w:cs="仿宋_GB2312"/>
          <w:color w:val="auto"/>
          <w:kern w:val="2"/>
          <w:sz w:val="32"/>
          <w:szCs w:val="32"/>
          <w:highlight w:val="none"/>
          <w:lang w:val="zh-CN" w:eastAsia="zh-CN" w:bidi="ar-SA"/>
        </w:rPr>
        <w:t>履职效能、预算管理、资产管理、采购</w:t>
      </w:r>
      <w:r>
        <w:rPr>
          <w:rFonts w:hint="eastAsia" w:ascii="Times New Roman" w:hAnsi="Times New Roman" w:eastAsia="仿宋_GB2312" w:cs="仿宋_GB2312"/>
          <w:color w:val="auto"/>
          <w:kern w:val="2"/>
          <w:sz w:val="32"/>
          <w:szCs w:val="32"/>
          <w:highlight w:val="none"/>
          <w:lang w:val="zh-CN" w:eastAsia="zh-CN" w:bidi="ar-SA"/>
        </w:rPr>
        <w:t>管理、</w:t>
      </w:r>
      <w:r>
        <w:rPr>
          <w:rFonts w:hint="default" w:ascii="Times New Roman" w:hAnsi="Times New Roman" w:eastAsia="仿宋_GB2312" w:cs="仿宋_GB2312"/>
          <w:color w:val="auto"/>
          <w:kern w:val="2"/>
          <w:sz w:val="32"/>
          <w:szCs w:val="32"/>
          <w:highlight w:val="none"/>
          <w:lang w:val="zh-CN" w:eastAsia="zh-CN" w:bidi="ar-SA"/>
        </w:rPr>
        <w:t>财务管理等情况</w:t>
      </w:r>
      <w:r>
        <w:rPr>
          <w:rFonts w:hint="eastAsia" w:ascii="Times New Roman" w:hAnsi="Times New Roman" w:eastAsia="仿宋_GB2312" w:cs="仿宋_GB2312"/>
          <w:color w:val="auto"/>
          <w:kern w:val="2"/>
          <w:sz w:val="32"/>
          <w:szCs w:val="32"/>
          <w:highlight w:val="none"/>
          <w:lang w:val="en-US" w:eastAsia="zh-CN" w:bidi="ar-SA"/>
        </w:rPr>
        <w:t>进行分析如下：</w:t>
      </w:r>
    </w:p>
    <w:p w14:paraId="3166E97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履职效能。选定政治引领、企业服务、商会建设、参政议政4个核心职能目标。开展理想信念教育活动</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场，覆盖企业负责人</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00余人；组织银企对接会3场，帮助</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0家企业获得融资200万元；新成立2家商会，完成商会规范化建设</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家；形成调研报告</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zh-CN" w:eastAsia="zh-CN" w:bidi="ar-SA"/>
        </w:rPr>
        <w:t>篇，其中</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篇获区领导批示。</w:t>
      </w:r>
    </w:p>
    <w:p w14:paraId="2993A439">
      <w:pPr>
        <w:adjustRightInd w:val="0"/>
        <w:snapToGrid w:val="0"/>
        <w:spacing w:line="576" w:lineRule="exact"/>
        <w:ind w:firstLine="640" w:firstLineChars="200"/>
        <w:contextualSpacing/>
        <w:jc w:val="both"/>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预算管理。</w:t>
      </w:r>
      <w:r>
        <w:rPr>
          <w:rFonts w:hint="default" w:ascii="Times New Roman" w:hAnsi="Times New Roman" w:eastAsia="仿宋_GB2312" w:cs="仿宋_GB2312"/>
          <w:color w:val="auto"/>
          <w:kern w:val="2"/>
          <w:sz w:val="32"/>
          <w:szCs w:val="32"/>
          <w:highlight w:val="none"/>
          <w:lang w:val="en-US" w:eastAsia="zh-CN" w:bidi="ar-SA"/>
        </w:rPr>
        <w:t>区工商联2024年</w:t>
      </w:r>
      <w:r>
        <w:rPr>
          <w:rFonts w:hint="default" w:ascii="Times New Roman" w:hAnsi="Times New Roman" w:eastAsia="仿宋_GB2312" w:cs="仿宋_GB2312"/>
          <w:color w:val="auto"/>
          <w:kern w:val="2"/>
          <w:sz w:val="32"/>
          <w:szCs w:val="32"/>
          <w:highlight w:val="none"/>
          <w:lang w:val="zh-CN" w:eastAsia="zh-CN" w:bidi="ar-SA"/>
        </w:rPr>
        <w:t>严格按照</w:t>
      </w:r>
      <w:r>
        <w:rPr>
          <w:rFonts w:hint="eastAsia" w:ascii="Times New Roman" w:hAnsi="Times New Roman" w:eastAsia="仿宋_GB2312" w:cs="仿宋_GB2312"/>
          <w:color w:val="auto"/>
          <w:kern w:val="2"/>
          <w:sz w:val="32"/>
          <w:szCs w:val="32"/>
          <w:highlight w:val="none"/>
          <w:lang w:val="zh-CN" w:eastAsia="zh-CN" w:bidi="ar-SA"/>
        </w:rPr>
        <w:t>《中华人民共和国预算法》</w:t>
      </w:r>
      <w:r>
        <w:rPr>
          <w:rFonts w:hint="default" w:ascii="Times New Roman" w:hAnsi="Times New Roman" w:eastAsia="仿宋_GB2312" w:cs="仿宋_GB2312"/>
          <w:color w:val="auto"/>
          <w:kern w:val="2"/>
          <w:sz w:val="32"/>
          <w:szCs w:val="32"/>
          <w:highlight w:val="none"/>
          <w:lang w:val="zh-CN" w:eastAsia="zh-CN" w:bidi="ar-SA"/>
        </w:rPr>
        <w:t>和区财政局202</w:t>
      </w:r>
      <w:r>
        <w:rPr>
          <w:rFonts w:hint="default"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年部门预算编制口径</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结合年</w:t>
      </w:r>
      <w:r>
        <w:rPr>
          <w:rFonts w:hint="default" w:ascii="Times New Roman" w:hAnsi="Times New Roman" w:eastAsia="仿宋_GB2312" w:cs="仿宋_GB2312"/>
          <w:color w:val="auto"/>
          <w:kern w:val="2"/>
          <w:sz w:val="32"/>
          <w:szCs w:val="32"/>
          <w:highlight w:val="none"/>
          <w:lang w:val="en-US" w:eastAsia="zh-CN" w:bidi="ar-SA"/>
        </w:rPr>
        <w:t>初</w:t>
      </w:r>
      <w:r>
        <w:rPr>
          <w:rFonts w:hint="default" w:ascii="Times New Roman" w:hAnsi="Times New Roman" w:eastAsia="仿宋_GB2312" w:cs="仿宋_GB2312"/>
          <w:color w:val="auto"/>
          <w:kern w:val="2"/>
          <w:sz w:val="32"/>
          <w:szCs w:val="32"/>
          <w:highlight w:val="none"/>
          <w:lang w:val="zh-CN" w:eastAsia="zh-CN" w:bidi="ar-SA"/>
        </w:rPr>
        <w:t>工作任务安排编制预算。202</w:t>
      </w:r>
      <w:r>
        <w:rPr>
          <w:rFonts w:hint="default"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年收入总计</w:t>
      </w:r>
      <w:r>
        <w:rPr>
          <w:rFonts w:hint="default" w:ascii="Times New Roman" w:hAnsi="Times New Roman" w:eastAsia="仿宋_GB2312" w:cs="仿宋_GB2312"/>
          <w:color w:val="auto"/>
          <w:kern w:val="2"/>
          <w:sz w:val="32"/>
          <w:szCs w:val="32"/>
          <w:highlight w:val="none"/>
          <w:lang w:val="en-US" w:eastAsia="zh-CN" w:bidi="ar-SA"/>
        </w:rPr>
        <w:t>111.62</w:t>
      </w:r>
      <w:r>
        <w:rPr>
          <w:rFonts w:hint="default" w:ascii="Times New Roman" w:hAnsi="Times New Roman" w:eastAsia="仿宋_GB2312" w:cs="仿宋_GB2312"/>
          <w:color w:val="auto"/>
          <w:kern w:val="2"/>
          <w:sz w:val="32"/>
          <w:szCs w:val="32"/>
          <w:highlight w:val="none"/>
          <w:lang w:val="zh-CN" w:eastAsia="zh-CN" w:bidi="ar-SA"/>
        </w:rPr>
        <w:t>万元，完成全年预算100%，年末无结转结余，一般性支出</w:t>
      </w:r>
      <w:r>
        <w:rPr>
          <w:rFonts w:hint="default" w:ascii="Times New Roman" w:hAnsi="Times New Roman" w:eastAsia="仿宋_GB2312" w:cs="仿宋_GB2312"/>
          <w:color w:val="auto"/>
          <w:kern w:val="2"/>
          <w:sz w:val="32"/>
          <w:szCs w:val="32"/>
          <w:highlight w:val="none"/>
          <w:lang w:val="en-US" w:eastAsia="zh-CN" w:bidi="ar-SA"/>
        </w:rPr>
        <w:t>111.62</w:t>
      </w:r>
      <w:r>
        <w:rPr>
          <w:rFonts w:hint="default" w:ascii="Times New Roman" w:hAnsi="Times New Roman" w:eastAsia="仿宋_GB2312" w:cs="仿宋_GB2312"/>
          <w:color w:val="auto"/>
          <w:kern w:val="2"/>
          <w:sz w:val="32"/>
          <w:szCs w:val="32"/>
          <w:highlight w:val="none"/>
          <w:lang w:val="zh-CN" w:eastAsia="zh-CN" w:bidi="ar-SA"/>
        </w:rPr>
        <w:t>万元，支出控制率100%。</w:t>
      </w:r>
    </w:p>
    <w:p w14:paraId="201EE4F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财务管理。建立健全财务管理制度，明确财务岗位设置及职责分工；资金使用严格按照规定流程审批，确保规范安全，但在财务档案管理的规范性上还需进一步加强。</w:t>
      </w:r>
    </w:p>
    <w:p w14:paraId="751D68E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en-US" w:eastAsia="zh-CN" w:bidi="ar-SA"/>
        </w:rPr>
        <w:t>2024年增加电脑一台；</w:t>
      </w:r>
      <w:r>
        <w:rPr>
          <w:rFonts w:hint="eastAsia" w:ascii="Times New Roman" w:hAnsi="Times New Roman" w:eastAsia="仿宋_GB2312" w:cs="仿宋_GB2312"/>
          <w:color w:val="auto"/>
          <w:kern w:val="2"/>
          <w:sz w:val="32"/>
          <w:szCs w:val="32"/>
          <w:highlight w:val="none"/>
          <w:lang w:val="zh-CN" w:eastAsia="zh-CN" w:bidi="ar-SA"/>
        </w:rPr>
        <w:t>资产变化率3%（因购置办公设备）；资产利用率</w:t>
      </w:r>
      <w:r>
        <w:rPr>
          <w:rFonts w:hint="eastAsia" w:ascii="Times New Roman" w:hAnsi="Times New Roman" w:eastAsia="仿宋_GB2312" w:cs="仿宋_GB2312"/>
          <w:color w:val="auto"/>
          <w:kern w:val="2"/>
          <w:sz w:val="32"/>
          <w:szCs w:val="32"/>
          <w:highlight w:val="none"/>
          <w:lang w:val="en-US" w:eastAsia="zh-CN" w:bidi="ar-SA"/>
        </w:rPr>
        <w:t>占</w:t>
      </w:r>
      <w:r>
        <w:rPr>
          <w:rFonts w:hint="eastAsia" w:ascii="Times New Roman" w:hAnsi="Times New Roman" w:eastAsia="仿宋_GB2312" w:cs="仿宋_GB2312"/>
          <w:color w:val="auto"/>
          <w:kern w:val="2"/>
          <w:sz w:val="32"/>
          <w:szCs w:val="32"/>
          <w:highlight w:val="none"/>
          <w:lang w:val="zh-CN" w:eastAsia="zh-CN" w:bidi="ar-SA"/>
        </w:rPr>
        <w:t>92%；资产盘活率</w:t>
      </w:r>
      <w:r>
        <w:rPr>
          <w:rFonts w:hint="eastAsia" w:ascii="Times New Roman" w:hAnsi="Times New Roman" w:eastAsia="仿宋_GB2312" w:cs="仿宋_GB2312"/>
          <w:color w:val="auto"/>
          <w:kern w:val="2"/>
          <w:sz w:val="32"/>
          <w:szCs w:val="32"/>
          <w:highlight w:val="none"/>
          <w:lang w:val="en-US" w:eastAsia="zh-CN" w:bidi="ar-SA"/>
        </w:rPr>
        <w:t>100%，单位两年以上</w:t>
      </w:r>
      <w:r>
        <w:rPr>
          <w:rFonts w:hint="eastAsia" w:ascii="Times New Roman" w:hAnsi="Times New Roman" w:eastAsia="仿宋_GB2312" w:cs="仿宋_GB2312"/>
          <w:color w:val="auto"/>
          <w:kern w:val="2"/>
          <w:sz w:val="32"/>
          <w:szCs w:val="32"/>
          <w:highlight w:val="none"/>
          <w:lang w:val="zh-CN" w:eastAsia="zh-CN" w:bidi="ar-SA"/>
        </w:rPr>
        <w:t>无闲置资产。</w:t>
      </w:r>
    </w:p>
    <w:p w14:paraId="380A8CA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en-US" w:eastAsia="zh-CN" w:bidi="ar-SA"/>
        </w:rPr>
        <w:t>2024年单位对中小企业采购电脑一台，</w:t>
      </w:r>
      <w:r>
        <w:rPr>
          <w:rFonts w:hint="eastAsia" w:ascii="Times New Roman" w:hAnsi="Times New Roman" w:eastAsia="仿宋_GB2312" w:cs="仿宋_GB2312"/>
          <w:color w:val="auto"/>
          <w:kern w:val="2"/>
          <w:sz w:val="32"/>
          <w:szCs w:val="32"/>
          <w:highlight w:val="none"/>
          <w:lang w:val="zh-CN" w:eastAsia="zh-CN" w:bidi="ar-SA"/>
        </w:rPr>
        <w:t>政府</w:t>
      </w:r>
      <w:r>
        <w:rPr>
          <w:rFonts w:hint="eastAsia" w:ascii="Times New Roman" w:hAnsi="Times New Roman" w:eastAsia="仿宋_GB2312" w:cs="仿宋_GB2312"/>
          <w:color w:val="auto"/>
          <w:kern w:val="2"/>
          <w:sz w:val="32"/>
          <w:szCs w:val="32"/>
          <w:highlight w:val="none"/>
          <w:lang w:val="en-US" w:eastAsia="zh-CN" w:bidi="ar-SA"/>
        </w:rPr>
        <w:t>对</w:t>
      </w:r>
      <w:r>
        <w:rPr>
          <w:rFonts w:hint="eastAsia" w:ascii="Times New Roman" w:hAnsi="Times New Roman" w:eastAsia="仿宋_GB2312" w:cs="仿宋_GB2312"/>
          <w:color w:val="auto"/>
          <w:kern w:val="2"/>
          <w:sz w:val="32"/>
          <w:szCs w:val="32"/>
          <w:highlight w:val="none"/>
          <w:lang w:val="zh-CN" w:eastAsia="zh-CN" w:bidi="ar-SA"/>
        </w:rPr>
        <w:t>采购中小企业产品比例</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%；采购执行率</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w:t>
      </w:r>
    </w:p>
    <w:p w14:paraId="6635D9E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二</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zh-CN"/>
        </w:rPr>
        <w:t>部门预算项目绩效分析</w:t>
      </w:r>
    </w:p>
    <w:p w14:paraId="2183F83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常年项目绩效分析。常年项目总数为</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10.59</w:t>
      </w:r>
      <w:r>
        <w:rPr>
          <w:rFonts w:hint="eastAsia"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个。</w:t>
      </w:r>
    </w:p>
    <w:p w14:paraId="336BB8B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阶段（一次性）项目绩效分析。阶段（一次性）项目总数为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万元，1-12月预算执行总体进度为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个。</w:t>
      </w:r>
    </w:p>
    <w:p w14:paraId="5210375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项目决策。项目决策程序基本规范，按照规定进行立项审批；目标设置明确，发展规划和实际需求紧密结合；但部分项目在入库审核时，对项目可行性研究不够深入。</w:t>
      </w:r>
    </w:p>
    <w:p w14:paraId="38FF89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项目执行。资金执行基本与项目进度同向，但存在个别项目因资金调度不及时影响推进；项目调整严格履行审批手续；执行结果大部分达到预期目标。</w:t>
      </w:r>
    </w:p>
    <w:p w14:paraId="79B0D70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sz w:val="32"/>
          <w:szCs w:val="32"/>
          <w:lang w:val="zh-CN"/>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zh-CN" w:eastAsia="zh-CN" w:bidi="ar-SA"/>
        </w:rPr>
        <w:t>目标实现。多数项目目标完成情况良好，实现了预期效果，但仍有部分项目因外部因素导致目标偏离，如</w:t>
      </w:r>
      <w:r>
        <w:rPr>
          <w:rFonts w:hint="eastAsia" w:ascii="Times New Roman" w:hAnsi="Times New Roman" w:eastAsia="仿宋_GB2312" w:cs="仿宋_GB2312"/>
          <w:color w:val="auto"/>
          <w:kern w:val="2"/>
          <w:sz w:val="32"/>
          <w:szCs w:val="32"/>
          <w:highlight w:val="none"/>
          <w:lang w:val="en-US" w:eastAsia="zh-CN" w:bidi="ar-SA"/>
        </w:rPr>
        <w:t>人员经费资金剩余102元，执行率未达100%</w:t>
      </w:r>
      <w:r>
        <w:rPr>
          <w:rFonts w:hint="eastAsia" w:ascii="Times New Roman" w:hAnsi="Times New Roman" w:eastAsia="仿宋_GB2312" w:cs="仿宋_GB2312"/>
          <w:color w:val="auto"/>
          <w:kern w:val="2"/>
          <w:sz w:val="32"/>
          <w:szCs w:val="32"/>
          <w:highlight w:val="none"/>
          <w:lang w:val="zh-CN" w:eastAsia="zh-CN" w:bidi="ar-SA"/>
        </w:rPr>
        <w:t>。</w:t>
      </w:r>
    </w:p>
    <w:p w14:paraId="0DE3CACC">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p>
    <w:p w14:paraId="5946F40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内部应用方面，将绩效评价结果作为下一年度预算安排、项目调整的重要依据；信息公开方面，按规定及时公开部门预算、决算及绩效评价结果，接受社会监督；整改反馈方面，针对绩效评价中发现的问题，及时制定整改措施并落实，不断改进管理水平。</w:t>
      </w:r>
    </w:p>
    <w:p w14:paraId="69E3FD1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四、评价结论及建议</w:t>
      </w:r>
    </w:p>
    <w:p w14:paraId="75C1943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仿宋_GB2312"/>
          <w:color w:val="auto"/>
          <w:kern w:val="2"/>
          <w:sz w:val="32"/>
          <w:szCs w:val="32"/>
          <w:highlight w:val="none"/>
          <w:lang w:val="zh-CN" w:eastAsia="zh-CN" w:bidi="ar-SA"/>
        </w:rPr>
        <w:t>2024年我</w:t>
      </w:r>
      <w:r>
        <w:rPr>
          <w:rFonts w:hint="eastAsia" w:ascii="Times New Roman" w:hAnsi="Times New Roman" w:eastAsia="仿宋_GB2312" w:cs="仿宋_GB2312"/>
          <w:color w:val="auto"/>
          <w:kern w:val="2"/>
          <w:sz w:val="32"/>
          <w:szCs w:val="32"/>
          <w:highlight w:val="none"/>
          <w:lang w:val="en-US" w:eastAsia="zh-CN" w:bidi="ar-SA"/>
        </w:rPr>
        <w:t>会</w:t>
      </w:r>
      <w:r>
        <w:rPr>
          <w:rFonts w:hint="eastAsia" w:ascii="Times New Roman" w:hAnsi="Times New Roman" w:eastAsia="仿宋_GB2312" w:cs="仿宋_GB2312"/>
          <w:color w:val="auto"/>
          <w:kern w:val="2"/>
          <w:sz w:val="32"/>
          <w:szCs w:val="32"/>
          <w:highlight w:val="none"/>
          <w:lang w:val="zh-CN" w:eastAsia="zh-CN" w:bidi="ar-SA"/>
        </w:rPr>
        <w:t>通过加强预算收支管理，不断建立健全内部管理制度，梳理内部管理流程，部门整体支出管理情况得到提升，较好的完成了年度工作目标。根据《202</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zh-CN" w:eastAsia="zh-CN" w:bidi="ar-SA"/>
        </w:rPr>
        <w:t>年区级部门整体支出绩效评价指标体系》我</w:t>
      </w:r>
      <w:r>
        <w:rPr>
          <w:rFonts w:hint="eastAsia" w:ascii="Times New Roman" w:hAnsi="Times New Roman" w:eastAsia="仿宋_GB2312" w:cs="仿宋_GB2312"/>
          <w:color w:val="auto"/>
          <w:kern w:val="2"/>
          <w:sz w:val="32"/>
          <w:szCs w:val="32"/>
          <w:highlight w:val="none"/>
          <w:lang w:val="en-US" w:eastAsia="zh-CN" w:bidi="ar-SA"/>
        </w:rPr>
        <w:t>会</w:t>
      </w:r>
      <w:r>
        <w:rPr>
          <w:rFonts w:hint="eastAsia" w:ascii="Times New Roman" w:hAnsi="Times New Roman" w:eastAsia="仿宋_GB2312" w:cs="仿宋_GB2312"/>
          <w:color w:val="auto"/>
          <w:kern w:val="2"/>
          <w:sz w:val="32"/>
          <w:szCs w:val="32"/>
          <w:highlight w:val="none"/>
          <w:lang w:val="zh-CN" w:eastAsia="zh-CN" w:bidi="ar-SA"/>
        </w:rPr>
        <w:t>对2024年整体支出开展绩效自评（见部门整体支出绩效自评表）。</w:t>
      </w:r>
    </w:p>
    <w:p w14:paraId="21CEBDF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二</w:t>
      </w:r>
      <w:r>
        <w:rPr>
          <w:rFonts w:hint="eastAsia" w:ascii="Times New Roman" w:hAnsi="Times New Roman" w:eastAsia="楷体_GB2312" w:cs="Times New Roman"/>
          <w:b/>
          <w:bCs/>
          <w:color w:val="000000"/>
          <w:kern w:val="0"/>
          <w:sz w:val="32"/>
          <w:szCs w:val="32"/>
          <w:highlight w:val="none"/>
          <w:shd w:val="clear" w:color="auto" w:fill="FFFFFF"/>
          <w:lang w:val="zh-CN"/>
        </w:rPr>
        <w:t>）存在问题。</w:t>
      </w:r>
      <w:r>
        <w:rPr>
          <w:rFonts w:hint="eastAsia" w:ascii="Times New Roman" w:hAnsi="Times New Roman" w:eastAsia="仿宋_GB2312" w:cs="仿宋_GB2312"/>
          <w:color w:val="auto"/>
          <w:kern w:val="2"/>
          <w:sz w:val="32"/>
          <w:szCs w:val="32"/>
          <w:highlight w:val="none"/>
          <w:lang w:val="en-US" w:eastAsia="zh-CN" w:bidi="ar-SA"/>
        </w:rPr>
        <w:t>在看到成绩的同时，我们也清醒地意识到，在与人民群众的要求相比，还存在一些不足和问题，主要体现在以下几个方面：</w:t>
      </w:r>
    </w:p>
    <w:p w14:paraId="5E34305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1.对</w:t>
      </w:r>
      <w:r>
        <w:rPr>
          <w:rFonts w:hint="eastAsia" w:ascii="Times New Roman" w:hAnsi="Times New Roman" w:eastAsia="仿宋_GB2312" w:cs="仿宋_GB2312"/>
          <w:color w:val="auto"/>
          <w:kern w:val="2"/>
          <w:sz w:val="32"/>
          <w:szCs w:val="32"/>
          <w:highlight w:val="none"/>
          <w:lang w:val="zh-CN" w:eastAsia="zh-CN" w:bidi="ar-SA"/>
        </w:rPr>
        <w:t>民营经济</w:t>
      </w:r>
      <w:r>
        <w:rPr>
          <w:rFonts w:hint="eastAsia" w:ascii="Times New Roman" w:hAnsi="Times New Roman" w:eastAsia="仿宋_GB2312" w:cs="仿宋_GB2312"/>
          <w:color w:val="auto"/>
          <w:kern w:val="2"/>
          <w:sz w:val="32"/>
          <w:szCs w:val="32"/>
          <w:highlight w:val="none"/>
          <w:lang w:val="en-US" w:eastAsia="zh-CN" w:bidi="ar-SA"/>
        </w:rPr>
        <w:t>投入和服务不够，缺乏资金和技术支持；</w:t>
      </w:r>
    </w:p>
    <w:p w14:paraId="10F25AE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2.由于人员短缺对工商联商会组织的联络与政策支持方面有一些短板；</w:t>
      </w:r>
    </w:p>
    <w:p w14:paraId="1EBDED9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3.财务制度方面不够规范、人员分工不明等原因造成的财务工作的拖延和滞后。</w:t>
      </w:r>
    </w:p>
    <w:p w14:paraId="1997A2F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（三）改进建议</w:t>
      </w:r>
    </w:p>
    <w:p w14:paraId="1DDD03B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1.科学合理编制预算，严格执行预算。进一步提高预算编制到位率，做准做全基本支出预算，做全项目支出预算，加强预算支出的审核、跟踪及预算执行情况分析，提高预算编制严谨性和可控性。</w:t>
      </w:r>
    </w:p>
    <w:p w14:paraId="7908514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2.进一步加强项目资金管理。严格实行项目管理程序化，实现项目申报、实施、拨付、评价全流程监督与控制，规范专项资金管理，提高专项资金的使用效益。</w:t>
      </w:r>
    </w:p>
    <w:p w14:paraId="2C17BDC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3.进一步完善内部管理制度，提升管理效能，更好地履行职能。</w:t>
      </w:r>
    </w:p>
    <w:p w14:paraId="7946EA2D">
      <w:pPr>
        <w:keepNext w:val="0"/>
        <w:keepLines w:val="0"/>
        <w:pageBreakBefore w:val="0"/>
        <w:widowControl/>
        <w:kinsoku/>
        <w:wordWrap/>
        <w:overflowPunct/>
        <w:topLinePunct w:val="0"/>
        <w:autoSpaceDE/>
        <w:autoSpaceDN/>
        <w:bidi w:val="0"/>
        <w:adjustRightInd w:val="0"/>
        <w:snapToGrid w:val="0"/>
        <w:spacing w:line="578" w:lineRule="exact"/>
        <w:ind w:firstLine="883" w:firstLineChars="200"/>
        <w:contextualSpacing/>
        <w:jc w:val="left"/>
        <w:textAlignment w:val="auto"/>
        <w:outlineLvl w:val="9"/>
        <w:rPr>
          <w:rStyle w:val="26"/>
        </w:rPr>
      </w:pPr>
    </w:p>
    <w:p w14:paraId="009658D3">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14:paraId="4E00952B">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sz w:val="32"/>
          <w:szCs w:val="32"/>
          <w:lang w:val="zh-CN"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14:paraId="330551A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sectPr>
          <w:pgSz w:w="11906" w:h="16838"/>
          <w:pgMar w:top="1440" w:right="1800" w:bottom="1440" w:left="1800" w:header="851" w:footer="992" w:gutter="0"/>
          <w:pgNumType w:fmt="decimal"/>
          <w:cols w:space="720" w:num="1"/>
          <w:rtlGutter w:val="0"/>
          <w:docGrid w:type="lines" w:linePitch="312" w:charSpace="0"/>
        </w:sectPr>
      </w:pPr>
    </w:p>
    <w:tbl>
      <w:tblPr>
        <w:tblStyle w:val="18"/>
        <w:tblW w:w="8199" w:type="dxa"/>
        <w:jc w:val="center"/>
        <w:shd w:val="clear" w:color="auto" w:fill="auto"/>
        <w:tblLayout w:type="autofit"/>
        <w:tblCellMar>
          <w:top w:w="0" w:type="dxa"/>
          <w:left w:w="108" w:type="dxa"/>
          <w:bottom w:w="0" w:type="dxa"/>
          <w:right w:w="108" w:type="dxa"/>
        </w:tblCellMar>
      </w:tblPr>
      <w:tblGrid>
        <w:gridCol w:w="720"/>
        <w:gridCol w:w="641"/>
        <w:gridCol w:w="771"/>
        <w:gridCol w:w="1848"/>
        <w:gridCol w:w="969"/>
        <w:gridCol w:w="852"/>
        <w:gridCol w:w="728"/>
        <w:gridCol w:w="574"/>
        <w:gridCol w:w="1096"/>
      </w:tblGrid>
      <w:tr w14:paraId="6DC2D003">
        <w:tblPrEx>
          <w:shd w:val="clear" w:color="auto" w:fill="auto"/>
          <w:tblCellMar>
            <w:top w:w="0" w:type="dxa"/>
            <w:left w:w="108" w:type="dxa"/>
            <w:bottom w:w="0" w:type="dxa"/>
            <w:right w:w="108" w:type="dxa"/>
          </w:tblCellMar>
        </w:tblPrEx>
        <w:trPr>
          <w:trHeight w:val="918" w:hRule="atLeast"/>
          <w:jc w:val="center"/>
        </w:trPr>
        <w:tc>
          <w:tcPr>
            <w:tcW w:w="8199" w:type="dxa"/>
            <w:gridSpan w:val="9"/>
            <w:tcBorders>
              <w:top w:val="nil"/>
              <w:left w:val="nil"/>
              <w:bottom w:val="nil"/>
              <w:right w:val="nil"/>
            </w:tcBorders>
            <w:shd w:val="clear" w:color="auto" w:fill="auto"/>
            <w:vAlign w:val="center"/>
          </w:tcPr>
          <w:p w14:paraId="135F4A26">
            <w:pPr>
              <w:jc w:val="center"/>
              <w:rPr>
                <w:rFonts w:hint="eastAsia" w:ascii="宋体" w:hAnsi="宋体" w:eastAsia="宋体" w:cs="宋体"/>
                <w:i w:val="0"/>
                <w:iCs w:val="0"/>
                <w:color w:val="auto"/>
                <w:sz w:val="22"/>
                <w:szCs w:val="22"/>
                <w:u w:val="none"/>
              </w:rPr>
            </w:pPr>
            <w:r>
              <w:rPr>
                <w:rFonts w:hint="eastAsia" w:ascii="方正小标宋简体" w:hAnsi="方正小标宋简体" w:eastAsia="方正小标宋简体" w:cs="方正小标宋简体"/>
                <w:color w:val="000000"/>
                <w:kern w:val="0"/>
                <w:sz w:val="36"/>
                <w:szCs w:val="36"/>
                <w:lang w:val="en-US" w:eastAsia="zh-CN" w:bidi="ar-SA"/>
              </w:rPr>
              <w:t>部门整体支出绩效自评表</w:t>
            </w:r>
          </w:p>
        </w:tc>
      </w:tr>
      <w:tr w14:paraId="48541FD5">
        <w:tblPrEx>
          <w:tblCellMar>
            <w:top w:w="0" w:type="dxa"/>
            <w:left w:w="108" w:type="dxa"/>
            <w:bottom w:w="0" w:type="dxa"/>
            <w:right w:w="108" w:type="dxa"/>
          </w:tblCellMar>
        </w:tblPrEx>
        <w:trPr>
          <w:trHeight w:val="317" w:hRule="atLeast"/>
          <w:jc w:val="center"/>
        </w:trPr>
        <w:tc>
          <w:tcPr>
            <w:tcW w:w="8199" w:type="dxa"/>
            <w:gridSpan w:val="9"/>
            <w:tcBorders>
              <w:top w:val="nil"/>
              <w:left w:val="nil"/>
              <w:bottom w:val="nil"/>
              <w:right w:val="nil"/>
            </w:tcBorders>
            <w:shd w:val="clear" w:color="auto" w:fill="auto"/>
            <w:vAlign w:val="center"/>
          </w:tcPr>
          <w:p w14:paraId="06C6B90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righ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金额单位：万元</w:t>
            </w:r>
          </w:p>
        </w:tc>
      </w:tr>
      <w:tr w14:paraId="7A26F444">
        <w:tblPrEx>
          <w:tblCellMar>
            <w:top w:w="0" w:type="dxa"/>
            <w:left w:w="108" w:type="dxa"/>
            <w:bottom w:w="0" w:type="dxa"/>
            <w:right w:w="108" w:type="dxa"/>
          </w:tblCellMar>
        </w:tblPrEx>
        <w:trPr>
          <w:trHeight w:val="588" w:hRule="atLeast"/>
          <w:jc w:val="center"/>
        </w:trPr>
        <w:tc>
          <w:tcPr>
            <w:tcW w:w="2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A6B2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部门名称</w:t>
            </w:r>
          </w:p>
        </w:tc>
        <w:tc>
          <w:tcPr>
            <w:tcW w:w="60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66FB1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遂宁市安居区工商业联合会部门</w:t>
            </w:r>
          </w:p>
        </w:tc>
      </w:tr>
      <w:tr w14:paraId="3FD59CD5">
        <w:tblPrEx>
          <w:tblCellMar>
            <w:top w:w="0" w:type="dxa"/>
            <w:left w:w="108" w:type="dxa"/>
            <w:bottom w:w="0" w:type="dxa"/>
            <w:right w:w="108" w:type="dxa"/>
          </w:tblCellMar>
        </w:tblPrEx>
        <w:trPr>
          <w:trHeight w:val="414"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4A64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年度部门整体支出预算</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4493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资金总额</w:t>
            </w:r>
          </w:p>
        </w:tc>
        <w:tc>
          <w:tcPr>
            <w:tcW w:w="2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F491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财政拨款</w:t>
            </w:r>
          </w:p>
        </w:tc>
        <w:tc>
          <w:tcPr>
            <w:tcW w:w="3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E5C7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其他资金</w:t>
            </w:r>
          </w:p>
        </w:tc>
      </w:tr>
      <w:tr w14:paraId="0CEB5A51">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630F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1F0D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111.62</w:t>
            </w:r>
          </w:p>
        </w:tc>
        <w:tc>
          <w:tcPr>
            <w:tcW w:w="2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4C50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111.62</w:t>
            </w:r>
          </w:p>
        </w:tc>
        <w:tc>
          <w:tcPr>
            <w:tcW w:w="3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01CD2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r>
      <w:tr w14:paraId="39880A4F">
        <w:tblPrEx>
          <w:tblCellMar>
            <w:top w:w="0" w:type="dxa"/>
            <w:left w:w="108" w:type="dxa"/>
            <w:bottom w:w="0" w:type="dxa"/>
            <w:right w:w="108" w:type="dxa"/>
          </w:tblCellMar>
        </w:tblPrEx>
        <w:trPr>
          <w:trHeight w:val="117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B9B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年度总体目标</w:t>
            </w:r>
          </w:p>
        </w:tc>
        <w:tc>
          <w:tcPr>
            <w:tcW w:w="74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4977B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both"/>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向区委、区政府和有关部门及时反映意见，要求，积极维护会员的合法权益。开展与全国工商联（商会）、四川省总商会及全国性社团、工商界人士的联络工作，协调会员的关系，协助企业引进资金、技术和人才。协助政府有关部门开展有关方面的立法调查研究;非公经济组织党建;</w:t>
            </w:r>
          </w:p>
        </w:tc>
      </w:tr>
      <w:tr w14:paraId="6A1AEB71">
        <w:tblPrEx>
          <w:tblCellMar>
            <w:top w:w="0" w:type="dxa"/>
            <w:left w:w="108" w:type="dxa"/>
            <w:bottom w:w="0" w:type="dxa"/>
            <w:right w:w="108" w:type="dxa"/>
          </w:tblCellMar>
        </w:tblPrEx>
        <w:trPr>
          <w:trHeight w:val="58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F3EA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年度主要任务</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3FDE8">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任务名称</w:t>
            </w:r>
          </w:p>
        </w:tc>
        <w:tc>
          <w:tcPr>
            <w:tcW w:w="60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FF7A5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主要内容</w:t>
            </w:r>
          </w:p>
        </w:tc>
      </w:tr>
      <w:tr w14:paraId="29D79783">
        <w:tblPrEx>
          <w:tblCellMar>
            <w:top w:w="0" w:type="dxa"/>
            <w:left w:w="108" w:type="dxa"/>
            <w:bottom w:w="0" w:type="dxa"/>
            <w:right w:w="108" w:type="dxa"/>
          </w:tblCellMar>
        </w:tblPrEx>
        <w:trPr>
          <w:trHeight w:val="69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D9E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ECA5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公用支出</w:t>
            </w:r>
          </w:p>
        </w:tc>
        <w:tc>
          <w:tcPr>
            <w:tcW w:w="60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6B73C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both"/>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通过预算执行，保证工商联在职人员正常办公费、水电、印刷费、差旅费、劳务费、邮电费支出</w:t>
            </w:r>
          </w:p>
        </w:tc>
      </w:tr>
      <w:tr w14:paraId="273767A9">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AFF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06548">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人员支出</w:t>
            </w:r>
          </w:p>
        </w:tc>
        <w:tc>
          <w:tcPr>
            <w:tcW w:w="60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52074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both"/>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保障在职人员4人的工资、津贴、医疗保险、失业工伤保险、养老保险及住房公积金等支出</w:t>
            </w:r>
          </w:p>
        </w:tc>
      </w:tr>
      <w:tr w14:paraId="3DBB3002">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55A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3D30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参政议政经费</w:t>
            </w:r>
          </w:p>
        </w:tc>
        <w:tc>
          <w:tcPr>
            <w:tcW w:w="60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292D1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both"/>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保障2024年招商引资及工商联会办事处开设与参政议政提案工作的顺利开展</w:t>
            </w:r>
          </w:p>
        </w:tc>
      </w:tr>
      <w:tr w14:paraId="192AEB76">
        <w:tblPrEx>
          <w:tblCellMar>
            <w:top w:w="0" w:type="dxa"/>
            <w:left w:w="108" w:type="dxa"/>
            <w:bottom w:w="0" w:type="dxa"/>
            <w:right w:w="108" w:type="dxa"/>
          </w:tblCellMar>
        </w:tblPrEx>
        <w:trPr>
          <w:trHeight w:val="644"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9E71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年度绩效指标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271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一级指标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294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二级指标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7DB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三级指标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6F6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绩效指标性质</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C37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绩效指标值</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02E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绩效度量单位</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6C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权重</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E38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完成情况</w:t>
            </w:r>
          </w:p>
        </w:tc>
      </w:tr>
      <w:tr w14:paraId="518F1B91">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A8DE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5A04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产出指标</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9974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数量指标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AB0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财力保障人数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C7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0BF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DB9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人</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95B2">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20E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r>
      <w:tr w14:paraId="5794F358">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4C2D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F194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B337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80F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单位举办招商引资会议次数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E552">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EEB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AB42">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场次</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3E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402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3</w:t>
            </w:r>
          </w:p>
        </w:tc>
      </w:tr>
      <w:tr w14:paraId="309D5FE8">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D10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D9D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9DE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AA7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工商联会外地办事处开设个数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5B2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29D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F0C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个</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024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B45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3</w:t>
            </w:r>
          </w:p>
        </w:tc>
      </w:tr>
      <w:tr w14:paraId="3577B655">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A2B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0C3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282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D45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工商政协提案的通过数量</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4D1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419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700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个</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A19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36F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3</w:t>
            </w:r>
          </w:p>
        </w:tc>
      </w:tr>
      <w:tr w14:paraId="6EC6D0E7">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37B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7A31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65212">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质量指标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923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工商联会开设目标完成率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B57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EBF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573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B1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249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100</w:t>
            </w:r>
          </w:p>
        </w:tc>
      </w:tr>
      <w:tr w14:paraId="5E82EC3C">
        <w:tblPrEx>
          <w:tblCellMar>
            <w:top w:w="0" w:type="dxa"/>
            <w:left w:w="108" w:type="dxa"/>
            <w:bottom w:w="0" w:type="dxa"/>
            <w:right w:w="108" w:type="dxa"/>
          </w:tblCellMar>
        </w:tblPrEx>
        <w:trPr>
          <w:trHeight w:val="6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A4AD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5649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668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57C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通过执行该年预算保障工作顺利开展率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172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592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95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632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01D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2F9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95</w:t>
            </w:r>
          </w:p>
        </w:tc>
      </w:tr>
      <w:tr w14:paraId="3C3949AA">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EC6B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9407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38F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D4F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招商引资目标完成率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89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725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7A7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E9D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16E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100</w:t>
            </w:r>
          </w:p>
        </w:tc>
      </w:tr>
      <w:tr w14:paraId="765BDEF2">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794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157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4E3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3DB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政协参政议政提案个数完成率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40B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C9E8">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497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EE72">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D14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100</w:t>
            </w:r>
          </w:p>
        </w:tc>
      </w:tr>
      <w:tr w14:paraId="33ABB478">
        <w:tblPrEx>
          <w:tblCellMar>
            <w:top w:w="0" w:type="dxa"/>
            <w:left w:w="108" w:type="dxa"/>
            <w:bottom w:w="0" w:type="dxa"/>
            <w:right w:w="108" w:type="dxa"/>
          </w:tblCellMar>
        </w:tblPrEx>
        <w:trPr>
          <w:trHeight w:val="961"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275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B1F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428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时效指标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8A82">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资金使用时间</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AF7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定性</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DB8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15个工作日内完成资金拨付</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A1E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7312">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CA8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15个工作日内完成资金拨付</w:t>
            </w:r>
          </w:p>
        </w:tc>
      </w:tr>
      <w:tr w14:paraId="5E288C78">
        <w:tblPrEx>
          <w:tblCellMar>
            <w:top w:w="0" w:type="dxa"/>
            <w:left w:w="108" w:type="dxa"/>
            <w:bottom w:w="0" w:type="dxa"/>
            <w:right w:w="108" w:type="dxa"/>
          </w:tblCellMar>
        </w:tblPrEx>
        <w:trPr>
          <w:trHeight w:val="6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F944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210C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效益指标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84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经济效益指标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711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招商引资带动经济增长率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396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975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11A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FE5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EC7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20</w:t>
            </w:r>
          </w:p>
        </w:tc>
      </w:tr>
      <w:tr w14:paraId="464A86BE">
        <w:tblPrEx>
          <w:tblCellMar>
            <w:top w:w="0" w:type="dxa"/>
            <w:left w:w="108" w:type="dxa"/>
            <w:bottom w:w="0" w:type="dxa"/>
            <w:right w:w="108" w:type="dxa"/>
          </w:tblCellMar>
        </w:tblPrEx>
        <w:trPr>
          <w:trHeight w:val="6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A32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F62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8EF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社会效益指标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0BF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实施项目确保社会幸福率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F69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79A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95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719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39B2">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C85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95</w:t>
            </w:r>
          </w:p>
        </w:tc>
      </w:tr>
      <w:tr w14:paraId="5EBA7109">
        <w:tblPrEx>
          <w:tblCellMar>
            <w:top w:w="0" w:type="dxa"/>
            <w:left w:w="108" w:type="dxa"/>
            <w:bottom w:w="0" w:type="dxa"/>
            <w:right w:w="108" w:type="dxa"/>
          </w:tblCellMar>
        </w:tblPrEx>
        <w:trPr>
          <w:trHeight w:val="961"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68F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177E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AC9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可持续影响指标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4D5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提升工作人员业务能力水平</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BAB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定性</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A03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单位工作人员业务水平提升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D64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A4B6">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CDE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单位工作人员业务水平提升</w:t>
            </w:r>
          </w:p>
        </w:tc>
      </w:tr>
      <w:tr w14:paraId="15DA68BE">
        <w:tblPrEx>
          <w:tblCellMar>
            <w:top w:w="0" w:type="dxa"/>
            <w:left w:w="108" w:type="dxa"/>
            <w:bottom w:w="0" w:type="dxa"/>
            <w:right w:w="108" w:type="dxa"/>
          </w:tblCellMar>
        </w:tblPrEx>
        <w:trPr>
          <w:trHeight w:val="6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D93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8146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满意度指标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73F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服务对象满意度指标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930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社会群众满意度</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56A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F6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92</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511B">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E27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876C">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92</w:t>
            </w:r>
          </w:p>
        </w:tc>
      </w:tr>
      <w:tr w14:paraId="5AA116B5">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AC3B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6F7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190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满意度指标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A3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职工满意度</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CA5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15E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98</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328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055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736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98</w:t>
            </w:r>
          </w:p>
        </w:tc>
      </w:tr>
      <w:tr w14:paraId="1A7972DC">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5C3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3C77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成本指标</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14AF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经济成本指标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331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公用经费</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CA2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4A3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12.23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B76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万元</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B229">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8004">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12.81</w:t>
            </w:r>
          </w:p>
        </w:tc>
      </w:tr>
      <w:tr w14:paraId="5CFF4CC0">
        <w:tblPrEx>
          <w:tblCellMar>
            <w:top w:w="0" w:type="dxa"/>
            <w:left w:w="108" w:type="dxa"/>
            <w:bottom w:w="0" w:type="dxa"/>
            <w:right w:w="108" w:type="dxa"/>
          </w:tblCellMar>
        </w:tblPrEx>
        <w:trPr>
          <w:trHeight w:val="5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46BC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2988">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2B3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59A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人员经费</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E74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8CF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91.77</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7F7E">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万元</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B69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6008">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default"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88.21</w:t>
            </w:r>
          </w:p>
        </w:tc>
      </w:tr>
      <w:tr w14:paraId="1DB7B363">
        <w:tblPrEx>
          <w:tblCellMar>
            <w:top w:w="0" w:type="dxa"/>
            <w:left w:w="108" w:type="dxa"/>
            <w:bottom w:w="0" w:type="dxa"/>
            <w:right w:w="108" w:type="dxa"/>
          </w:tblCellMar>
        </w:tblPrEx>
        <w:trPr>
          <w:trHeight w:val="65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B4B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5EE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FD330">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9E1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招商引资及办事处开设的经费保障</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B1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402">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55A3">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万元</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DE5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67EA">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10.59</w:t>
            </w:r>
          </w:p>
        </w:tc>
      </w:tr>
      <w:tr w14:paraId="478EF3F1">
        <w:tblPrEx>
          <w:tblCellMar>
            <w:top w:w="0" w:type="dxa"/>
            <w:left w:w="108" w:type="dxa"/>
            <w:bottom w:w="0" w:type="dxa"/>
            <w:right w:w="108" w:type="dxa"/>
          </w:tblCellMar>
        </w:tblPrEx>
        <w:trPr>
          <w:trHeight w:val="88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82C5">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Times New Roman"/>
                <w:i w:val="0"/>
                <w:iCs w:val="0"/>
                <w:color w:val="auto"/>
                <w:kern w:val="0"/>
                <w:sz w:val="21"/>
                <w:szCs w:val="21"/>
                <w:u w:val="none"/>
                <w:lang w:val="en-US" w:eastAsia="zh-CN" w:bidi="ar"/>
              </w:rPr>
              <w:t>评价结论</w:t>
            </w:r>
          </w:p>
        </w:tc>
        <w:tc>
          <w:tcPr>
            <w:tcW w:w="74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F6E4E1">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default"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仿宋_GB2312"/>
                <w:color w:val="auto"/>
                <w:kern w:val="2"/>
                <w:sz w:val="21"/>
                <w:szCs w:val="21"/>
                <w:highlight w:val="none"/>
                <w:lang w:val="en-US" w:eastAsia="zh-CN" w:bidi="ar-SA"/>
              </w:rPr>
              <w:t>2024年单位按照预算要求编制单位人员及项目经费，严格执行预算，</w:t>
            </w:r>
            <w:r>
              <w:rPr>
                <w:rFonts w:hint="eastAsia" w:ascii="Times New Roman" w:hAnsi="Times New Roman" w:eastAsia="仿宋_GB2312" w:cs="Times New Roman"/>
                <w:color w:val="auto"/>
                <w:sz w:val="21"/>
                <w:szCs w:val="21"/>
                <w:lang w:val="en-US" w:eastAsia="zh-CN"/>
              </w:rPr>
              <w:t>项目整体实施情况良好，资金使用基本规范。</w:t>
            </w:r>
          </w:p>
        </w:tc>
      </w:tr>
      <w:tr w14:paraId="1C1B2597">
        <w:tblPrEx>
          <w:tblCellMar>
            <w:top w:w="0" w:type="dxa"/>
            <w:left w:w="108" w:type="dxa"/>
            <w:bottom w:w="0" w:type="dxa"/>
            <w:right w:w="108" w:type="dxa"/>
          </w:tblCellMar>
        </w:tblPrEx>
        <w:trPr>
          <w:trHeight w:val="10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EF12">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Times New Roman"/>
                <w:i w:val="0"/>
                <w:iCs w:val="0"/>
                <w:color w:val="auto"/>
                <w:kern w:val="0"/>
                <w:sz w:val="21"/>
                <w:szCs w:val="21"/>
                <w:u w:val="none"/>
                <w:lang w:val="en-US" w:eastAsia="zh-CN" w:bidi="ar"/>
              </w:rPr>
              <w:t>存在问题</w:t>
            </w:r>
          </w:p>
        </w:tc>
        <w:tc>
          <w:tcPr>
            <w:tcW w:w="74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03628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Times New Roman"/>
                <w:color w:val="auto"/>
                <w:sz w:val="21"/>
                <w:szCs w:val="21"/>
                <w:lang w:val="en-US" w:eastAsia="zh-CN"/>
              </w:rPr>
              <w:t>（一）人员</w:t>
            </w:r>
            <w:r>
              <w:rPr>
                <w:rFonts w:hint="default" w:ascii="Times New Roman" w:hAnsi="Times New Roman" w:eastAsia="仿宋_GB2312" w:cs="Times New Roman"/>
                <w:color w:val="auto"/>
                <w:sz w:val="21"/>
                <w:szCs w:val="21"/>
                <w:lang w:val="en-US" w:eastAsia="zh-CN"/>
              </w:rPr>
              <w:t>预算编制不够精准，对部分</w:t>
            </w:r>
            <w:r>
              <w:rPr>
                <w:rFonts w:hint="eastAsia" w:ascii="Times New Roman" w:hAnsi="Times New Roman" w:eastAsia="仿宋_GB2312" w:cs="Times New Roman"/>
                <w:color w:val="auto"/>
                <w:sz w:val="21"/>
                <w:szCs w:val="21"/>
                <w:lang w:val="en-US" w:eastAsia="zh-CN"/>
              </w:rPr>
              <w:t>人员工资及项目</w:t>
            </w:r>
            <w:r>
              <w:rPr>
                <w:rFonts w:hint="default" w:ascii="Times New Roman" w:hAnsi="Times New Roman" w:eastAsia="仿宋_GB2312" w:cs="Times New Roman"/>
                <w:color w:val="auto"/>
                <w:sz w:val="21"/>
                <w:szCs w:val="21"/>
                <w:lang w:val="en-US" w:eastAsia="zh-CN"/>
              </w:rPr>
              <w:t>的预估与实际支出存在偏差</w:t>
            </w:r>
            <w:r>
              <w:rPr>
                <w:rFonts w:hint="eastAsia" w:ascii="Times New Roman" w:hAnsi="Times New Roman" w:eastAsia="仿宋_GB2312" w:cs="Times New Roman"/>
                <w:color w:val="auto"/>
                <w:sz w:val="21"/>
                <w:szCs w:val="21"/>
                <w:lang w:val="en-US" w:eastAsia="zh-CN"/>
              </w:rPr>
              <w:t>；（二）预算</w:t>
            </w:r>
            <w:r>
              <w:rPr>
                <w:rFonts w:hint="default" w:ascii="Times New Roman" w:hAnsi="Times New Roman" w:eastAsia="仿宋_GB2312" w:cs="Times New Roman"/>
                <w:color w:val="auto"/>
                <w:sz w:val="21"/>
                <w:szCs w:val="21"/>
                <w:lang w:val="en-US" w:eastAsia="zh-CN"/>
              </w:rPr>
              <w:t>执行过程中，</w:t>
            </w:r>
            <w:r>
              <w:rPr>
                <w:rFonts w:hint="eastAsia" w:ascii="Times New Roman" w:hAnsi="Times New Roman" w:eastAsia="仿宋_GB2312" w:cs="Times New Roman"/>
                <w:color w:val="auto"/>
                <w:sz w:val="21"/>
                <w:szCs w:val="21"/>
                <w:lang w:val="en-US" w:eastAsia="zh-CN"/>
              </w:rPr>
              <w:t>上级批复</w:t>
            </w:r>
            <w:r>
              <w:rPr>
                <w:rFonts w:hint="default" w:ascii="Times New Roman" w:hAnsi="Times New Roman" w:eastAsia="仿宋_GB2312" w:cs="Times New Roman"/>
                <w:color w:val="auto"/>
                <w:sz w:val="21"/>
                <w:szCs w:val="21"/>
                <w:lang w:val="en-US" w:eastAsia="zh-CN"/>
              </w:rPr>
              <w:t>部分</w:t>
            </w:r>
            <w:r>
              <w:rPr>
                <w:rFonts w:hint="eastAsia" w:ascii="Times New Roman" w:hAnsi="Times New Roman" w:eastAsia="仿宋_GB2312" w:cs="Times New Roman"/>
                <w:color w:val="auto"/>
                <w:sz w:val="21"/>
                <w:szCs w:val="21"/>
                <w:lang w:val="en-US" w:eastAsia="zh-CN"/>
              </w:rPr>
              <w:t>资金</w:t>
            </w:r>
            <w:r>
              <w:rPr>
                <w:rFonts w:hint="default" w:ascii="Times New Roman" w:hAnsi="Times New Roman" w:eastAsia="仿宋_GB2312" w:cs="Times New Roman"/>
                <w:color w:val="auto"/>
                <w:sz w:val="21"/>
                <w:szCs w:val="21"/>
                <w:lang w:val="en-US" w:eastAsia="zh-CN"/>
              </w:rPr>
              <w:t>滞后，导致</w:t>
            </w:r>
            <w:r>
              <w:rPr>
                <w:rFonts w:hint="eastAsia" w:ascii="Times New Roman" w:hAnsi="Times New Roman" w:eastAsia="仿宋_GB2312" w:cs="Times New Roman"/>
                <w:color w:val="auto"/>
                <w:sz w:val="21"/>
                <w:szCs w:val="21"/>
                <w:lang w:val="en-US" w:eastAsia="zh-CN"/>
              </w:rPr>
              <w:t>项目资金支付缓慢</w:t>
            </w:r>
            <w:r>
              <w:rPr>
                <w:rFonts w:hint="default" w:ascii="Times New Roman" w:hAnsi="Times New Roman" w:eastAsia="仿宋_GB2312" w:cs="Times New Roman"/>
                <w:color w:val="auto"/>
                <w:sz w:val="21"/>
                <w:szCs w:val="21"/>
                <w:lang w:val="en-US" w:eastAsia="zh-CN"/>
              </w:rPr>
              <w:t>。</w:t>
            </w:r>
            <w:r>
              <w:rPr>
                <w:rFonts w:hint="eastAsia" w:ascii="Times New Roman" w:hAnsi="Times New Roman" w:eastAsia="仿宋_GB2312" w:cs="Times New Roman"/>
                <w:color w:val="auto"/>
                <w:sz w:val="21"/>
                <w:szCs w:val="21"/>
                <w:lang w:val="en-US" w:eastAsia="zh-CN"/>
              </w:rPr>
              <w:t>（三）在</w:t>
            </w:r>
            <w:r>
              <w:rPr>
                <w:rFonts w:hint="default" w:ascii="Times New Roman" w:hAnsi="Times New Roman" w:eastAsia="仿宋_GB2312" w:cs="Times New Roman"/>
                <w:color w:val="auto"/>
                <w:sz w:val="21"/>
                <w:szCs w:val="21"/>
                <w:lang w:val="en-US" w:eastAsia="zh-CN"/>
              </w:rPr>
              <w:t>财务管理</w:t>
            </w:r>
            <w:r>
              <w:rPr>
                <w:rFonts w:hint="eastAsia" w:ascii="Times New Roman" w:hAnsi="Times New Roman" w:eastAsia="仿宋_GB2312" w:cs="Times New Roman"/>
                <w:color w:val="auto"/>
                <w:sz w:val="21"/>
                <w:szCs w:val="21"/>
                <w:lang w:val="en-US" w:eastAsia="zh-CN"/>
              </w:rPr>
              <w:t>中预算</w:t>
            </w:r>
            <w:r>
              <w:rPr>
                <w:rFonts w:hint="default" w:ascii="Times New Roman" w:hAnsi="Times New Roman" w:eastAsia="仿宋_GB2312" w:cs="Times New Roman"/>
                <w:color w:val="auto"/>
                <w:sz w:val="21"/>
                <w:szCs w:val="21"/>
                <w:lang w:val="en-US" w:eastAsia="zh-CN"/>
              </w:rPr>
              <w:t>执行不够严格，</w:t>
            </w:r>
            <w:r>
              <w:rPr>
                <w:rFonts w:hint="eastAsia" w:ascii="Times New Roman" w:hAnsi="Times New Roman" w:eastAsia="仿宋_GB2312" w:cs="Times New Roman"/>
                <w:color w:val="auto"/>
                <w:sz w:val="21"/>
                <w:szCs w:val="21"/>
                <w:lang w:val="en-US" w:eastAsia="zh-CN"/>
              </w:rPr>
              <w:t>审核</w:t>
            </w:r>
            <w:r>
              <w:rPr>
                <w:rFonts w:hint="default" w:ascii="Times New Roman" w:hAnsi="Times New Roman" w:eastAsia="仿宋_GB2312" w:cs="Times New Roman"/>
                <w:color w:val="auto"/>
                <w:sz w:val="21"/>
                <w:szCs w:val="21"/>
                <w:lang w:val="en-US" w:eastAsia="zh-CN"/>
              </w:rPr>
              <w:t>资料不够规范。</w:t>
            </w:r>
          </w:p>
        </w:tc>
      </w:tr>
      <w:tr w14:paraId="707BC801">
        <w:tblPrEx>
          <w:tblCellMar>
            <w:top w:w="0" w:type="dxa"/>
            <w:left w:w="108" w:type="dxa"/>
            <w:bottom w:w="0" w:type="dxa"/>
            <w:right w:w="108" w:type="dxa"/>
          </w:tblCellMar>
        </w:tblPrEx>
        <w:trPr>
          <w:trHeight w:val="123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478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Times New Roman"/>
                <w:i w:val="0"/>
                <w:iCs w:val="0"/>
                <w:color w:val="auto"/>
                <w:kern w:val="0"/>
                <w:sz w:val="21"/>
                <w:szCs w:val="21"/>
                <w:u w:val="none"/>
                <w:lang w:val="en-US" w:eastAsia="zh-CN" w:bidi="ar"/>
              </w:rPr>
              <w:t>改进措施</w:t>
            </w:r>
          </w:p>
        </w:tc>
        <w:tc>
          <w:tcPr>
            <w:tcW w:w="74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1E178F">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eastAsia" w:ascii="Times New Roman" w:hAnsi="Times New Roman" w:eastAsia="仿宋_GB2312" w:cs="仿宋_GB2312"/>
                <w:color w:val="auto"/>
                <w:kern w:val="2"/>
                <w:sz w:val="21"/>
                <w:szCs w:val="21"/>
                <w:highlight w:val="none"/>
                <w:lang w:val="en-US" w:eastAsia="zh-CN" w:bidi="ar-SA"/>
              </w:rPr>
            </w:pPr>
            <w:r>
              <w:rPr>
                <w:rFonts w:hint="default" w:ascii="Times New Roman" w:hAnsi="Times New Roman" w:eastAsia="仿宋_GB2312" w:cs="Times New Roman"/>
                <w:color w:val="auto"/>
                <w:sz w:val="21"/>
                <w:szCs w:val="21"/>
                <w:lang w:val="en-US" w:eastAsia="zh-CN"/>
              </w:rPr>
              <w:t>1</w:t>
            </w:r>
            <w:r>
              <w:rPr>
                <w:rFonts w:hint="eastAsia" w:ascii="Times New Roman" w:hAnsi="Times New Roman" w:eastAsia="仿宋_GB2312" w:cs="Times New Roman"/>
                <w:color w:val="auto"/>
                <w:sz w:val="21"/>
                <w:szCs w:val="21"/>
                <w:lang w:val="en-US" w:eastAsia="zh-CN"/>
              </w:rPr>
              <w:t>.加强</w:t>
            </w:r>
            <w:r>
              <w:rPr>
                <w:rFonts w:hint="default" w:ascii="Times New Roman" w:hAnsi="Times New Roman" w:eastAsia="仿宋_GB2312" w:cs="Times New Roman"/>
                <w:color w:val="auto"/>
                <w:sz w:val="21"/>
                <w:szCs w:val="21"/>
                <w:lang w:val="en-US" w:eastAsia="zh-CN"/>
              </w:rPr>
              <w:t>预算编制</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细化预算项目，提高预算编制的精准度。2</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强化项目</w:t>
            </w:r>
            <w:r>
              <w:rPr>
                <w:rFonts w:hint="eastAsia" w:ascii="Times New Roman" w:hAnsi="Times New Roman" w:eastAsia="仿宋_GB2312" w:cs="Times New Roman"/>
                <w:color w:val="auto"/>
                <w:sz w:val="21"/>
                <w:szCs w:val="21"/>
                <w:lang w:val="en-US" w:eastAsia="zh-CN"/>
              </w:rPr>
              <w:t>过程</w:t>
            </w:r>
            <w:r>
              <w:rPr>
                <w:rFonts w:hint="default" w:ascii="Times New Roman" w:hAnsi="Times New Roman" w:eastAsia="仿宋_GB2312" w:cs="Times New Roman"/>
                <w:color w:val="auto"/>
                <w:sz w:val="21"/>
                <w:szCs w:val="21"/>
                <w:lang w:val="en-US" w:eastAsia="zh-CN"/>
              </w:rPr>
              <w:t>管理</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建立项目进度跟踪机制，合理调配资金，提高资金使用效率。3</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完善财务管理制度</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进一步细化财务管理制度确保财务资料完整、准确。</w:t>
            </w:r>
          </w:p>
        </w:tc>
      </w:tr>
      <w:tr w14:paraId="4B8C166A">
        <w:tblPrEx>
          <w:tblCellMar>
            <w:top w:w="0" w:type="dxa"/>
            <w:left w:w="108" w:type="dxa"/>
            <w:bottom w:w="0" w:type="dxa"/>
            <w:right w:w="108" w:type="dxa"/>
          </w:tblCellMar>
        </w:tblPrEx>
        <w:trPr>
          <w:trHeight w:val="654" w:hRule="atLeast"/>
          <w:jc w:val="center"/>
        </w:trPr>
        <w:tc>
          <w:tcPr>
            <w:tcW w:w="3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4885D">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left"/>
              <w:textAlignment w:val="auto"/>
              <w:outlineLvl w:val="9"/>
              <w:rPr>
                <w:rFonts w:hint="default"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Times New Roman"/>
                <w:i w:val="0"/>
                <w:iCs w:val="0"/>
                <w:color w:val="auto"/>
                <w:kern w:val="0"/>
                <w:sz w:val="21"/>
                <w:szCs w:val="21"/>
                <w:u w:val="none"/>
                <w:lang w:val="en-US" w:eastAsia="zh-CN" w:bidi="ar"/>
              </w:rPr>
              <w:t>项目负责人：唐小龙</w:t>
            </w:r>
          </w:p>
        </w:tc>
        <w:tc>
          <w:tcPr>
            <w:tcW w:w="4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A29BA7">
            <w:pPr>
              <w:keepNext w:val="0"/>
              <w:keepLines w:val="0"/>
              <w:pageBreakBefore w:val="0"/>
              <w:widowControl/>
              <w:kinsoku/>
              <w:wordWrap/>
              <w:overflowPunct/>
              <w:topLinePunct w:val="0"/>
              <w:autoSpaceDE/>
              <w:autoSpaceDN/>
              <w:bidi w:val="0"/>
              <w:adjustRightInd w:val="0"/>
              <w:snapToGrid w:val="0"/>
              <w:spacing w:line="260" w:lineRule="exact"/>
              <w:ind w:firstLine="0" w:firstLineChars="0"/>
              <w:contextualSpacing/>
              <w:jc w:val="center"/>
              <w:textAlignment w:val="auto"/>
              <w:outlineLvl w:val="9"/>
              <w:rPr>
                <w:rFonts w:hint="default" w:ascii="Times New Roman" w:hAnsi="Times New Roman" w:eastAsia="仿宋_GB2312" w:cs="仿宋_GB2312"/>
                <w:color w:val="auto"/>
                <w:kern w:val="2"/>
                <w:sz w:val="21"/>
                <w:szCs w:val="21"/>
                <w:highlight w:val="none"/>
                <w:lang w:val="en-US" w:eastAsia="zh-CN" w:bidi="ar-SA"/>
              </w:rPr>
            </w:pPr>
            <w:r>
              <w:rPr>
                <w:rFonts w:hint="eastAsia" w:ascii="Times New Roman" w:hAnsi="Times New Roman" w:eastAsia="仿宋_GB2312" w:cs="Times New Roman"/>
                <w:i w:val="0"/>
                <w:iCs w:val="0"/>
                <w:color w:val="auto"/>
                <w:sz w:val="21"/>
                <w:szCs w:val="21"/>
                <w:u w:val="none"/>
                <w:lang w:eastAsia="zh-CN"/>
              </w:rPr>
              <w:t>财务负责人：</w:t>
            </w:r>
            <w:r>
              <w:rPr>
                <w:rFonts w:hint="eastAsia" w:ascii="Times New Roman" w:hAnsi="Times New Roman" w:eastAsia="仿宋_GB2312" w:cs="Times New Roman"/>
                <w:i w:val="0"/>
                <w:iCs w:val="0"/>
                <w:color w:val="auto"/>
                <w:sz w:val="21"/>
                <w:szCs w:val="21"/>
                <w:u w:val="none"/>
                <w:lang w:val="en-US" w:eastAsia="zh-CN"/>
              </w:rPr>
              <w:t>冯迎辉</w:t>
            </w:r>
          </w:p>
        </w:tc>
      </w:tr>
    </w:tbl>
    <w:p w14:paraId="5EB12D77">
      <w:pPr>
        <w:pStyle w:val="9"/>
        <w:rPr>
          <w:rStyle w:val="26"/>
        </w:rPr>
        <w:sectPr>
          <w:pgSz w:w="11906" w:h="16838"/>
          <w:pgMar w:top="1440" w:right="1800" w:bottom="1440" w:left="1800" w:header="851" w:footer="992" w:gutter="0"/>
          <w:pgNumType w:fmt="decimal"/>
          <w:cols w:space="720" w:num="1"/>
          <w:rtlGutter w:val="0"/>
          <w:docGrid w:type="lines" w:linePitch="312" w:charSpace="0"/>
        </w:sectPr>
      </w:pPr>
    </w:p>
    <w:tbl>
      <w:tblPr>
        <w:tblStyle w:val="18"/>
        <w:tblW w:w="5000" w:type="pct"/>
        <w:tblInd w:w="0" w:type="dxa"/>
        <w:shd w:val="clear" w:color="auto" w:fill="auto"/>
        <w:tblLayout w:type="autofit"/>
        <w:tblCellMar>
          <w:top w:w="0" w:type="dxa"/>
          <w:left w:w="108" w:type="dxa"/>
          <w:bottom w:w="0" w:type="dxa"/>
          <w:right w:w="108" w:type="dxa"/>
        </w:tblCellMar>
      </w:tblPr>
      <w:tblGrid>
        <w:gridCol w:w="839"/>
        <w:gridCol w:w="726"/>
        <w:gridCol w:w="837"/>
        <w:gridCol w:w="965"/>
        <w:gridCol w:w="726"/>
        <w:gridCol w:w="747"/>
        <w:gridCol w:w="704"/>
        <w:gridCol w:w="1023"/>
        <w:gridCol w:w="561"/>
        <w:gridCol w:w="561"/>
        <w:gridCol w:w="833"/>
      </w:tblGrid>
      <w:tr w14:paraId="1C9755F6">
        <w:tblPrEx>
          <w:shd w:val="clear" w:color="auto" w:fill="auto"/>
          <w:tblCellMar>
            <w:top w:w="0" w:type="dxa"/>
            <w:left w:w="108" w:type="dxa"/>
            <w:bottom w:w="0" w:type="dxa"/>
            <w:right w:w="108" w:type="dxa"/>
          </w:tblCellMar>
        </w:tblPrEx>
        <w:trPr>
          <w:trHeight w:val="682" w:hRule="atLeast"/>
        </w:trPr>
        <w:tc>
          <w:tcPr>
            <w:tcW w:w="5000" w:type="pct"/>
            <w:gridSpan w:val="11"/>
            <w:tcBorders>
              <w:top w:val="nil"/>
              <w:left w:val="nil"/>
              <w:bottom w:val="single" w:color="auto" w:sz="4" w:space="0"/>
              <w:right w:val="nil"/>
            </w:tcBorders>
            <w:shd w:val="clear" w:color="auto" w:fill="auto"/>
            <w:vAlign w:val="center"/>
          </w:tcPr>
          <w:p w14:paraId="6B022C7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20" w:name="_Toc15396618"/>
            <w:r>
              <w:rPr>
                <w:rFonts w:hint="eastAsia" w:ascii="方正小标宋简体" w:hAnsi="方正小标宋简体" w:eastAsia="方正小标宋简体" w:cs="方正小标宋简体"/>
                <w:b w:val="0"/>
                <w:bCs w:val="0"/>
                <w:color w:val="000000"/>
                <w:kern w:val="0"/>
                <w:sz w:val="36"/>
                <w:szCs w:val="36"/>
                <w:lang w:val="en-US" w:eastAsia="zh-CN"/>
              </w:rPr>
              <w:t>部门预算项目支出绩效自评表（2024年度）</w:t>
            </w:r>
          </w:p>
        </w:tc>
      </w:tr>
      <w:tr w14:paraId="6D91C123">
        <w:tblPrEx>
          <w:tblCellMar>
            <w:top w:w="0" w:type="dxa"/>
            <w:left w:w="108" w:type="dxa"/>
            <w:bottom w:w="0" w:type="dxa"/>
            <w:right w:w="108" w:type="dxa"/>
          </w:tblCellMar>
        </w:tblPrEx>
        <w:trPr>
          <w:trHeight w:val="584" w:hRule="atLeast"/>
        </w:trPr>
        <w:tc>
          <w:tcPr>
            <w:tcW w:w="9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79078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项目名称</w:t>
            </w:r>
          </w:p>
        </w:tc>
        <w:tc>
          <w:tcPr>
            <w:tcW w:w="408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1AE9664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51090424T000011106475-2024年参政议政经费</w:t>
            </w:r>
          </w:p>
        </w:tc>
      </w:tr>
      <w:tr w14:paraId="394A9B18">
        <w:tblPrEx>
          <w:tblCellMar>
            <w:top w:w="0" w:type="dxa"/>
            <w:left w:w="108" w:type="dxa"/>
            <w:bottom w:w="0" w:type="dxa"/>
            <w:right w:w="108" w:type="dxa"/>
          </w:tblCellMar>
        </w:tblPrEx>
        <w:trPr>
          <w:trHeight w:val="650" w:hRule="atLeast"/>
        </w:trPr>
        <w:tc>
          <w:tcPr>
            <w:tcW w:w="91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509F09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主管部门</w:t>
            </w:r>
          </w:p>
        </w:tc>
        <w:tc>
          <w:tcPr>
            <w:tcW w:w="148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6C7B67F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遂宁市安居区工商业联合会部门</w:t>
            </w:r>
          </w:p>
        </w:tc>
        <w:tc>
          <w:tcPr>
            <w:tcW w:w="1451" w:type="pct"/>
            <w:gridSpan w:val="3"/>
            <w:tcBorders>
              <w:top w:val="single" w:color="auto" w:sz="4" w:space="0"/>
              <w:left w:val="nil"/>
              <w:bottom w:val="nil"/>
              <w:right w:val="nil"/>
            </w:tcBorders>
            <w:shd w:val="clear" w:color="auto" w:fill="auto"/>
            <w:vAlign w:val="center"/>
          </w:tcPr>
          <w:p w14:paraId="59EE81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实施单位 （盖章）</w:t>
            </w:r>
          </w:p>
        </w:tc>
        <w:tc>
          <w:tcPr>
            <w:tcW w:w="1146"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0D69BEC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遂宁市安居区工商业联合会</w:t>
            </w:r>
          </w:p>
        </w:tc>
      </w:tr>
      <w:tr w14:paraId="09618295">
        <w:tblPrEx>
          <w:tblCellMar>
            <w:top w:w="0" w:type="dxa"/>
            <w:left w:w="108" w:type="dxa"/>
            <w:bottom w:w="0" w:type="dxa"/>
            <w:right w:w="108" w:type="dxa"/>
          </w:tblCellMar>
        </w:tblPrEx>
        <w:trPr>
          <w:trHeight w:val="379"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0443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项目基本情况</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62FC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1.项目年度目标完成情况</w:t>
            </w:r>
          </w:p>
        </w:tc>
        <w:tc>
          <w:tcPr>
            <w:tcW w:w="14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E2CE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项目年度目标</w:t>
            </w:r>
          </w:p>
        </w:tc>
        <w:tc>
          <w:tcPr>
            <w:tcW w:w="25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A698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年度目标完成情况</w:t>
            </w:r>
          </w:p>
        </w:tc>
      </w:tr>
      <w:tr w14:paraId="26857EF2">
        <w:tblPrEx>
          <w:tblCellMar>
            <w:top w:w="0" w:type="dxa"/>
            <w:left w:w="108" w:type="dxa"/>
            <w:bottom w:w="0" w:type="dxa"/>
            <w:right w:w="108" w:type="dxa"/>
          </w:tblCellMar>
        </w:tblPrEx>
        <w:trPr>
          <w:trHeight w:val="9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9D47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DDD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14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F9D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区工商联作为党和政府联系非公有制经济人士的桥梁纽带，承担着参政议政、建言献策的重要职能。</w:t>
            </w:r>
          </w:p>
        </w:tc>
        <w:tc>
          <w:tcPr>
            <w:tcW w:w="25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22A1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为民营企业发展中的热点、难点问题，组织开展专题调研活动，形成高质量调研报告；鼓励引导工商联会员、政协委员提出具有针对性和可操作性的提案、建议；举办各类政策研讨会、座谈会，加强政企沟通交流；同时，对优秀参政议政成果进行宣传推广，扩大影响力。</w:t>
            </w:r>
          </w:p>
        </w:tc>
      </w:tr>
      <w:tr w14:paraId="20698DE8">
        <w:tblPrEx>
          <w:tblCellMar>
            <w:top w:w="0" w:type="dxa"/>
            <w:left w:w="108" w:type="dxa"/>
            <w:bottom w:w="0" w:type="dxa"/>
            <w:right w:w="108" w:type="dxa"/>
          </w:tblCellMar>
        </w:tblPrEx>
        <w:trPr>
          <w:trHeight w:val="96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6D2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F34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2.项目实施内容及过程概述</w:t>
            </w:r>
          </w:p>
        </w:tc>
        <w:tc>
          <w:tcPr>
            <w:tcW w:w="408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002D8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2024年6月与10月区工商联建立成都、上海两个商会联络点；为区领导提议2篇得以采纳；3件得到部门落实；组织2场座谈并为中个企业解决诉求10项。</w:t>
            </w:r>
          </w:p>
        </w:tc>
      </w:tr>
      <w:tr w14:paraId="1950CE66">
        <w:tblPrEx>
          <w:tblCellMar>
            <w:top w:w="0" w:type="dxa"/>
            <w:left w:w="108" w:type="dxa"/>
            <w:bottom w:w="0" w:type="dxa"/>
            <w:right w:w="108" w:type="dxa"/>
          </w:tblCellMar>
        </w:tblPrEx>
        <w:trPr>
          <w:trHeight w:val="650"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DE89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预算执行情况（10分）</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B42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年度预算数（万元）</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FE5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年初</w:t>
            </w:r>
          </w:p>
          <w:p w14:paraId="6554103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预算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798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调整后预算数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B4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预算执行数</w:t>
            </w:r>
          </w:p>
        </w:tc>
        <w:tc>
          <w:tcPr>
            <w:tcW w:w="14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CC61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预算执行率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F6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权重</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4B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得分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2B24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原因</w:t>
            </w:r>
          </w:p>
        </w:tc>
      </w:tr>
      <w:tr w14:paraId="29085719">
        <w:tblPrEx>
          <w:tblCellMar>
            <w:top w:w="0" w:type="dxa"/>
            <w:left w:w="108" w:type="dxa"/>
            <w:bottom w:w="0" w:type="dxa"/>
            <w:right w:w="108" w:type="dxa"/>
          </w:tblCellMar>
        </w:tblPrEx>
        <w:trPr>
          <w:trHeight w:val="445"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DB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AED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总额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42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7B7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631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10.00</w:t>
            </w:r>
          </w:p>
        </w:tc>
        <w:tc>
          <w:tcPr>
            <w:tcW w:w="14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E9E6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F0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40C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1B11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105D06D5">
        <w:tblPrEx>
          <w:tblCellMar>
            <w:top w:w="0" w:type="dxa"/>
            <w:left w:w="108" w:type="dxa"/>
            <w:bottom w:w="0" w:type="dxa"/>
            <w:right w:w="108" w:type="dxa"/>
          </w:tblCellMar>
        </w:tblPrEx>
        <w:trPr>
          <w:trHeight w:val="67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40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589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其中：财政资金</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2E2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3FB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950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10.00</w:t>
            </w:r>
          </w:p>
        </w:tc>
        <w:tc>
          <w:tcPr>
            <w:tcW w:w="14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6FAC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C54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E63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B8A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2DBDBDC6">
        <w:tblPrEx>
          <w:tblCellMar>
            <w:top w:w="0" w:type="dxa"/>
            <w:left w:w="108" w:type="dxa"/>
            <w:bottom w:w="0" w:type="dxa"/>
            <w:right w:w="108" w:type="dxa"/>
          </w:tblCellMar>
        </w:tblPrEx>
        <w:trPr>
          <w:trHeight w:val="65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A5A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77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财政专户管理资金</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849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08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448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0.00</w:t>
            </w:r>
          </w:p>
        </w:tc>
        <w:tc>
          <w:tcPr>
            <w:tcW w:w="14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2705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31D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1BF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76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342BEF18">
        <w:tblPrEx>
          <w:tblCellMar>
            <w:top w:w="0" w:type="dxa"/>
            <w:left w:w="108" w:type="dxa"/>
            <w:bottom w:w="0" w:type="dxa"/>
            <w:right w:w="108" w:type="dxa"/>
          </w:tblCellMar>
        </w:tblPrEx>
        <w:trPr>
          <w:trHeight w:val="475"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0E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629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单位资金</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995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9D2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50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0.00</w:t>
            </w:r>
          </w:p>
        </w:tc>
        <w:tc>
          <w:tcPr>
            <w:tcW w:w="14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459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0.00%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F3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08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956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3B5B220A">
        <w:tblPrEx>
          <w:tblCellMar>
            <w:top w:w="0" w:type="dxa"/>
            <w:left w:w="108" w:type="dxa"/>
            <w:bottom w:w="0" w:type="dxa"/>
            <w:right w:w="108" w:type="dxa"/>
          </w:tblCellMar>
        </w:tblPrEx>
        <w:trPr>
          <w:trHeight w:val="565"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99A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87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其他资金</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E4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AB4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6B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14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9148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764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6BE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AB1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6E43A9E2">
        <w:tblPrEx>
          <w:tblCellMar>
            <w:top w:w="0" w:type="dxa"/>
            <w:left w:w="108" w:type="dxa"/>
            <w:bottom w:w="0" w:type="dxa"/>
            <w:right w:w="108" w:type="dxa"/>
          </w:tblCellMar>
        </w:tblPrEx>
        <w:trPr>
          <w:trHeight w:val="1129"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78DD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绩效指标（90分）</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CB6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一级指标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EBD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二级</w:t>
            </w:r>
          </w:p>
          <w:p w14:paraId="2340F96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FA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三级</w:t>
            </w:r>
          </w:p>
          <w:p w14:paraId="174FBB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9DE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指标性质</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4D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指标值</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733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度量单位</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C2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完成值</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6C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权重</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43A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得分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60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未完成原因分析</w:t>
            </w:r>
          </w:p>
        </w:tc>
      </w:tr>
      <w:tr w14:paraId="6EDFBFFD">
        <w:tblPrEx>
          <w:tblCellMar>
            <w:top w:w="0" w:type="dxa"/>
            <w:left w:w="108" w:type="dxa"/>
            <w:bottom w:w="0" w:type="dxa"/>
            <w:right w:w="108" w:type="dxa"/>
          </w:tblCellMar>
        </w:tblPrEx>
        <w:trPr>
          <w:trHeight w:val="128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79F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DE03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产出指标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93F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数量</w:t>
            </w:r>
          </w:p>
          <w:p w14:paraId="4A460E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C8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商会建设计划时间安排</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13A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E2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预计6、10月建设商会</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0E6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个</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B03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2024年6月成都商会建立；10月上海商会建立</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ADE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B5A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27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57783E9C">
        <w:tblPrEx>
          <w:tblCellMar>
            <w:top w:w="0" w:type="dxa"/>
            <w:left w:w="108" w:type="dxa"/>
            <w:bottom w:w="0" w:type="dxa"/>
            <w:right w:w="108" w:type="dxa"/>
          </w:tblCellMar>
        </w:tblPrEx>
        <w:trPr>
          <w:trHeight w:val="65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9FEE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D9A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95B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数量</w:t>
            </w:r>
          </w:p>
          <w:p w14:paraId="60D038E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56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建设办事商会联络点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D42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62C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95C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个</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23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50C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7E6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BD9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6C8371BF">
        <w:tblPrEx>
          <w:tblCellMar>
            <w:top w:w="0" w:type="dxa"/>
            <w:left w:w="108" w:type="dxa"/>
            <w:bottom w:w="0" w:type="dxa"/>
            <w:right w:w="108" w:type="dxa"/>
          </w:tblCellMar>
        </w:tblPrEx>
        <w:trPr>
          <w:trHeight w:val="160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8AB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F77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57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质量</w:t>
            </w:r>
          </w:p>
          <w:p w14:paraId="623D15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7C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参政议政成果的专业性、实用性及采纳情况</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C00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B12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2篇报告获区领导批示，3件提案被部门落实</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60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项</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309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2篇报告获区领导批示，3件提案被部门落实</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30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F3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082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37A3AF94">
        <w:tblPrEx>
          <w:tblCellMar>
            <w:top w:w="0" w:type="dxa"/>
            <w:left w:w="108" w:type="dxa"/>
            <w:bottom w:w="0" w:type="dxa"/>
            <w:right w:w="108" w:type="dxa"/>
          </w:tblCellMar>
        </w:tblPrEx>
        <w:trPr>
          <w:trHeight w:val="65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9BFC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EE5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717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时效</w:t>
            </w:r>
          </w:p>
          <w:p w14:paraId="3115D8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45F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项目完成时间</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1BE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573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预计11月完成</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914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月</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E11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2024年11月完成</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8F1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3DD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57D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30EA3D75">
        <w:tblPrEx>
          <w:tblCellMar>
            <w:top w:w="0" w:type="dxa"/>
            <w:left w:w="108" w:type="dxa"/>
            <w:bottom w:w="0" w:type="dxa"/>
            <w:right w:w="108" w:type="dxa"/>
          </w:tblCellMar>
        </w:tblPrEx>
        <w:trPr>
          <w:trHeight w:val="128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B5C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7E6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效益指标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DC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经济效益指标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386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对区域民营经济发展的促进作用</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839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定性</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E3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助力企业解决融资、审批等难题</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D90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EA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推动出台小微企业贷款贴息政策，企业减负。</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19F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3A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6CE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294BB402">
        <w:tblPrEx>
          <w:tblCellMar>
            <w:top w:w="0" w:type="dxa"/>
            <w:left w:w="108" w:type="dxa"/>
            <w:bottom w:w="0" w:type="dxa"/>
            <w:right w:w="108" w:type="dxa"/>
          </w:tblCellMar>
        </w:tblPrEx>
        <w:trPr>
          <w:trHeight w:val="128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600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576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78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社会效益指标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C85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提升工商联影响力、促进政企沟通成效</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7D0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定性</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272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增强工商联凝聚力，搭建政企沟通平台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F97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F85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组织 2 场座谈会，解决企业诉求10 项</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8C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39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71A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397A5DC3">
        <w:tblPrEx>
          <w:tblCellMar>
            <w:top w:w="0" w:type="dxa"/>
            <w:left w:w="108" w:type="dxa"/>
            <w:bottom w:w="0" w:type="dxa"/>
            <w:right w:w="108" w:type="dxa"/>
          </w:tblCellMar>
        </w:tblPrEx>
        <w:trPr>
          <w:trHeight w:val="128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24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32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满意度指标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F15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满意度指标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FD8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会员企业、政协委员等对项目实施的满意程度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E63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DB8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7E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4D3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95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EE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022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E01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0FBB6C60">
        <w:tblPrEx>
          <w:tblCellMar>
            <w:top w:w="0" w:type="dxa"/>
            <w:left w:w="108" w:type="dxa"/>
            <w:bottom w:w="0" w:type="dxa"/>
            <w:right w:w="108" w:type="dxa"/>
          </w:tblCellMar>
        </w:tblPrEx>
        <w:trPr>
          <w:trHeight w:val="65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BA2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A16C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成本指标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90E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经济成本指标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A3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商会建设租赁费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8B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6C5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04E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万元</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142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72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ABD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3E1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05ED2C2E">
        <w:tblPrEx>
          <w:tblCellMar>
            <w:top w:w="0" w:type="dxa"/>
            <w:left w:w="108" w:type="dxa"/>
            <w:bottom w:w="0" w:type="dxa"/>
            <w:right w:w="108" w:type="dxa"/>
          </w:tblCellMar>
        </w:tblPrEx>
        <w:trPr>
          <w:trHeight w:val="65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10F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46C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ACB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经济成本指标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9A5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办公经费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313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FB4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35E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万元</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377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41C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40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0E7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304FD5A2">
        <w:tblPrEx>
          <w:tblCellMar>
            <w:top w:w="0" w:type="dxa"/>
            <w:left w:w="108" w:type="dxa"/>
            <w:bottom w:w="0" w:type="dxa"/>
            <w:right w:w="108" w:type="dxa"/>
          </w:tblCellMar>
        </w:tblPrEx>
        <w:trPr>
          <w:trHeight w:val="332" w:hRule="atLeast"/>
        </w:trPr>
        <w:tc>
          <w:tcPr>
            <w:tcW w:w="385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0FBC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59D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23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F9F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p>
        </w:tc>
      </w:tr>
      <w:tr w14:paraId="7470742F">
        <w:tblPrEx>
          <w:tblCellMar>
            <w:top w:w="0" w:type="dxa"/>
            <w:left w:w="108" w:type="dxa"/>
            <w:bottom w:w="0" w:type="dxa"/>
            <w:right w:w="108" w:type="dxa"/>
          </w:tblCellMar>
        </w:tblPrEx>
        <w:trPr>
          <w:trHeight w:val="81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B2F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评价结论</w:t>
            </w:r>
          </w:p>
        </w:tc>
        <w:tc>
          <w:tcPr>
            <w:tcW w:w="450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C3602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2024年区工商联参政议政经费项目绩效自评得分为100分。项目实施情况良好，资金使用基本规范，在提升参政议政水平、促进政企沟通等方面取得了一定成效，但在预算管理、项目执行细节等方面仍存在改进空间。</w:t>
            </w:r>
          </w:p>
        </w:tc>
      </w:tr>
      <w:tr w14:paraId="0FEE33CD">
        <w:tblPrEx>
          <w:tblCellMar>
            <w:top w:w="0" w:type="dxa"/>
            <w:left w:w="108" w:type="dxa"/>
            <w:bottom w:w="0" w:type="dxa"/>
            <w:right w:w="108" w:type="dxa"/>
          </w:tblCellMar>
        </w:tblPrEx>
        <w:trPr>
          <w:trHeight w:val="8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8F9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存在问题</w:t>
            </w:r>
          </w:p>
        </w:tc>
        <w:tc>
          <w:tcPr>
            <w:tcW w:w="450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8D7AB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1</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预算编制不够精准，对部分费用的预估与实际支出存在偏差。​</w:t>
            </w:r>
          </w:p>
          <w:p w14:paraId="6DB938D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执行过程中，受外部因素影响，部分活动进度滞后，导致资金使用效率不高。​</w:t>
            </w:r>
          </w:p>
          <w:p w14:paraId="163C2FA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val="en-US" w:eastAsia="zh-CN"/>
              </w:rPr>
              <w:t>3</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财务管理制度执行不够严格，报销凭证等资料管理不够规范。</w:t>
            </w:r>
          </w:p>
        </w:tc>
      </w:tr>
      <w:tr w14:paraId="02D03977">
        <w:tblPrEx>
          <w:tblCellMar>
            <w:top w:w="0" w:type="dxa"/>
            <w:left w:w="108" w:type="dxa"/>
            <w:bottom w:w="0" w:type="dxa"/>
            <w:right w:w="108" w:type="dxa"/>
          </w:tblCellMar>
        </w:tblPrEx>
        <w:trPr>
          <w:trHeight w:val="1437"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6C6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val="en-US" w:eastAsia="zh-CN"/>
              </w:rPr>
              <w:t>改进措施</w:t>
            </w:r>
          </w:p>
        </w:tc>
        <w:tc>
          <w:tcPr>
            <w:tcW w:w="450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1EDFF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1</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优化预算编制</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加强对项目活动的调研和分析，细化预算项目，提高预算编制的精准度，确保预算与实际工作需求紧密结合。​</w:t>
            </w:r>
          </w:p>
          <w:p w14:paraId="199F641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强化项目管理</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建立项目进度跟踪机制，提前预判和应对可能影响项目推进的因素；优化活动安排，合理调配资金，提高资金使用效率。​</w:t>
            </w:r>
          </w:p>
          <w:p w14:paraId="111F7DB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val="en-US" w:eastAsia="zh-CN"/>
              </w:rPr>
              <w:t>3</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完善财务管理制度</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进一步细化财务管理制度，加强对财务人员和项目执行人员的培训，规范报销流程，确保财务资料完整、准确。</w:t>
            </w:r>
          </w:p>
        </w:tc>
      </w:tr>
      <w:tr w14:paraId="7D7DBC15">
        <w:tblPrEx>
          <w:tblCellMar>
            <w:top w:w="0" w:type="dxa"/>
            <w:left w:w="108" w:type="dxa"/>
            <w:bottom w:w="0" w:type="dxa"/>
            <w:right w:w="108" w:type="dxa"/>
          </w:tblCellMar>
        </w:tblPrEx>
        <w:trPr>
          <w:trHeight w:val="521" w:hRule="atLeast"/>
        </w:trPr>
        <w:tc>
          <w:tcPr>
            <w:tcW w:w="24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B24D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项目负责人：唐小龙</w:t>
            </w:r>
          </w:p>
        </w:tc>
        <w:tc>
          <w:tcPr>
            <w:tcW w:w="25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6DB99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val="en-US" w:eastAsia="zh-CN"/>
              </w:rPr>
              <w:t>财务负责人：冯迎辉</w:t>
            </w:r>
          </w:p>
        </w:tc>
      </w:tr>
      <w:bookmarkEnd w:id="20"/>
    </w:tbl>
    <w:p w14:paraId="4401E55F">
      <w:pPr>
        <w:numPr>
          <w:ilvl w:val="0"/>
          <w:numId w:val="0"/>
        </w:numPr>
        <w:tabs>
          <w:tab w:val="left" w:pos="3013"/>
        </w:tabs>
        <w:spacing w:line="600" w:lineRule="exact"/>
        <w:jc w:val="left"/>
        <w:outlineLvl w:val="0"/>
        <w:rPr>
          <w:rFonts w:hint="eastAsia" w:ascii="Times New Roman" w:hAnsi="Times New Roman" w:eastAsia="方正小标宋简体" w:cs="方正小标宋简体"/>
          <w:b w:val="0"/>
          <w:bCs/>
          <w:color w:val="auto"/>
          <w:kern w:val="44"/>
          <w:sz w:val="44"/>
          <w:szCs w:val="44"/>
          <w:highlight w:val="none"/>
          <w:lang w:val="en-US" w:eastAsia="zh-CN" w:bidi="ar-SA"/>
        </w:rPr>
        <w:sectPr>
          <w:pgSz w:w="11906" w:h="16838"/>
          <w:pgMar w:top="1440" w:right="1800" w:bottom="1440" w:left="1800" w:header="851" w:footer="992" w:gutter="0"/>
          <w:pgNumType w:fmt="decimal"/>
          <w:cols w:space="720" w:num="1"/>
          <w:rtlGutter w:val="0"/>
          <w:docGrid w:type="lines" w:linePitch="312" w:charSpace="0"/>
        </w:sectPr>
      </w:pPr>
      <w:bookmarkStart w:id="21" w:name="_Toc4943"/>
    </w:p>
    <w:p w14:paraId="5F509D7C">
      <w:pPr>
        <w:numPr>
          <w:ilvl w:val="0"/>
          <w:numId w:val="0"/>
        </w:numPr>
        <w:spacing w:line="600" w:lineRule="exact"/>
        <w:jc w:val="center"/>
        <w:outlineLvl w:val="0"/>
        <w:rPr>
          <w:rFonts w:hint="default" w:ascii="Times New Roman" w:hAnsi="Times New Roman" w:eastAsia="方正小标宋简体" w:cs="方正小标宋简体"/>
          <w:b w:val="0"/>
          <w:bCs/>
          <w:color w:val="auto"/>
          <w:kern w:val="44"/>
          <w:sz w:val="44"/>
          <w:szCs w:val="44"/>
          <w:highlight w:val="none"/>
          <w:lang w:val="en-US" w:eastAsia="zh-CN" w:bidi="ar-SA"/>
        </w:rPr>
      </w:pPr>
      <w:r>
        <w:rPr>
          <w:rFonts w:hint="eastAsia" w:ascii="Times New Roman" w:hAnsi="Times New Roman" w:eastAsia="方正小标宋简体" w:cs="方正小标宋简体"/>
          <w:b w:val="0"/>
          <w:bCs/>
          <w:color w:val="auto"/>
          <w:kern w:val="44"/>
          <w:sz w:val="44"/>
          <w:szCs w:val="44"/>
          <w:highlight w:val="none"/>
          <w:lang w:val="en-US" w:eastAsia="zh-CN" w:bidi="ar-SA"/>
        </w:rPr>
        <w:t xml:space="preserve">第五部分 </w:t>
      </w:r>
      <w:r>
        <w:rPr>
          <w:rFonts w:hint="default" w:ascii="Times New Roman" w:hAnsi="Times New Roman" w:eastAsia="方正小标宋简体" w:cs="方正小标宋简体"/>
          <w:b w:val="0"/>
          <w:bCs/>
          <w:color w:val="auto"/>
          <w:kern w:val="44"/>
          <w:sz w:val="44"/>
          <w:szCs w:val="44"/>
          <w:highlight w:val="none"/>
          <w:lang w:val="en-US" w:eastAsia="zh-CN" w:bidi="ar-SA"/>
        </w:rPr>
        <w:t>附表</w:t>
      </w:r>
      <w:bookmarkEnd w:id="21"/>
      <w:bookmarkStart w:id="22" w:name="_Toc15396619"/>
    </w:p>
    <w:p w14:paraId="787B8ED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rPr>
      </w:pPr>
    </w:p>
    <w:p w14:paraId="78B22F9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rPr>
        <w:t>收入支出决算总表</w:t>
      </w:r>
    </w:p>
    <w:p w14:paraId="59427EE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w:t>
      </w:r>
      <w:r>
        <w:rPr>
          <w:rFonts w:hint="eastAsia" w:ascii="Times New Roman" w:hAnsi="Times New Roman" w:eastAsia="仿宋_GB2312" w:cs="仿宋_GB2312"/>
          <w:color w:val="auto"/>
          <w:sz w:val="32"/>
          <w:szCs w:val="32"/>
          <w:highlight w:val="none"/>
          <w:lang w:eastAsia="zh-CN"/>
        </w:rPr>
        <w:t>决算</w:t>
      </w:r>
      <w:r>
        <w:rPr>
          <w:rFonts w:hint="eastAsia" w:ascii="Times New Roman" w:hAnsi="Times New Roman" w:eastAsia="仿宋_GB2312" w:cs="仿宋_GB2312"/>
          <w:color w:val="auto"/>
          <w:sz w:val="32"/>
          <w:szCs w:val="32"/>
          <w:highlight w:val="none"/>
        </w:rPr>
        <w:t>表</w:t>
      </w:r>
    </w:p>
    <w:p w14:paraId="0BA9762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eastAsia="zh-CN"/>
        </w:rPr>
        <w:t>支出决算</w:t>
      </w:r>
      <w:r>
        <w:rPr>
          <w:rFonts w:hint="eastAsia" w:ascii="Times New Roman" w:hAnsi="Times New Roman" w:eastAsia="仿宋_GB2312" w:cs="仿宋_GB2312"/>
          <w:color w:val="auto"/>
          <w:sz w:val="32"/>
          <w:szCs w:val="32"/>
          <w:highlight w:val="none"/>
        </w:rPr>
        <w:t>表</w:t>
      </w:r>
    </w:p>
    <w:p w14:paraId="3F86A6D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p>
    <w:p w14:paraId="1F64F61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五</w:t>
      </w:r>
      <w:r>
        <w:rPr>
          <w:rFonts w:hint="eastAsia" w:ascii="Times New Roman" w:hAnsi="Times New Roman" w:eastAsia="仿宋_GB2312" w:cs="仿宋_GB2312"/>
          <w:color w:val="auto"/>
          <w:sz w:val="32"/>
          <w:szCs w:val="32"/>
          <w:highlight w:val="none"/>
        </w:rPr>
        <w:t>、财政拨款支出决算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77C9883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六</w:t>
      </w:r>
      <w:r>
        <w:rPr>
          <w:rFonts w:hint="eastAsia" w:ascii="Times New Roman" w:hAnsi="Times New Roman" w:eastAsia="仿宋_GB2312" w:cs="仿宋_GB2312"/>
          <w:color w:val="auto"/>
          <w:sz w:val="32"/>
          <w:szCs w:val="32"/>
          <w:highlight w:val="none"/>
        </w:rPr>
        <w:t>、一般公共预算财政拨款支出决算表</w:t>
      </w:r>
    </w:p>
    <w:p w14:paraId="65E73F9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七</w:t>
      </w:r>
      <w:r>
        <w:rPr>
          <w:rFonts w:hint="eastAsia" w:ascii="Times New Roman" w:hAnsi="Times New Roman" w:eastAsia="仿宋_GB2312" w:cs="仿宋_GB2312"/>
          <w:color w:val="auto"/>
          <w:sz w:val="32"/>
          <w:szCs w:val="32"/>
          <w:highlight w:val="none"/>
        </w:rPr>
        <w:t>、一般公共预算财政拨款支出</w:t>
      </w:r>
      <w:r>
        <w:rPr>
          <w:rFonts w:hint="eastAsia" w:ascii="Times New Roman" w:hAnsi="Times New Roman" w:eastAsia="仿宋_GB2312" w:cs="仿宋_GB2312"/>
          <w:color w:val="auto"/>
          <w:sz w:val="32"/>
          <w:szCs w:val="32"/>
          <w:highlight w:val="none"/>
          <w:lang w:val="en-US" w:eastAsia="zh-CN"/>
        </w:rPr>
        <w:t>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3E3D352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八</w:t>
      </w:r>
      <w:r>
        <w:rPr>
          <w:rFonts w:hint="eastAsia" w:ascii="Times New Roman" w:hAnsi="Times New Roman" w:eastAsia="仿宋_GB2312" w:cs="仿宋_GB2312"/>
          <w:color w:val="auto"/>
          <w:sz w:val="32"/>
          <w:szCs w:val="32"/>
          <w:highlight w:val="none"/>
        </w:rPr>
        <w:t>、一般公共预算财政拨款基本支出决算表</w:t>
      </w:r>
    </w:p>
    <w:p w14:paraId="00EF2FD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九</w:t>
      </w:r>
      <w:r>
        <w:rPr>
          <w:rFonts w:hint="eastAsia" w:ascii="Times New Roman" w:hAnsi="Times New Roman" w:eastAsia="仿宋_GB2312" w:cs="仿宋_GB2312"/>
          <w:color w:val="auto"/>
          <w:sz w:val="32"/>
          <w:szCs w:val="32"/>
          <w:highlight w:val="none"/>
        </w:rPr>
        <w:t>、一般公共预算财政拨款</w:t>
      </w:r>
      <w:r>
        <w:rPr>
          <w:rFonts w:hint="eastAsia" w:ascii="Times New Roman" w:hAnsi="Times New Roman" w:eastAsia="仿宋_GB2312" w:cs="仿宋_GB2312"/>
          <w:color w:val="auto"/>
          <w:sz w:val="32"/>
          <w:szCs w:val="32"/>
          <w:highlight w:val="none"/>
          <w:lang w:eastAsia="zh-CN"/>
        </w:rPr>
        <w:t>项目</w:t>
      </w:r>
      <w:r>
        <w:rPr>
          <w:rFonts w:hint="eastAsia" w:ascii="Times New Roman" w:hAnsi="Times New Roman" w:eastAsia="仿宋_GB2312" w:cs="仿宋_GB2312"/>
          <w:color w:val="auto"/>
          <w:sz w:val="32"/>
          <w:szCs w:val="32"/>
          <w:highlight w:val="none"/>
        </w:rPr>
        <w:t>支出决算表</w:t>
      </w:r>
    </w:p>
    <w:p w14:paraId="1408A5B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、政府性基金预算财政拨款收入支出决算表</w:t>
      </w:r>
    </w:p>
    <w:p w14:paraId="6C82BC8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十一</w:t>
      </w:r>
      <w:r>
        <w:rPr>
          <w:rFonts w:hint="eastAsia" w:ascii="Times New Roman" w:hAnsi="Times New Roman" w:eastAsia="仿宋_GB2312" w:cs="仿宋_GB2312"/>
          <w:color w:val="auto"/>
          <w:sz w:val="32"/>
          <w:szCs w:val="32"/>
          <w:highlight w:val="none"/>
        </w:rPr>
        <w:t>、国有资本经营预算财政拨款收入支出决算表</w:t>
      </w:r>
    </w:p>
    <w:p w14:paraId="54ADB1E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十二</w:t>
      </w:r>
      <w:r>
        <w:rPr>
          <w:rFonts w:hint="eastAsia" w:ascii="Times New Roman" w:hAnsi="Times New Roman" w:eastAsia="仿宋_GB2312" w:cs="仿宋_GB2312"/>
          <w:color w:val="auto"/>
          <w:sz w:val="32"/>
          <w:szCs w:val="32"/>
          <w:highlight w:val="none"/>
        </w:rPr>
        <w:t>、国有资本经营预算财政拨款支出决算表</w:t>
      </w:r>
    </w:p>
    <w:p w14:paraId="58839DF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十三</w:t>
      </w:r>
      <w:r>
        <w:rPr>
          <w:rFonts w:hint="eastAsia" w:ascii="Times New Roman" w:hAnsi="Times New Roman" w:eastAsia="仿宋_GB2312" w:cs="仿宋_GB2312"/>
          <w:color w:val="auto"/>
          <w:sz w:val="32"/>
          <w:szCs w:val="32"/>
          <w:highlight w:val="none"/>
        </w:rPr>
        <w:t>、财政拨款“三公”经费支出决算表</w:t>
      </w:r>
      <w:bookmarkEnd w:id="22"/>
    </w:p>
    <w:sectPr>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904B96-4641-466F-BB3B-25E9210836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4F6EED5-D878-4B08-A13F-6C1CF386C5A8}"/>
  </w:font>
  <w:font w:name="仿宋">
    <w:panose1 w:val="02010609060101010101"/>
    <w:charset w:val="86"/>
    <w:family w:val="auto"/>
    <w:pitch w:val="default"/>
    <w:sig w:usb0="800002BF" w:usb1="38CF7CFA" w:usb2="00000016" w:usb3="00000000" w:csb0="00040001" w:csb1="00000000"/>
    <w:embedRegular r:id="rId3" w:fontKey="{8120A328-6D07-497F-9C81-0E5B99CE5C09}"/>
  </w:font>
  <w:font w:name="方正仿宋简体">
    <w:altName w:val="微软雅黑"/>
    <w:panose1 w:val="02010601030101010101"/>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4" w:fontKey="{A2B25442-844D-4B09-96A3-CD0C101FC736}"/>
  </w:font>
  <w:font w:name="楷体_GB2312">
    <w:panose1 w:val="02010609030101010101"/>
    <w:charset w:val="86"/>
    <w:family w:val="auto"/>
    <w:pitch w:val="default"/>
    <w:sig w:usb0="00000001" w:usb1="080E0000" w:usb2="00000000" w:usb3="00000000" w:csb0="00040000" w:csb1="00000000"/>
    <w:embedRegular r:id="rId5" w:fontKey="{4EFC34AF-769C-4477-AF75-E6768E8C5738}"/>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CC579">
    <w:pPr>
      <w:pStyle w:val="12"/>
      <w:tabs>
        <w:tab w:val="left" w:pos="3592"/>
        <w:tab w:val="clear" w:pos="4153"/>
      </w:tabs>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2C9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74BC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7674BC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1BA9">
    <w:pPr>
      <w:pStyle w:val="12"/>
      <w:tabs>
        <w:tab w:val="left" w:pos="3592"/>
        <w:tab w:val="clear" w:pos="4153"/>
      </w:tabs>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2429">
    <w:pPr>
      <w:pStyle w:val="12"/>
      <w:tabs>
        <w:tab w:val="left" w:pos="3592"/>
        <w:tab w:val="clear" w:pos="4153"/>
      </w:tabs>
      <w:rPr>
        <w:rFonts w:hint="eastAsia" w:eastAsia="宋体"/>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4BD7">
    <w:pPr>
      <w:pStyle w:val="12"/>
      <w:tabs>
        <w:tab w:val="left" w:pos="3592"/>
        <w:tab w:val="clear" w:pos="4153"/>
      </w:tabs>
      <w:rPr>
        <w:rFonts w:hint="eastAsia" w:eastAsia="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D1913">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6D1913">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D3958"/>
    <w:multiLevelType w:val="singleLevel"/>
    <w:tmpl w:val="9E3D3958"/>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MmJjMTYwMmJhYjAwZDBlN2JlYWRiMjNkY2IzZDYifQ=="/>
  </w:docVars>
  <w:rsids>
    <w:rsidRoot w:val="00000000"/>
    <w:rsid w:val="00057E1D"/>
    <w:rsid w:val="00307A95"/>
    <w:rsid w:val="00425A1B"/>
    <w:rsid w:val="00510B10"/>
    <w:rsid w:val="00C12DE3"/>
    <w:rsid w:val="00DA747E"/>
    <w:rsid w:val="00E1070C"/>
    <w:rsid w:val="012B64AF"/>
    <w:rsid w:val="01847A80"/>
    <w:rsid w:val="018C3B2B"/>
    <w:rsid w:val="01AA7D1B"/>
    <w:rsid w:val="01BA2AFC"/>
    <w:rsid w:val="01CC5EE4"/>
    <w:rsid w:val="02001AD4"/>
    <w:rsid w:val="021533E7"/>
    <w:rsid w:val="0231002F"/>
    <w:rsid w:val="02377801"/>
    <w:rsid w:val="024E68F9"/>
    <w:rsid w:val="02881E0B"/>
    <w:rsid w:val="02AB3ABD"/>
    <w:rsid w:val="02B872FD"/>
    <w:rsid w:val="02EE6E40"/>
    <w:rsid w:val="03127926"/>
    <w:rsid w:val="03407792"/>
    <w:rsid w:val="034849CB"/>
    <w:rsid w:val="03541A84"/>
    <w:rsid w:val="03962305"/>
    <w:rsid w:val="03A85738"/>
    <w:rsid w:val="04003C23"/>
    <w:rsid w:val="04082AD7"/>
    <w:rsid w:val="042D255E"/>
    <w:rsid w:val="044C0C16"/>
    <w:rsid w:val="04534781"/>
    <w:rsid w:val="04C2712A"/>
    <w:rsid w:val="04C45BCE"/>
    <w:rsid w:val="04E27DD3"/>
    <w:rsid w:val="05025778"/>
    <w:rsid w:val="053E7F2B"/>
    <w:rsid w:val="0563090D"/>
    <w:rsid w:val="05A76A4C"/>
    <w:rsid w:val="05AC1AAE"/>
    <w:rsid w:val="0624009C"/>
    <w:rsid w:val="06505911"/>
    <w:rsid w:val="066030AA"/>
    <w:rsid w:val="06FD682D"/>
    <w:rsid w:val="0741482C"/>
    <w:rsid w:val="078E065B"/>
    <w:rsid w:val="079900AB"/>
    <w:rsid w:val="07B40FAC"/>
    <w:rsid w:val="07BC4304"/>
    <w:rsid w:val="088378AE"/>
    <w:rsid w:val="08841143"/>
    <w:rsid w:val="08886505"/>
    <w:rsid w:val="08C23B9D"/>
    <w:rsid w:val="08E04023"/>
    <w:rsid w:val="09540E4C"/>
    <w:rsid w:val="095D610C"/>
    <w:rsid w:val="09A36401"/>
    <w:rsid w:val="09C10F8D"/>
    <w:rsid w:val="09C96833"/>
    <w:rsid w:val="09D678FF"/>
    <w:rsid w:val="0A03304E"/>
    <w:rsid w:val="0A12723D"/>
    <w:rsid w:val="0A171A87"/>
    <w:rsid w:val="0A172EE2"/>
    <w:rsid w:val="0A49352D"/>
    <w:rsid w:val="0B100BEF"/>
    <w:rsid w:val="0B18666F"/>
    <w:rsid w:val="0B1A7CC0"/>
    <w:rsid w:val="0B2E0827"/>
    <w:rsid w:val="0B470389"/>
    <w:rsid w:val="0B494101"/>
    <w:rsid w:val="0B512617"/>
    <w:rsid w:val="0B545847"/>
    <w:rsid w:val="0B61144B"/>
    <w:rsid w:val="0B61769D"/>
    <w:rsid w:val="0B70236D"/>
    <w:rsid w:val="0C115DA8"/>
    <w:rsid w:val="0CA23AC9"/>
    <w:rsid w:val="0CA75583"/>
    <w:rsid w:val="0CBD45C2"/>
    <w:rsid w:val="0CDC2F4B"/>
    <w:rsid w:val="0CE01EB4"/>
    <w:rsid w:val="0CE61E1A"/>
    <w:rsid w:val="0D002E6D"/>
    <w:rsid w:val="0D2B7F62"/>
    <w:rsid w:val="0D906017"/>
    <w:rsid w:val="0D941CE9"/>
    <w:rsid w:val="0DB25F8E"/>
    <w:rsid w:val="0DD5003B"/>
    <w:rsid w:val="0E034DD8"/>
    <w:rsid w:val="0E1503BE"/>
    <w:rsid w:val="0E692E0B"/>
    <w:rsid w:val="0E714CC8"/>
    <w:rsid w:val="0EF16F8A"/>
    <w:rsid w:val="0EF60854"/>
    <w:rsid w:val="0FAB7138"/>
    <w:rsid w:val="0FC00DA2"/>
    <w:rsid w:val="0FC93A62"/>
    <w:rsid w:val="0FD67439"/>
    <w:rsid w:val="0FE12FC2"/>
    <w:rsid w:val="10093E5F"/>
    <w:rsid w:val="100E76C7"/>
    <w:rsid w:val="1079390F"/>
    <w:rsid w:val="10833C11"/>
    <w:rsid w:val="109202F8"/>
    <w:rsid w:val="10B4760B"/>
    <w:rsid w:val="10F90377"/>
    <w:rsid w:val="112453F4"/>
    <w:rsid w:val="118714DF"/>
    <w:rsid w:val="119B4F8B"/>
    <w:rsid w:val="11FA13B1"/>
    <w:rsid w:val="11FC0FAC"/>
    <w:rsid w:val="123258EF"/>
    <w:rsid w:val="12503FC7"/>
    <w:rsid w:val="127F57FD"/>
    <w:rsid w:val="12810624"/>
    <w:rsid w:val="128B258D"/>
    <w:rsid w:val="12BA3E6D"/>
    <w:rsid w:val="12C166E0"/>
    <w:rsid w:val="12ED7FB3"/>
    <w:rsid w:val="12F978FE"/>
    <w:rsid w:val="13053D01"/>
    <w:rsid w:val="13286CF2"/>
    <w:rsid w:val="134358DA"/>
    <w:rsid w:val="139D5626"/>
    <w:rsid w:val="13BF7656"/>
    <w:rsid w:val="13EB12FF"/>
    <w:rsid w:val="13FA41EA"/>
    <w:rsid w:val="144E069B"/>
    <w:rsid w:val="14643D5A"/>
    <w:rsid w:val="147C5547"/>
    <w:rsid w:val="148461AA"/>
    <w:rsid w:val="14A64372"/>
    <w:rsid w:val="14AF1479"/>
    <w:rsid w:val="14EA425F"/>
    <w:rsid w:val="15376B99"/>
    <w:rsid w:val="15C76F09"/>
    <w:rsid w:val="15CA32A0"/>
    <w:rsid w:val="15FA2BC8"/>
    <w:rsid w:val="162153B9"/>
    <w:rsid w:val="16302567"/>
    <w:rsid w:val="16353C00"/>
    <w:rsid w:val="164B3423"/>
    <w:rsid w:val="166A201C"/>
    <w:rsid w:val="168E516C"/>
    <w:rsid w:val="16AD725D"/>
    <w:rsid w:val="16CB61AB"/>
    <w:rsid w:val="16CE67AE"/>
    <w:rsid w:val="16D62899"/>
    <w:rsid w:val="16E921FA"/>
    <w:rsid w:val="16F05D79"/>
    <w:rsid w:val="17315514"/>
    <w:rsid w:val="17A10E21"/>
    <w:rsid w:val="17BB0135"/>
    <w:rsid w:val="185E2330"/>
    <w:rsid w:val="1864706C"/>
    <w:rsid w:val="188D6BE7"/>
    <w:rsid w:val="189B3AC2"/>
    <w:rsid w:val="18A137CE"/>
    <w:rsid w:val="18E0046A"/>
    <w:rsid w:val="18E84F59"/>
    <w:rsid w:val="18F850A6"/>
    <w:rsid w:val="191C02F1"/>
    <w:rsid w:val="192166BD"/>
    <w:rsid w:val="193E4421"/>
    <w:rsid w:val="199724DC"/>
    <w:rsid w:val="19A74E14"/>
    <w:rsid w:val="19FF69FF"/>
    <w:rsid w:val="1A026162"/>
    <w:rsid w:val="1A2C356C"/>
    <w:rsid w:val="1A3D2EB3"/>
    <w:rsid w:val="1A5605E9"/>
    <w:rsid w:val="1A585451"/>
    <w:rsid w:val="1A6C0332"/>
    <w:rsid w:val="1A9F74E0"/>
    <w:rsid w:val="1AD92435"/>
    <w:rsid w:val="1AF06347"/>
    <w:rsid w:val="1AFA2AEC"/>
    <w:rsid w:val="1B9D7E31"/>
    <w:rsid w:val="1BB92BDD"/>
    <w:rsid w:val="1BE7774A"/>
    <w:rsid w:val="1C3E1334"/>
    <w:rsid w:val="1C414FDE"/>
    <w:rsid w:val="1C47643B"/>
    <w:rsid w:val="1CA86EA0"/>
    <w:rsid w:val="1CC91CBD"/>
    <w:rsid w:val="1CD90237"/>
    <w:rsid w:val="1CDE7EC3"/>
    <w:rsid w:val="1CEA73D5"/>
    <w:rsid w:val="1D04432C"/>
    <w:rsid w:val="1D5406E1"/>
    <w:rsid w:val="1D682B0D"/>
    <w:rsid w:val="1DE44C31"/>
    <w:rsid w:val="1DF274A3"/>
    <w:rsid w:val="1EBA6200"/>
    <w:rsid w:val="1F0A01E3"/>
    <w:rsid w:val="1F172EB5"/>
    <w:rsid w:val="1F6509EC"/>
    <w:rsid w:val="1F7A08D5"/>
    <w:rsid w:val="1FC3227C"/>
    <w:rsid w:val="1FDD0562"/>
    <w:rsid w:val="1FF27485"/>
    <w:rsid w:val="1FFE32B4"/>
    <w:rsid w:val="20081891"/>
    <w:rsid w:val="207D3BDD"/>
    <w:rsid w:val="208E3842"/>
    <w:rsid w:val="20D67D8D"/>
    <w:rsid w:val="21592161"/>
    <w:rsid w:val="21904F14"/>
    <w:rsid w:val="21E62252"/>
    <w:rsid w:val="22031113"/>
    <w:rsid w:val="2208666C"/>
    <w:rsid w:val="223E3E3C"/>
    <w:rsid w:val="226F3FF6"/>
    <w:rsid w:val="22880A2E"/>
    <w:rsid w:val="228D26CE"/>
    <w:rsid w:val="22993768"/>
    <w:rsid w:val="22D8603F"/>
    <w:rsid w:val="22F85EFF"/>
    <w:rsid w:val="230C03A4"/>
    <w:rsid w:val="234B527A"/>
    <w:rsid w:val="23621DAC"/>
    <w:rsid w:val="23A120ED"/>
    <w:rsid w:val="23AA169E"/>
    <w:rsid w:val="23B47503"/>
    <w:rsid w:val="23DA6BB4"/>
    <w:rsid w:val="23DF164F"/>
    <w:rsid w:val="23EB1DA2"/>
    <w:rsid w:val="23EB4A57"/>
    <w:rsid w:val="24482D50"/>
    <w:rsid w:val="24653902"/>
    <w:rsid w:val="24BB79C6"/>
    <w:rsid w:val="24EE1B49"/>
    <w:rsid w:val="250255F5"/>
    <w:rsid w:val="251203DC"/>
    <w:rsid w:val="2556149D"/>
    <w:rsid w:val="25850CD9"/>
    <w:rsid w:val="25C428AA"/>
    <w:rsid w:val="260B04D9"/>
    <w:rsid w:val="265C22FB"/>
    <w:rsid w:val="26726A99"/>
    <w:rsid w:val="26747E2C"/>
    <w:rsid w:val="26C12C8A"/>
    <w:rsid w:val="26C1503C"/>
    <w:rsid w:val="26E05EF3"/>
    <w:rsid w:val="270F5DA7"/>
    <w:rsid w:val="273E0E93"/>
    <w:rsid w:val="27806CA5"/>
    <w:rsid w:val="279E1D9A"/>
    <w:rsid w:val="27B171E4"/>
    <w:rsid w:val="27DB3EDB"/>
    <w:rsid w:val="27E92A9C"/>
    <w:rsid w:val="27FD137A"/>
    <w:rsid w:val="280478D6"/>
    <w:rsid w:val="287A79B7"/>
    <w:rsid w:val="288758E7"/>
    <w:rsid w:val="28924EE2"/>
    <w:rsid w:val="28C1496F"/>
    <w:rsid w:val="28CD5F1A"/>
    <w:rsid w:val="28D64DCE"/>
    <w:rsid w:val="28F214DC"/>
    <w:rsid w:val="29257D66"/>
    <w:rsid w:val="297D4494"/>
    <w:rsid w:val="298567F4"/>
    <w:rsid w:val="29C70130"/>
    <w:rsid w:val="29CE1F49"/>
    <w:rsid w:val="29E17ECF"/>
    <w:rsid w:val="2A063491"/>
    <w:rsid w:val="2A3337B7"/>
    <w:rsid w:val="2A663705"/>
    <w:rsid w:val="2A6C52BE"/>
    <w:rsid w:val="2A7E571E"/>
    <w:rsid w:val="2A9D70E4"/>
    <w:rsid w:val="2AA57F13"/>
    <w:rsid w:val="2ADC2444"/>
    <w:rsid w:val="2B0025D7"/>
    <w:rsid w:val="2B035C23"/>
    <w:rsid w:val="2B0E7901"/>
    <w:rsid w:val="2B2406AA"/>
    <w:rsid w:val="2B3F747D"/>
    <w:rsid w:val="2B7833C8"/>
    <w:rsid w:val="2B932BBB"/>
    <w:rsid w:val="2C1C6F4D"/>
    <w:rsid w:val="2C517AFE"/>
    <w:rsid w:val="2C6941AB"/>
    <w:rsid w:val="2CA62334"/>
    <w:rsid w:val="2CAC1558"/>
    <w:rsid w:val="2CB2323A"/>
    <w:rsid w:val="2D005BE1"/>
    <w:rsid w:val="2D0A3299"/>
    <w:rsid w:val="2D8F5E4F"/>
    <w:rsid w:val="2DD20798"/>
    <w:rsid w:val="2DE51610"/>
    <w:rsid w:val="2E0B706C"/>
    <w:rsid w:val="2E0E6DB8"/>
    <w:rsid w:val="2E24482E"/>
    <w:rsid w:val="2E4610C5"/>
    <w:rsid w:val="2EAC1FF6"/>
    <w:rsid w:val="2EE81141"/>
    <w:rsid w:val="2F1F7A97"/>
    <w:rsid w:val="2F4B27DB"/>
    <w:rsid w:val="2F937945"/>
    <w:rsid w:val="2F9D5487"/>
    <w:rsid w:val="2FA93287"/>
    <w:rsid w:val="30224D9D"/>
    <w:rsid w:val="30817D16"/>
    <w:rsid w:val="30B8125D"/>
    <w:rsid w:val="30D45CC6"/>
    <w:rsid w:val="311F308B"/>
    <w:rsid w:val="315C7E3B"/>
    <w:rsid w:val="31754A04"/>
    <w:rsid w:val="31C14142"/>
    <w:rsid w:val="31C36008"/>
    <w:rsid w:val="31F931DE"/>
    <w:rsid w:val="3207424B"/>
    <w:rsid w:val="3220355E"/>
    <w:rsid w:val="322437A6"/>
    <w:rsid w:val="32252923"/>
    <w:rsid w:val="323D7C6C"/>
    <w:rsid w:val="32427031"/>
    <w:rsid w:val="32445100"/>
    <w:rsid w:val="324B1D1F"/>
    <w:rsid w:val="327B0795"/>
    <w:rsid w:val="32B1515E"/>
    <w:rsid w:val="32C149FC"/>
    <w:rsid w:val="32EB3A86"/>
    <w:rsid w:val="32F2587B"/>
    <w:rsid w:val="32F81DE5"/>
    <w:rsid w:val="33136C1F"/>
    <w:rsid w:val="33233373"/>
    <w:rsid w:val="3340306E"/>
    <w:rsid w:val="33813B89"/>
    <w:rsid w:val="3384518C"/>
    <w:rsid w:val="339C3CE5"/>
    <w:rsid w:val="33F26834"/>
    <w:rsid w:val="340D42B2"/>
    <w:rsid w:val="345B6AD0"/>
    <w:rsid w:val="34806536"/>
    <w:rsid w:val="34BA47FA"/>
    <w:rsid w:val="34C2779C"/>
    <w:rsid w:val="34F82570"/>
    <w:rsid w:val="351E175D"/>
    <w:rsid w:val="35B77D36"/>
    <w:rsid w:val="35CC2AA3"/>
    <w:rsid w:val="363A34EF"/>
    <w:rsid w:val="36732F63"/>
    <w:rsid w:val="367774C5"/>
    <w:rsid w:val="367A0699"/>
    <w:rsid w:val="36CB3D28"/>
    <w:rsid w:val="36D04F5E"/>
    <w:rsid w:val="37173AAB"/>
    <w:rsid w:val="375A27C9"/>
    <w:rsid w:val="37727331"/>
    <w:rsid w:val="37831EE7"/>
    <w:rsid w:val="37A66AEE"/>
    <w:rsid w:val="38910D12"/>
    <w:rsid w:val="39167387"/>
    <w:rsid w:val="39202096"/>
    <w:rsid w:val="39981987"/>
    <w:rsid w:val="39D726B2"/>
    <w:rsid w:val="3A1A2DAF"/>
    <w:rsid w:val="3A3758E9"/>
    <w:rsid w:val="3AA140CF"/>
    <w:rsid w:val="3AE50EA1"/>
    <w:rsid w:val="3B164F65"/>
    <w:rsid w:val="3B4823E7"/>
    <w:rsid w:val="3B883ED9"/>
    <w:rsid w:val="3B9662BA"/>
    <w:rsid w:val="3BEB24E7"/>
    <w:rsid w:val="3C125CC6"/>
    <w:rsid w:val="3C1D2032"/>
    <w:rsid w:val="3C447E49"/>
    <w:rsid w:val="3C974F57"/>
    <w:rsid w:val="3CA75EAC"/>
    <w:rsid w:val="3CB43221"/>
    <w:rsid w:val="3CDC291B"/>
    <w:rsid w:val="3D251A29"/>
    <w:rsid w:val="3D38109C"/>
    <w:rsid w:val="3D6469F5"/>
    <w:rsid w:val="3DD516A1"/>
    <w:rsid w:val="3DD751BC"/>
    <w:rsid w:val="3DF32FB5"/>
    <w:rsid w:val="3DF63D78"/>
    <w:rsid w:val="3E0930F8"/>
    <w:rsid w:val="3E4D1237"/>
    <w:rsid w:val="3E567515"/>
    <w:rsid w:val="3E65064E"/>
    <w:rsid w:val="3EC23058"/>
    <w:rsid w:val="3F0B4B16"/>
    <w:rsid w:val="3F20114F"/>
    <w:rsid w:val="3F79605C"/>
    <w:rsid w:val="3F815EBD"/>
    <w:rsid w:val="3FA847A5"/>
    <w:rsid w:val="40A23390"/>
    <w:rsid w:val="40AE7F87"/>
    <w:rsid w:val="40D45C40"/>
    <w:rsid w:val="4105229D"/>
    <w:rsid w:val="41210759"/>
    <w:rsid w:val="41384420"/>
    <w:rsid w:val="41F1637D"/>
    <w:rsid w:val="41F9457B"/>
    <w:rsid w:val="41FA461E"/>
    <w:rsid w:val="41FD4D22"/>
    <w:rsid w:val="4213148C"/>
    <w:rsid w:val="421C3167"/>
    <w:rsid w:val="423D7815"/>
    <w:rsid w:val="42577309"/>
    <w:rsid w:val="4285143A"/>
    <w:rsid w:val="42902646"/>
    <w:rsid w:val="429B4194"/>
    <w:rsid w:val="42A31D6D"/>
    <w:rsid w:val="42A40880"/>
    <w:rsid w:val="42AC2964"/>
    <w:rsid w:val="42AC4856"/>
    <w:rsid w:val="42BF416F"/>
    <w:rsid w:val="432F3601"/>
    <w:rsid w:val="43A2307E"/>
    <w:rsid w:val="43BB0C28"/>
    <w:rsid w:val="44061A02"/>
    <w:rsid w:val="4427077C"/>
    <w:rsid w:val="44385B1F"/>
    <w:rsid w:val="444360F3"/>
    <w:rsid w:val="446C42DD"/>
    <w:rsid w:val="44986F84"/>
    <w:rsid w:val="44A771C7"/>
    <w:rsid w:val="44C67F95"/>
    <w:rsid w:val="44F41C55"/>
    <w:rsid w:val="451E392D"/>
    <w:rsid w:val="456926CF"/>
    <w:rsid w:val="456F4189"/>
    <w:rsid w:val="457B0D80"/>
    <w:rsid w:val="45B569E3"/>
    <w:rsid w:val="45FB5A1D"/>
    <w:rsid w:val="461C4E8C"/>
    <w:rsid w:val="46541381"/>
    <w:rsid w:val="466A4950"/>
    <w:rsid w:val="466F4B82"/>
    <w:rsid w:val="467D0B27"/>
    <w:rsid w:val="46AC4F69"/>
    <w:rsid w:val="46C16C66"/>
    <w:rsid w:val="46EB5A91"/>
    <w:rsid w:val="475A49C5"/>
    <w:rsid w:val="47961EA1"/>
    <w:rsid w:val="47A0321E"/>
    <w:rsid w:val="47A70895"/>
    <w:rsid w:val="47D24229"/>
    <w:rsid w:val="47D74267"/>
    <w:rsid w:val="47E23695"/>
    <w:rsid w:val="47E349BA"/>
    <w:rsid w:val="47EA5D49"/>
    <w:rsid w:val="47EB386F"/>
    <w:rsid w:val="47ED0A5B"/>
    <w:rsid w:val="480706A9"/>
    <w:rsid w:val="481F6982"/>
    <w:rsid w:val="488747B1"/>
    <w:rsid w:val="48E924A4"/>
    <w:rsid w:val="490948F4"/>
    <w:rsid w:val="4957740E"/>
    <w:rsid w:val="495A6EFE"/>
    <w:rsid w:val="49753626"/>
    <w:rsid w:val="49DB1F32"/>
    <w:rsid w:val="4A2D63C1"/>
    <w:rsid w:val="4A6D2636"/>
    <w:rsid w:val="4ABB39CC"/>
    <w:rsid w:val="4ABF170F"/>
    <w:rsid w:val="4AE22D67"/>
    <w:rsid w:val="4B341A04"/>
    <w:rsid w:val="4B38326F"/>
    <w:rsid w:val="4B6B283F"/>
    <w:rsid w:val="4B6F563A"/>
    <w:rsid w:val="4B92472D"/>
    <w:rsid w:val="4BC863A1"/>
    <w:rsid w:val="4BCE5ACA"/>
    <w:rsid w:val="4C1B2975"/>
    <w:rsid w:val="4C213D03"/>
    <w:rsid w:val="4C4625AC"/>
    <w:rsid w:val="4CF30842"/>
    <w:rsid w:val="4D6C7200"/>
    <w:rsid w:val="4DA644C0"/>
    <w:rsid w:val="4DB27309"/>
    <w:rsid w:val="4DD23507"/>
    <w:rsid w:val="4E0B5254"/>
    <w:rsid w:val="4E173610"/>
    <w:rsid w:val="4E4361B3"/>
    <w:rsid w:val="4E4E112E"/>
    <w:rsid w:val="4E93713A"/>
    <w:rsid w:val="4ED67027"/>
    <w:rsid w:val="4EDD6607"/>
    <w:rsid w:val="4EF81544"/>
    <w:rsid w:val="4F2953A8"/>
    <w:rsid w:val="4FB410CF"/>
    <w:rsid w:val="4FBE650E"/>
    <w:rsid w:val="4FE94B38"/>
    <w:rsid w:val="4FF260E2"/>
    <w:rsid w:val="504C29DB"/>
    <w:rsid w:val="50770396"/>
    <w:rsid w:val="50A07861"/>
    <w:rsid w:val="50A72C35"/>
    <w:rsid w:val="50B05655"/>
    <w:rsid w:val="50F00906"/>
    <w:rsid w:val="5127643C"/>
    <w:rsid w:val="514F4E55"/>
    <w:rsid w:val="51DD5CA9"/>
    <w:rsid w:val="51E52B06"/>
    <w:rsid w:val="51ED5599"/>
    <w:rsid w:val="51F003FF"/>
    <w:rsid w:val="51FC4FF6"/>
    <w:rsid w:val="51FD47E2"/>
    <w:rsid w:val="52432C25"/>
    <w:rsid w:val="527C0A42"/>
    <w:rsid w:val="52995F82"/>
    <w:rsid w:val="52A31603"/>
    <w:rsid w:val="52B87B64"/>
    <w:rsid w:val="531E4E52"/>
    <w:rsid w:val="533C2329"/>
    <w:rsid w:val="533D7674"/>
    <w:rsid w:val="534212A0"/>
    <w:rsid w:val="538C4158"/>
    <w:rsid w:val="53EC109A"/>
    <w:rsid w:val="53F65A75"/>
    <w:rsid w:val="54105DF7"/>
    <w:rsid w:val="54D35FB7"/>
    <w:rsid w:val="54D45DB6"/>
    <w:rsid w:val="55142657"/>
    <w:rsid w:val="552F3B64"/>
    <w:rsid w:val="55382067"/>
    <w:rsid w:val="55E4027B"/>
    <w:rsid w:val="55EC5382"/>
    <w:rsid w:val="560A5808"/>
    <w:rsid w:val="563263D1"/>
    <w:rsid w:val="56511C33"/>
    <w:rsid w:val="56513437"/>
    <w:rsid w:val="567A473C"/>
    <w:rsid w:val="56C22ED7"/>
    <w:rsid w:val="571F7091"/>
    <w:rsid w:val="577D4497"/>
    <w:rsid w:val="578515EA"/>
    <w:rsid w:val="57A203EE"/>
    <w:rsid w:val="57AE0B41"/>
    <w:rsid w:val="57C32112"/>
    <w:rsid w:val="57E502DB"/>
    <w:rsid w:val="58237D19"/>
    <w:rsid w:val="587F428B"/>
    <w:rsid w:val="58831FCD"/>
    <w:rsid w:val="58A40196"/>
    <w:rsid w:val="58A85D3E"/>
    <w:rsid w:val="58CD4E39"/>
    <w:rsid w:val="58F44C79"/>
    <w:rsid w:val="59133E27"/>
    <w:rsid w:val="591F4D02"/>
    <w:rsid w:val="59B2243E"/>
    <w:rsid w:val="5A1D5B0A"/>
    <w:rsid w:val="5A551748"/>
    <w:rsid w:val="5A845B89"/>
    <w:rsid w:val="5A8C05C6"/>
    <w:rsid w:val="5A9B38DD"/>
    <w:rsid w:val="5AAD37C0"/>
    <w:rsid w:val="5ACC12DE"/>
    <w:rsid w:val="5B174C4F"/>
    <w:rsid w:val="5B6B6D49"/>
    <w:rsid w:val="5B892B0A"/>
    <w:rsid w:val="5BC67809"/>
    <w:rsid w:val="5BCF72D8"/>
    <w:rsid w:val="5BF136F2"/>
    <w:rsid w:val="5BF31218"/>
    <w:rsid w:val="5C1B0A57"/>
    <w:rsid w:val="5C2E2250"/>
    <w:rsid w:val="5C2E7413"/>
    <w:rsid w:val="5C540A2E"/>
    <w:rsid w:val="5C5911BF"/>
    <w:rsid w:val="5C967DF5"/>
    <w:rsid w:val="5C9D73D6"/>
    <w:rsid w:val="5C9F314E"/>
    <w:rsid w:val="5D235B2D"/>
    <w:rsid w:val="5D3A4C25"/>
    <w:rsid w:val="5D3E1472"/>
    <w:rsid w:val="5D54142D"/>
    <w:rsid w:val="5D9E3BC1"/>
    <w:rsid w:val="5D9E51B4"/>
    <w:rsid w:val="5DAB37BF"/>
    <w:rsid w:val="5DC34EDD"/>
    <w:rsid w:val="5DE84681"/>
    <w:rsid w:val="5DFE1975"/>
    <w:rsid w:val="5E086AD1"/>
    <w:rsid w:val="5E280F21"/>
    <w:rsid w:val="5E311551"/>
    <w:rsid w:val="5E336236"/>
    <w:rsid w:val="5E521E04"/>
    <w:rsid w:val="5E83292D"/>
    <w:rsid w:val="5EC416ED"/>
    <w:rsid w:val="5ECE150E"/>
    <w:rsid w:val="5F0062AE"/>
    <w:rsid w:val="5F223539"/>
    <w:rsid w:val="5F463D55"/>
    <w:rsid w:val="5F700BF9"/>
    <w:rsid w:val="5F926F9A"/>
    <w:rsid w:val="5FB1711E"/>
    <w:rsid w:val="5FB40CBE"/>
    <w:rsid w:val="5FCF3D4A"/>
    <w:rsid w:val="5FDC5F4D"/>
    <w:rsid w:val="6017749F"/>
    <w:rsid w:val="60C15043"/>
    <w:rsid w:val="6124783C"/>
    <w:rsid w:val="61565DA5"/>
    <w:rsid w:val="617A1C1F"/>
    <w:rsid w:val="617D20E0"/>
    <w:rsid w:val="61AC4C69"/>
    <w:rsid w:val="61B50D1E"/>
    <w:rsid w:val="61D5719A"/>
    <w:rsid w:val="623624CE"/>
    <w:rsid w:val="623D7492"/>
    <w:rsid w:val="628A21AA"/>
    <w:rsid w:val="62CC631F"/>
    <w:rsid w:val="62D90EC5"/>
    <w:rsid w:val="630A5B7E"/>
    <w:rsid w:val="63464323"/>
    <w:rsid w:val="63624ED5"/>
    <w:rsid w:val="636C7B02"/>
    <w:rsid w:val="63853B45"/>
    <w:rsid w:val="63AB062A"/>
    <w:rsid w:val="63B14F84"/>
    <w:rsid w:val="63EB0A27"/>
    <w:rsid w:val="63F7561D"/>
    <w:rsid w:val="64144421"/>
    <w:rsid w:val="6416019A"/>
    <w:rsid w:val="641A6960"/>
    <w:rsid w:val="641A755E"/>
    <w:rsid w:val="64256284"/>
    <w:rsid w:val="644A7E43"/>
    <w:rsid w:val="647240F9"/>
    <w:rsid w:val="6496460F"/>
    <w:rsid w:val="64D01BC4"/>
    <w:rsid w:val="6519611E"/>
    <w:rsid w:val="652455A3"/>
    <w:rsid w:val="655544D6"/>
    <w:rsid w:val="65586590"/>
    <w:rsid w:val="656B7021"/>
    <w:rsid w:val="65750EF0"/>
    <w:rsid w:val="6578278E"/>
    <w:rsid w:val="65C750A6"/>
    <w:rsid w:val="664F49CE"/>
    <w:rsid w:val="6655487D"/>
    <w:rsid w:val="669B402F"/>
    <w:rsid w:val="66CE576B"/>
    <w:rsid w:val="66F209E4"/>
    <w:rsid w:val="67204E8B"/>
    <w:rsid w:val="6729574E"/>
    <w:rsid w:val="674566A0"/>
    <w:rsid w:val="67695FB4"/>
    <w:rsid w:val="67892A30"/>
    <w:rsid w:val="67D143D7"/>
    <w:rsid w:val="68060525"/>
    <w:rsid w:val="682041EA"/>
    <w:rsid w:val="68580AF2"/>
    <w:rsid w:val="68597456"/>
    <w:rsid w:val="68C15A99"/>
    <w:rsid w:val="68CE46CD"/>
    <w:rsid w:val="68D91796"/>
    <w:rsid w:val="692D201B"/>
    <w:rsid w:val="69794D27"/>
    <w:rsid w:val="69871D8A"/>
    <w:rsid w:val="69B74F25"/>
    <w:rsid w:val="69F96C02"/>
    <w:rsid w:val="6A3775FD"/>
    <w:rsid w:val="6A817A97"/>
    <w:rsid w:val="6A9D040B"/>
    <w:rsid w:val="6AB51F2E"/>
    <w:rsid w:val="6AB9347C"/>
    <w:rsid w:val="6AD93CCF"/>
    <w:rsid w:val="6AE508C6"/>
    <w:rsid w:val="6B56531F"/>
    <w:rsid w:val="6B6A3024"/>
    <w:rsid w:val="6BD63F55"/>
    <w:rsid w:val="6BEC358E"/>
    <w:rsid w:val="6BF344DF"/>
    <w:rsid w:val="6BF520DC"/>
    <w:rsid w:val="6C044D7B"/>
    <w:rsid w:val="6C845EBC"/>
    <w:rsid w:val="6D034D91"/>
    <w:rsid w:val="6DCF41E3"/>
    <w:rsid w:val="6DD82B6E"/>
    <w:rsid w:val="6DE85FD7"/>
    <w:rsid w:val="6DF36E56"/>
    <w:rsid w:val="6DF66946"/>
    <w:rsid w:val="6E077745"/>
    <w:rsid w:val="6E3623E2"/>
    <w:rsid w:val="6E492A3A"/>
    <w:rsid w:val="6E5378F4"/>
    <w:rsid w:val="6E7F4B8D"/>
    <w:rsid w:val="6EE964AB"/>
    <w:rsid w:val="6EF015E7"/>
    <w:rsid w:val="6EF945FD"/>
    <w:rsid w:val="6F062BB9"/>
    <w:rsid w:val="6F3E05A4"/>
    <w:rsid w:val="6F513226"/>
    <w:rsid w:val="6F5D32A0"/>
    <w:rsid w:val="6F6A53A7"/>
    <w:rsid w:val="6F7E14C5"/>
    <w:rsid w:val="6F96218E"/>
    <w:rsid w:val="6FC55BD1"/>
    <w:rsid w:val="6FEC1DAE"/>
    <w:rsid w:val="701706B8"/>
    <w:rsid w:val="701E2184"/>
    <w:rsid w:val="703F45D4"/>
    <w:rsid w:val="70614DEC"/>
    <w:rsid w:val="70A64653"/>
    <w:rsid w:val="70AD30E6"/>
    <w:rsid w:val="71184E25"/>
    <w:rsid w:val="71341C5F"/>
    <w:rsid w:val="71353C29"/>
    <w:rsid w:val="71B96608"/>
    <w:rsid w:val="71B97A51"/>
    <w:rsid w:val="72192EE6"/>
    <w:rsid w:val="722647B3"/>
    <w:rsid w:val="72A5093A"/>
    <w:rsid w:val="72AE27DD"/>
    <w:rsid w:val="72C126FA"/>
    <w:rsid w:val="72EE22E1"/>
    <w:rsid w:val="730B4811"/>
    <w:rsid w:val="7329331A"/>
    <w:rsid w:val="73595538"/>
    <w:rsid w:val="73814F04"/>
    <w:rsid w:val="7386251A"/>
    <w:rsid w:val="73925859"/>
    <w:rsid w:val="73D43285"/>
    <w:rsid w:val="73F52377"/>
    <w:rsid w:val="74060F2F"/>
    <w:rsid w:val="74232937"/>
    <w:rsid w:val="7452064E"/>
    <w:rsid w:val="74582108"/>
    <w:rsid w:val="747131CA"/>
    <w:rsid w:val="74B524D1"/>
    <w:rsid w:val="74D26DEB"/>
    <w:rsid w:val="752D4F13"/>
    <w:rsid w:val="75371D1E"/>
    <w:rsid w:val="758E6B93"/>
    <w:rsid w:val="75A213EC"/>
    <w:rsid w:val="75BF7F65"/>
    <w:rsid w:val="75D752AF"/>
    <w:rsid w:val="76297B0A"/>
    <w:rsid w:val="76391AC6"/>
    <w:rsid w:val="765661D4"/>
    <w:rsid w:val="766034F6"/>
    <w:rsid w:val="7664671C"/>
    <w:rsid w:val="76A07D97"/>
    <w:rsid w:val="770A63B3"/>
    <w:rsid w:val="7715608F"/>
    <w:rsid w:val="77161E07"/>
    <w:rsid w:val="775766A7"/>
    <w:rsid w:val="77DA3A4B"/>
    <w:rsid w:val="783416CF"/>
    <w:rsid w:val="78B937FB"/>
    <w:rsid w:val="78BA2BD0"/>
    <w:rsid w:val="797650E6"/>
    <w:rsid w:val="79837323"/>
    <w:rsid w:val="798927D7"/>
    <w:rsid w:val="79D55FA9"/>
    <w:rsid w:val="79DA35C0"/>
    <w:rsid w:val="7A0A5C53"/>
    <w:rsid w:val="7A2F56B9"/>
    <w:rsid w:val="7A4E7D52"/>
    <w:rsid w:val="7A7007FA"/>
    <w:rsid w:val="7AA91A0D"/>
    <w:rsid w:val="7ACD289A"/>
    <w:rsid w:val="7ADF2DAC"/>
    <w:rsid w:val="7AFC477A"/>
    <w:rsid w:val="7B0C60D2"/>
    <w:rsid w:val="7B3366C3"/>
    <w:rsid w:val="7B6969A9"/>
    <w:rsid w:val="7B735B8B"/>
    <w:rsid w:val="7B9519BC"/>
    <w:rsid w:val="7BB045D8"/>
    <w:rsid w:val="7BBA5457"/>
    <w:rsid w:val="7BD74680"/>
    <w:rsid w:val="7BFF730D"/>
    <w:rsid w:val="7C36430C"/>
    <w:rsid w:val="7C450D68"/>
    <w:rsid w:val="7C690A14"/>
    <w:rsid w:val="7C8A627E"/>
    <w:rsid w:val="7CB00608"/>
    <w:rsid w:val="7CB67090"/>
    <w:rsid w:val="7D126BCC"/>
    <w:rsid w:val="7D697134"/>
    <w:rsid w:val="7DB55ED6"/>
    <w:rsid w:val="7DBD3236"/>
    <w:rsid w:val="7DD4653F"/>
    <w:rsid w:val="7DDA1739"/>
    <w:rsid w:val="7DE92539"/>
    <w:rsid w:val="7DED5DED"/>
    <w:rsid w:val="7E244E09"/>
    <w:rsid w:val="7E3F7E95"/>
    <w:rsid w:val="7E745D91"/>
    <w:rsid w:val="7E801FD1"/>
    <w:rsid w:val="7E8835EA"/>
    <w:rsid w:val="7EDC3936"/>
    <w:rsid w:val="7EEF5417"/>
    <w:rsid w:val="7EF40C80"/>
    <w:rsid w:val="7F342A2C"/>
    <w:rsid w:val="7F3A52D5"/>
    <w:rsid w:val="7F645E05"/>
    <w:rsid w:val="7F91066B"/>
    <w:rsid w:val="7FCE1523"/>
    <w:rsid w:val="7FCE29D8"/>
    <w:rsid w:val="7FFAC3B5"/>
    <w:rsid w:val="7FFE1311"/>
    <w:rsid w:val="AD8DB3E7"/>
    <w:rsid w:val="DFCF150D"/>
    <w:rsid w:val="E5FE5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autoRedefine/>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autoRedefine/>
    <w:unhideWhenUsed/>
    <w:qFormat/>
    <w:uiPriority w:val="99"/>
    <w:pPr>
      <w:ind w:firstLine="420" w:firstLineChars="200"/>
    </w:pPr>
  </w:style>
  <w:style w:type="paragraph" w:styleId="4">
    <w:name w:val="Body Text Indent"/>
    <w:basedOn w:val="1"/>
    <w:next w:val="3"/>
    <w:autoRedefine/>
    <w:qFormat/>
    <w:uiPriority w:val="0"/>
    <w:pPr>
      <w:spacing w:after="120"/>
      <w:ind w:leftChars="200"/>
    </w:pPr>
    <w:rPr>
      <w:rFonts w:ascii="仿宋_GB2312"/>
      <w:szCs w:val="32"/>
    </w:rPr>
  </w:style>
  <w:style w:type="paragraph" w:styleId="7">
    <w:name w:val="List Number"/>
    <w:basedOn w:val="1"/>
    <w:autoRedefine/>
    <w:qFormat/>
    <w:uiPriority w:val="0"/>
    <w:pPr>
      <w:numPr>
        <w:ilvl w:val="0"/>
        <w:numId w:val="1"/>
      </w:numPr>
    </w:pPr>
  </w:style>
  <w:style w:type="paragraph" w:styleId="8">
    <w:name w:val="annotation text"/>
    <w:basedOn w:val="1"/>
    <w:autoRedefine/>
    <w:qFormat/>
    <w:uiPriority w:val="0"/>
    <w:pPr>
      <w:jc w:val="left"/>
    </w:pPr>
  </w:style>
  <w:style w:type="paragraph" w:styleId="9">
    <w:name w:val="Body Text"/>
    <w:basedOn w:val="1"/>
    <w:autoRedefine/>
    <w:qFormat/>
    <w:uiPriority w:val="99"/>
    <w:pPr>
      <w:spacing w:beforeLines="30"/>
    </w:pPr>
    <w:rPr>
      <w:rFonts w:ascii="仿宋_GB2312" w:eastAsia="仿宋_GB2312"/>
      <w:kern w:val="0"/>
      <w:sz w:val="24"/>
      <w:szCs w:val="20"/>
    </w:rPr>
  </w:style>
  <w:style w:type="paragraph" w:styleId="10">
    <w:name w:val="List 2"/>
    <w:basedOn w:val="1"/>
    <w:autoRedefine/>
    <w:qFormat/>
    <w:uiPriority w:val="0"/>
    <w:pPr>
      <w:ind w:left="100" w:leftChars="200" w:hanging="200" w:hangingChars="200"/>
    </w:pPr>
  </w:style>
  <w:style w:type="paragraph" w:styleId="11">
    <w:name w:val="toc 8"/>
    <w:basedOn w:val="1"/>
    <w:next w:val="1"/>
    <w:autoRedefine/>
    <w:qFormat/>
    <w:uiPriority w:val="0"/>
    <w:pPr>
      <w:widowControl w:val="0"/>
      <w:ind w:left="2940"/>
      <w:jc w:val="both"/>
    </w:pPr>
    <w:rPr>
      <w:rFonts w:ascii="Calibri" w:hAnsi="Calibri" w:eastAsia="宋体" w:cs="Times New Roman"/>
      <w:kern w:val="2"/>
      <w:sz w:val="21"/>
      <w:szCs w:val="24"/>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styleId="16">
    <w:name w:val="toc 2"/>
    <w:basedOn w:val="1"/>
    <w:next w:val="1"/>
    <w:autoRedefine/>
    <w:unhideWhenUsed/>
    <w:qFormat/>
    <w:uiPriority w:val="39"/>
    <w:pPr>
      <w:tabs>
        <w:tab w:val="right" w:leader="dot" w:pos="8296"/>
      </w:tabs>
      <w:ind w:left="420" w:leftChars="200"/>
    </w:pPr>
  </w:style>
  <w:style w:type="paragraph" w:styleId="17">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character" w:styleId="20">
    <w:name w:val="Strong"/>
    <w:basedOn w:val="19"/>
    <w:autoRedefine/>
    <w:qFormat/>
    <w:uiPriority w:val="22"/>
    <w:rPr>
      <w:b/>
      <w:bCs/>
    </w:rPr>
  </w:style>
  <w:style w:type="paragraph" w:customStyle="1" w:styleId="21">
    <w:name w:val="章标题"/>
    <w:basedOn w:val="1"/>
    <w:next w:val="1"/>
    <w:autoRedefine/>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2">
    <w:name w:val="正文2"/>
    <w:basedOn w:val="1"/>
    <w:next w:val="1"/>
    <w:autoRedefine/>
    <w:unhideWhenUsed/>
    <w:qFormat/>
    <w:uiPriority w:val="99"/>
    <w:rPr>
      <w:rFonts w:hint="eastAsia"/>
    </w:rPr>
  </w:style>
  <w:style w:type="paragraph" w:customStyle="1" w:styleId="23">
    <w:name w:val="常用样式（方正仿宋简）"/>
    <w:basedOn w:val="1"/>
    <w:next w:val="11"/>
    <w:autoRedefine/>
    <w:qFormat/>
    <w:uiPriority w:val="99"/>
    <w:pPr>
      <w:spacing w:line="560" w:lineRule="exact"/>
      <w:ind w:firstLine="640" w:firstLineChars="200"/>
    </w:pPr>
    <w:rPr>
      <w:rFonts w:ascii="Calibri" w:hAnsi="Calibri" w:eastAsia="方正仿宋简体"/>
      <w:sz w:val="32"/>
      <w:szCs w:val="24"/>
    </w:rPr>
  </w:style>
  <w:style w:type="paragraph" w:customStyle="1" w:styleId="24">
    <w:name w:val="节标题"/>
    <w:basedOn w:val="1"/>
    <w:next w:val="1"/>
    <w:autoRedefine/>
    <w:qFormat/>
    <w:uiPriority w:val="99"/>
    <w:pPr>
      <w:widowControl/>
      <w:spacing w:line="289" w:lineRule="atLeast"/>
      <w:jc w:val="center"/>
      <w:textAlignment w:val="baseline"/>
    </w:pPr>
    <w:rPr>
      <w:color w:val="000000"/>
      <w:sz w:val="28"/>
    </w:rPr>
  </w:style>
  <w:style w:type="paragraph" w:styleId="25">
    <w:name w:val="List Paragraph"/>
    <w:basedOn w:val="1"/>
    <w:autoRedefine/>
    <w:qFormat/>
    <w:uiPriority w:val="34"/>
    <w:pPr>
      <w:ind w:firstLine="420" w:firstLineChars="200"/>
    </w:pPr>
  </w:style>
  <w:style w:type="character" w:customStyle="1" w:styleId="26">
    <w:name w:val="标题 1 Char"/>
    <w:basedOn w:val="19"/>
    <w:link w:val="5"/>
    <w:autoRedefine/>
    <w:qFormat/>
    <w:uiPriority w:val="9"/>
    <w:rPr>
      <w:b/>
      <w:bCs/>
      <w:kern w:val="44"/>
      <w:sz w:val="44"/>
      <w:szCs w:val="44"/>
    </w:rPr>
  </w:style>
  <w:style w:type="character" w:customStyle="1" w:styleId="27">
    <w:name w:val="标题 2 Char"/>
    <w:basedOn w:val="19"/>
    <w:link w:val="6"/>
    <w:autoRedefine/>
    <w:qFormat/>
    <w:uiPriority w:val="9"/>
    <w:rPr>
      <w:rFonts w:ascii="Cambria" w:hAnsi="Cambria" w:eastAsia="宋体" w:cs="Times New Roman"/>
      <w:b/>
      <w:bCs/>
      <w:sz w:val="32"/>
      <w:szCs w:val="32"/>
    </w:rPr>
  </w:style>
  <w:style w:type="paragraph" w:customStyle="1" w:styleId="28">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9">
    <w:name w:val="标题 2 字符"/>
    <w:link w:val="6"/>
    <w:autoRedefine/>
    <w:qFormat/>
    <w:locked/>
    <w:uiPriority w:val="9"/>
    <w:rPr>
      <w:rFonts w:ascii="Cambria" w:hAnsi="Cambria"/>
      <w:b/>
      <w:bCs/>
      <w:sz w:val="32"/>
      <w:szCs w:val="32"/>
    </w:rPr>
  </w:style>
  <w:style w:type="character" w:customStyle="1" w:styleId="30">
    <w:name w:val="bjh-p"/>
    <w:autoRedefine/>
    <w:qFormat/>
    <w:uiPriority w:val="0"/>
  </w:style>
  <w:style w:type="character" w:customStyle="1" w:styleId="31">
    <w:name w:val="NormalCharacter"/>
    <w:autoRedefine/>
    <w:semiHidden/>
    <w:qFormat/>
    <w:uiPriority w:val="0"/>
    <w:rPr>
      <w:rFonts w:ascii="等线" w:hAnsi="等线" w:eastAsia="等线" w:cs="Times New Roman"/>
      <w:kern w:val="2"/>
      <w:sz w:val="21"/>
      <w:szCs w:val="22"/>
      <w:lang w:val="en-US" w:eastAsia="zh-CN" w:bidi="ar-SA"/>
    </w:rPr>
  </w:style>
  <w:style w:type="paragraph" w:customStyle="1" w:styleId="32">
    <w:name w:val="List Paragraph_a3767909-5028-4aa5-8399-fc7463166b80"/>
    <w:basedOn w:val="1"/>
    <w:autoRedefine/>
    <w:qFormat/>
    <w:uiPriority w:val="34"/>
    <w:pPr>
      <w:ind w:firstLine="420" w:firstLineChars="200"/>
    </w:pPr>
  </w:style>
  <w:style w:type="character" w:customStyle="1" w:styleId="33">
    <w:name w:val=" Char Char6"/>
    <w:basedOn w:val="19"/>
    <w:link w:val="5"/>
    <w:autoRedefine/>
    <w:qFormat/>
    <w:locked/>
    <w:uiPriority w:val="9"/>
    <w:rPr>
      <w:rFonts w:ascii="Times New Roman" w:hAnsi="Times New Roman" w:cs="Times New Roman"/>
      <w:b/>
      <w:bCs/>
      <w:kern w:val="44"/>
      <w:sz w:val="44"/>
      <w:szCs w:val="44"/>
    </w:rPr>
  </w:style>
  <w:style w:type="paragraph" w:customStyle="1" w:styleId="34">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35">
    <w:name w:val="font31"/>
    <w:basedOn w:val="19"/>
    <w:autoRedefine/>
    <w:qFormat/>
    <w:uiPriority w:val="0"/>
    <w:rPr>
      <w:rFonts w:hint="eastAsia" w:ascii="宋体" w:hAnsi="宋体" w:eastAsia="宋体" w:cs="宋体"/>
      <w:color w:val="000000"/>
      <w:sz w:val="18"/>
      <w:szCs w:val="18"/>
      <w:u w:val="none"/>
    </w:rPr>
  </w:style>
  <w:style w:type="character" w:customStyle="1" w:styleId="36">
    <w:name w:val="font61"/>
    <w:basedOn w:val="19"/>
    <w:autoRedefine/>
    <w:qFormat/>
    <w:uiPriority w:val="0"/>
    <w:rPr>
      <w:rFonts w:hint="default" w:ascii="Times New Roman" w:hAnsi="Times New Roman" w:cs="Times New Roman"/>
      <w:color w:val="000000"/>
      <w:sz w:val="16"/>
      <w:szCs w:val="16"/>
      <w:u w:val="none"/>
    </w:rPr>
  </w:style>
  <w:style w:type="character" w:customStyle="1" w:styleId="37">
    <w:name w:val="font81"/>
    <w:basedOn w:val="19"/>
    <w:autoRedefine/>
    <w:qFormat/>
    <w:uiPriority w:val="0"/>
    <w:rPr>
      <w:rFonts w:hint="eastAsia" w:ascii="宋体" w:hAnsi="宋体" w:eastAsia="宋体" w:cs="宋体"/>
      <w:color w:val="000000"/>
      <w:sz w:val="16"/>
      <w:szCs w:val="16"/>
      <w:u w:val="none"/>
    </w:rPr>
  </w:style>
  <w:style w:type="character" w:customStyle="1" w:styleId="38">
    <w:name w:val="font91"/>
    <w:basedOn w:val="19"/>
    <w:autoRedefine/>
    <w:qFormat/>
    <w:uiPriority w:val="0"/>
    <w:rPr>
      <w:rFonts w:ascii="微软雅黑" w:hAnsi="微软雅黑" w:eastAsia="微软雅黑" w:cs="微软雅黑"/>
      <w:color w:val="000000"/>
      <w:sz w:val="16"/>
      <w:szCs w:val="16"/>
      <w:u w:val="none"/>
    </w:rPr>
  </w:style>
  <w:style w:type="paragraph" w:customStyle="1" w:styleId="39">
    <w:name w:val="四号正文"/>
    <w:basedOn w:val="1"/>
    <w:autoRedefine/>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2024</a:t>
            </a: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年</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收入、支出决算总计变动情况图</a:t>
            </a:r>
            <a:endParaRPr>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manualLayout>
          <c:layoutTarget val="inner"/>
          <c:xMode val="edge"/>
          <c:yMode val="edge"/>
          <c:x val="0.0466532802084583"/>
          <c:y val="0.295408062930187"/>
          <c:w val="0.902816839154127"/>
          <c:h val="0.59202275600505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Sheet1!$A$2:$A$5</c:f>
              <c:strCache>
                <c:ptCount val="4"/>
                <c:pt idx="0">
                  <c:v>2023年财政收入总计</c:v>
                </c:pt>
                <c:pt idx="1">
                  <c:v>2024年财政收入总计</c:v>
                </c:pt>
                <c:pt idx="2">
                  <c:v>2023年财政支出总计</c:v>
                </c:pt>
                <c:pt idx="3">
                  <c:v>2024年财政支出总计</c:v>
                </c:pt>
              </c:strCache>
            </c:strRef>
          </c:cat>
          <c:val>
            <c:numRef>
              <c:f>Sheet1!$B$2:$B$5</c:f>
              <c:numCache>
                <c:formatCode>General</c:formatCode>
                <c:ptCount val="4"/>
                <c:pt idx="0">
                  <c:v>152.2</c:v>
                </c:pt>
                <c:pt idx="1">
                  <c:v>111.62</c:v>
                </c:pt>
                <c:pt idx="2">
                  <c:v>152.2</c:v>
                </c:pt>
                <c:pt idx="3">
                  <c:v>111.62</c:v>
                </c:pt>
              </c:numCache>
            </c:numRef>
          </c:val>
        </c:ser>
        <c:dLbls>
          <c:showLegendKey val="0"/>
          <c:showVal val="0"/>
          <c:showCatName val="0"/>
          <c:showSerName val="0"/>
          <c:showPercent val="0"/>
          <c:showBubbleSize val="0"/>
        </c:dLbls>
        <c:gapWidth val="219"/>
        <c:overlap val="-27"/>
        <c:axId val="282351828"/>
        <c:axId val="516529510"/>
      </c:barChart>
      <c:catAx>
        <c:axId val="2823518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16529510"/>
        <c:crosses val="autoZero"/>
        <c:auto val="1"/>
        <c:lblAlgn val="ctr"/>
        <c:lblOffset val="0"/>
        <c:tickMarkSkip val="10"/>
        <c:noMultiLvlLbl val="0"/>
      </c:catAx>
      <c:valAx>
        <c:axId val="516529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8235182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f886b1ba-a217-460d-a176-fbcaa8267dcc}"/>
      </c:ext>
    </c:extLst>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2024</a:t>
            </a:r>
            <a:r>
              <a:rPr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年收入决算结构图</a:t>
            </a:r>
            <a:endParaRPr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71325301204819"/>
          <c:y val="0.0218068535825545"/>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111.62</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万元, </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100%</a:t>
                    </a:r>
                    <a:endPar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0</a:t>
                    </a:r>
                    <a:r>
                      <a:rPr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万元,  </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0</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outEnd"/>
              <c:showLegendKey val="0"/>
              <c:showVal val="0"/>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111.62</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12abc85f-a23b-443d-a6f8-6f2fafd57426}"/>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atin typeface="Times New Roman" panose="02020603050405020304" charset="0"/>
                <a:ea typeface="Times New Roman" panose="02020603050405020304" charset="0"/>
                <a:cs typeface="Times New Roman" panose="02020603050405020304" charset="0"/>
                <a:sym typeface="Times New Roman" panose="02020603050405020304" charset="0"/>
              </a:rPr>
              <a:t>20</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24</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年支出决算结构图</a:t>
            </a:r>
            <a:endParaRPr>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pieChart>
        <c:varyColors val="1"/>
        <c:ser>
          <c:idx val="0"/>
          <c:order val="0"/>
          <c:tx>
            <c:strRef>
              <c:f>Sheet1!$B$1</c:f>
              <c:strCache>
                <c:ptCount val="1"/>
                <c:pt idx="0">
                  <c:v>2022年公共财政预算支出统计</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101.03</a:t>
                    </a:r>
                    <a:r>
                      <a:rPr altLang="en-US">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万元</a:t>
                    </a:r>
                    <a:r>
                      <a:rPr>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  ，</a:t>
                    </a:r>
                    <a:r>
                      <a:rPr lang="en-US" altLang="zh-CN">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90.51%</a:t>
                    </a:r>
                    <a:endParaRPr lang="en-US" altLang="zh-CN">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outEnd"/>
              <c:showLegendKey val="0"/>
              <c:showVal val="1"/>
              <c:showCatName val="0"/>
              <c:showSerName val="0"/>
              <c:showPercent val="0"/>
              <c:showBubbleSize val="0"/>
              <c:extLst>
                <c:ext xmlns:c15="http://schemas.microsoft.com/office/drawing/2012/chart" uri="{CE6537A1-D6FC-4f65-9D91-7224C49458BB}">
                  <c15:layout>
                    <c:manualLayout>
                      <c:w val="0.24825"/>
                      <c:h val="0.110886644219978"/>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10.59</a:t>
                    </a:r>
                    <a:r>
                      <a:rPr altLang="zh-CN">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万元</a:t>
                    </a:r>
                    <a:r>
                      <a:rPr>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lang="en-US" altLang="zh-CN">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9.49%</a:t>
                    </a:r>
                    <a:endParaRPr lang="en-US" altLang="zh-CN">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1"/>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103.93</c:v>
                </c:pt>
                <c:pt idx="1">
                  <c:v>18.22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426f421a-afaf-4bfb-aa34-6a301106af4a}"/>
      </c:ext>
    </c:extLst>
  </c:chart>
  <c:spPr>
    <a:solidFill>
      <a:schemeClr val="accent4">
        <a:lumMod val="60000"/>
        <a:lumOff val="40000"/>
      </a:schemeClr>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600">
                <a:latin typeface="Times New Roman" panose="02020603050405020304" charset="0"/>
                <a:ea typeface="Times New Roman" panose="02020603050405020304" charset="0"/>
                <a:cs typeface="Times New Roman" panose="02020603050405020304" charset="0"/>
                <a:sym typeface="Times New Roman" panose="02020603050405020304" charset="0"/>
              </a:rPr>
              <a:t>202</a:t>
            </a:r>
            <a:r>
              <a:rPr lang="en-US" altLang="zh-CN" sz="1600">
                <a:latin typeface="Times New Roman" panose="02020603050405020304" charset="0"/>
                <a:ea typeface="Times New Roman" panose="02020603050405020304" charset="0"/>
                <a:cs typeface="Times New Roman" panose="02020603050405020304" charset="0"/>
                <a:sym typeface="Times New Roman" panose="02020603050405020304" charset="0"/>
              </a:rPr>
              <a:t>4</a:t>
            </a:r>
            <a:r>
              <a:rPr sz="1600">
                <a:latin typeface="Times New Roman" panose="02020603050405020304" charset="0"/>
                <a:ea typeface="Times New Roman" panose="02020603050405020304" charset="0"/>
                <a:cs typeface="Times New Roman" panose="02020603050405020304" charset="0"/>
                <a:sym typeface="Times New Roman" panose="02020603050405020304" charset="0"/>
              </a:rPr>
              <a:t>年财政拨款收、支决算总计变动情况</a:t>
            </a:r>
            <a:endParaRPr sz="16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2024年收入支出决算总体统计</c:v>
                </c:pt>
              </c:strCache>
            </c:strRef>
          </c:tx>
          <c:spPr>
            <a:solidFill>
              <a:schemeClr val="accent1">
                <a:alpha val="85000"/>
              </a:schemeClr>
            </a:solidFill>
            <a:ln w="9525" cap="flat" cmpd="sng" algn="ctr">
              <a:solidFill>
                <a:schemeClr val="lt1">
                  <a:alpha val="50000"/>
                </a:schemeClr>
              </a:solidFill>
              <a:round/>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2023年财政拨款收入、支出</c:v>
                </c:pt>
                <c:pt idx="1">
                  <c:v>2024年财政拨款收入、支出</c:v>
                </c:pt>
              </c:strCache>
            </c:strRef>
          </c:cat>
          <c:val>
            <c:numRef>
              <c:f>Sheet1!$B$2:$B$3</c:f>
              <c:numCache>
                <c:formatCode>General</c:formatCode>
                <c:ptCount val="2"/>
                <c:pt idx="0">
                  <c:v>152.2</c:v>
                </c:pt>
                <c:pt idx="1">
                  <c:v>111.62</c:v>
                </c:pt>
              </c:numCache>
            </c:numRef>
          </c:val>
        </c:ser>
        <c:dLbls>
          <c:showLegendKey val="0"/>
          <c:showVal val="1"/>
          <c:showCatName val="0"/>
          <c:showSerName val="0"/>
          <c:showPercent val="0"/>
          <c:showBubbleSize val="0"/>
        </c:dLbls>
        <c:gapWidth val="65"/>
        <c:overlap val="0"/>
        <c:axId val="759698592"/>
        <c:axId val="308566884"/>
      </c:barChart>
      <c:catAx>
        <c:axId val="7596985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08566884"/>
        <c:crosses val="autoZero"/>
        <c:auto val="1"/>
        <c:lblAlgn val="ctr"/>
        <c:lblOffset val="100"/>
        <c:noMultiLvlLbl val="0"/>
      </c:catAx>
      <c:valAx>
        <c:axId val="3085668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5969859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6dc99160-c397-47c0-84f3-e3b469771406}"/>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95500335795836"/>
          <c:y val="0.0685682940208448"/>
          <c:w val="0.940899932840833"/>
          <c:h val="0.683324190894131"/>
        </c:manualLayout>
      </c:layout>
      <c:barChart>
        <c:barDir val="col"/>
        <c:grouping val="clustered"/>
        <c:varyColors val="0"/>
        <c:ser>
          <c:idx val="0"/>
          <c:order val="0"/>
          <c:tx>
            <c:strRef>
              <c:f>Sheet1!$B$1</c:f>
              <c:strCache>
                <c:ptCount val="1"/>
                <c:pt idx="0">
                  <c:v>2024年一般公共预算财政拨款支出决算变动情况</c:v>
                </c:pt>
              </c:strCache>
            </c:strRef>
          </c:tx>
          <c:spPr>
            <a:solidFill>
              <a:schemeClr val="accent1">
                <a:alpha val="85000"/>
              </a:schemeClr>
            </a:solidFill>
            <a:ln w="9525" cap="flat" cmpd="sng" algn="ctr">
              <a:solidFill>
                <a:schemeClr val="lt1">
                  <a:alpha val="50000"/>
                </a:schemeClr>
              </a:solidFill>
              <a:round/>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2023年一般公共预算财政拨款支出</c:v>
                </c:pt>
                <c:pt idx="1">
                  <c:v>2024年一般公共预算财政拨款支出</c:v>
                </c:pt>
              </c:strCache>
            </c:strRef>
          </c:cat>
          <c:val>
            <c:numRef>
              <c:f>Sheet1!$B$2:$B$3</c:f>
              <c:numCache>
                <c:formatCode>General</c:formatCode>
                <c:ptCount val="2"/>
                <c:pt idx="0">
                  <c:v>152.2</c:v>
                </c:pt>
                <c:pt idx="1">
                  <c:v>111.62</c:v>
                </c:pt>
              </c:numCache>
            </c:numRef>
          </c:val>
        </c:ser>
        <c:dLbls>
          <c:showLegendKey val="0"/>
          <c:showVal val="1"/>
          <c:showCatName val="0"/>
          <c:showSerName val="0"/>
          <c:showPercent val="0"/>
          <c:showBubbleSize val="0"/>
        </c:dLbls>
        <c:gapWidth val="65"/>
        <c:overlap val="0"/>
        <c:axId val="759698592"/>
        <c:axId val="308566884"/>
      </c:barChart>
      <c:catAx>
        <c:axId val="7596985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08566884"/>
        <c:crosses val="autoZero"/>
        <c:auto val="1"/>
        <c:lblAlgn val="ctr"/>
        <c:lblOffset val="100"/>
        <c:noMultiLvlLbl val="0"/>
      </c:catAx>
      <c:valAx>
        <c:axId val="3085668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75969859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fe4d606b-f063-42d4-aedc-738234950c66}"/>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atin typeface="Times New Roman" panose="02020603050405020304" charset="0"/>
                <a:ea typeface="Times New Roman" panose="02020603050405020304" charset="0"/>
                <a:cs typeface="Times New Roman" panose="02020603050405020304" charset="0"/>
                <a:sym typeface="Times New Roman" panose="02020603050405020304" charset="0"/>
              </a:rPr>
              <a:t>202</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4</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年一般公共预算财政拨款支出决算结构</a:t>
            </a:r>
            <a:endParaRPr>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25674217907228"/>
          <c:y val="0.02601585728444"/>
        </c:manualLayout>
      </c:layout>
      <c:overlay val="0"/>
      <c:spPr>
        <a:noFill/>
        <a:ln>
          <a:noFill/>
        </a:ln>
        <a:effectLst/>
      </c:spPr>
    </c:title>
    <c:autoTitleDeleted val="0"/>
    <c:plotArea>
      <c:layout/>
      <c:pieChart>
        <c:varyColors val="1"/>
        <c:ser>
          <c:idx val="0"/>
          <c:order val="0"/>
          <c:spPr>
            <a:solidFill>
              <a:srgbClr val="63B1EF">
                <a:alpha val="67000"/>
              </a:srgbClr>
            </a:solidFill>
            <a:ln w="19050" cap="rnd">
              <a:noFill/>
              <a:round/>
            </a:ln>
            <a:effectLst/>
          </c:spPr>
          <c:explosion val="0"/>
          <c:dPt>
            <c:idx val="0"/>
            <c:bubble3D val="0"/>
            <c:spPr>
              <a:solidFill>
                <a:srgbClr val="63B1EF">
                  <a:alpha val="67000"/>
                </a:srgbClr>
              </a:solidFill>
              <a:ln w="19050" cap="rnd">
                <a:noFill/>
                <a:round/>
              </a:ln>
              <a:effectLst/>
            </c:spPr>
          </c:dPt>
          <c:dPt>
            <c:idx val="1"/>
            <c:bubble3D val="0"/>
            <c:spPr>
              <a:solidFill>
                <a:srgbClr val="75D890">
                  <a:alpha val="67000"/>
                </a:srgbClr>
              </a:solidFill>
              <a:ln w="19050" cap="rnd">
                <a:noFill/>
                <a:round/>
              </a:ln>
              <a:effectLst/>
            </c:spPr>
          </c:dPt>
          <c:dPt>
            <c:idx val="2"/>
            <c:bubble3D val="0"/>
            <c:spPr>
              <a:solidFill>
                <a:srgbClr val="FB7E72">
                  <a:alpha val="67000"/>
                </a:srgbClr>
              </a:solidFill>
              <a:ln w="19050" cap="rnd">
                <a:noFill/>
                <a:round/>
              </a:ln>
              <a:effectLst/>
            </c:spPr>
          </c:dPt>
          <c:dPt>
            <c:idx val="3"/>
            <c:bubble3D val="0"/>
            <c:spPr>
              <a:solidFill>
                <a:srgbClr val="F8AC41">
                  <a:alpha val="67000"/>
                </a:srgbClr>
              </a:solidFill>
              <a:ln w="19050" cap="rnd">
                <a:noFill/>
                <a:round/>
              </a:ln>
              <a:effectLst/>
            </c:spPr>
          </c:dPt>
          <c:dPt>
            <c:idx val="4"/>
            <c:bubble3D val="0"/>
            <c:spPr>
              <a:solidFill>
                <a:srgbClr val="63B1EF">
                  <a:alpha val="67000"/>
                </a:srgbClr>
              </a:solidFill>
              <a:ln w="19050" cap="rnd">
                <a:noFill/>
                <a:round/>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 
一般公共预算财政拨款支出决算结构情况</c:v>
                </c:pt>
                <c:pt idx="1">
                  <c:v>一般公共服务支出</c:v>
                </c:pt>
                <c:pt idx="2">
                  <c:v>社会保障和就业支出</c:v>
                </c:pt>
                <c:pt idx="3">
                  <c:v>卫生健康支出</c:v>
                </c:pt>
                <c:pt idx="4">
                  <c:v>住房保障支出</c:v>
                </c:pt>
              </c:strCache>
            </c:strRef>
          </c:cat>
          <c:val>
            <c:numRef>
              <c:f>Sheet1!$B$1:$B$5</c:f>
              <c:numCache>
                <c:formatCode>General</c:formatCode>
                <c:ptCount val="5"/>
                <c:pt idx="1">
                  <c:v>87.45</c:v>
                </c:pt>
                <c:pt idx="2">
                  <c:v>11.45</c:v>
                </c:pt>
                <c:pt idx="3">
                  <c:v>5.42</c:v>
                </c:pt>
                <c:pt idx="4">
                  <c:v>7.29</c:v>
                </c:pt>
              </c:numCache>
            </c:numRef>
          </c:val>
        </c:ser>
        <c:dLbls>
          <c:showLegendKey val="0"/>
          <c:showVal val="0"/>
          <c:showCatName val="1"/>
          <c:showSerName val="0"/>
          <c:showPercent val="1"/>
          <c:showBubbleSize val="0"/>
          <c:showLeaderLines val="1"/>
        </c:dLbls>
        <c:firstSliceAng val="0"/>
      </c:pieChart>
      <c:spPr>
        <a:pattFill prst="lgGrid">
          <a:fgClr>
            <a:srgbClr val="F8F8F8"/>
          </a:fgClr>
          <a:bgClr>
            <a:schemeClr val="bg1"/>
          </a:bgClr>
        </a:pattFill>
        <a:ln>
          <a:solidFill>
            <a:schemeClr val="bg1">
              <a:lumMod val="95000"/>
            </a:schemeClr>
          </a:solid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extLst>
      <c:ext uri="{0b15fc19-7d7d-44ad-8c2d-2c3a37ce22c3}">
        <chartProps xmlns="https://web.wps.cn/et/2018/main" chartId="{cfef44b3-e7cf-4343-bc3f-d42333400cf3}"/>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atin typeface="Times New Roman" panose="02020603050405020304" charset="0"/>
                <a:ea typeface="Times New Roman" panose="02020603050405020304" charset="0"/>
                <a:cs typeface="Times New Roman" panose="02020603050405020304" charset="0"/>
                <a:sym typeface="Times New Roman" panose="02020603050405020304" charset="0"/>
              </a:rPr>
              <a:t>202</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4</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年</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三公</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经费财政拨款支出结构图</a:t>
            </a:r>
            <a:endParaRPr>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206875"/>
          <c:y val="0.032044434949797"/>
        </c:manualLayout>
      </c:layout>
      <c:overlay val="0"/>
      <c:spPr>
        <a:noFill/>
        <a:ln>
          <a:noFill/>
        </a:ln>
        <a:effectLst/>
      </c:spPr>
    </c:title>
    <c:autoTitleDeleted val="0"/>
    <c:plotArea>
      <c:layout/>
      <c:pieChart>
        <c:varyColors val="1"/>
        <c:ser>
          <c:idx val="0"/>
          <c:order val="0"/>
          <c:tx>
            <c:strRef>
              <c:f>Sheet1!$B$1</c:f>
              <c:strCache>
                <c:ptCount val="1"/>
                <c:pt idx="0">
                  <c:v>2023年公务支出明细表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atin typeface="Times New Roman" panose="02020603050405020304" charset="0"/>
                        <a:ea typeface="Times New Roman" panose="02020603050405020304" charset="0"/>
                        <a:cs typeface="Times New Roman" panose="02020603050405020304" charset="0"/>
                        <a:sym typeface="Times New Roman" panose="02020603050405020304" charset="0"/>
                      </a:rPr>
                      <a:t>0.</a:t>
                    </a:r>
                    <a:r>
                      <a:rPr lang="en-US" altLang="zh-CN">
                        <a:latin typeface="Times New Roman" panose="02020603050405020304" charset="0"/>
                        <a:ea typeface="Times New Roman" panose="02020603050405020304" charset="0"/>
                        <a:cs typeface="Times New Roman" panose="02020603050405020304" charset="0"/>
                        <a:sym typeface="Times New Roman" panose="02020603050405020304" charset="0"/>
                      </a:rPr>
                      <a:t>6</a:t>
                    </a:r>
                    <a:r>
                      <a:rPr>
                        <a:latin typeface="Times New Roman" panose="02020603050405020304" charset="0"/>
                        <a:ea typeface="Times New Roman" panose="02020603050405020304" charset="0"/>
                        <a:cs typeface="Times New Roman" panose="02020603050405020304" charset="0"/>
                        <a:sym typeface="Times New Roman" panose="02020603050405020304" charset="0"/>
                      </a:rPr>
                      <a:t>8万元</a:t>
                    </a:r>
                    <a:endParaRPr>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公务接待费支出</c:v>
                </c:pt>
                <c:pt idx="1">
                  <c:v>因公出国（境）费支出</c:v>
                </c:pt>
                <c:pt idx="2">
                  <c:v>公务用车购置及运行维护费支出</c:v>
                </c:pt>
              </c:strCache>
            </c:strRef>
          </c:cat>
          <c:val>
            <c:numRef>
              <c:f>Sheet1!$B$2:$B$4</c:f>
              <c:numCache>
                <c:formatCode>General</c:formatCode>
                <c:ptCount val="3"/>
                <c:pt idx="0">
                  <c:v>0</c:v>
                </c:pt>
                <c:pt idx="1">
                  <c:v>0.8</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0"/>
    <c:dispBlanksAs val="gap"/>
    <c:showDLblsOverMax val="0"/>
    <c:extLst>
      <c:ext uri="{0b15fc19-7d7d-44ad-8c2d-2c3a37ce22c3}">
        <chartProps xmlns="https://web.wps.cn/et/2018/main" chartId="{53935bc4-f77a-4492-ba67-13af06cc640b}"/>
      </c:ext>
    </c:extLst>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7874</Words>
  <Characters>8512</Characters>
  <Lines>0</Lines>
  <Paragraphs>0</Paragraphs>
  <TotalTime>0</TotalTime>
  <ScaleCrop>false</ScaleCrop>
  <LinksUpToDate>false</LinksUpToDate>
  <CharactersWithSpaces>8552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Administrator</cp:lastModifiedBy>
  <cp:lastPrinted>2025-08-28T02:11:00Z</cp:lastPrinted>
  <dcterms:modified xsi:type="dcterms:W3CDTF">2025-08-28T04:30:51Z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E03FF5D9E63240AB8654166E053A2A17</vt:lpwstr>
  </property>
  <property fmtid="{D5CDD505-2E9C-101B-9397-08002B2CF9AE}" pid="4" name="KSOTemplateDocerSaveRecord">
    <vt:lpwstr>eyJoZGlkIjoiZGM4NjUzNDA1NDkyY2MxZmJmZThlN2U3ZTFkMjcwOGYifQ==</vt:lpwstr>
  </property>
</Properties>
</file>