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7193"/>
      <w:bookmarkStart w:id="1" w:name="_Toc15396475"/>
      <w:bookmarkStart w:id="2" w:name="_Toc15377425"/>
      <w:bookmarkStart w:id="3" w:name="_Toc15378441"/>
      <w:bookmarkStart w:id="4" w:name="_Toc15396597"/>
      <w:bookmarkStart w:id="5" w:name="_Toc15306267"/>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96476"/>
      <w:bookmarkStart w:id="7" w:name="_Toc15396598"/>
      <w:bookmarkStart w:id="8" w:name="_Toc15377426"/>
      <w:bookmarkStart w:id="9" w:name="_Toc15378442"/>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遂宁市东禅中学</w:t>
      </w: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24"/>
          <w:szCs w:val="24"/>
          <w:highlight w:val="none"/>
          <w:lang w:val="en-US" w:eastAsia="zh-CN"/>
        </w:rPr>
        <w:t xml:space="preserve"> </w:t>
      </w:r>
      <w:r>
        <w:rPr>
          <w:rFonts w:hint="eastAsia" w:ascii="Times New Roman" w:hAnsi="Times New Roman" w:eastAsia="黑体" w:cs="黑体"/>
          <w:color w:val="auto"/>
          <w:sz w:val="22"/>
          <w:szCs w:val="22"/>
          <w:highlight w:val="none"/>
          <w:lang w:val="en-US" w:eastAsia="zh-CN"/>
        </w:rPr>
        <w:t xml:space="preserve"> </w:t>
      </w:r>
      <w:r>
        <w:rPr>
          <w:rFonts w:hint="eastAsia" w:ascii="Times New Roman" w:hAnsi="Times New Roman" w:eastAsia="黑体" w:cs="黑体"/>
          <w:color w:val="auto"/>
          <w:sz w:val="15"/>
          <w:szCs w:val="15"/>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13"/>
          <w:szCs w:val="13"/>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13"/>
          <w:szCs w:val="13"/>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13"/>
          <w:szCs w:val="13"/>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bookmarkStart w:id="12" w:name="OLE_LINK3"/>
      <w:r>
        <w:rPr>
          <w:rFonts w:hint="eastAsia" w:ascii="仿宋_GB2312" w:hAnsi="仿宋_GB2312" w:eastAsia="仿宋_GB2312" w:cs="仿宋_GB2312"/>
          <w:color w:val="auto"/>
          <w:sz w:val="32"/>
          <w:szCs w:val="32"/>
          <w:highlight w:val="none"/>
          <w:lang w:val="en-US" w:eastAsia="zh-CN"/>
        </w:rPr>
        <w:t>38</w:t>
      </w:r>
      <w:bookmarkEnd w:id="12"/>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38</w:t>
      </w:r>
      <w:bookmarkStart w:id="73" w:name="_GoBack"/>
      <w:bookmarkEnd w:id="73"/>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3" w:name="_Toc15396599"/>
      <w:bookmarkStart w:id="14" w:name="_Toc15377196"/>
      <w:r>
        <w:rPr>
          <w:rFonts w:hint="eastAsia" w:ascii="Times New Roman" w:hAnsi="Times New Roman" w:eastAsia="仿宋_GB2312" w:cs="仿宋_GB2312"/>
          <w:b/>
          <w:color w:val="auto"/>
          <w:sz w:val="32"/>
          <w:szCs w:val="32"/>
          <w:highlight w:val="none"/>
        </w:rPr>
        <w:br w:type="page"/>
      </w:r>
    </w:p>
    <w:p>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3"/>
      <w:bookmarkEnd w:id="14"/>
    </w:p>
    <w:p>
      <w:pPr>
        <w:widowControl/>
        <w:jc w:val="left"/>
        <w:rPr>
          <w:rFonts w:ascii="Times New Roman" w:hAnsi="Times New Roman" w:eastAsia="黑体"/>
          <w:color w:val="auto"/>
          <w:sz w:val="32"/>
          <w:szCs w:val="32"/>
          <w:highlight w:val="none"/>
        </w:rPr>
      </w:pPr>
    </w:p>
    <w:p>
      <w:pPr>
        <w:pStyle w:val="6"/>
        <w:rPr>
          <w:rFonts w:hint="eastAsia" w:ascii="Times New Roman" w:hAnsi="Times New Roman" w:eastAsia="黑体"/>
          <w:b w:val="0"/>
          <w:color w:val="auto"/>
          <w:highlight w:val="none"/>
          <w:lang w:eastAsia="zh-CN"/>
        </w:rPr>
      </w:pPr>
      <w:bookmarkStart w:id="15" w:name="_Toc15396600"/>
      <w:bookmarkStart w:id="16" w:name="_Toc15377197"/>
      <w:r>
        <w:rPr>
          <w:rFonts w:hint="eastAsia" w:ascii="Times New Roman" w:hAnsi="Times New Roman" w:eastAsia="黑体"/>
          <w:b w:val="0"/>
          <w:color w:val="auto"/>
          <w:highlight w:val="none"/>
        </w:rPr>
        <w:t>一、</w:t>
      </w:r>
      <w:bookmarkEnd w:id="15"/>
      <w:bookmarkEnd w:id="16"/>
      <w:r>
        <w:rPr>
          <w:rFonts w:hint="eastAsia" w:ascii="Times New Roman" w:hAnsi="Times New Roman" w:eastAsia="黑体"/>
          <w:b w:val="0"/>
          <w:color w:val="auto"/>
          <w:highlight w:val="none"/>
          <w:lang w:eastAsia="zh-CN"/>
        </w:rPr>
        <w:t>部门职责</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eastAsia="zh-CN"/>
        </w:rPr>
      </w:pPr>
      <w:r>
        <w:rPr>
          <w:rFonts w:hint="eastAsia" w:ascii="仿宋_GB2312" w:hAnsi="仿宋" w:eastAsia="仿宋_GB2312"/>
          <w:sz w:val="32"/>
          <w:szCs w:val="32"/>
          <w:lang w:eastAsia="zh-CN"/>
        </w:rPr>
        <w:t>四川省遂宁市东禅中学</w:t>
      </w:r>
      <w:r>
        <w:rPr>
          <w:rFonts w:hint="eastAsia" w:ascii="仿宋_GB2312" w:hAnsi="仿宋" w:eastAsia="仿宋_GB2312"/>
          <w:sz w:val="32"/>
          <w:szCs w:val="32"/>
        </w:rPr>
        <w:t>地处遂宁市安居区</w:t>
      </w:r>
      <w:r>
        <w:rPr>
          <w:rFonts w:hint="eastAsia" w:ascii="仿宋_GB2312" w:hAnsi="仿宋" w:eastAsia="仿宋_GB2312"/>
          <w:sz w:val="32"/>
          <w:szCs w:val="32"/>
          <w:lang w:eastAsia="zh-CN"/>
        </w:rPr>
        <w:t>东禅镇</w:t>
      </w:r>
      <w:r>
        <w:rPr>
          <w:rFonts w:hint="eastAsia" w:ascii="仿宋_GB2312" w:hAnsi="仿宋" w:eastAsia="仿宋_GB2312"/>
          <w:sz w:val="32"/>
          <w:szCs w:val="32"/>
          <w:lang w:val="en-US" w:eastAsia="zh-CN"/>
        </w:rPr>
        <w:t>琼江下路166号</w:t>
      </w:r>
      <w:r>
        <w:rPr>
          <w:rFonts w:hint="eastAsia" w:ascii="仿宋_GB2312" w:hAnsi="仿宋" w:eastAsia="仿宋_GB2312"/>
          <w:sz w:val="32"/>
          <w:szCs w:val="32"/>
        </w:rPr>
        <w:t>，占地面积</w:t>
      </w:r>
      <w:r>
        <w:rPr>
          <w:rFonts w:hint="eastAsia" w:ascii="仿宋_GB2312" w:hAnsi="仿宋" w:eastAsia="仿宋_GB2312"/>
          <w:sz w:val="32"/>
          <w:szCs w:val="32"/>
          <w:lang w:val="en-US" w:eastAsia="zh-CN"/>
        </w:rPr>
        <w:t>52000多</w:t>
      </w:r>
      <w:r>
        <w:rPr>
          <w:rFonts w:hint="eastAsia" w:ascii="仿宋_GB2312" w:hAnsi="仿宋" w:eastAsia="仿宋_GB2312"/>
          <w:sz w:val="32"/>
          <w:szCs w:val="32"/>
        </w:rPr>
        <w:t>平方米，</w:t>
      </w:r>
      <w:r>
        <w:rPr>
          <w:rFonts w:hint="eastAsia" w:ascii="仿宋_GB2312" w:hAnsi="仿宋" w:eastAsia="仿宋_GB2312"/>
          <w:sz w:val="32"/>
          <w:szCs w:val="32"/>
          <w:lang w:eastAsia="zh-CN"/>
        </w:rPr>
        <w:t>我校</w:t>
      </w:r>
      <w:r>
        <w:rPr>
          <w:rFonts w:hint="eastAsia" w:ascii="仿宋_GB2312" w:hAnsi="仿宋" w:eastAsia="仿宋_GB2312"/>
          <w:sz w:val="32"/>
          <w:szCs w:val="32"/>
        </w:rPr>
        <w:t>主要服务区域为</w:t>
      </w: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w:t>
      </w:r>
      <w:r>
        <w:rPr>
          <w:rFonts w:hint="eastAsia" w:ascii="仿宋_GB2312" w:hAnsi="仿宋" w:eastAsia="仿宋_GB2312"/>
          <w:sz w:val="32"/>
          <w:szCs w:val="32"/>
          <w:lang w:eastAsia="zh-CN"/>
        </w:rPr>
        <w:t>安居区东禅镇</w:t>
      </w:r>
      <w:r>
        <w:rPr>
          <w:rFonts w:hint="eastAsia" w:ascii="仿宋_GB2312" w:hAnsi="仿宋" w:eastAsia="仿宋_GB2312"/>
          <w:sz w:val="32"/>
          <w:szCs w:val="32"/>
        </w:rPr>
        <w:t>所辖行政区及附近区域</w:t>
      </w:r>
      <w:r>
        <w:rPr>
          <w:rFonts w:hint="eastAsia" w:ascii="仿宋_GB2312" w:hAnsi="仿宋" w:eastAsia="仿宋_GB2312"/>
          <w:sz w:val="32"/>
          <w:szCs w:val="32"/>
          <w:lang w:eastAsia="zh-CN"/>
        </w:rPr>
        <w:t>。我校正确贯彻执行党和国家的教育方针、政策、法规；实施初中义务教育，促进基础教育发展，负责初中学历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w:t>
      </w:r>
      <w:r>
        <w:rPr>
          <w:rFonts w:hint="eastAsia" w:ascii="仿宋_GB2312" w:hAnsi="仿宋" w:eastAsia="仿宋_GB2312"/>
          <w:sz w:val="32"/>
          <w:szCs w:val="32"/>
          <w:lang w:val="en-US" w:eastAsia="zh-CN"/>
        </w:rPr>
        <w:t>身</w:t>
      </w:r>
      <w:r>
        <w:rPr>
          <w:rFonts w:hint="eastAsia" w:ascii="仿宋_GB2312" w:hAnsi="仿宋" w:eastAsia="仿宋_GB2312"/>
          <w:sz w:val="32"/>
          <w:szCs w:val="32"/>
          <w:lang w:eastAsia="zh-CN"/>
        </w:rPr>
        <w:t>安全。</w:t>
      </w:r>
    </w:p>
    <w:p>
      <w:pPr>
        <w:rPr>
          <w:rFonts w:hint="eastAsia"/>
          <w:lang w:eastAsia="zh-CN"/>
        </w:rPr>
      </w:pPr>
    </w:p>
    <w:p>
      <w:pPr>
        <w:pStyle w:val="6"/>
        <w:rPr>
          <w:rStyle w:val="30"/>
          <w:rFonts w:ascii="Times New Roman" w:hAnsi="Times New Roman"/>
          <w:b w:val="0"/>
          <w:bCs w:val="0"/>
          <w:color w:val="auto"/>
          <w:highlight w:val="none"/>
        </w:rPr>
      </w:pPr>
      <w:bookmarkStart w:id="17" w:name="_Toc15377200"/>
      <w:bookmarkStart w:id="18"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7"/>
      <w:bookmarkEnd w:id="18"/>
    </w:p>
    <w:p>
      <w:pPr>
        <w:pStyle w:val="8"/>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我校为独立编制机构1个，独立核算机构1个。</w:t>
      </w:r>
    </w:p>
    <w:p>
      <w:pPr>
        <w:pStyle w:val="8"/>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我校现有在编教师</w:t>
      </w:r>
      <w:r>
        <w:rPr>
          <w:rFonts w:hint="eastAsia" w:hAnsi="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人，遗属7人，退休教师</w:t>
      </w:r>
      <w:r>
        <w:rPr>
          <w:rFonts w:hint="eastAsia" w:hAnsi="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人。学生</w:t>
      </w:r>
      <w:r>
        <w:rPr>
          <w:rFonts w:hint="eastAsia" w:hAnsi="仿宋_GB2312" w:cs="仿宋_GB2312"/>
          <w:color w:val="auto"/>
          <w:sz w:val="32"/>
          <w:szCs w:val="32"/>
          <w:highlight w:val="none"/>
          <w:lang w:val="en-US" w:eastAsia="zh-CN"/>
        </w:rPr>
        <w:t>423</w:t>
      </w:r>
      <w:r>
        <w:rPr>
          <w:rFonts w:hint="eastAsia" w:ascii="仿宋_GB2312" w:hAnsi="仿宋_GB2312" w:eastAsia="仿宋_GB2312" w:cs="仿宋_GB2312"/>
          <w:color w:val="auto"/>
          <w:sz w:val="32"/>
          <w:szCs w:val="32"/>
          <w:highlight w:val="none"/>
        </w:rPr>
        <w:t>人。学校现设有行政办、德育处、教导处、后勤处等部门。</w:t>
      </w:r>
    </w:p>
    <w:p>
      <w:pPr>
        <w:widowControl/>
        <w:jc w:val="left"/>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9" w:name="_Toc15377204"/>
      <w:bookmarkStart w:id="20"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1" w:name="_Toc15396603"/>
      <w:bookmarkStart w:id="2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1"/>
      <w:bookmarkEnd w:id="2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2353.43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205.86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9.59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本年度的学生课后服务费和学生伙食费纳入决算，导致本年度决算的收入、支出各计都有所增长。</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eastAsia="仿宋_GB2312" w:cs="仿宋_GB2312"/>
          <w:color w:val="auto"/>
          <w:sz w:val="32"/>
          <w:szCs w:val="32"/>
          <w:highlight w:val="none"/>
          <w:lang w:eastAsia="zh-CN"/>
        </w:rPr>
      </w:pPr>
      <w:r>
        <w:drawing>
          <wp:inline distT="0" distB="0" distL="114300" distR="114300">
            <wp:extent cx="4572000" cy="3618865"/>
            <wp:effectExtent l="4445" t="4445" r="14605" b="15240"/>
            <wp:docPr id="11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
        <w:rPr>
          <w:rFonts w:hint="eastAsi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96604"/>
      <w:bookmarkStart w:id="24" w:name="_Toc15377206"/>
      <w:r>
        <w:rPr>
          <w:rFonts w:hint="eastAsia" w:ascii="Times New Roman" w:hAnsi="Times New Roman" w:eastAsia="黑体"/>
          <w:color w:val="auto"/>
          <w:sz w:val="32"/>
          <w:szCs w:val="32"/>
          <w:highlight w:val="none"/>
          <w:lang w:eastAsia="zh-CN"/>
        </w:rPr>
        <w:t>二、收入决算情况说明</w:t>
      </w:r>
      <w:bookmarkEnd w:id="23"/>
      <w:bookmarkEnd w:id="2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2353.43万元，其中：一般公共预算财政拨款收入1986.68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168.7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7.16</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198.0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5270500" cy="3653790"/>
            <wp:effectExtent l="4445" t="4445" r="20955" b="1841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
        <w:rPr>
          <w:rFonts w:hint="eastAsia" w:ascii="Times New Roman" w:hAnsi="Times New Roman" w:eastAsia="仿宋_GB2312" w:cs="仿宋_GB2312"/>
          <w:color w:val="auto"/>
          <w:sz w:val="32"/>
          <w:szCs w:val="32"/>
          <w:highlight w:val="none"/>
          <w:lang w:eastAsia="zh-CN"/>
        </w:rPr>
      </w:pPr>
    </w:p>
    <w:p>
      <w:pPr>
        <w:pStyle w:val="3"/>
        <w:rPr>
          <w:rFonts w:hint="eastAsia"/>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5" w:name="_Toc15377207"/>
      <w:bookmarkStart w:id="26"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5"/>
      <w:bookmarkEnd w:id="2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2353.43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1785.75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75.8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567.6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pPr>
        <w:ind w:left="0" w:leftChars="0" w:firstLine="0" w:firstLineChars="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58235" cy="3334385"/>
            <wp:effectExtent l="4445" t="4445" r="13970" b="13970"/>
            <wp:docPr id="115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spacing w:line="600" w:lineRule="exact"/>
        <w:ind w:firstLine="640" w:firstLineChars="200"/>
        <w:outlineLvl w:val="1"/>
        <w:rPr>
          <w:rStyle w:val="30"/>
          <w:rFonts w:ascii="Times New Roman" w:hAnsi="Times New Roman" w:eastAsia="黑体"/>
          <w:b w:val="0"/>
          <w:color w:val="auto"/>
          <w:highlight w:val="none"/>
        </w:rPr>
      </w:pPr>
      <w:bookmarkStart w:id="27" w:name="_Toc15396606"/>
      <w:bookmarkStart w:id="28"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7"/>
      <w:bookmarkEnd w:id="28"/>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2155.38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7.81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0.36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本年度增加了政府性基金预算财政拨款项目资金，对学校校园进行维修</w:t>
      </w:r>
    </w:p>
    <w:p>
      <w:pPr>
        <w:pStyle w:val="2"/>
        <w:jc w:val="center"/>
        <w:rPr>
          <w:rFonts w:hint="eastAsia"/>
          <w:lang w:val="en-US" w:eastAsia="zh-CN"/>
        </w:rPr>
      </w:pPr>
      <w:r>
        <w:drawing>
          <wp:inline distT="0" distB="0" distL="114300" distR="114300">
            <wp:extent cx="4572000" cy="2742565"/>
            <wp:effectExtent l="4445" t="4445" r="14605" b="15240"/>
            <wp:docPr id="116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0"/>
          <w:rFonts w:ascii="Times New Roman" w:hAnsi="Times New Roman" w:eastAsia="黑体"/>
          <w:b w:val="0"/>
          <w:color w:val="auto"/>
          <w:highlight w:val="none"/>
        </w:rPr>
      </w:pPr>
      <w:bookmarkStart w:id="29" w:name="_Toc15396607"/>
      <w:bookmarkStart w:id="30"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9"/>
      <w:bookmarkEnd w:id="3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1986.68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84.41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%。与2023年度相比，一般公共预算财政拨款支出减少160.89万元，下降7.49%。主要变动原因是本年度教职员工调出及退休等导至工资五险一金等人员经费减少，学生人数减少，财政匹配的公用经费有所减少等。</w:t>
      </w:r>
    </w:p>
    <w:p>
      <w:pPr>
        <w:pStyle w:val="2"/>
        <w:ind w:left="0" w:leftChars="0" w:firstLine="0" w:firstLineChars="0"/>
        <w:jc w:val="center"/>
        <w:rPr>
          <w:rFonts w:hint="eastAsia"/>
          <w:lang w:val="en-US" w:eastAsia="zh-CN"/>
        </w:rPr>
      </w:pPr>
      <w:r>
        <w:drawing>
          <wp:inline distT="0" distB="0" distL="114300" distR="114300">
            <wp:extent cx="4572635" cy="2743200"/>
            <wp:effectExtent l="4445" t="4445" r="13970" b="14605"/>
            <wp:docPr id="116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1986.68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1531.43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77.08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229.61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11.56</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84.59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4.26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141.05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7.10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ind w:left="0" w:leftChars="0" w:firstLine="0" w:firstLineChars="0"/>
        <w:jc w:val="center"/>
      </w:pPr>
    </w:p>
    <w:p>
      <w:pPr>
        <w:pStyle w:val="3"/>
        <w:ind w:left="420" w:leftChars="0" w:hanging="420" w:hangingChars="200"/>
        <w:jc w:val="center"/>
        <w:rPr>
          <w:rFonts w:hint="eastAsia"/>
          <w:lang w:val="en-US" w:eastAsia="zh-CN"/>
        </w:rPr>
      </w:pPr>
      <w:r>
        <w:drawing>
          <wp:inline distT="0" distB="0" distL="114300" distR="114300">
            <wp:extent cx="5099685" cy="4149725"/>
            <wp:effectExtent l="5080" t="4445" r="19685" b="177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444"/>
      <w:bookmarkStart w:id="35" w:name="_Toc15377213"/>
      <w:bookmarkStart w:id="36"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1986.68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pPr>
        <w:numPr>
          <w:ilvl w:val="0"/>
          <w:numId w:val="1"/>
        </w:num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教育支出205(类)普通教育02(款)初中教育03(款)：支出决算为1426.09万元，完成预算100%。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教育支出205(类)普通教育02(款)其他普通教育支出99(款)：支出决算为65.74万元，完成预算100%。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教育支出205(类)教育费附加安排的支出09(款)其他教育费附加安排的支出99(款)：支出决算为39.6万元，完成预算100%。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社会保障和就业支出208(类)行政事业单位养老支出05(款)事业单位离退休02(款)：支出决算为5.79万元，完成预算100%。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社会保障和就业支出208(类)行政事业单位养老支出05(款)机关事业单位基本养老保险缴费支出05(款)：支出决算为187.17万元，完成预算100%。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社会保障和就业支出208(类)行政事业单位养老支出05(款)其他行政事业单位养老支出99(款)：支出决算为18.3万元，完成预算100%。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社会保障和就业支出208(类)其他社会保障和就业支出99(款)其他社会保障和就业支出99(款)：支出决算为18.35万元，完成预算100%。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卫生健康支出210(类)行政事业单位医疗11(款)事业单位医疗02(款)：支出决算为84.59万元，完成预算100%。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城乡社区支出212(类)国有土地使用权出让收入安排的支出08(款)其他国有土地使用权出让收入安排的支出99(款)：支出决算为168.7万元，完成预算100%。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住房保障支出221(类)住房改革支出02(款)住房公积金01(款)：支出决算为141.05万元，完成预算100%。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0"/>
          <w:rFonts w:ascii="Times New Roman" w:hAnsi="Times New Roman"/>
          <w:color w:val="auto"/>
          <w:highlight w:val="none"/>
        </w:rPr>
      </w:pPr>
      <w:bookmarkStart w:id="37" w:name="_Toc15377214"/>
      <w:bookmarkStart w:id="38"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7"/>
      <w:bookmarkEnd w:id="38"/>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1785.75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1744.93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40.82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30"/>
          <w:rFonts w:ascii="Times New Roman" w:hAnsi="Times New Roman" w:eastAsia="黑体"/>
          <w:b w:val="0"/>
          <w:color w:val="auto"/>
          <w:highlight w:val="none"/>
        </w:rPr>
      </w:pPr>
      <w:bookmarkStart w:id="39" w:name="_Toc15377215"/>
      <w:bookmarkStart w:id="40"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9"/>
      <w:bookmarkEnd w:id="4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3" w:name="_Toc15377218"/>
      <w:bookmarkStart w:id="44" w:name="_Toc15396610"/>
    </w:p>
    <w:p>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3"/>
      <w:bookmarkEnd w:id="4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168.7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7.16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168.7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本年度新增校园维修维护升级项目“我校</w:t>
      </w:r>
      <w:r>
        <w:rPr>
          <w:rFonts w:hint="eastAsia" w:ascii="Times New Roman" w:hAnsi="Times New Roman" w:eastAsia="仿宋_GB2312" w:cs="仿宋_GB2312"/>
          <w:color w:val="auto"/>
          <w:kern w:val="2"/>
          <w:sz w:val="32"/>
          <w:szCs w:val="32"/>
          <w:highlight w:val="none"/>
          <w:lang w:val="en-US" w:eastAsia="zh-CN" w:bidi="ar-SA"/>
        </w:rPr>
        <w:t>义务教育薄弱环节改善与能力提升中央补助资金（运动场改造）</w:t>
      </w:r>
      <w:r>
        <w:rPr>
          <w:rFonts w:hint="eastAsia" w:eastAsia="仿宋_GB2312" w:cs="仿宋_GB2312"/>
          <w:color w:val="auto"/>
          <w:kern w:val="2"/>
          <w:sz w:val="32"/>
          <w:szCs w:val="32"/>
          <w:highlight w:val="none"/>
          <w:lang w:val="en-US" w:eastAsia="zh-CN" w:bidi="ar-SA"/>
        </w:rPr>
        <w:t>”资金168.7万元。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5" w:name="_Toc15396611"/>
      <w:bookmarkStart w:id="46"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5"/>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7" w:name="_Toc15377221"/>
      <w:bookmarkStart w:id="48"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7"/>
      <w:bookmarkEnd w:id="48"/>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2"/>
      <w:r>
        <w:rPr>
          <w:rFonts w:hint="eastAsia" w:ascii="Times New Roman" w:hAnsi="Times New Roman" w:eastAsia="楷体_GB2312" w:cs="楷体_GB2312"/>
          <w:b/>
          <w:color w:val="auto"/>
          <w:sz w:val="32"/>
          <w:szCs w:val="32"/>
          <w:highlight w:val="none"/>
        </w:rPr>
        <w:t>（一）机关运行经费支出情况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四川省遂宁市东禅中学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3"/>
      <w:r>
        <w:rPr>
          <w:rFonts w:hint="eastAsia" w:ascii="Times New Roman" w:hAnsi="Times New Roman" w:eastAsia="楷体_GB2312" w:cs="楷体_GB2312"/>
          <w:b/>
          <w:color w:val="auto"/>
          <w:sz w:val="32"/>
          <w:szCs w:val="32"/>
          <w:highlight w:val="none"/>
        </w:rPr>
        <w:t>（二）政府采购支出情况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四川省遂宁市东禅中学</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4"/>
      <w:r>
        <w:rPr>
          <w:rFonts w:hint="eastAsia" w:ascii="Times New Roman" w:hAnsi="Times New Roman" w:eastAsia="楷体_GB2312" w:cs="楷体_GB2312"/>
          <w:b/>
          <w:color w:val="auto"/>
          <w:sz w:val="32"/>
          <w:szCs w:val="32"/>
          <w:highlight w:val="none"/>
        </w:rPr>
        <w:t>（三）国有资产占有使用情况</w:t>
      </w:r>
      <w:bookmarkEnd w:id="5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四川省遂宁市东禅中学</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第一书记、驻村工作队补助、援藏援彝干部补助经费、义务教育家庭经济困难学生生活补助、校舍维修、2019年义务教育薄弱环节改善与能力提升中央补助资金、2021年义务教育薄弱环节改善与能力提升中央补助资金（运动场改造）、城乡义务教育-免作业本费、区级名师工程建设、城乡义务教育-综合奖补资金、义务教育均衡发展补助资金、义务教育均衡发展补助资金、义教免作业本费（省市区级）、秋季省级义务教育家庭经济困难学生生活补助等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我单位部门整体（含部门预算项目）绩效自评报告，第一书记、驻村工作队补助、援藏援彝干部补助经费、义务教育家庭经济困难学生生活补助、校舍维修、2019年义务教育薄弱环节改善与能力提升中央补助资金、2021年义务教育薄弱环节改善与能力提升中央补助资金（运动场改造）、城乡义务教育-免作业本费、区级名师工程建设、城乡义务教育-综合奖补资金、义务教育均衡发展补助资金、义务教育均衡发展补助资金、义教免作业本费（省市区级）、秋季省级义务教育家庭经济困难学生生活补助等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其中，2024年我单位部门整体（含部门预算项目）绩效自评得分为9</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第一书记、驻村工作队补助预算项目绩效自评得分为100分，绩效自评综述严格执行相关政策，保障资金及时、合规、足额支付到位，减少结余资金。援藏援彝干部补助经费预算项目绩效自评得分为100分，绩效自评综述严格执行相关政策，保障资金及时、合规、足额支付到位，减少结余资金。义务教育家庭经济困难学生生活补助预算项目绩效自评得分为100分，绩效自评综述保障了学校家庭经济困难学生正常入学，减轻其家庭经济负担。校舍维修预算项目绩效自评得分为100分，绩效自评综述严格执行预算，及时申请支付资金，促进学校健康发展。2019年义务教育薄弱环节改善与能力提升中央补助资金预算项目绩效自评得分为100分，绩效自评综述严格执行预算，及时申请支付资金，促进学校健康发展。2021年义务教育薄弱环节改善与能力提升中央补助资金（运动场改造）预算项目绩效自评得分为100分，绩效自评综述严格执行预算，及时申请支付资金，促进学校健康发展。城乡义务教育-免作业本费预算项目绩效自评得分为100分，绩效自评综述严格执行预算，及时申请支付资金，保证学生作业本按时发放。区级名师工程建设预算项目绩效自评得分为100分，绩效自评综述严格执行相关政策，保障资金及时、合规、足额支付到位，减少结余资金。城乡义务教育-综合奖补资金预算项目绩效自评得分为100分，绩效自评综述严格执行预算，及时申请支付资金，促进学校健康发展。义务教育均衡发展补助资金预算项目绩效自评得分为100分，绩效自评综述严格执行预算，及时申请支付资金，促进学校健康发展。义务教育均衡发展补助资金预算项目绩效自评得分为100分，绩效自评综述严格执行预算，及时申请支付资金，促进学校健康发展。义教免作业本费（省市区级）预算项目绩效自评得分为100分，绩效自评综述严格执行预算，及时申请支付资金，保证学生作业本按时发放。秋季省级义务教育家庭经济困难学生生活补助预算项目绩效自评得分为100分，绩效自评综述保障了学校家庭经济困难学生正常入学，减轻其家庭经济负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黑体"/>
          <w:color w:val="auto"/>
          <w:sz w:val="44"/>
          <w:szCs w:val="44"/>
          <w:highlight w:val="none"/>
        </w:rPr>
      </w:pPr>
      <w:bookmarkStart w:id="52" w:name="_Toc15396613"/>
      <w:bookmarkStart w:id="53" w:name="_Toc15377225"/>
      <w:r>
        <w:rPr>
          <w:rFonts w:hint="eastAsia" w:ascii="Times New Roman" w:hAnsi="Times New Roman" w:eastAsia="黑体"/>
          <w:color w:val="auto"/>
          <w:sz w:val="44"/>
          <w:szCs w:val="44"/>
          <w:highlight w:val="none"/>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2"/>
      <w:bookmarkEnd w:id="53"/>
    </w:p>
    <w:p>
      <w:pPr>
        <w:spacing w:line="600" w:lineRule="exact"/>
        <w:jc w:val="left"/>
        <w:rPr>
          <w:rFonts w:ascii="Times New Roman" w:hAnsi="Times New Roman"/>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 w:hAnsi="仿宋" w:eastAsia="仿宋_GB2312"/>
          <w:sz w:val="32"/>
          <w:szCs w:val="32"/>
        </w:rPr>
        <w:t>学前教育保教费收入</w:t>
      </w:r>
      <w:r>
        <w:rPr>
          <w:rFonts w:hint="eastAsia" w:ascii="仿宋_GB2312" w:eastAsia="仿宋_GB2312"/>
          <w:color w:val="auto"/>
          <w:sz w:val="32"/>
          <w:szCs w:val="32"/>
          <w:highlight w:val="none"/>
        </w:rPr>
        <w:t>等。</w:t>
      </w:r>
    </w:p>
    <w:p>
      <w:pPr>
        <w:pStyle w:val="2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hint="eastAsia" w:ascii="仿宋" w:hAnsi="仿宋" w:eastAsia="仿宋_GB2312"/>
          <w:sz w:val="32"/>
          <w:szCs w:val="32"/>
        </w:rPr>
        <w:t>主要是利息收入、捐赠收入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560" w:lineRule="exact"/>
        <w:ind w:firstLine="640" w:firstLineChars="200"/>
        <w:rPr>
          <w:rFonts w:ascii="仿宋" w:hAnsi="仿宋" w:eastAsia="仿宋_GB2312"/>
          <w:sz w:val="32"/>
          <w:szCs w:val="32"/>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 w:hAnsi="仿宋" w:eastAsia="仿宋_GB2312"/>
          <w:sz w:val="32"/>
          <w:szCs w:val="32"/>
        </w:rPr>
        <w:t>教育（205类）教育管理事务（01款）行政运行（01项）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反映行政单位（包括实行公务员管理的事业单位）的基本支出。</w:t>
      </w:r>
    </w:p>
    <w:p>
      <w:pPr>
        <w:ind w:firstLine="640" w:firstLineChars="200"/>
        <w:rPr>
          <w:rFonts w:hint="eastAsia"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 w:hAnsi="仿宋" w:eastAsia="仿宋_GB2312"/>
          <w:sz w:val="32"/>
          <w:szCs w:val="32"/>
        </w:rPr>
        <w:t>教育（205类）教育管理事务（01款）一般行政管理事务（02项）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反映行政单位（包括实行公务员管理的事业单位）未单独设置项级科目的其</w:t>
      </w:r>
      <w:r>
        <w:rPr>
          <w:rFonts w:hint="eastAsia" w:ascii="仿宋" w:hAnsi="仿宋" w:eastAsia="仿宋_GB2312"/>
          <w:sz w:val="32"/>
          <w:szCs w:val="32"/>
          <w:lang w:val="en-US" w:eastAsia="zh-CN"/>
        </w:rPr>
        <w:t>他</w:t>
      </w:r>
      <w:r>
        <w:rPr>
          <w:rFonts w:hint="eastAsia" w:ascii="仿宋" w:hAnsi="仿宋" w:eastAsia="仿宋_GB2312"/>
          <w:sz w:val="32"/>
          <w:szCs w:val="32"/>
        </w:rPr>
        <w:t>项目支出。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 w:hAnsi="仿宋" w:eastAsia="仿宋_GB2312"/>
          <w:sz w:val="32"/>
          <w:szCs w:val="32"/>
        </w:rPr>
        <w:t>教育（205类）教育管理事务（01款）其他教育管理事务支出（99项）</w:t>
      </w:r>
      <w:r>
        <w:rPr>
          <w:rFonts w:ascii="仿宋" w:hAnsi="仿宋" w:eastAsia="仿宋_GB2312"/>
          <w:sz w:val="32"/>
          <w:szCs w:val="32"/>
        </w:rPr>
        <w:t xml:space="preserve">: </w:t>
      </w:r>
      <w:r>
        <w:rPr>
          <w:rFonts w:hint="eastAsia" w:ascii="仿宋" w:hAnsi="仿宋" w:eastAsia="仿宋_GB2312"/>
          <w:sz w:val="32"/>
          <w:szCs w:val="32"/>
        </w:rPr>
        <w:t>反映除上述项目以外其</w:t>
      </w:r>
      <w:r>
        <w:rPr>
          <w:rFonts w:hint="eastAsia" w:ascii="仿宋" w:hAnsi="仿宋" w:eastAsia="仿宋_GB2312"/>
          <w:sz w:val="32"/>
          <w:szCs w:val="32"/>
          <w:lang w:val="en-US" w:eastAsia="zh-CN"/>
        </w:rPr>
        <w:t>他</w:t>
      </w:r>
      <w:r>
        <w:rPr>
          <w:rFonts w:hint="eastAsia" w:ascii="仿宋" w:hAnsi="仿宋" w:eastAsia="仿宋_GB2312"/>
          <w:sz w:val="32"/>
          <w:szCs w:val="32"/>
        </w:rPr>
        <w:t>用于教育管理事务方面的支出。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 w:hAnsi="仿宋" w:eastAsia="仿宋_GB2312"/>
          <w:sz w:val="32"/>
          <w:szCs w:val="32"/>
        </w:rPr>
        <w:t>教育（205类）普通教育（02款）学前教育（01项）</w:t>
      </w:r>
      <w:r>
        <w:rPr>
          <w:rFonts w:ascii="仿宋" w:hAnsi="仿宋" w:eastAsia="仿宋_GB2312"/>
          <w:sz w:val="32"/>
          <w:szCs w:val="32"/>
        </w:rPr>
        <w:t xml:space="preserve">: </w:t>
      </w:r>
      <w:r>
        <w:rPr>
          <w:rFonts w:hint="eastAsia" w:ascii="仿宋" w:hAnsi="仿宋" w:eastAsia="仿宋_GB2312"/>
          <w:sz w:val="32"/>
          <w:szCs w:val="32"/>
        </w:rPr>
        <w:t>反映各部门举办的学前教育支出。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 w:hAnsi="仿宋" w:eastAsia="仿宋_GB2312"/>
          <w:sz w:val="32"/>
          <w:szCs w:val="32"/>
        </w:rPr>
        <w:t>教育（205类）普通教育（02款）小学教育（02项）</w:t>
      </w:r>
      <w:r>
        <w:rPr>
          <w:rFonts w:ascii="仿宋" w:hAnsi="仿宋" w:eastAsia="仿宋_GB2312"/>
          <w:sz w:val="32"/>
          <w:szCs w:val="32"/>
        </w:rPr>
        <w:t xml:space="preserve">: </w:t>
      </w:r>
      <w:r>
        <w:rPr>
          <w:rFonts w:hint="eastAsia" w:ascii="仿宋" w:hAnsi="仿宋" w:eastAsia="仿宋_GB2312"/>
          <w:sz w:val="32"/>
          <w:szCs w:val="32"/>
        </w:rPr>
        <w:t>反映各部门举办的小学教育支出。政府各部门对社会中介组织等举办的小学的资助，如各类捐赠、补贴等，也在本科目中反映。</w:t>
      </w:r>
    </w:p>
    <w:p>
      <w:pPr>
        <w:spacing w:line="560" w:lineRule="exact"/>
        <w:ind w:firstLine="640" w:firstLineChars="200"/>
        <w:rPr>
          <w:rFonts w:ascii="仿宋" w:hAnsi="仿宋" w:eastAsia="仿宋_GB2312"/>
          <w:sz w:val="32"/>
          <w:szCs w:val="32"/>
        </w:rPr>
      </w:pPr>
      <w:r>
        <w:rPr>
          <w:rFonts w:hint="eastAsia" w:ascii="仿宋_GB2312" w:eastAsia="仿宋_GB2312"/>
          <w:color w:val="auto"/>
          <w:sz w:val="32"/>
          <w:szCs w:val="32"/>
          <w:highlight w:val="none"/>
          <w:lang w:val="en-US" w:eastAsia="zh-CN"/>
        </w:rPr>
        <w:t>14.</w:t>
      </w:r>
      <w:r>
        <w:rPr>
          <w:rFonts w:hint="eastAsia" w:ascii="仿宋" w:hAnsi="仿宋" w:eastAsia="仿宋_GB2312"/>
          <w:sz w:val="32"/>
          <w:szCs w:val="32"/>
        </w:rPr>
        <w:t>教育（205类）普通教育（02款）其他普通教育支出（99项）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w:t>
      </w:r>
      <w:r>
        <w:rPr>
          <w:rFonts w:hint="eastAsia" w:ascii="仿宋" w:hAnsi="仿宋" w:eastAsia="仿宋_GB2312"/>
          <w:sz w:val="32"/>
          <w:szCs w:val="32"/>
          <w:lang w:val="en-US" w:eastAsia="zh-CN"/>
        </w:rPr>
        <w:t>他</w:t>
      </w:r>
      <w:r>
        <w:rPr>
          <w:rFonts w:hint="eastAsia" w:ascii="仿宋" w:hAnsi="仿宋" w:eastAsia="仿宋_GB2312"/>
          <w:sz w:val="32"/>
          <w:szCs w:val="32"/>
        </w:rPr>
        <w:t>用于普通教育方面的支出。</w:t>
      </w:r>
    </w:p>
    <w:p>
      <w:pPr>
        <w:ind w:firstLine="640" w:firstLineChars="200"/>
        <w:rPr>
          <w:rFonts w:hint="eastAsia" w:ascii="仿宋" w:hAnsi="仿宋" w:eastAsia="仿宋_GB2312"/>
          <w:sz w:val="32"/>
          <w:szCs w:val="32"/>
        </w:rPr>
      </w:pPr>
      <w:r>
        <w:rPr>
          <w:rFonts w:hint="eastAsia" w:ascii="仿宋_GB2312" w:eastAsia="仿宋_GB2312"/>
          <w:color w:val="auto"/>
          <w:sz w:val="32"/>
          <w:szCs w:val="32"/>
          <w:highlight w:val="none"/>
          <w:lang w:val="en-US" w:eastAsia="zh-CN"/>
        </w:rPr>
        <w:t>15.</w:t>
      </w:r>
      <w:r>
        <w:rPr>
          <w:rFonts w:hint="eastAsia" w:ascii="仿宋" w:hAnsi="仿宋" w:eastAsia="仿宋_GB2312"/>
          <w:sz w:val="32"/>
          <w:szCs w:val="32"/>
        </w:rPr>
        <w:t>教育（205类）其他教育支出（</w:t>
      </w:r>
      <w:r>
        <w:rPr>
          <w:rFonts w:hint="eastAsia" w:ascii="仿宋" w:hAnsi="仿宋" w:eastAsia="仿宋_GB2312"/>
          <w:sz w:val="32"/>
          <w:szCs w:val="32"/>
          <w:lang w:val="en-US" w:eastAsia="zh-CN"/>
        </w:rPr>
        <w:t>0</w:t>
      </w:r>
      <w:r>
        <w:rPr>
          <w:rFonts w:hint="eastAsia" w:ascii="仿宋" w:hAnsi="仿宋" w:eastAsia="仿宋_GB2312"/>
          <w:sz w:val="32"/>
          <w:szCs w:val="32"/>
        </w:rPr>
        <w:t>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反映除上述项目以外其他教育费附加安排的支出。</w:t>
      </w:r>
    </w:p>
    <w:p>
      <w:pPr>
        <w:ind w:firstLine="640" w:firstLineChars="200"/>
        <w:rPr>
          <w:rFonts w:hint="eastAsia" w:ascii="仿宋" w:hAnsi="仿宋" w:eastAsia="仿宋_GB2312"/>
          <w:sz w:val="32"/>
          <w:szCs w:val="32"/>
        </w:rPr>
      </w:pPr>
      <w:r>
        <w:rPr>
          <w:rFonts w:hint="eastAsia" w:ascii="仿宋_GB2312" w:eastAsia="仿宋_GB2312"/>
          <w:color w:val="auto"/>
          <w:sz w:val="32"/>
          <w:szCs w:val="32"/>
          <w:highlight w:val="none"/>
          <w:lang w:val="en-US" w:eastAsia="zh-CN"/>
        </w:rPr>
        <w:t>16.</w:t>
      </w:r>
      <w:r>
        <w:rPr>
          <w:rFonts w:hint="eastAsia" w:ascii="仿宋" w:hAnsi="仿宋" w:eastAsia="仿宋_GB2312"/>
          <w:sz w:val="32"/>
          <w:szCs w:val="32"/>
        </w:rPr>
        <w:t>教育（205类）其他教育支出（99款）其他教育支出（99项）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w:t>
      </w:r>
      <w:r>
        <w:rPr>
          <w:rFonts w:hint="eastAsia" w:ascii="仿宋" w:hAnsi="仿宋" w:eastAsia="仿宋_GB2312"/>
          <w:sz w:val="32"/>
          <w:szCs w:val="32"/>
          <w:lang w:val="en-US" w:eastAsia="zh-CN"/>
        </w:rPr>
        <w:t>他</w:t>
      </w:r>
      <w:r>
        <w:rPr>
          <w:rFonts w:hint="eastAsia" w:ascii="仿宋" w:hAnsi="仿宋" w:eastAsia="仿宋_GB2312"/>
          <w:sz w:val="32"/>
          <w:szCs w:val="32"/>
        </w:rPr>
        <w:t>教育方面的支出。</w:t>
      </w:r>
    </w:p>
    <w:p>
      <w:pPr>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17.</w:t>
      </w:r>
      <w:r>
        <w:rPr>
          <w:rFonts w:hint="eastAsia" w:ascii="仿宋" w:hAnsi="仿宋" w:eastAsia="仿宋_GB2312"/>
          <w:sz w:val="32"/>
          <w:szCs w:val="32"/>
        </w:rPr>
        <w:t>社会保障和就业（208类）行政事业单位养老支出（05款）事业单位离退休（0</w:t>
      </w:r>
      <w:r>
        <w:rPr>
          <w:rFonts w:hint="eastAsia" w:ascii="仿宋" w:hAnsi="仿宋" w:eastAsia="仿宋_GB2312"/>
          <w:sz w:val="32"/>
          <w:szCs w:val="32"/>
          <w:lang w:val="en-US" w:eastAsia="zh-CN"/>
        </w:rPr>
        <w:t>2</w:t>
      </w:r>
      <w:r>
        <w:rPr>
          <w:rFonts w:hint="eastAsia" w:ascii="仿宋" w:hAnsi="仿宋" w:eastAsia="仿宋_GB2312"/>
          <w:sz w:val="32"/>
          <w:szCs w:val="32"/>
        </w:rPr>
        <w:t>项）</w:t>
      </w:r>
      <w:r>
        <w:rPr>
          <w:rFonts w:ascii="仿宋" w:hAnsi="仿宋" w:eastAsia="仿宋_GB2312"/>
          <w:sz w:val="32"/>
          <w:szCs w:val="32"/>
        </w:rPr>
        <w:t xml:space="preserve">: </w:t>
      </w:r>
      <w:r>
        <w:rPr>
          <w:rFonts w:hint="eastAsia" w:ascii="仿宋" w:hAnsi="仿宋" w:eastAsia="仿宋_GB2312"/>
          <w:sz w:val="32"/>
          <w:szCs w:val="32"/>
        </w:rPr>
        <w:t>反映机关事业单位实施事业单位离退支出。</w:t>
      </w:r>
    </w:p>
    <w:p>
      <w:pPr>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18.</w:t>
      </w:r>
      <w:r>
        <w:rPr>
          <w:rFonts w:hint="eastAsia" w:ascii="仿宋" w:hAnsi="仿宋" w:eastAsia="仿宋_GB2312"/>
          <w:sz w:val="32"/>
          <w:szCs w:val="32"/>
        </w:rPr>
        <w:t>社会保障和就业（208类）行政事业单位养老支出（05款）机关事业单位基本养老保险缴费支出（05项）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反映机关事业单位实施养老保险制度由单位缴纳的基本养老保险费支出。</w:t>
      </w:r>
    </w:p>
    <w:p>
      <w:pPr>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19.</w:t>
      </w:r>
      <w:r>
        <w:rPr>
          <w:rFonts w:hint="eastAsia" w:ascii="仿宋" w:hAnsi="仿宋" w:eastAsia="仿宋_GB2312"/>
          <w:sz w:val="32"/>
          <w:szCs w:val="32"/>
        </w:rPr>
        <w:t>社会保障和就业（208类）行政事业单位养老支出（05款）其他行政事业单位养老支出（</w:t>
      </w:r>
      <w:r>
        <w:rPr>
          <w:rFonts w:hint="eastAsia" w:ascii="仿宋" w:hAnsi="仿宋" w:eastAsia="仿宋_GB2312"/>
          <w:sz w:val="32"/>
          <w:szCs w:val="32"/>
          <w:lang w:val="en-US" w:eastAsia="zh-CN"/>
        </w:rPr>
        <w:t>99</w:t>
      </w:r>
      <w:r>
        <w:rPr>
          <w:rFonts w:hint="eastAsia" w:ascii="仿宋" w:hAnsi="仿宋" w:eastAsia="仿宋_GB2312"/>
          <w:sz w:val="32"/>
          <w:szCs w:val="32"/>
        </w:rPr>
        <w:t>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反映机关事业单位实施养老保险制度其他行政事业单位养老支出支出。</w:t>
      </w:r>
    </w:p>
    <w:p>
      <w:pPr>
        <w:spacing w:line="560" w:lineRule="exact"/>
        <w:ind w:firstLine="640" w:firstLineChars="200"/>
        <w:rPr>
          <w:rFonts w:ascii="仿宋" w:hAnsi="仿宋" w:eastAsia="仿宋_GB2312"/>
          <w:sz w:val="32"/>
          <w:szCs w:val="32"/>
        </w:rPr>
      </w:pPr>
      <w:r>
        <w:rPr>
          <w:rFonts w:hint="eastAsia" w:ascii="仿宋_GB2312" w:eastAsia="仿宋_GB2312"/>
          <w:color w:val="auto"/>
          <w:sz w:val="32"/>
          <w:szCs w:val="32"/>
          <w:highlight w:val="none"/>
          <w:lang w:val="en-US" w:eastAsia="zh-CN"/>
        </w:rPr>
        <w:t>20.</w:t>
      </w:r>
      <w:r>
        <w:rPr>
          <w:rFonts w:hint="eastAsia" w:ascii="仿宋" w:hAnsi="仿宋" w:eastAsia="仿宋_GB2312"/>
          <w:sz w:val="32"/>
          <w:szCs w:val="32"/>
        </w:rPr>
        <w:t>社会保障和就业（208类）其他社会保障和就业支出（99款）其他社会保障和就业支出（</w:t>
      </w:r>
      <w:r>
        <w:rPr>
          <w:rFonts w:hint="eastAsia" w:ascii="仿宋" w:hAnsi="仿宋" w:eastAsia="仿宋_GB2312"/>
          <w:sz w:val="32"/>
          <w:szCs w:val="32"/>
          <w:lang w:val="en-US" w:eastAsia="zh-CN"/>
        </w:rPr>
        <w:t>99</w:t>
      </w:r>
      <w:r>
        <w:rPr>
          <w:rFonts w:hint="eastAsia" w:ascii="仿宋" w:hAnsi="仿宋" w:eastAsia="仿宋_GB2312"/>
          <w:sz w:val="32"/>
          <w:szCs w:val="32"/>
        </w:rPr>
        <w:t>项）</w:t>
      </w:r>
      <w:r>
        <w:rPr>
          <w:rFonts w:ascii="仿宋" w:hAnsi="仿宋" w:eastAsia="仿宋_GB2312"/>
          <w:sz w:val="32"/>
          <w:szCs w:val="32"/>
        </w:rPr>
        <w:t xml:space="preserve">: </w:t>
      </w:r>
      <w:r>
        <w:rPr>
          <w:rFonts w:hint="eastAsia" w:ascii="仿宋" w:hAnsi="仿宋" w:eastAsia="仿宋_GB2312"/>
          <w:sz w:val="32"/>
          <w:szCs w:val="32"/>
        </w:rPr>
        <w:t>反映上述项目以外其他用用于社会保障和就业方面的支出。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 w:hAnsi="仿宋" w:eastAsia="仿宋_GB2312"/>
          <w:sz w:val="32"/>
          <w:szCs w:val="32"/>
        </w:rPr>
        <w:t>卫生健康支出（210类）行政事业单位医疗（11款）事业单位医疗（02项）</w:t>
      </w:r>
      <w:r>
        <w:rPr>
          <w:rFonts w:ascii="仿宋" w:hAnsi="仿宋" w:eastAsia="仿宋_GB2312"/>
          <w:sz w:val="32"/>
          <w:szCs w:val="32"/>
        </w:rPr>
        <w:t>:</w:t>
      </w:r>
      <w:r>
        <w:rPr>
          <w:rFonts w:hint="eastAsia" w:ascii="仿宋" w:hAnsi="仿宋" w:eastAsia="仿宋_GB2312"/>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 w:hAnsi="仿宋" w:eastAsia="仿宋_GB2312"/>
          <w:sz w:val="32"/>
          <w:szCs w:val="32"/>
        </w:rPr>
        <w:t>住房保障支出（221类）住房改革支出（02款）住房公积金（01项）</w:t>
      </w:r>
      <w:r>
        <w:rPr>
          <w:rFonts w:ascii="仿宋" w:hAnsi="仿宋" w:eastAsia="仿宋_GB2312"/>
          <w:sz w:val="32"/>
          <w:szCs w:val="32"/>
        </w:rPr>
        <w:t>:</w:t>
      </w:r>
      <w:r>
        <w:rPr>
          <w:rFonts w:hint="eastAsia" w:ascii="仿宋" w:hAnsi="仿宋" w:eastAsia="仿宋_GB2312"/>
          <w:sz w:val="32"/>
          <w:szCs w:val="32"/>
        </w:rPr>
        <w:t>反映行政事业单位按人力资源和社会保障部、财政部规定的基本工资和津贴补贴以及规定比例为职工缴纳的住房公积金。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 xml:space="preserve">.项目支出：指在基本支出之外为完成特定行政任务和事业发展目标所发生的支出。 </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27</w:t>
      </w:r>
      <w:r>
        <w:rPr>
          <w:rFonts w:hint="eastAsia" w:ascii="仿宋" w:hAnsi="仿宋" w:eastAsia="仿宋_GB2312"/>
          <w:sz w:val="32"/>
          <w:szCs w:val="32"/>
        </w:rPr>
        <w:t>.工资福利：反映单位开支的在职职工和编制外长期聘用人员的各类劳动报酬，以及为上述人员缴纳的各项社会保险费等。</w:t>
      </w:r>
    </w:p>
    <w:p>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28</w:t>
      </w:r>
      <w:r>
        <w:rPr>
          <w:rFonts w:hint="eastAsia" w:ascii="仿宋" w:hAnsi="仿宋" w:eastAsia="仿宋_GB2312"/>
          <w:sz w:val="32"/>
          <w:szCs w:val="32"/>
        </w:rPr>
        <w:t>.商品和服务：反映单位购买商品和服务的支出，不包括用于购置固定资产、战略性和应急性物资储备等资本支出。</w:t>
      </w:r>
    </w:p>
    <w:p>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29</w:t>
      </w:r>
      <w:r>
        <w:rPr>
          <w:rFonts w:hint="eastAsia" w:ascii="仿宋" w:hAnsi="仿宋" w:eastAsia="仿宋_GB2312"/>
          <w:sz w:val="32"/>
          <w:szCs w:val="32"/>
        </w:rPr>
        <w:t>.对个人和家庭的补助：反映政府用于对个</w:t>
      </w:r>
      <w:r>
        <w:rPr>
          <w:rFonts w:hint="eastAsia" w:ascii="仿宋" w:hAnsi="仿宋" w:eastAsia="仿宋_GB2312"/>
          <w:sz w:val="32"/>
          <w:szCs w:val="32"/>
          <w:lang w:val="en-US" w:eastAsia="zh-CN"/>
        </w:rPr>
        <w:t>人</w:t>
      </w:r>
      <w:r>
        <w:rPr>
          <w:rFonts w:hint="eastAsia" w:ascii="仿宋" w:hAnsi="仿宋" w:eastAsia="仿宋_GB2312"/>
          <w:sz w:val="32"/>
          <w:szCs w:val="32"/>
        </w:rPr>
        <w:t>和家庭的补助支出。</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 w:hAnsi="仿宋" w:eastAsia="仿宋_GB2312"/>
          <w:sz w:val="32"/>
          <w:szCs w:val="32"/>
          <w:lang w:val="en-US" w:eastAsia="zh-CN"/>
        </w:rPr>
        <w:t>30</w:t>
      </w:r>
      <w:r>
        <w:rPr>
          <w:rFonts w:hint="eastAsia" w:ascii="仿宋" w:hAnsi="仿宋" w:eastAsia="仿宋_GB2312"/>
          <w:sz w:val="32"/>
          <w:szCs w:val="32"/>
        </w:rPr>
        <w:t>.资本性支出：反映各单位安排的资本性支出。切块由发展改革部门安排的基本建设支出不在此科目反映。</w:t>
      </w:r>
    </w:p>
    <w:p>
      <w:pPr>
        <w:spacing w:line="600" w:lineRule="exact"/>
        <w:jc w:val="center"/>
        <w:outlineLvl w:val="0"/>
        <w:rPr>
          <w:rStyle w:val="29"/>
          <w:rFonts w:hint="eastAsia" w:ascii="Times New Roman" w:hAnsi="Times New Roman" w:eastAsia="黑体"/>
          <w:b w:val="0"/>
          <w:color w:val="auto"/>
          <w:highlight w:val="none"/>
          <w:lang w:eastAsia="zh-CN"/>
        </w:rPr>
      </w:pPr>
      <w:bookmarkStart w:id="5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5"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5"/>
    </w:p>
    <w:p>
      <w:pPr>
        <w:spacing w:line="600" w:lineRule="exact"/>
        <w:outlineLvl w:val="0"/>
        <w:rPr>
          <w:rFonts w:ascii="仿宋" w:hAnsi="仿宋" w:eastAsia="仿宋_GB2312"/>
          <w:bCs/>
          <w:sz w:val="36"/>
          <w:szCs w:val="36"/>
        </w:rPr>
      </w:pPr>
      <w:bookmarkStart w:id="56" w:name="OLE_LINK2"/>
      <w:bookmarkStart w:id="57" w:name="OLE_LINK1"/>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8" w:name="_1753987489"/>
      <w:bookmarkEnd w:id="58"/>
      <w:r>
        <w:rPr>
          <w:rFonts w:ascii="仿宋" w:hAnsi="仿宋" w:eastAsia="仿宋_GB2312"/>
          <w:bCs/>
          <w:sz w:val="36"/>
          <w:szCs w:val="36"/>
        </w:rPr>
        <w:fldChar w:fldCharType="separate"/>
      </w:r>
    </w:p>
    <w:p>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36"/>
          <w:szCs w:val="36"/>
        </w:rPr>
      </w:pPr>
      <w:r>
        <w:rPr>
          <w:rFonts w:ascii="仿宋" w:hAnsi="仿宋" w:eastAsia="仿宋_GB2312"/>
          <w:b/>
          <w:bCs/>
          <w:sz w:val="36"/>
          <w:szCs w:val="36"/>
        </w:rPr>
        <w:fldChar w:fldCharType="end"/>
      </w:r>
      <w:bookmarkEnd w:id="56"/>
      <w:bookmarkEnd w:id="57"/>
      <w:r>
        <w:rPr>
          <w:rFonts w:hint="eastAsia" w:ascii="方正小标宋简体" w:hAnsi="方正小标宋简体" w:eastAsia="方正小标宋简体" w:cs="方正小标宋简体"/>
          <w:b w:val="0"/>
          <w:bCs w:val="0"/>
          <w:sz w:val="36"/>
          <w:szCs w:val="36"/>
        </w:rPr>
        <w:t>2024年整体支出绩效</w:t>
      </w:r>
      <w:r>
        <w:rPr>
          <w:rFonts w:hint="eastAsia" w:ascii="方正小标宋简体" w:hAnsi="方正小标宋简体" w:eastAsia="方正小标宋简体" w:cs="方正小标宋简体"/>
          <w:b w:val="0"/>
          <w:bCs w:val="0"/>
          <w:sz w:val="36"/>
          <w:szCs w:val="36"/>
          <w:lang w:val="en-US" w:eastAsia="zh-CN"/>
        </w:rPr>
        <w:t>评价</w:t>
      </w:r>
      <w:r>
        <w:rPr>
          <w:rFonts w:hint="eastAsia" w:ascii="方正小标宋简体" w:hAnsi="方正小标宋简体" w:eastAsia="方正小标宋简体" w:cs="方正小标宋简体"/>
          <w:b w:val="0"/>
          <w:bCs w:val="0"/>
          <w:sz w:val="36"/>
          <w:szCs w:val="36"/>
        </w:rPr>
        <w:t>报告</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四川省遂宁市东禅中学</w:t>
      </w:r>
      <w:r>
        <w:rPr>
          <w:rFonts w:hint="eastAsia" w:ascii="仿宋" w:hAnsi="仿宋" w:eastAsia="仿宋_GB2312"/>
          <w:sz w:val="32"/>
          <w:szCs w:val="32"/>
        </w:rPr>
        <w:t>是遂宁市安居区</w:t>
      </w:r>
      <w:r>
        <w:rPr>
          <w:rFonts w:hint="eastAsia" w:ascii="仿宋" w:hAnsi="仿宋" w:eastAsia="仿宋_GB2312"/>
          <w:sz w:val="32"/>
          <w:szCs w:val="32"/>
          <w:lang w:val="en-US" w:eastAsia="zh-CN"/>
        </w:rPr>
        <w:t>公办农村初级中学</w:t>
      </w:r>
      <w:r>
        <w:rPr>
          <w:rFonts w:hint="eastAsia" w:ascii="仿宋" w:hAnsi="仿宋" w:eastAsia="仿宋_GB2312"/>
          <w:sz w:val="32"/>
          <w:szCs w:val="32"/>
        </w:rPr>
        <w:t>，负责辖区内</w:t>
      </w:r>
      <w:r>
        <w:rPr>
          <w:rFonts w:hint="eastAsia" w:ascii="仿宋" w:hAnsi="仿宋" w:eastAsia="仿宋_GB2312"/>
          <w:sz w:val="32"/>
          <w:szCs w:val="32"/>
          <w:lang w:val="en-US" w:eastAsia="zh-CN"/>
        </w:rPr>
        <w:t>适龄儿童的初中学历教育</w:t>
      </w:r>
      <w:r>
        <w:rPr>
          <w:rFonts w:hint="eastAsia" w:ascii="仿宋" w:hAnsi="仿宋" w:eastAsia="仿宋_GB2312"/>
          <w:sz w:val="32"/>
          <w:szCs w:val="32"/>
        </w:rPr>
        <w:t>。</w:t>
      </w:r>
    </w:p>
    <w:p>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校</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93</w:t>
      </w:r>
      <w:r>
        <w:rPr>
          <w:rFonts w:hint="eastAsia" w:ascii="仿宋" w:hAnsi="仿宋" w:eastAsia="仿宋_GB2312"/>
          <w:sz w:val="32"/>
          <w:szCs w:val="32"/>
        </w:rPr>
        <w:t>人，退休教师</w:t>
      </w:r>
      <w:r>
        <w:rPr>
          <w:rFonts w:hint="eastAsia" w:ascii="仿宋" w:hAnsi="仿宋" w:eastAsia="仿宋_GB2312"/>
          <w:sz w:val="32"/>
          <w:szCs w:val="32"/>
          <w:lang w:val="en-US" w:eastAsia="zh-CN"/>
        </w:rPr>
        <w:t>38</w:t>
      </w:r>
      <w:r>
        <w:rPr>
          <w:rFonts w:hint="eastAsia" w:ascii="仿宋" w:hAnsi="仿宋" w:eastAsia="仿宋_GB2312"/>
          <w:sz w:val="32"/>
          <w:szCs w:val="32"/>
        </w:rPr>
        <w:t>人</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遗属7人，在校学生423人</w:t>
      </w:r>
      <w:r>
        <w:rPr>
          <w:rFonts w:hint="eastAsia" w:ascii="仿宋" w:hAnsi="仿宋" w:eastAsia="仿宋_GB2312"/>
          <w:sz w:val="32"/>
          <w:szCs w:val="32"/>
        </w:rPr>
        <w:t>。</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2353.43</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1986.68</w:t>
      </w:r>
      <w:r>
        <w:rPr>
          <w:rFonts w:ascii="仿宋" w:hAnsi="仿宋" w:eastAsia="仿宋_GB2312"/>
          <w:sz w:val="32"/>
          <w:szCs w:val="32"/>
        </w:rPr>
        <w:t>万</w:t>
      </w:r>
      <w:r>
        <w:rPr>
          <w:rFonts w:hint="eastAsia" w:ascii="仿宋" w:hAnsi="仿宋" w:eastAsia="仿宋_GB2312"/>
          <w:sz w:val="32"/>
          <w:szCs w:val="32"/>
        </w:rPr>
        <w:t>元，政府性基金预算财政拨款收入168.70万元，</w:t>
      </w:r>
      <w:r>
        <w:rPr>
          <w:rFonts w:hint="eastAsia" w:ascii="仿宋" w:hAnsi="仿宋" w:eastAsia="仿宋_GB2312"/>
          <w:sz w:val="32"/>
          <w:szCs w:val="32"/>
          <w:lang w:val="en-US" w:eastAsia="zh-CN"/>
        </w:rPr>
        <w:t>其他收入</w:t>
      </w:r>
      <w:r>
        <w:rPr>
          <w:rFonts w:hint="eastAsia" w:ascii="仿宋_GB2312" w:eastAsia="仿宋_GB2312"/>
          <w:sz w:val="32"/>
          <w:szCs w:val="32"/>
          <w:lang w:val="en-US" w:eastAsia="zh-CN"/>
        </w:rPr>
        <w:t>198.05</w:t>
      </w:r>
      <w:r>
        <w:rPr>
          <w:rFonts w:ascii="仿宋_GB2312" w:eastAsia="仿宋_GB2312"/>
          <w:sz w:val="32"/>
          <w:szCs w:val="32"/>
        </w:rPr>
        <w:t>万元。</w:t>
      </w:r>
    </w:p>
    <w:p>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235.43</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1785.75</w:t>
      </w:r>
      <w:r>
        <w:rPr>
          <w:rFonts w:hint="eastAsia" w:ascii="仿宋" w:hAnsi="仿宋" w:eastAsia="仿宋_GB2312"/>
          <w:sz w:val="32"/>
          <w:szCs w:val="32"/>
        </w:rPr>
        <w:t>万元，占</w:t>
      </w:r>
      <w:r>
        <w:rPr>
          <w:rFonts w:hint="eastAsia" w:ascii="仿宋" w:hAnsi="仿宋" w:eastAsia="仿宋_GB2312"/>
          <w:sz w:val="32"/>
          <w:szCs w:val="32"/>
          <w:lang w:val="en-US" w:eastAsia="zh-CN"/>
        </w:rPr>
        <w:t>75.88</w:t>
      </w:r>
      <w:r>
        <w:rPr>
          <w:rFonts w:hint="eastAsia" w:ascii="仿宋" w:hAnsi="仿宋" w:eastAsia="仿宋_GB2312"/>
          <w:sz w:val="32"/>
          <w:szCs w:val="32"/>
        </w:rPr>
        <w:t>%；项目支出</w:t>
      </w:r>
      <w:r>
        <w:rPr>
          <w:rFonts w:hint="eastAsia" w:ascii="仿宋" w:hAnsi="仿宋" w:eastAsia="仿宋_GB2312"/>
          <w:sz w:val="32"/>
          <w:szCs w:val="32"/>
          <w:lang w:val="en-US" w:eastAsia="zh-CN"/>
        </w:rPr>
        <w:t>567.68</w:t>
      </w:r>
      <w:r>
        <w:rPr>
          <w:rFonts w:hint="eastAsia" w:ascii="仿宋" w:hAnsi="仿宋" w:eastAsia="仿宋_GB2312"/>
          <w:sz w:val="32"/>
          <w:szCs w:val="32"/>
        </w:rPr>
        <w:t>万元，占</w:t>
      </w:r>
      <w:r>
        <w:rPr>
          <w:rFonts w:hint="eastAsia" w:ascii="仿宋" w:hAnsi="仿宋" w:eastAsia="仿宋_GB2312"/>
          <w:sz w:val="32"/>
          <w:szCs w:val="32"/>
          <w:lang w:val="en-US" w:eastAsia="zh-CN"/>
        </w:rPr>
        <w:t>24.12</w:t>
      </w:r>
      <w:r>
        <w:rPr>
          <w:rFonts w:hint="eastAsia" w:ascii="仿宋" w:hAnsi="仿宋" w:eastAsia="仿宋_GB2312"/>
          <w:sz w:val="32"/>
          <w:szCs w:val="32"/>
        </w:rPr>
        <w:t>%。。</w:t>
      </w:r>
    </w:p>
    <w:p>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pPr>
        <w:widowControl/>
        <w:adjustRightInd w:val="0"/>
        <w:snapToGrid w:val="0"/>
        <w:spacing w:line="578" w:lineRule="exact"/>
        <w:ind w:left="709"/>
        <w:contextualSpacing/>
        <w:jc w:val="left"/>
        <w:rPr>
          <w:rFonts w:hint="eastAsia" w:eastAsia="仿宋_GB2312"/>
          <w:color w:val="000000"/>
          <w:kern w:val="0"/>
          <w:szCs w:val="32"/>
          <w:shd w:val="clear" w:color="auto" w:fill="FFFFFF"/>
          <w:lang w:val="zh-CN"/>
        </w:rPr>
      </w:pPr>
      <w:r>
        <w:rPr>
          <w:rFonts w:hint="eastAsia" w:eastAsia="仿宋_GB2312"/>
          <w:sz w:val="32"/>
          <w:szCs w:val="32"/>
        </w:rPr>
        <w:t>2024年决算报表无</w:t>
      </w:r>
      <w:r>
        <w:rPr>
          <w:rFonts w:eastAsia="仿宋_GB2312"/>
          <w:sz w:val="32"/>
          <w:szCs w:val="32"/>
        </w:rPr>
        <w:t>结转结余。</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rPr>
        <w:t>分 。</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pPr>
        <w:spacing w:line="540" w:lineRule="exact"/>
        <w:ind w:firstLine="640" w:firstLineChars="200"/>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pPr>
              <w:ind w:firstLine="2880" w:firstLineChars="800"/>
              <w:rPr>
                <w:rFonts w:ascii="黑体" w:hAnsi="黑体" w:eastAsia="黑体" w:cs="黑体"/>
                <w:kern w:val="0"/>
                <w:sz w:val="36"/>
                <w:szCs w:val="36"/>
                <w:shd w:val="clear" w:color="auto" w:fill="FFFFFF"/>
                <w:lang w:val="zh-CN"/>
              </w:rPr>
            </w:pPr>
          </w:p>
        </w:tc>
      </w:tr>
      <w:tr>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 xml:space="preserve">自评 </w:t>
            </w:r>
            <w:r>
              <w:rPr>
                <w:rFonts w:ascii="仿宋" w:hAnsi="仿宋" w:eastAsia="仿宋_GB2312" w:cs="宋体"/>
                <w:kern w:val="0"/>
                <w:szCs w:val="21"/>
              </w:rPr>
              <w:t xml:space="preserve"> </w:t>
            </w:r>
            <w:r>
              <w:rPr>
                <w:rFonts w:hint="eastAsia" w:ascii="仿宋" w:hAnsi="仿宋" w:eastAsia="仿宋_GB2312" w:cs="宋体"/>
                <w:kern w:val="0"/>
                <w:szCs w:val="21"/>
              </w:rPr>
              <w:t>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二级 指标</w:t>
            </w:r>
          </w:p>
        </w:tc>
        <w:tc>
          <w:tcPr>
            <w:tcW w:w="181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三级指标</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pPr>
              <w:jc w:val="center"/>
              <w:rPr>
                <w:rFonts w:hint="eastAsia" w:ascii="仿宋" w:hAnsi="仿宋" w:eastAsia="仿宋" w:cs="宋体"/>
                <w:kern w:val="0"/>
                <w:szCs w:val="21"/>
              </w:rPr>
            </w:pPr>
            <w:r>
              <w:rPr>
                <w:rFonts w:hint="eastAsia" w:ascii="仿宋" w:hAnsi="仿宋" w:eastAsia="仿宋_GB2312" w:cs="宋体"/>
                <w:b/>
                <w:bCs/>
                <w:kern w:val="0"/>
                <w:szCs w:val="21"/>
              </w:rPr>
              <w:t>总体绩效</w:t>
            </w:r>
            <w:r>
              <w:rPr>
                <w:rFonts w:hint="eastAsia" w:ascii="仿宋" w:hAnsi="仿宋" w:eastAsia="仿宋_GB2312" w:cs="宋体"/>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pPr>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履职 效能</w:t>
            </w:r>
          </w:p>
          <w:p>
            <w:pPr>
              <w:jc w:val="center"/>
              <w:rPr>
                <w:rFonts w:hint="eastAsia" w:ascii="仿宋" w:hAnsi="仿宋" w:eastAsia="仿宋" w:cs="宋体"/>
                <w:b/>
                <w:kern w:val="0"/>
                <w:szCs w:val="21"/>
              </w:rPr>
            </w:pPr>
            <w:r>
              <w:rPr>
                <w:rFonts w:hint="eastAsia" w:ascii="仿宋" w:hAnsi="仿宋" w:eastAsia="仿宋_GB2312" w:cs="宋体"/>
                <w:b/>
                <w:bCs/>
                <w:kern w:val="0"/>
                <w:sz w:val="15"/>
                <w:szCs w:val="15"/>
              </w:rPr>
              <w:t>（</w:t>
            </w:r>
            <w:r>
              <w:rPr>
                <w:rFonts w:ascii="仿宋" w:hAnsi="仿宋" w:eastAsia="仿宋_GB2312" w:cs="宋体"/>
                <w:b/>
                <w:bCs/>
                <w:kern w:val="0"/>
                <w:sz w:val="15"/>
                <w:szCs w:val="15"/>
              </w:rPr>
              <w:t>20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ascii="仿宋" w:hAnsi="仿宋" w:eastAsia="仿宋_GB2312" w:cs="宋体"/>
                <w:color w:val="000000"/>
                <w:kern w:val="0"/>
                <w:szCs w:val="21"/>
              </w:rPr>
              <w:t>绩效目标合理性</w:t>
            </w:r>
          </w:p>
        </w:tc>
        <w:tc>
          <w:tcPr>
            <w:tcW w:w="748" w:type="dxa"/>
            <w:vMerge w:val="restart"/>
            <w:tcBorders>
              <w:top w:val="nil"/>
              <w:left w:val="nil"/>
              <w:right w:val="single" w:color="auto" w:sz="4" w:space="0"/>
            </w:tcBorders>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_GB2312" w:cs="宋体"/>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pPr>
              <w:widowControl/>
              <w:jc w:val="left"/>
              <w:rPr>
                <w:rFonts w:ascii="仿宋" w:hAnsi="仿宋" w:eastAsia="仿宋_GB2312" w:cs="宋体"/>
                <w:kern w:val="0"/>
                <w:szCs w:val="21"/>
              </w:rPr>
            </w:pPr>
            <w:r>
              <w:rPr>
                <w:rFonts w:ascii="仿宋" w:hAnsi="仿宋" w:eastAsia="仿宋_GB2312" w:cs="宋体"/>
                <w:kern w:val="0"/>
                <w:szCs w:val="21"/>
              </w:rPr>
              <w:t>是否符合发展规划</w:t>
            </w:r>
          </w:p>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kern w:val="0"/>
                <w:szCs w:val="21"/>
              </w:rPr>
              <w:t>目标明确、合理</w:t>
            </w:r>
            <w:r>
              <w:rPr>
                <w:rFonts w:hint="eastAsia" w:ascii="仿宋" w:hAnsi="仿宋" w:eastAsia="仿宋_GB2312" w:cs="宋体"/>
                <w:kern w:val="0"/>
                <w:szCs w:val="21"/>
                <w:lang w:eastAsia="zh-CN"/>
              </w:rPr>
              <w:t>，</w:t>
            </w:r>
            <w:r>
              <w:rPr>
                <w:rFonts w:hint="eastAsia" w:ascii="仿宋" w:hAnsi="仿宋" w:eastAsia="仿宋_GB2312" w:cs="宋体"/>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教学质量达标</w:t>
            </w:r>
          </w:p>
        </w:tc>
        <w:tc>
          <w:tcPr>
            <w:tcW w:w="748" w:type="dxa"/>
            <w:vMerge w:val="continue"/>
            <w:tcBorders>
              <w:left w:val="nil"/>
              <w:bottom w:val="nil"/>
              <w:right w:val="single" w:color="auto" w:sz="4" w:space="0"/>
            </w:tcBorders>
            <w:noWrap w:val="0"/>
            <w:vAlign w:val="center"/>
          </w:tcPr>
          <w:p>
            <w:pPr>
              <w:widowControl/>
              <w:jc w:val="center"/>
              <w:rPr>
                <w:rFonts w:ascii="仿宋" w:hAnsi="仿宋" w:eastAsia="仿宋" w:cs="宋体"/>
                <w:kern w:val="0"/>
                <w:szCs w:val="21"/>
              </w:rPr>
            </w:pPr>
          </w:p>
        </w:tc>
        <w:tc>
          <w:tcPr>
            <w:tcW w:w="2552"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p>
        </w:tc>
        <w:tc>
          <w:tcPr>
            <w:tcW w:w="2268"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p>
        </w:tc>
        <w:tc>
          <w:tcPr>
            <w:tcW w:w="729"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 w:hAnsi="仿宋" w:eastAsia="仿宋" w:cs="宋体"/>
                <w:color w:val="000000"/>
                <w:kern w:val="0"/>
                <w:szCs w:val="21"/>
                <w:lang w:val="en-US" w:eastAsia="zh-CN"/>
              </w:rPr>
            </w:pPr>
            <w:r>
              <w:rPr>
                <w:rFonts w:hint="default" w:ascii="仿宋" w:hAnsi="仿宋" w:eastAsia="仿宋_GB2312" w:cs="宋体"/>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pPr>
              <w:widowControl/>
              <w:jc w:val="center"/>
              <w:rPr>
                <w:rFonts w:ascii="仿宋" w:hAnsi="仿宋" w:eastAsia="仿宋" w:cs="宋体"/>
                <w:kern w:val="0"/>
                <w:szCs w:val="21"/>
              </w:rPr>
            </w:pPr>
          </w:p>
        </w:tc>
        <w:tc>
          <w:tcPr>
            <w:tcW w:w="2552"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color w:val="000000"/>
                <w:kern w:val="0"/>
                <w:szCs w:val="21"/>
              </w:rPr>
            </w:pPr>
          </w:p>
        </w:tc>
        <w:tc>
          <w:tcPr>
            <w:tcW w:w="2268"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color w:val="000000"/>
                <w:kern w:val="0"/>
                <w:szCs w:val="21"/>
              </w:rPr>
            </w:pPr>
          </w:p>
        </w:tc>
        <w:tc>
          <w:tcPr>
            <w:tcW w:w="729"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预算 管理</w:t>
            </w:r>
          </w:p>
          <w:p>
            <w:pPr>
              <w:widowControl/>
              <w:jc w:val="center"/>
              <w:rPr>
                <w:rFonts w:ascii="仿宋" w:hAnsi="仿宋" w:eastAsia="仿宋" w:cs="宋体"/>
                <w:b/>
                <w:bCs/>
                <w:kern w:val="0"/>
                <w:szCs w:val="21"/>
              </w:rPr>
            </w:pPr>
            <w:r>
              <w:rPr>
                <w:rFonts w:hint="eastAsia" w:ascii="仿宋" w:hAnsi="仿宋" w:eastAsia="仿宋_GB2312" w:cs="宋体"/>
                <w:b/>
                <w:bCs/>
                <w:kern w:val="0"/>
                <w:sz w:val="15"/>
                <w:szCs w:val="15"/>
              </w:rPr>
              <w:t>（2</w:t>
            </w:r>
            <w:r>
              <w:rPr>
                <w:rFonts w:ascii="仿宋" w:hAnsi="仿宋" w:eastAsia="仿宋_GB2312" w:cs="宋体"/>
                <w:b/>
                <w:bCs/>
                <w:kern w:val="0"/>
                <w:sz w:val="15"/>
                <w:szCs w:val="15"/>
              </w:rPr>
              <w:t>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hint="eastAsia" w:ascii="仿宋" w:hAnsi="仿宋" w:eastAsia="仿宋_GB2312" w:cs="宋体"/>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restart"/>
            <w:tcBorders>
              <w:top w:val="nil"/>
              <w:left w:val="single" w:color="auto" w:sz="4" w:space="0"/>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资产 管理</w:t>
            </w:r>
          </w:p>
          <w:p>
            <w:pPr>
              <w:widowControl/>
              <w:jc w:val="center"/>
              <w:rPr>
                <w:rFonts w:hint="eastAsia" w:ascii="仿宋" w:hAnsi="仿宋" w:eastAsia="仿宋" w:cs="宋体"/>
                <w:b/>
                <w:bCs/>
                <w:kern w:val="0"/>
                <w:szCs w:val="21"/>
              </w:rPr>
            </w:pPr>
            <w:r>
              <w:rPr>
                <w:rFonts w:hint="eastAsia" w:ascii="仿宋" w:hAnsi="仿宋" w:eastAsia="仿宋_GB2312" w:cs="宋体"/>
                <w:b/>
                <w:bCs/>
                <w:kern w:val="0"/>
                <w:sz w:val="15"/>
                <w:szCs w:val="15"/>
              </w:rPr>
              <w:t>（</w:t>
            </w:r>
            <w:r>
              <w:rPr>
                <w:rFonts w:ascii="仿宋" w:hAnsi="仿宋" w:eastAsia="仿宋_GB2312" w:cs="宋体"/>
                <w:b/>
                <w:bCs/>
                <w:kern w:val="0"/>
                <w:sz w:val="15"/>
                <w:szCs w:val="15"/>
              </w:rPr>
              <w:t>15</w:t>
            </w:r>
            <w:r>
              <w:rPr>
                <w:rFonts w:hint="eastAsia" w:ascii="仿宋" w:hAnsi="仿宋" w:eastAsia="仿宋_GB2312" w:cs="宋体"/>
                <w:b/>
                <w:bCs/>
                <w:kern w:val="0"/>
                <w:sz w:val="15"/>
                <w:szCs w:val="15"/>
              </w:rPr>
              <w:t>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Cs w:val="21"/>
                <w:lang w:eastAsia="zh-CN"/>
              </w:rPr>
            </w:pPr>
            <w:r>
              <w:rPr>
                <w:rFonts w:hint="eastAsia" w:ascii="仿宋" w:hAnsi="仿宋" w:eastAsia="仿宋_GB2312" w:cs="宋体"/>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采购 管理</w:t>
            </w:r>
          </w:p>
          <w:p>
            <w:pPr>
              <w:widowControl/>
              <w:jc w:val="center"/>
              <w:rPr>
                <w:rFonts w:ascii="仿宋" w:hAnsi="仿宋" w:eastAsia="仿宋" w:cs="宋体"/>
                <w:b/>
                <w:bCs/>
                <w:kern w:val="0"/>
                <w:szCs w:val="21"/>
              </w:rPr>
            </w:pPr>
            <w:r>
              <w:rPr>
                <w:rFonts w:hint="eastAsia" w:ascii="仿宋" w:hAnsi="仿宋" w:eastAsia="仿宋_GB2312" w:cs="宋体"/>
                <w:b/>
                <w:bCs/>
                <w:kern w:val="0"/>
                <w:sz w:val="15"/>
                <w:szCs w:val="15"/>
              </w:rPr>
              <w:t>（</w:t>
            </w:r>
            <w:r>
              <w:rPr>
                <w:rFonts w:ascii="仿宋" w:hAnsi="仿宋" w:eastAsia="仿宋_GB2312" w:cs="宋体"/>
                <w:b/>
                <w:bCs/>
                <w:kern w:val="0"/>
                <w:sz w:val="15"/>
                <w:szCs w:val="15"/>
              </w:rPr>
              <w:t>10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项目绩效</w:t>
            </w:r>
          </w:p>
          <w:p>
            <w:pPr>
              <w:widowControl/>
              <w:jc w:val="center"/>
              <w:rPr>
                <w:rFonts w:ascii="仿宋" w:hAnsi="仿宋" w:eastAsia="仿宋" w:cs="宋体"/>
                <w:b/>
                <w:bCs/>
                <w:kern w:val="0"/>
                <w:szCs w:val="21"/>
              </w:rPr>
            </w:pPr>
            <w:r>
              <w:rPr>
                <w:rFonts w:hint="eastAsia" w:ascii="仿宋" w:hAnsi="仿宋" w:eastAsia="仿宋_GB2312" w:cs="宋体"/>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项目 决策</w:t>
            </w:r>
          </w:p>
          <w:p>
            <w:pPr>
              <w:widowControl/>
              <w:jc w:val="center"/>
              <w:rPr>
                <w:rFonts w:ascii="仿宋" w:hAnsi="仿宋" w:eastAsia="仿宋" w:cs="宋体"/>
                <w:b/>
                <w:bCs/>
                <w:kern w:val="0"/>
                <w:szCs w:val="21"/>
              </w:rPr>
            </w:pP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1"/>
              </w:rPr>
            </w:pPr>
          </w:p>
        </w:tc>
      </w:tr>
      <w:tr>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1"/>
              </w:rPr>
            </w:pPr>
          </w:p>
        </w:tc>
      </w:tr>
      <w:tr>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项目 执行</w:t>
            </w:r>
          </w:p>
          <w:p>
            <w:pPr>
              <w:widowControl/>
              <w:jc w:val="center"/>
              <w:rPr>
                <w:rFonts w:ascii="仿宋" w:hAnsi="仿宋" w:eastAsia="仿宋" w:cs="宋体"/>
                <w:b/>
                <w:bCs/>
                <w:kern w:val="0"/>
                <w:szCs w:val="21"/>
              </w:rPr>
            </w:pP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一致</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nil"/>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_GB2312" w:cs="宋体"/>
                <w:b/>
                <w:bCs/>
                <w:kern w:val="0"/>
                <w:szCs w:val="21"/>
                <w:lang w:eastAsia="zh-CN"/>
              </w:rPr>
            </w:pPr>
            <w:r>
              <w:rPr>
                <w:rFonts w:hint="eastAsia" w:ascii="仿宋" w:hAnsi="仿宋" w:eastAsia="仿宋_GB2312" w:cs="宋体"/>
                <w:b/>
                <w:bCs/>
                <w:kern w:val="0"/>
                <w:szCs w:val="21"/>
              </w:rPr>
              <w:t>目标 实现</w:t>
            </w:r>
          </w:p>
          <w:p>
            <w:pPr>
              <w:widowControl/>
              <w:jc w:val="center"/>
              <w:rPr>
                <w:rFonts w:ascii="仿宋" w:hAnsi="仿宋" w:eastAsia="仿宋" w:cs="宋体"/>
                <w:b/>
                <w:bCs/>
                <w:kern w:val="0"/>
                <w:szCs w:val="21"/>
              </w:rPr>
            </w:pPr>
            <w:r>
              <w:rPr>
                <w:rFonts w:hint="eastAsia" w:ascii="仿宋" w:hAnsi="仿宋" w:eastAsia="仿宋_GB2312" w:cs="宋体"/>
                <w:b/>
                <w:bCs/>
                <w:kern w:val="0"/>
                <w:sz w:val="15"/>
                <w:szCs w:val="15"/>
              </w:rPr>
              <w:t>（11分）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财务 管理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分值</w:t>
            </w:r>
          </w:p>
        </w:tc>
        <w:tc>
          <w:tcPr>
            <w:tcW w:w="7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p>
        </w:tc>
        <w:tc>
          <w:tcPr>
            <w:tcW w:w="2552"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226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729" w:type="dxa"/>
            <w:tcBorders>
              <w:top w:val="nil"/>
              <w:left w:val="nil"/>
              <w:bottom w:val="single" w:color="auto" w:sz="4" w:space="0"/>
              <w:right w:val="single" w:color="auto" w:sz="4" w:space="0"/>
            </w:tcBorders>
            <w:noWrap/>
            <w:vAlign w:val="center"/>
          </w:tcPr>
          <w:p>
            <w:pPr>
              <w:widowControl/>
              <w:jc w:val="center"/>
              <w:rPr>
                <w:rFonts w:hint="default" w:ascii="仿宋" w:hAnsi="仿宋" w:eastAsia="仿宋" w:cs="宋体"/>
                <w:color w:val="000000"/>
                <w:kern w:val="0"/>
                <w:szCs w:val="21"/>
              </w:rPr>
            </w:pPr>
            <w:r>
              <w:rPr>
                <w:rFonts w:hint="default" w:ascii="仿宋" w:hAnsi="仿宋" w:eastAsia="仿宋_GB2312" w:cs="宋体"/>
                <w:color w:val="000000"/>
                <w:kern w:val="0"/>
                <w:szCs w:val="21"/>
              </w:rPr>
              <w:fldChar w:fldCharType="begin"/>
            </w:r>
            <w:r>
              <w:rPr>
                <w:rFonts w:hint="default" w:ascii="仿宋" w:hAnsi="仿宋" w:eastAsia="仿宋_GB2312" w:cs="宋体"/>
                <w:color w:val="000000"/>
                <w:kern w:val="0"/>
                <w:szCs w:val="21"/>
              </w:rPr>
              <w:instrText xml:space="preserve"> =sum(above) \# "0" \* MERGEFORMAT </w:instrText>
            </w:r>
            <w:r>
              <w:rPr>
                <w:rFonts w:hint="default" w:ascii="仿宋" w:hAnsi="仿宋" w:eastAsia="仿宋_GB2312" w:cs="宋体"/>
                <w:color w:val="000000"/>
                <w:kern w:val="0"/>
                <w:szCs w:val="21"/>
              </w:rPr>
              <w:fldChar w:fldCharType="separate"/>
            </w:r>
            <w:r>
              <w:t>96</w:t>
            </w:r>
            <w:r>
              <w:rPr>
                <w:rFonts w:hint="default" w:ascii="仿宋" w:hAnsi="仿宋" w:eastAsia="仿宋_GB2312" w:cs="宋体"/>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p>
        </w:tc>
      </w:tr>
    </w:tbl>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r>
        <w:rPr>
          <w:rFonts w:hint="eastAsia" w:eastAsia="黑体" w:cs="黑体"/>
          <w:color w:val="auto"/>
          <w:sz w:val="32"/>
          <w:szCs w:val="32"/>
          <w:highlight w:val="none"/>
          <w:lang w:val="en-US" w:eastAsia="zh-CN"/>
        </w:rPr>
        <w:t>附表2：</w:t>
      </w:r>
    </w:p>
    <w:tbl>
      <w:tblPr>
        <w:tblStyle w:val="16"/>
        <w:tblW w:w="11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7"/>
        <w:gridCol w:w="1129"/>
        <w:gridCol w:w="1102"/>
        <w:gridCol w:w="1046"/>
        <w:gridCol w:w="822"/>
        <w:gridCol w:w="1024"/>
        <w:gridCol w:w="989"/>
        <w:gridCol w:w="1054"/>
        <w:gridCol w:w="1046"/>
        <w:gridCol w:w="1024"/>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51090421R000000042930-第一书记、驻村工作队补助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严格执行相关政策，保障工资及时、足额发放或社保及时、足额缴纳，预算编制科学合理，减少结余资金。</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严格执行相关政策，保障资金及时、合规、足额支付到位，减少结余资金。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及时申报，保障补助及时、足额发放，预算编制科学合理，减少结余资金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发放（缴纳）覆盖率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足额保障率（参保率）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51090421R000000042933-援藏援彝干部补助经费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严格执行相关政策，保障工资及时、足额发放或社保及时、足额缴纳，预算编制科学合理，减少结余资金。</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严格执行相关政策，保障资金及时、合规、足额支付到位，减少结余资金。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及时申报，保障补助及时、足额发放，预算编制科学合理，减少结余资金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发放（缴纳）覆盖率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足额保障率（参保率）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保障学校家庭经济困难学生正常入学，减轻其家庭经济负担。</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51090422T000007416583-2019年义务教育薄弱环节改善与能力提升中央补助资金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51090423T000008398639-2021年义务教育薄弱环节改善与能力提升中央补助资金（运动场改造）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及时申请支付资金，保证学生作业本按时发放。</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0.95</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0.95</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绩效目标实现指标自评得分100.00分，自评等次为：优，严格执行相关政策，按要求支付，保障资金及时、足额支付到位。保障学校正常运行。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51090423T000009655849-区级名师工程建设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保障资金及时、合规、足额支付到位，减少结余资金。</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严格执行相关政策，保障资金及时、合规、足额支付到位，减少结余资金。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及时申报，保障补助及时、足额发放，预算编制科学合理，减少结余资金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51090424T000010666685-城乡义务教育-综合奖补资金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51090424T000011969246-义务教育均衡发展补助资金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51090424T000012056395-义务教育均衡发展补助资金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64.32</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64.32</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51090425T000013013564-义教免作业本费（省市区级）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及时申请支付资金，保证学生作业本按时发放。</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0.83</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0.83</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102"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822"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6"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09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51090425T000013020556-秋季省级义务教育家庭经济困难学生生活补助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四川省遂宁市东禅中学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w:t>
            </w:r>
          </w:p>
        </w:tc>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9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0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项目负责人：吴春华</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财务负责人：黄定陆</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_GB2312"/>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4"/>
      <w:bookmarkEnd w:id="59"/>
      <w:bookmarkStart w:id="60"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7C5F4"/>
    <w:multiLevelType w:val="singleLevel"/>
    <w:tmpl w:val="DF37C5F4"/>
    <w:lvl w:ilvl="0" w:tentative="0">
      <w:start w:val="1"/>
      <w:numFmt w:val="decimal"/>
      <w:suff w:val="space"/>
      <w:lvlText w:val="%1."/>
      <w:lvlJc w:val="left"/>
    </w:lvl>
  </w:abstractNum>
  <w:abstractNum w:abstractNumId="1">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MmVhNGEzM2U4MDU0YTRiNjE0YmY0MWVmZDFm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6A74"/>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15033F"/>
    <w:rsid w:val="04916F1E"/>
    <w:rsid w:val="0574717F"/>
    <w:rsid w:val="061E35DE"/>
    <w:rsid w:val="066E0107"/>
    <w:rsid w:val="06F06FE7"/>
    <w:rsid w:val="07842DCB"/>
    <w:rsid w:val="07996F6E"/>
    <w:rsid w:val="07DFD8BA"/>
    <w:rsid w:val="093816EF"/>
    <w:rsid w:val="09867E8F"/>
    <w:rsid w:val="0A2032A3"/>
    <w:rsid w:val="0CA8290A"/>
    <w:rsid w:val="0D35B1ED"/>
    <w:rsid w:val="0E254B6B"/>
    <w:rsid w:val="0F98263C"/>
    <w:rsid w:val="0FA14912"/>
    <w:rsid w:val="101860EC"/>
    <w:rsid w:val="101F47CC"/>
    <w:rsid w:val="10630EF9"/>
    <w:rsid w:val="10C055FF"/>
    <w:rsid w:val="11694EBD"/>
    <w:rsid w:val="11772AA4"/>
    <w:rsid w:val="118107EC"/>
    <w:rsid w:val="12E24EE2"/>
    <w:rsid w:val="13D50BC4"/>
    <w:rsid w:val="14B17F78"/>
    <w:rsid w:val="165E0673"/>
    <w:rsid w:val="16B831D5"/>
    <w:rsid w:val="16BB723D"/>
    <w:rsid w:val="17E50567"/>
    <w:rsid w:val="186504BB"/>
    <w:rsid w:val="19A445FC"/>
    <w:rsid w:val="1AA9670C"/>
    <w:rsid w:val="1BDD2394"/>
    <w:rsid w:val="1BE8440E"/>
    <w:rsid w:val="1D155CEE"/>
    <w:rsid w:val="1D1638FE"/>
    <w:rsid w:val="1E312DEB"/>
    <w:rsid w:val="1E740ACF"/>
    <w:rsid w:val="1F981995"/>
    <w:rsid w:val="1FF35744"/>
    <w:rsid w:val="1FF6BC77"/>
    <w:rsid w:val="20AF6A96"/>
    <w:rsid w:val="217A3EB1"/>
    <w:rsid w:val="2186353C"/>
    <w:rsid w:val="22977AE1"/>
    <w:rsid w:val="23860B96"/>
    <w:rsid w:val="240371BF"/>
    <w:rsid w:val="244F3473"/>
    <w:rsid w:val="24C97D99"/>
    <w:rsid w:val="25A718F0"/>
    <w:rsid w:val="25BB59F6"/>
    <w:rsid w:val="260F557C"/>
    <w:rsid w:val="26970054"/>
    <w:rsid w:val="281408E2"/>
    <w:rsid w:val="29FD04D3"/>
    <w:rsid w:val="2BFF7BC6"/>
    <w:rsid w:val="2C8A61B5"/>
    <w:rsid w:val="2DF04E50"/>
    <w:rsid w:val="2E586DFA"/>
    <w:rsid w:val="2E6B3181"/>
    <w:rsid w:val="2F040D46"/>
    <w:rsid w:val="2F6B035B"/>
    <w:rsid w:val="2FAE5751"/>
    <w:rsid w:val="2FB1A395"/>
    <w:rsid w:val="2FD9A7D8"/>
    <w:rsid w:val="2FDBF714"/>
    <w:rsid w:val="30AB6865"/>
    <w:rsid w:val="319F7F4E"/>
    <w:rsid w:val="32BD1EF1"/>
    <w:rsid w:val="3304709D"/>
    <w:rsid w:val="334C0921"/>
    <w:rsid w:val="33A773CB"/>
    <w:rsid w:val="349D6851"/>
    <w:rsid w:val="36AA5135"/>
    <w:rsid w:val="36BE0DA7"/>
    <w:rsid w:val="37542974"/>
    <w:rsid w:val="376B6AA6"/>
    <w:rsid w:val="376D39B2"/>
    <w:rsid w:val="37E16F03"/>
    <w:rsid w:val="37F53A3B"/>
    <w:rsid w:val="389B6C89"/>
    <w:rsid w:val="38A76CF6"/>
    <w:rsid w:val="38D469F0"/>
    <w:rsid w:val="39627CCD"/>
    <w:rsid w:val="397BAF1F"/>
    <w:rsid w:val="3A5938B0"/>
    <w:rsid w:val="3A8C21B0"/>
    <w:rsid w:val="3AB79AF3"/>
    <w:rsid w:val="3AE834C0"/>
    <w:rsid w:val="3AEF1636"/>
    <w:rsid w:val="3B7EF35A"/>
    <w:rsid w:val="3B9F5572"/>
    <w:rsid w:val="3B9FDB6C"/>
    <w:rsid w:val="3BF5BC2F"/>
    <w:rsid w:val="3C0D2AB4"/>
    <w:rsid w:val="3CEBA265"/>
    <w:rsid w:val="3D592D86"/>
    <w:rsid w:val="3D98207C"/>
    <w:rsid w:val="3DEE7CF3"/>
    <w:rsid w:val="3E740A63"/>
    <w:rsid w:val="3E78745D"/>
    <w:rsid w:val="3EE17838"/>
    <w:rsid w:val="3F55381A"/>
    <w:rsid w:val="3F7F7599"/>
    <w:rsid w:val="3FF4CAE0"/>
    <w:rsid w:val="3FF7B227"/>
    <w:rsid w:val="40B11E55"/>
    <w:rsid w:val="41E876A6"/>
    <w:rsid w:val="43DE4AA7"/>
    <w:rsid w:val="44413D84"/>
    <w:rsid w:val="44E268DA"/>
    <w:rsid w:val="44EF6437"/>
    <w:rsid w:val="450D13D7"/>
    <w:rsid w:val="45506656"/>
    <w:rsid w:val="486A6C7A"/>
    <w:rsid w:val="4A627F82"/>
    <w:rsid w:val="4B0E749A"/>
    <w:rsid w:val="4B2477C4"/>
    <w:rsid w:val="4B4F25DA"/>
    <w:rsid w:val="4BE068DB"/>
    <w:rsid w:val="4D577224"/>
    <w:rsid w:val="4DBF1CEB"/>
    <w:rsid w:val="4DF0007C"/>
    <w:rsid w:val="4E6A6DAD"/>
    <w:rsid w:val="4EAB630A"/>
    <w:rsid w:val="4ECE2238"/>
    <w:rsid w:val="4F833267"/>
    <w:rsid w:val="4FE9BD67"/>
    <w:rsid w:val="4FFB052F"/>
    <w:rsid w:val="537E6D0A"/>
    <w:rsid w:val="53F74C96"/>
    <w:rsid w:val="54832D5A"/>
    <w:rsid w:val="54982865"/>
    <w:rsid w:val="55170BA8"/>
    <w:rsid w:val="553218C9"/>
    <w:rsid w:val="567E1AA5"/>
    <w:rsid w:val="56E47B74"/>
    <w:rsid w:val="57175D52"/>
    <w:rsid w:val="57BD3DD4"/>
    <w:rsid w:val="59D044D9"/>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1D2669"/>
    <w:rsid w:val="647F5392"/>
    <w:rsid w:val="65E66580"/>
    <w:rsid w:val="65F84C36"/>
    <w:rsid w:val="664B1D71"/>
    <w:rsid w:val="664B4E8E"/>
    <w:rsid w:val="67277B67"/>
    <w:rsid w:val="67AA3209"/>
    <w:rsid w:val="67DA48A2"/>
    <w:rsid w:val="698D0931"/>
    <w:rsid w:val="69911BD8"/>
    <w:rsid w:val="6A7FE5F3"/>
    <w:rsid w:val="6B053271"/>
    <w:rsid w:val="6BDD78B3"/>
    <w:rsid w:val="6BFD134A"/>
    <w:rsid w:val="6C3C1C5C"/>
    <w:rsid w:val="6C4A05C8"/>
    <w:rsid w:val="6C8742B8"/>
    <w:rsid w:val="6DBF5E93"/>
    <w:rsid w:val="6DEC10DF"/>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0225B6"/>
    <w:rsid w:val="71104D0F"/>
    <w:rsid w:val="712A28F1"/>
    <w:rsid w:val="715C0E4B"/>
    <w:rsid w:val="715C1C8A"/>
    <w:rsid w:val="71992E7C"/>
    <w:rsid w:val="72233669"/>
    <w:rsid w:val="72734D90"/>
    <w:rsid w:val="72AC4B18"/>
    <w:rsid w:val="73160E6D"/>
    <w:rsid w:val="7332FE48"/>
    <w:rsid w:val="73AB61DA"/>
    <w:rsid w:val="73AD73D5"/>
    <w:rsid w:val="73B6EB34"/>
    <w:rsid w:val="73FA497D"/>
    <w:rsid w:val="744731E5"/>
    <w:rsid w:val="74BBD01D"/>
    <w:rsid w:val="74ED5379"/>
    <w:rsid w:val="75DEEEC2"/>
    <w:rsid w:val="75E32345"/>
    <w:rsid w:val="76047BAD"/>
    <w:rsid w:val="76E3355F"/>
    <w:rsid w:val="76FF5125"/>
    <w:rsid w:val="774156BD"/>
    <w:rsid w:val="776F6FFA"/>
    <w:rsid w:val="778769C8"/>
    <w:rsid w:val="77A75DCA"/>
    <w:rsid w:val="77DC22F5"/>
    <w:rsid w:val="783E271A"/>
    <w:rsid w:val="78616DE9"/>
    <w:rsid w:val="78BC0374"/>
    <w:rsid w:val="78E875D7"/>
    <w:rsid w:val="79086DAD"/>
    <w:rsid w:val="79D7FD79"/>
    <w:rsid w:val="79EE5BA4"/>
    <w:rsid w:val="7A894339"/>
    <w:rsid w:val="7AD284E8"/>
    <w:rsid w:val="7AFF7572"/>
    <w:rsid w:val="7B6C7DFB"/>
    <w:rsid w:val="7BBFBED0"/>
    <w:rsid w:val="7BC3E394"/>
    <w:rsid w:val="7C1F3737"/>
    <w:rsid w:val="7CBFC87B"/>
    <w:rsid w:val="7CFE0F48"/>
    <w:rsid w:val="7D272ABC"/>
    <w:rsid w:val="7D3931DE"/>
    <w:rsid w:val="7D7EC23E"/>
    <w:rsid w:val="7E0B1F99"/>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915;&#31639;&#21450;&#20844;&#24320;\2024&#24180;&#20915;&#31639;&#20844;&#24320;_\2024&#20915;&#31639;&#20844;&#24320;-2023-2024&#23545;&#27604;&#25968;&#25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915;&#31639;&#21450;&#20844;&#24320;\2024&#24180;&#20915;&#31639;&#20844;&#24320;_\2024&#20915;&#31639;&#20844;&#24320;-2023-2024&#23545;&#27604;&#25968;&#2545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915;&#31639;&#21450;&#20844;&#24320;\2024&#24180;&#20915;&#31639;&#20844;&#24320;_\2024&#20915;&#31639;&#20844;&#24320;-2023-2024&#23545;&#27604;&#25968;&#2545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915;&#31639;&#21450;&#20844;&#24320;\2024&#24180;&#20915;&#31639;&#20844;&#24320;_\2024&#20915;&#31639;&#20844;&#24320;-2023-2024&#23545;&#27604;&#25968;&#2545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'[2024决算公开-2023-2024对比数据.xls]Sheet1'!$B$3:$B$4</c:f>
              <c:strCache>
                <c:ptCount val="2"/>
                <c:pt idx="0">
                  <c:v>2023年</c:v>
                </c:pt>
                <c:pt idx="1">
                  <c:v>2024年</c:v>
                </c:pt>
              </c:strCache>
            </c:strRef>
          </c:cat>
          <c:val>
            <c:numRef>
              <c:f>'[2024决算公开-2023-2024对比数据.xls]Sheet1'!$C$3:$C$4</c:f>
              <c:numCache>
                <c:formatCode>General</c:formatCode>
                <c:ptCount val="2"/>
                <c:pt idx="0">
                  <c:v>2147.57</c:v>
                </c:pt>
                <c:pt idx="1">
                  <c:v>2353.43</c:v>
                </c:pt>
              </c:numCache>
            </c:numRef>
          </c:val>
        </c:ser>
        <c:dLbls>
          <c:showLegendKey val="0"/>
          <c:showVal val="0"/>
          <c:showCatName val="0"/>
          <c:showSerName val="0"/>
          <c:showPercent val="0"/>
          <c:showBubbleSize val="0"/>
        </c:dLbls>
        <c:gapWidth val="219"/>
        <c:overlap val="-27"/>
        <c:axId val="795311871"/>
        <c:axId val="701253422"/>
      </c:barChart>
      <c:catAx>
        <c:axId val="7953118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1253422"/>
        <c:crosses val="autoZero"/>
        <c:auto val="1"/>
        <c:lblAlgn val="ctr"/>
        <c:lblOffset val="100"/>
        <c:noMultiLvlLbl val="0"/>
      </c:catAx>
      <c:valAx>
        <c:axId val="70125342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311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33557542271527"/>
                  <c:y val="-0.1308021203154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69000011836907"/>
                  <c:y val="0.1297155016370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16124020986592"/>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政府性基金预算财政拨款收入7.1</a:t>
                    </a:r>
                    <a:r>
                      <a:rPr lang="en-US" altLang="zh-CN"/>
                      <a:t>6</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'[2024决算公开-公式-部门预算项目支出绩效自评表.xlsx]Sheet1'!$C$7:$C$9</c:f>
              <c:strCache>
                <c:ptCount val="3"/>
                <c:pt idx="0">
                  <c:v>一般公共预算财政拨款收入</c:v>
                </c:pt>
                <c:pt idx="1">
                  <c:v>其他收入</c:v>
                </c:pt>
                <c:pt idx="2">
                  <c:v>政府性基金预算财政拨款收入</c:v>
                </c:pt>
              </c:strCache>
            </c:strRef>
          </c:cat>
          <c:val>
            <c:numRef>
              <c:f>'[2024决算公开-公式-部门预算项目支出绩效自评表.xlsx]Sheet1'!$D$7:$D$9</c:f>
              <c:numCache>
                <c:formatCode>General</c:formatCode>
                <c:ptCount val="3"/>
                <c:pt idx="0">
                  <c:v>1986.68</c:v>
                </c:pt>
                <c:pt idx="1">
                  <c:v>198.05</c:v>
                </c:pt>
                <c:pt idx="2">
                  <c:v>168.7</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0105806168470782"/>
                  <c:y val="0.015503681481070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896268400758925"/>
                  <c:y val="-0.0384359414298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'[2024决算公开-2023-2024对比数据.xls]Sheet1'!$C$25:$C$26</c:f>
              <c:strCache>
                <c:ptCount val="2"/>
                <c:pt idx="0">
                  <c:v>基本支出</c:v>
                </c:pt>
                <c:pt idx="1">
                  <c:v>项目支出</c:v>
                </c:pt>
              </c:strCache>
            </c:strRef>
          </c:cat>
          <c:val>
            <c:numRef>
              <c:f>'[2024决算公开-2023-2024对比数据.xls]Sheet1'!$D$25:$D$26</c:f>
              <c:numCache>
                <c:formatCode>General</c:formatCode>
                <c:ptCount val="2"/>
                <c:pt idx="0">
                  <c:v>1785.75</c:v>
                </c:pt>
                <c:pt idx="1">
                  <c:v>567.68</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'[2024决算公开-2023-2024对比数据.xls]Sheet1'!$B$41:$B$42</c:f>
              <c:strCache>
                <c:ptCount val="2"/>
                <c:pt idx="0">
                  <c:v>2023年</c:v>
                </c:pt>
                <c:pt idx="1">
                  <c:v>2024年</c:v>
                </c:pt>
              </c:strCache>
            </c:strRef>
          </c:cat>
          <c:val>
            <c:numRef>
              <c:f>'[2024决算公开-2023-2024对比数据.xls]Sheet1'!$C$41:$C$42</c:f>
              <c:numCache>
                <c:formatCode>General</c:formatCode>
                <c:ptCount val="2"/>
                <c:pt idx="0">
                  <c:v>2147.57</c:v>
                </c:pt>
                <c:pt idx="1">
                  <c:v>2155.38</c:v>
                </c:pt>
              </c:numCache>
            </c:numRef>
          </c:val>
        </c:ser>
        <c:dLbls>
          <c:showLegendKey val="0"/>
          <c:showVal val="0"/>
          <c:showCatName val="0"/>
          <c:showSerName val="0"/>
          <c:showPercent val="0"/>
          <c:showBubbleSize val="0"/>
        </c:dLbls>
        <c:gapWidth val="219"/>
        <c:overlap val="-27"/>
        <c:axId val="948159325"/>
        <c:axId val="892437186"/>
      </c:barChart>
      <c:catAx>
        <c:axId val="94815932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437186"/>
        <c:crosses val="autoZero"/>
        <c:auto val="1"/>
        <c:lblAlgn val="ctr"/>
        <c:lblOffset val="100"/>
        <c:noMultiLvlLbl val="0"/>
      </c:catAx>
      <c:valAx>
        <c:axId val="89243718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1593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'[2024决算公开-2023-2024对比数据.xls]Sheet1'!$B$53:$B$54</c:f>
              <c:strCache>
                <c:ptCount val="2"/>
                <c:pt idx="0">
                  <c:v>2023年</c:v>
                </c:pt>
                <c:pt idx="1">
                  <c:v>2024年</c:v>
                </c:pt>
              </c:strCache>
            </c:strRef>
          </c:cat>
          <c:val>
            <c:numRef>
              <c:f>'[2024决算公开-2023-2024对比数据.xls]Sheet1'!$C$53:$C$54</c:f>
              <c:numCache>
                <c:formatCode>General</c:formatCode>
                <c:ptCount val="2"/>
                <c:pt idx="0">
                  <c:v>2147.57</c:v>
                </c:pt>
                <c:pt idx="1">
                  <c:v>1986.68</c:v>
                </c:pt>
              </c:numCache>
            </c:numRef>
          </c:val>
        </c:ser>
        <c:dLbls>
          <c:showLegendKey val="0"/>
          <c:showVal val="0"/>
          <c:showCatName val="0"/>
          <c:showSerName val="0"/>
          <c:showPercent val="0"/>
          <c:showBubbleSize val="0"/>
        </c:dLbls>
        <c:gapWidth val="219"/>
        <c:overlap val="-27"/>
        <c:axId val="651739408"/>
        <c:axId val="515655940"/>
      </c:barChart>
      <c:catAx>
        <c:axId val="651739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655940"/>
        <c:crosses val="autoZero"/>
        <c:auto val="1"/>
        <c:lblAlgn val="ctr"/>
        <c:lblOffset val="100"/>
        <c:noMultiLvlLbl val="0"/>
      </c:catAx>
      <c:valAx>
        <c:axId val="5156559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73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30098723885796"/>
                  <c:y val="-0.04090904548658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45078412774417"/>
                  <c:y val="0.053516724307967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112563815216"/>
                      <c:h val="0.136954858454476"/>
                    </c:manualLayout>
                  </c15:layout>
                </c:ext>
              </c:extLst>
            </c:dLbl>
            <c:dLbl>
              <c:idx val="2"/>
              <c:layout>
                <c:manualLayout>
                  <c:x val="-0.162297537608685"/>
                  <c:y val="0.10769521457885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66607288867469"/>
                  <c:y val="0.019127773527161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8824554849956"/>
                      <c:h val="0.127467482785004"/>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1531.43</c:v>
                </c:pt>
                <c:pt idx="1">
                  <c:v>229.61</c:v>
                </c:pt>
                <c:pt idx="2">
                  <c:v>84.59</c:v>
                </c:pt>
                <c:pt idx="3">
                  <c:v>141.05</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15993</Words>
  <Characters>18205</Characters>
  <Lines>61</Lines>
  <Paragraphs>17</Paragraphs>
  <TotalTime>1</TotalTime>
  <ScaleCrop>false</ScaleCrop>
  <LinksUpToDate>false</LinksUpToDate>
  <CharactersWithSpaces>18321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共田</cp:lastModifiedBy>
  <cp:lastPrinted>2025-08-06T17:34:00Z</cp:lastPrinted>
  <dcterms:modified xsi:type="dcterms:W3CDTF">2025-08-27T06:56:38Z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04787F2533EB45DC91BCDE4AB213247F</vt:lpwstr>
  </property>
  <property fmtid="{D5CDD505-2E9C-101B-9397-08002B2CF9AE}" pid="4" name="KSOTemplateDocerSaveRecord">
    <vt:lpwstr>eyJoZGlkIjoiZGI0ZjQzZjFhNmI0MGYxMWE5NTVmYTUzNTU5OGY0N2EiLCJ1c2VySWQiOiIxNDQ0Mzk0NjUxIn0=</vt:lpwstr>
  </property>
</Properties>
</file>