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96475"/>
      <w:bookmarkStart w:id="2" w:name="_Toc15377193"/>
      <w:bookmarkStart w:id="3" w:name="_Toc15378441"/>
      <w:bookmarkStart w:id="4" w:name="_Toc15396597"/>
      <w:bookmarkStart w:id="5" w:name="_Toc15377425"/>
    </w:p>
    <w:p>
      <w:pPr>
        <w:pStyle w:val="7"/>
        <w:rPr>
          <w:rFonts w:hint="eastAsia" w:ascii="Times New Roman" w:hAnsi="Times New Roman" w:eastAsia="方正小标宋简体" w:cs="Times New Roman"/>
          <w:color w:val="auto"/>
          <w:kern w:val="2"/>
          <w:sz w:val="72"/>
          <w:szCs w:val="72"/>
          <w:highlight w:val="none"/>
          <w:lang w:val="en-US" w:eastAsia="zh-CN" w:bidi="ar-SA"/>
        </w:rPr>
      </w:pPr>
    </w:p>
    <w:p>
      <w:pPr>
        <w:pStyle w:val="7"/>
        <w:rPr>
          <w:rFonts w:hint="eastAsia" w:ascii="Times New Roman" w:hAnsi="Times New Roman" w:eastAsia="方正小标宋简体" w:cs="Times New Roman"/>
          <w:color w:val="auto"/>
          <w:kern w:val="2"/>
          <w:sz w:val="72"/>
          <w:szCs w:val="72"/>
          <w:highlight w:val="none"/>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bidi="ar-SA"/>
        </w:rPr>
      </w:pP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202</w:t>
      </w:r>
      <w:r>
        <w:rPr>
          <w:rFonts w:hint="eastAsia" w:ascii="Times New Roman" w:hAnsi="Times New Roman" w:eastAsia="方正小标宋简体" w:cs="Times New Roman"/>
          <w:b w:val="0"/>
          <w:bCs w:val="0"/>
          <w:i w:val="0"/>
          <w:iCs w:val="0"/>
          <w:color w:val="auto"/>
          <w:kern w:val="2"/>
          <w:sz w:val="44"/>
          <w:szCs w:val="44"/>
          <w:highlight w:val="none"/>
          <w:lang w:val="en-US" w:eastAsia="zh-CN" w:bidi="ar-SA"/>
        </w:rPr>
        <w:t>4</w:t>
      </w: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年度</w:t>
      </w:r>
    </w:p>
    <w:p>
      <w:pPr>
        <w:pStyle w:val="7"/>
        <w:keepNext w:val="0"/>
        <w:keepLines w:val="0"/>
        <w:pageBreakBefore w:val="0"/>
        <w:widowControl w:val="0"/>
        <w:kinsoku/>
        <w:wordWrap/>
        <w:overflowPunct/>
        <w:topLinePunct w:val="0"/>
        <w:autoSpaceDE/>
        <w:autoSpaceDN/>
        <w:bidi w:val="0"/>
        <w:adjustRightInd/>
        <w:snapToGrid/>
        <w:spacing w:line="600" w:lineRule="exact"/>
        <w:ind w:firstLine="440" w:firstLineChars="100"/>
        <w:jc w:val="both"/>
        <w:textAlignment w:val="auto"/>
        <w:rPr>
          <w:rFonts w:hint="eastAsia" w:ascii="Times New Roman" w:hAnsi="Times New Roman" w:eastAsia="方正小标宋简体" w:cs="Times New Roman"/>
          <w:b w:val="0"/>
          <w:bCs w:val="0"/>
          <w:i w:val="0"/>
          <w:iCs w:val="0"/>
          <w:color w:val="auto"/>
          <w:kern w:val="2"/>
          <w:sz w:val="44"/>
          <w:szCs w:val="44"/>
          <w:highlight w:val="none"/>
          <w:lang w:val="en-US" w:eastAsia="zh-CN" w:bidi="ar-SA"/>
        </w:rPr>
      </w:pPr>
      <w:r>
        <w:rPr>
          <w:rFonts w:hint="eastAsia" w:ascii="Times New Roman" w:hAnsi="Times New Roman" w:eastAsia="方正小标宋简体" w:cs="Times New Roman"/>
          <w:b w:val="0"/>
          <w:bCs w:val="0"/>
          <w:i w:val="0"/>
          <w:iCs w:val="0"/>
          <w:color w:val="auto"/>
          <w:kern w:val="2"/>
          <w:sz w:val="44"/>
          <w:szCs w:val="44"/>
          <w:highlight w:val="none"/>
          <w:lang w:val="en-US" w:eastAsia="zh-CN" w:bidi="ar-SA"/>
        </w:rPr>
        <w:t>遂宁市公安局安居区分局交通警察大队</w:t>
      </w:r>
    </w:p>
    <w:p>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highlight w:val="none"/>
        </w:rPr>
      </w:pP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部门决算</w:t>
      </w:r>
    </w:p>
    <w:p>
      <w:pPr>
        <w:pStyle w:val="7"/>
        <w:jc w:val="center"/>
        <w:rPr>
          <w:rFonts w:hint="eastAsia" w:ascii="Times New Roman" w:hAnsi="Times New Roman" w:eastAsia="方正小标宋简体" w:cs="Times New Roman"/>
          <w:color w:val="auto"/>
          <w:kern w:val="2"/>
          <w:sz w:val="44"/>
          <w:szCs w:val="44"/>
          <w:highlight w:val="none"/>
          <w:lang w:val="en-US" w:eastAsia="zh-CN" w:bidi="ar-SA"/>
        </w:rPr>
      </w:pPr>
      <w:bookmarkStart w:id="83" w:name="_GoBack"/>
      <w:bookmarkEnd w:id="83"/>
    </w:p>
    <w:p>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pPr>
        <w:widowControl/>
        <w:jc w:val="center"/>
        <w:rPr>
          <w:rFonts w:hint="eastAsia" w:ascii="Times New Roman" w:hAnsi="Times New Roman"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22</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sdt>
      <w:sdtPr>
        <w:rPr>
          <w:rFonts w:ascii="宋体" w:hAnsi="宋体" w:eastAsia="宋体" w:cs="Times New Roman"/>
          <w:kern w:val="2"/>
          <w:sz w:val="24"/>
          <w:szCs w:val="24"/>
          <w:highlight w:val="none"/>
          <w:lang w:val="en-US" w:eastAsia="zh-CN" w:bidi="ar-SA"/>
        </w:rPr>
        <w:id w:val="147475981"/>
        <w15:color w:val="DBDBDB"/>
        <w:docPartObj>
          <w:docPartGallery w:val="Table of Contents"/>
          <w:docPartUnique/>
        </w:docPartObj>
      </w:sdtPr>
      <w:sdtEndPr>
        <w:rPr>
          <w:rFonts w:ascii="宋体" w:hAnsi="宋体" w:eastAsia="宋体" w:cs="Times New Roman"/>
          <w:b/>
          <w:kern w:val="2"/>
          <w:sz w:val="24"/>
          <w:szCs w:val="24"/>
          <w:highlight w:val="none"/>
          <w:lang w:val="en-US" w:eastAsia="zh-CN" w:bidi="ar-SA"/>
        </w:rPr>
      </w:sdtEndPr>
      <w:sdtContent>
        <w:p>
          <w:pPr>
            <w:spacing w:before="0" w:beforeLines="0" w:after="0" w:afterLines="0" w:line="240" w:lineRule="auto"/>
            <w:ind w:left="0" w:leftChars="0" w:right="0" w:rightChars="0" w:firstLine="0" w:firstLineChars="0"/>
            <w:jc w:val="center"/>
            <w:rPr>
              <w:sz w:val="24"/>
              <w:szCs w:val="24"/>
              <w:highlight w:val="none"/>
            </w:rPr>
          </w:pPr>
        </w:p>
        <w:p>
          <w:pPr>
            <w:pStyle w:val="37"/>
            <w:tabs>
              <w:tab w:val="right" w:leader="dot" w:pos="8306"/>
            </w:tabs>
            <w:spacing w:line="360" w:lineRule="auto"/>
            <w:rPr>
              <w:b/>
              <w:sz w:val="24"/>
              <w:szCs w:val="24"/>
              <w:highlight w:val="none"/>
            </w:rPr>
          </w:pPr>
          <w:r>
            <w:rPr>
              <w:sz w:val="24"/>
              <w:szCs w:val="24"/>
              <w:highlight w:val="none"/>
            </w:rPr>
            <w:fldChar w:fldCharType="begin"/>
          </w:r>
          <w:r>
            <w:rPr>
              <w:sz w:val="24"/>
              <w:szCs w:val="24"/>
              <w:highlight w:val="none"/>
            </w:rPr>
            <w:instrText xml:space="preserve">TOC \o "1-2" \h \u </w:instrText>
          </w:r>
          <w:r>
            <w:rPr>
              <w:sz w:val="24"/>
              <w:szCs w:val="24"/>
              <w:highlight w:val="none"/>
            </w:rPr>
            <w:fldChar w:fldCharType="separate"/>
          </w:r>
          <w:r>
            <w:rPr>
              <w:b/>
              <w:sz w:val="24"/>
              <w:szCs w:val="24"/>
              <w:highlight w:val="none"/>
            </w:rPr>
            <w:fldChar w:fldCharType="begin"/>
          </w:r>
          <w:r>
            <w:rPr>
              <w:b/>
              <w:sz w:val="24"/>
              <w:szCs w:val="24"/>
              <w:highlight w:val="none"/>
            </w:rPr>
            <w:instrText xml:space="preserve"> HYPERLINK \l _Toc17254 </w:instrText>
          </w:r>
          <w:r>
            <w:rPr>
              <w:b/>
              <w:sz w:val="24"/>
              <w:szCs w:val="24"/>
              <w:highlight w:val="none"/>
            </w:rPr>
            <w:fldChar w:fldCharType="separate"/>
          </w:r>
          <w:r>
            <w:rPr>
              <w:rFonts w:hint="eastAsia" w:ascii="Times New Roman" w:hAnsi="Times New Roman" w:eastAsia="方正小标宋简体" w:cs="方正小标宋简体"/>
              <w:b/>
              <w:sz w:val="24"/>
              <w:szCs w:val="24"/>
              <w:highlight w:val="none"/>
            </w:rPr>
            <w:t>第一部分</w:t>
          </w:r>
          <w:r>
            <w:rPr>
              <w:rFonts w:hint="eastAsia" w:ascii="Times New Roman" w:hAnsi="Times New Roman" w:eastAsia="方正小标宋简体" w:cs="方正小标宋简体"/>
              <w:b/>
              <w:sz w:val="24"/>
              <w:szCs w:val="24"/>
              <w:highlight w:val="none"/>
              <w:lang w:val="en-US" w:eastAsia="zh-CN"/>
            </w:rPr>
            <w:t xml:space="preserve"> </w:t>
          </w:r>
          <w:r>
            <w:rPr>
              <w:rFonts w:hint="eastAsia" w:ascii="Times New Roman" w:hAnsi="Times New Roman" w:eastAsia="方正小标宋简体" w:cs="方正小标宋简体"/>
              <w:b/>
              <w:sz w:val="24"/>
              <w:szCs w:val="24"/>
              <w:highlight w:val="none"/>
            </w:rPr>
            <w:t xml:space="preserve"> </w:t>
          </w:r>
          <w:r>
            <w:rPr>
              <w:rFonts w:hint="eastAsia" w:ascii="Times New Roman" w:hAnsi="Times New Roman" w:eastAsia="方正小标宋简体" w:cs="方正小标宋简体"/>
              <w:b/>
              <w:bCs w:val="0"/>
              <w:sz w:val="24"/>
              <w:szCs w:val="24"/>
              <w:highlight w:val="none"/>
            </w:rPr>
            <w:t>部门概况</w:t>
          </w:r>
          <w:r>
            <w:rPr>
              <w:b/>
              <w:sz w:val="24"/>
              <w:szCs w:val="24"/>
              <w:highlight w:val="none"/>
            </w:rPr>
            <w:tab/>
          </w:r>
          <w:r>
            <w:rPr>
              <w:b/>
              <w:sz w:val="24"/>
              <w:szCs w:val="24"/>
              <w:highlight w:val="none"/>
            </w:rPr>
            <w:fldChar w:fldCharType="begin"/>
          </w:r>
          <w:r>
            <w:rPr>
              <w:b/>
              <w:sz w:val="24"/>
              <w:szCs w:val="24"/>
              <w:highlight w:val="none"/>
            </w:rPr>
            <w:instrText xml:space="preserve"> PAGEREF _Toc17254 \h </w:instrText>
          </w:r>
          <w:r>
            <w:rPr>
              <w:b/>
              <w:sz w:val="24"/>
              <w:szCs w:val="24"/>
              <w:highlight w:val="none"/>
            </w:rPr>
            <w:fldChar w:fldCharType="separate"/>
          </w:r>
          <w:r>
            <w:rPr>
              <w:b/>
              <w:sz w:val="24"/>
              <w:szCs w:val="24"/>
              <w:highlight w:val="none"/>
            </w:rPr>
            <w:t>- 1 -</w:t>
          </w:r>
          <w:r>
            <w:rPr>
              <w:b/>
              <w:sz w:val="24"/>
              <w:szCs w:val="24"/>
              <w:highlight w:val="none"/>
            </w:rPr>
            <w:fldChar w:fldCharType="end"/>
          </w:r>
          <w:r>
            <w:rPr>
              <w:b/>
              <w:sz w:val="24"/>
              <w:szCs w:val="24"/>
              <w:highlight w:val="none"/>
            </w:rPr>
            <w:fldChar w:fldCharType="end"/>
          </w:r>
        </w:p>
        <w:p>
          <w:pPr>
            <w:pStyle w:val="38"/>
            <w:tabs>
              <w:tab w:val="right" w:leader="dot" w:pos="8306"/>
            </w:tabs>
            <w:spacing w:line="360" w:lineRule="auto"/>
            <w:rPr>
              <w:sz w:val="24"/>
              <w:szCs w:val="24"/>
              <w:highlight w:val="none"/>
            </w:rPr>
          </w:pPr>
          <w:r>
            <w:rPr>
              <w:sz w:val="24"/>
              <w:szCs w:val="24"/>
              <w:highlight w:val="none"/>
            </w:rPr>
            <w:fldChar w:fldCharType="begin"/>
          </w:r>
          <w:r>
            <w:rPr>
              <w:sz w:val="24"/>
              <w:szCs w:val="24"/>
              <w:highlight w:val="none"/>
            </w:rPr>
            <w:instrText xml:space="preserve"> HYPERLINK \l _Toc12067 </w:instrText>
          </w:r>
          <w:r>
            <w:rPr>
              <w:sz w:val="24"/>
              <w:szCs w:val="24"/>
              <w:highlight w:val="none"/>
            </w:rPr>
            <w:fldChar w:fldCharType="separate"/>
          </w:r>
          <w:r>
            <w:rPr>
              <w:rFonts w:hint="eastAsia" w:ascii="Times New Roman" w:hAnsi="Times New Roman" w:eastAsia="黑体"/>
              <w:sz w:val="24"/>
              <w:szCs w:val="24"/>
              <w:highlight w:val="none"/>
            </w:rPr>
            <w:t>一、</w:t>
          </w:r>
          <w:r>
            <w:rPr>
              <w:rFonts w:hint="eastAsia" w:ascii="Times New Roman" w:hAnsi="Times New Roman" w:eastAsia="黑体"/>
              <w:sz w:val="24"/>
              <w:szCs w:val="24"/>
              <w:highlight w:val="none"/>
              <w:lang w:eastAsia="zh-CN"/>
            </w:rPr>
            <w:t>部门职责</w:t>
          </w:r>
          <w:r>
            <w:rPr>
              <w:sz w:val="24"/>
              <w:szCs w:val="24"/>
              <w:highlight w:val="none"/>
            </w:rPr>
            <w:tab/>
          </w:r>
          <w:r>
            <w:rPr>
              <w:sz w:val="24"/>
              <w:szCs w:val="24"/>
              <w:highlight w:val="none"/>
            </w:rPr>
            <w:fldChar w:fldCharType="begin"/>
          </w:r>
          <w:r>
            <w:rPr>
              <w:sz w:val="24"/>
              <w:szCs w:val="24"/>
              <w:highlight w:val="none"/>
            </w:rPr>
            <w:instrText xml:space="preserve"> PAGEREF _Toc12067 \h </w:instrText>
          </w:r>
          <w:r>
            <w:rPr>
              <w:sz w:val="24"/>
              <w:szCs w:val="24"/>
              <w:highlight w:val="none"/>
            </w:rPr>
            <w:fldChar w:fldCharType="separate"/>
          </w:r>
          <w:r>
            <w:rPr>
              <w:sz w:val="24"/>
              <w:szCs w:val="24"/>
              <w:highlight w:val="none"/>
            </w:rPr>
            <w:t>- 1 -</w:t>
          </w:r>
          <w:r>
            <w:rPr>
              <w:sz w:val="24"/>
              <w:szCs w:val="24"/>
              <w:highlight w:val="none"/>
            </w:rPr>
            <w:fldChar w:fldCharType="end"/>
          </w:r>
          <w:r>
            <w:rPr>
              <w:sz w:val="24"/>
              <w:szCs w:val="24"/>
              <w:highlight w:val="none"/>
            </w:rPr>
            <w:fldChar w:fldCharType="end"/>
          </w:r>
        </w:p>
        <w:p>
          <w:pPr>
            <w:pStyle w:val="38"/>
            <w:tabs>
              <w:tab w:val="right" w:leader="dot" w:pos="8306"/>
            </w:tabs>
            <w:spacing w:line="360" w:lineRule="auto"/>
            <w:rPr>
              <w:sz w:val="24"/>
              <w:szCs w:val="24"/>
              <w:highlight w:val="none"/>
            </w:rPr>
          </w:pPr>
          <w:r>
            <w:rPr>
              <w:sz w:val="24"/>
              <w:szCs w:val="24"/>
              <w:highlight w:val="none"/>
            </w:rPr>
            <w:fldChar w:fldCharType="begin"/>
          </w:r>
          <w:r>
            <w:rPr>
              <w:sz w:val="24"/>
              <w:szCs w:val="24"/>
              <w:highlight w:val="none"/>
            </w:rPr>
            <w:instrText xml:space="preserve"> HYPERLINK \l _Toc9967 </w:instrText>
          </w:r>
          <w:r>
            <w:rPr>
              <w:sz w:val="24"/>
              <w:szCs w:val="24"/>
              <w:highlight w:val="none"/>
            </w:rPr>
            <w:fldChar w:fldCharType="separate"/>
          </w:r>
          <w:r>
            <w:rPr>
              <w:rFonts w:hint="eastAsia" w:ascii="Times New Roman" w:hAnsi="Times New Roman" w:eastAsia="黑体"/>
              <w:sz w:val="24"/>
              <w:szCs w:val="24"/>
              <w:highlight w:val="none"/>
            </w:rPr>
            <w:t>二、机</w:t>
          </w:r>
          <w:r>
            <w:rPr>
              <w:rFonts w:hint="eastAsia" w:ascii="Times New Roman" w:hAnsi="Times New Roman" w:eastAsia="黑体"/>
              <w:bCs w:val="0"/>
              <w:sz w:val="24"/>
              <w:szCs w:val="24"/>
              <w:highlight w:val="none"/>
            </w:rPr>
            <w:t>构设置</w:t>
          </w:r>
          <w:r>
            <w:rPr>
              <w:sz w:val="24"/>
              <w:szCs w:val="24"/>
              <w:highlight w:val="none"/>
            </w:rPr>
            <w:tab/>
          </w:r>
          <w:r>
            <w:rPr>
              <w:sz w:val="24"/>
              <w:szCs w:val="24"/>
              <w:highlight w:val="none"/>
            </w:rPr>
            <w:fldChar w:fldCharType="begin"/>
          </w:r>
          <w:r>
            <w:rPr>
              <w:sz w:val="24"/>
              <w:szCs w:val="24"/>
              <w:highlight w:val="none"/>
            </w:rPr>
            <w:instrText xml:space="preserve"> PAGEREF _Toc9967 \h </w:instrText>
          </w:r>
          <w:r>
            <w:rPr>
              <w:sz w:val="24"/>
              <w:szCs w:val="24"/>
              <w:highlight w:val="none"/>
            </w:rPr>
            <w:fldChar w:fldCharType="separate"/>
          </w:r>
          <w:r>
            <w:rPr>
              <w:sz w:val="24"/>
              <w:szCs w:val="24"/>
              <w:highlight w:val="none"/>
            </w:rPr>
            <w:t>- 1 -</w:t>
          </w:r>
          <w:r>
            <w:rPr>
              <w:sz w:val="24"/>
              <w:szCs w:val="24"/>
              <w:highlight w:val="none"/>
            </w:rPr>
            <w:fldChar w:fldCharType="end"/>
          </w:r>
          <w:r>
            <w:rPr>
              <w:sz w:val="24"/>
              <w:szCs w:val="24"/>
              <w:highlight w:val="none"/>
            </w:rPr>
            <w:fldChar w:fldCharType="end"/>
          </w:r>
        </w:p>
        <w:p>
          <w:pPr>
            <w:pStyle w:val="37"/>
            <w:tabs>
              <w:tab w:val="right" w:leader="dot" w:pos="8306"/>
            </w:tabs>
            <w:spacing w:line="360" w:lineRule="auto"/>
            <w:rPr>
              <w:b/>
              <w:sz w:val="24"/>
              <w:szCs w:val="24"/>
              <w:highlight w:val="none"/>
            </w:rPr>
          </w:pPr>
          <w:r>
            <w:rPr>
              <w:b/>
              <w:sz w:val="24"/>
              <w:szCs w:val="24"/>
              <w:highlight w:val="none"/>
            </w:rPr>
            <w:fldChar w:fldCharType="begin"/>
          </w:r>
          <w:r>
            <w:rPr>
              <w:b/>
              <w:sz w:val="24"/>
              <w:szCs w:val="24"/>
              <w:highlight w:val="none"/>
            </w:rPr>
            <w:instrText xml:space="preserve"> HYPERLINK \l _Toc13167 </w:instrText>
          </w:r>
          <w:r>
            <w:rPr>
              <w:b/>
              <w:sz w:val="24"/>
              <w:szCs w:val="24"/>
              <w:highlight w:val="none"/>
            </w:rPr>
            <w:fldChar w:fldCharType="separate"/>
          </w:r>
          <w:r>
            <w:rPr>
              <w:rFonts w:hint="eastAsia" w:ascii="Times New Roman" w:hAnsi="Times New Roman" w:eastAsia="方正小标宋简体" w:cs="方正小标宋简体"/>
              <w:b/>
              <w:sz w:val="24"/>
              <w:szCs w:val="24"/>
              <w:highlight w:val="none"/>
            </w:rPr>
            <w:t>第二部分</w:t>
          </w:r>
          <w:r>
            <w:rPr>
              <w:rFonts w:hint="eastAsia" w:ascii="Times New Roman" w:hAnsi="Times New Roman" w:eastAsia="方正小标宋简体" w:cs="方正小标宋简体"/>
              <w:b/>
              <w:sz w:val="24"/>
              <w:szCs w:val="24"/>
              <w:highlight w:val="none"/>
              <w:lang w:val="en-US" w:eastAsia="zh-CN"/>
            </w:rPr>
            <w:t xml:space="preserve"> </w:t>
          </w:r>
          <w:r>
            <w:rPr>
              <w:rFonts w:hint="eastAsia" w:ascii="Times New Roman" w:hAnsi="Times New Roman" w:eastAsia="方正小标宋简体" w:cs="方正小标宋简体"/>
              <w:b/>
              <w:sz w:val="24"/>
              <w:szCs w:val="24"/>
              <w:highlight w:val="none"/>
            </w:rPr>
            <w:t xml:space="preserve"> </w:t>
          </w:r>
          <w:r>
            <w:rPr>
              <w:rFonts w:hint="eastAsia" w:ascii="Times New Roman" w:hAnsi="Times New Roman" w:eastAsia="方正小标宋简体" w:cs="方正小标宋简体"/>
              <w:b/>
              <w:sz w:val="24"/>
              <w:szCs w:val="24"/>
              <w:highlight w:val="none"/>
              <w:lang w:val="en-US" w:eastAsia="zh-CN"/>
            </w:rPr>
            <w:t>2024年度</w:t>
          </w:r>
          <w:r>
            <w:rPr>
              <w:rFonts w:hint="eastAsia" w:ascii="Times New Roman" w:hAnsi="Times New Roman" w:eastAsia="方正小标宋简体" w:cs="方正小标宋简体"/>
              <w:b/>
              <w:sz w:val="24"/>
              <w:szCs w:val="24"/>
              <w:highlight w:val="none"/>
            </w:rPr>
            <w:t>部门决算情况说明</w:t>
          </w:r>
          <w:r>
            <w:rPr>
              <w:b/>
              <w:sz w:val="24"/>
              <w:szCs w:val="24"/>
              <w:highlight w:val="none"/>
            </w:rPr>
            <w:tab/>
          </w:r>
          <w:r>
            <w:rPr>
              <w:b/>
              <w:sz w:val="24"/>
              <w:szCs w:val="24"/>
              <w:highlight w:val="none"/>
            </w:rPr>
            <w:fldChar w:fldCharType="begin"/>
          </w:r>
          <w:r>
            <w:rPr>
              <w:b/>
              <w:sz w:val="24"/>
              <w:szCs w:val="24"/>
              <w:highlight w:val="none"/>
            </w:rPr>
            <w:instrText xml:space="preserve"> PAGEREF _Toc13167 \h </w:instrText>
          </w:r>
          <w:r>
            <w:rPr>
              <w:b/>
              <w:sz w:val="24"/>
              <w:szCs w:val="24"/>
              <w:highlight w:val="none"/>
            </w:rPr>
            <w:fldChar w:fldCharType="separate"/>
          </w:r>
          <w:r>
            <w:rPr>
              <w:b/>
              <w:sz w:val="24"/>
              <w:szCs w:val="24"/>
              <w:highlight w:val="none"/>
            </w:rPr>
            <w:t>- 2 -</w:t>
          </w:r>
          <w:r>
            <w:rPr>
              <w:b/>
              <w:sz w:val="24"/>
              <w:szCs w:val="24"/>
              <w:highlight w:val="none"/>
            </w:rPr>
            <w:fldChar w:fldCharType="end"/>
          </w:r>
          <w:r>
            <w:rPr>
              <w:b/>
              <w:sz w:val="24"/>
              <w:szCs w:val="24"/>
              <w:highlight w:val="none"/>
            </w:rPr>
            <w:fldChar w:fldCharType="end"/>
          </w:r>
        </w:p>
        <w:p>
          <w:pPr>
            <w:pStyle w:val="38"/>
            <w:tabs>
              <w:tab w:val="right" w:leader="dot" w:pos="8306"/>
            </w:tabs>
            <w:spacing w:line="360" w:lineRule="auto"/>
            <w:rPr>
              <w:sz w:val="24"/>
              <w:szCs w:val="24"/>
              <w:highlight w:val="none"/>
            </w:rPr>
          </w:pPr>
          <w:r>
            <w:rPr>
              <w:sz w:val="24"/>
              <w:szCs w:val="24"/>
              <w:highlight w:val="none"/>
            </w:rPr>
            <w:fldChar w:fldCharType="begin"/>
          </w:r>
          <w:r>
            <w:rPr>
              <w:sz w:val="24"/>
              <w:szCs w:val="24"/>
              <w:highlight w:val="none"/>
            </w:rPr>
            <w:instrText xml:space="preserve"> HYPERLINK \l _Toc888 </w:instrText>
          </w:r>
          <w:r>
            <w:rPr>
              <w:sz w:val="24"/>
              <w:szCs w:val="24"/>
              <w:highlight w:val="none"/>
            </w:rPr>
            <w:fldChar w:fldCharType="separate"/>
          </w:r>
          <w:r>
            <w:rPr>
              <w:rFonts w:hint="eastAsia" w:ascii="Times New Roman" w:hAnsi="Times New Roman" w:eastAsia="黑体"/>
              <w:sz w:val="24"/>
              <w:szCs w:val="24"/>
              <w:highlight w:val="none"/>
              <w:lang w:eastAsia="zh-CN"/>
            </w:rPr>
            <w:t>一、</w:t>
          </w:r>
          <w:r>
            <w:rPr>
              <w:rFonts w:hint="eastAsia" w:ascii="Times New Roman" w:hAnsi="Times New Roman" w:eastAsia="黑体"/>
              <w:sz w:val="24"/>
              <w:szCs w:val="24"/>
              <w:highlight w:val="none"/>
            </w:rPr>
            <w:t>收入支出决算总体情况说明</w:t>
          </w:r>
          <w:r>
            <w:rPr>
              <w:sz w:val="24"/>
              <w:szCs w:val="24"/>
              <w:highlight w:val="none"/>
            </w:rPr>
            <w:tab/>
          </w:r>
          <w:r>
            <w:rPr>
              <w:sz w:val="24"/>
              <w:szCs w:val="24"/>
              <w:highlight w:val="none"/>
            </w:rPr>
            <w:fldChar w:fldCharType="begin"/>
          </w:r>
          <w:r>
            <w:rPr>
              <w:sz w:val="24"/>
              <w:szCs w:val="24"/>
              <w:highlight w:val="none"/>
            </w:rPr>
            <w:instrText xml:space="preserve"> PAGEREF _Toc888 \h </w:instrText>
          </w:r>
          <w:r>
            <w:rPr>
              <w:sz w:val="24"/>
              <w:szCs w:val="24"/>
              <w:highlight w:val="none"/>
            </w:rPr>
            <w:fldChar w:fldCharType="separate"/>
          </w:r>
          <w:r>
            <w:rPr>
              <w:sz w:val="24"/>
              <w:szCs w:val="24"/>
              <w:highlight w:val="none"/>
            </w:rPr>
            <w:t>- 2 -</w:t>
          </w:r>
          <w:r>
            <w:rPr>
              <w:sz w:val="24"/>
              <w:szCs w:val="24"/>
              <w:highlight w:val="none"/>
            </w:rPr>
            <w:fldChar w:fldCharType="end"/>
          </w:r>
          <w:r>
            <w:rPr>
              <w:sz w:val="24"/>
              <w:szCs w:val="24"/>
              <w:highlight w:val="none"/>
            </w:rPr>
            <w:fldChar w:fldCharType="end"/>
          </w:r>
        </w:p>
        <w:p>
          <w:pPr>
            <w:pStyle w:val="38"/>
            <w:tabs>
              <w:tab w:val="right" w:leader="dot" w:pos="8306"/>
            </w:tabs>
            <w:spacing w:line="360" w:lineRule="auto"/>
            <w:rPr>
              <w:sz w:val="24"/>
              <w:szCs w:val="24"/>
              <w:highlight w:val="none"/>
            </w:rPr>
          </w:pPr>
          <w:r>
            <w:rPr>
              <w:sz w:val="24"/>
              <w:szCs w:val="24"/>
              <w:highlight w:val="none"/>
            </w:rPr>
            <w:fldChar w:fldCharType="begin"/>
          </w:r>
          <w:r>
            <w:rPr>
              <w:sz w:val="24"/>
              <w:szCs w:val="24"/>
              <w:highlight w:val="none"/>
            </w:rPr>
            <w:instrText xml:space="preserve"> HYPERLINK \l _Toc9005 </w:instrText>
          </w:r>
          <w:r>
            <w:rPr>
              <w:sz w:val="24"/>
              <w:szCs w:val="24"/>
              <w:highlight w:val="none"/>
            </w:rPr>
            <w:fldChar w:fldCharType="separate"/>
          </w:r>
          <w:r>
            <w:rPr>
              <w:rFonts w:hint="eastAsia" w:ascii="Times New Roman" w:hAnsi="Times New Roman" w:eastAsia="黑体"/>
              <w:sz w:val="24"/>
              <w:szCs w:val="24"/>
              <w:highlight w:val="none"/>
              <w:lang w:eastAsia="zh-CN"/>
            </w:rPr>
            <w:t>二、收入决算情况说明</w:t>
          </w:r>
          <w:r>
            <w:rPr>
              <w:sz w:val="24"/>
              <w:szCs w:val="24"/>
              <w:highlight w:val="none"/>
            </w:rPr>
            <w:tab/>
          </w:r>
          <w:r>
            <w:rPr>
              <w:sz w:val="24"/>
              <w:szCs w:val="24"/>
              <w:highlight w:val="none"/>
            </w:rPr>
            <w:fldChar w:fldCharType="begin"/>
          </w:r>
          <w:r>
            <w:rPr>
              <w:sz w:val="24"/>
              <w:szCs w:val="24"/>
              <w:highlight w:val="none"/>
            </w:rPr>
            <w:instrText xml:space="preserve"> PAGEREF _Toc9005 \h </w:instrText>
          </w:r>
          <w:r>
            <w:rPr>
              <w:sz w:val="24"/>
              <w:szCs w:val="24"/>
              <w:highlight w:val="none"/>
            </w:rPr>
            <w:fldChar w:fldCharType="separate"/>
          </w:r>
          <w:r>
            <w:rPr>
              <w:sz w:val="24"/>
              <w:szCs w:val="24"/>
              <w:highlight w:val="none"/>
            </w:rPr>
            <w:t>- 2 -</w:t>
          </w:r>
          <w:r>
            <w:rPr>
              <w:sz w:val="24"/>
              <w:szCs w:val="24"/>
              <w:highlight w:val="none"/>
            </w:rPr>
            <w:fldChar w:fldCharType="end"/>
          </w:r>
          <w:r>
            <w:rPr>
              <w:sz w:val="24"/>
              <w:szCs w:val="24"/>
              <w:highlight w:val="none"/>
            </w:rPr>
            <w:fldChar w:fldCharType="end"/>
          </w:r>
        </w:p>
        <w:p>
          <w:pPr>
            <w:pStyle w:val="38"/>
            <w:tabs>
              <w:tab w:val="right" w:leader="dot" w:pos="8306"/>
            </w:tabs>
            <w:spacing w:line="360" w:lineRule="auto"/>
            <w:rPr>
              <w:sz w:val="24"/>
              <w:szCs w:val="24"/>
              <w:highlight w:val="none"/>
            </w:rPr>
          </w:pPr>
          <w:r>
            <w:rPr>
              <w:sz w:val="24"/>
              <w:szCs w:val="24"/>
              <w:highlight w:val="none"/>
            </w:rPr>
            <w:fldChar w:fldCharType="begin"/>
          </w:r>
          <w:r>
            <w:rPr>
              <w:sz w:val="24"/>
              <w:szCs w:val="24"/>
              <w:highlight w:val="none"/>
            </w:rPr>
            <w:instrText xml:space="preserve"> HYPERLINK \l _Toc5908 </w:instrText>
          </w:r>
          <w:r>
            <w:rPr>
              <w:sz w:val="24"/>
              <w:szCs w:val="24"/>
              <w:highlight w:val="none"/>
            </w:rPr>
            <w:fldChar w:fldCharType="separate"/>
          </w:r>
          <w:r>
            <w:rPr>
              <w:rFonts w:hint="eastAsia" w:ascii="Times New Roman" w:hAnsi="Times New Roman" w:eastAsia="黑体"/>
              <w:sz w:val="24"/>
              <w:szCs w:val="24"/>
              <w:highlight w:val="none"/>
              <w:lang w:eastAsia="zh-CN"/>
            </w:rPr>
            <w:t>三、</w:t>
          </w:r>
          <w:r>
            <w:rPr>
              <w:rFonts w:hint="eastAsia" w:ascii="Times New Roman" w:hAnsi="Times New Roman" w:eastAsia="黑体"/>
              <w:sz w:val="24"/>
              <w:szCs w:val="24"/>
              <w:highlight w:val="none"/>
            </w:rPr>
            <w:t>支出决算情况说明</w:t>
          </w:r>
          <w:r>
            <w:rPr>
              <w:sz w:val="24"/>
              <w:szCs w:val="24"/>
              <w:highlight w:val="none"/>
            </w:rPr>
            <w:tab/>
          </w:r>
          <w:r>
            <w:rPr>
              <w:sz w:val="24"/>
              <w:szCs w:val="24"/>
              <w:highlight w:val="none"/>
            </w:rPr>
            <w:fldChar w:fldCharType="begin"/>
          </w:r>
          <w:r>
            <w:rPr>
              <w:sz w:val="24"/>
              <w:szCs w:val="24"/>
              <w:highlight w:val="none"/>
            </w:rPr>
            <w:instrText xml:space="preserve"> PAGEREF _Toc5908 \h </w:instrText>
          </w:r>
          <w:r>
            <w:rPr>
              <w:sz w:val="24"/>
              <w:szCs w:val="24"/>
              <w:highlight w:val="none"/>
            </w:rPr>
            <w:fldChar w:fldCharType="separate"/>
          </w:r>
          <w:r>
            <w:rPr>
              <w:sz w:val="24"/>
              <w:szCs w:val="24"/>
              <w:highlight w:val="none"/>
            </w:rPr>
            <w:t>- 3 -</w:t>
          </w:r>
          <w:r>
            <w:rPr>
              <w:sz w:val="24"/>
              <w:szCs w:val="24"/>
              <w:highlight w:val="none"/>
            </w:rPr>
            <w:fldChar w:fldCharType="end"/>
          </w:r>
          <w:r>
            <w:rPr>
              <w:sz w:val="24"/>
              <w:szCs w:val="24"/>
              <w:highlight w:val="none"/>
            </w:rPr>
            <w:fldChar w:fldCharType="end"/>
          </w:r>
        </w:p>
        <w:p>
          <w:pPr>
            <w:pStyle w:val="38"/>
            <w:tabs>
              <w:tab w:val="right" w:leader="dot" w:pos="8306"/>
            </w:tabs>
            <w:spacing w:line="360" w:lineRule="auto"/>
            <w:rPr>
              <w:sz w:val="24"/>
              <w:szCs w:val="24"/>
              <w:highlight w:val="none"/>
            </w:rPr>
          </w:pPr>
          <w:r>
            <w:rPr>
              <w:sz w:val="24"/>
              <w:szCs w:val="24"/>
              <w:highlight w:val="none"/>
            </w:rPr>
            <w:fldChar w:fldCharType="begin"/>
          </w:r>
          <w:r>
            <w:rPr>
              <w:sz w:val="24"/>
              <w:szCs w:val="24"/>
              <w:highlight w:val="none"/>
            </w:rPr>
            <w:instrText xml:space="preserve"> HYPERLINK \l _Toc14698 </w:instrText>
          </w:r>
          <w:r>
            <w:rPr>
              <w:sz w:val="24"/>
              <w:szCs w:val="24"/>
              <w:highlight w:val="none"/>
            </w:rPr>
            <w:fldChar w:fldCharType="separate"/>
          </w:r>
          <w:r>
            <w:rPr>
              <w:rFonts w:hint="eastAsia" w:ascii="Times New Roman" w:hAnsi="Times New Roman" w:eastAsia="黑体"/>
              <w:sz w:val="24"/>
              <w:szCs w:val="24"/>
              <w:highlight w:val="none"/>
            </w:rPr>
            <w:t>四、财政拨款收入支出决算总体情况说明</w:t>
          </w:r>
          <w:r>
            <w:rPr>
              <w:sz w:val="24"/>
              <w:szCs w:val="24"/>
              <w:highlight w:val="none"/>
            </w:rPr>
            <w:tab/>
          </w:r>
          <w:r>
            <w:rPr>
              <w:sz w:val="24"/>
              <w:szCs w:val="24"/>
              <w:highlight w:val="none"/>
            </w:rPr>
            <w:fldChar w:fldCharType="begin"/>
          </w:r>
          <w:r>
            <w:rPr>
              <w:sz w:val="24"/>
              <w:szCs w:val="24"/>
              <w:highlight w:val="none"/>
            </w:rPr>
            <w:instrText xml:space="preserve"> PAGEREF _Toc14698 \h </w:instrText>
          </w:r>
          <w:r>
            <w:rPr>
              <w:sz w:val="24"/>
              <w:szCs w:val="24"/>
              <w:highlight w:val="none"/>
            </w:rPr>
            <w:fldChar w:fldCharType="separate"/>
          </w:r>
          <w:r>
            <w:rPr>
              <w:sz w:val="24"/>
              <w:szCs w:val="24"/>
              <w:highlight w:val="none"/>
            </w:rPr>
            <w:t>- 4 -</w:t>
          </w:r>
          <w:r>
            <w:rPr>
              <w:sz w:val="24"/>
              <w:szCs w:val="24"/>
              <w:highlight w:val="none"/>
            </w:rPr>
            <w:fldChar w:fldCharType="end"/>
          </w:r>
          <w:r>
            <w:rPr>
              <w:sz w:val="24"/>
              <w:szCs w:val="24"/>
              <w:highlight w:val="none"/>
            </w:rPr>
            <w:fldChar w:fldCharType="end"/>
          </w:r>
        </w:p>
        <w:p>
          <w:pPr>
            <w:pStyle w:val="38"/>
            <w:tabs>
              <w:tab w:val="right" w:leader="dot" w:pos="8306"/>
            </w:tabs>
            <w:spacing w:line="360" w:lineRule="auto"/>
            <w:rPr>
              <w:sz w:val="24"/>
              <w:szCs w:val="24"/>
              <w:highlight w:val="none"/>
            </w:rPr>
          </w:pPr>
          <w:r>
            <w:rPr>
              <w:sz w:val="24"/>
              <w:szCs w:val="24"/>
              <w:highlight w:val="none"/>
            </w:rPr>
            <w:fldChar w:fldCharType="begin"/>
          </w:r>
          <w:r>
            <w:rPr>
              <w:sz w:val="24"/>
              <w:szCs w:val="24"/>
              <w:highlight w:val="none"/>
            </w:rPr>
            <w:instrText xml:space="preserve"> HYPERLINK \l _Toc8367 </w:instrText>
          </w:r>
          <w:r>
            <w:rPr>
              <w:sz w:val="24"/>
              <w:szCs w:val="24"/>
              <w:highlight w:val="none"/>
            </w:rPr>
            <w:fldChar w:fldCharType="separate"/>
          </w:r>
          <w:r>
            <w:rPr>
              <w:rFonts w:hint="eastAsia" w:ascii="Times New Roman" w:hAnsi="Times New Roman" w:eastAsia="黑体"/>
              <w:sz w:val="24"/>
              <w:szCs w:val="24"/>
              <w:highlight w:val="none"/>
            </w:rPr>
            <w:t>五、一般公共预算财政拨款支出决算情况说明</w:t>
          </w:r>
          <w:r>
            <w:rPr>
              <w:sz w:val="24"/>
              <w:szCs w:val="24"/>
              <w:highlight w:val="none"/>
            </w:rPr>
            <w:tab/>
          </w:r>
          <w:r>
            <w:rPr>
              <w:sz w:val="24"/>
              <w:szCs w:val="24"/>
              <w:highlight w:val="none"/>
            </w:rPr>
            <w:fldChar w:fldCharType="begin"/>
          </w:r>
          <w:r>
            <w:rPr>
              <w:sz w:val="24"/>
              <w:szCs w:val="24"/>
              <w:highlight w:val="none"/>
            </w:rPr>
            <w:instrText xml:space="preserve"> PAGEREF _Toc8367 \h </w:instrText>
          </w:r>
          <w:r>
            <w:rPr>
              <w:sz w:val="24"/>
              <w:szCs w:val="24"/>
              <w:highlight w:val="none"/>
            </w:rPr>
            <w:fldChar w:fldCharType="separate"/>
          </w:r>
          <w:r>
            <w:rPr>
              <w:sz w:val="24"/>
              <w:szCs w:val="24"/>
              <w:highlight w:val="none"/>
            </w:rPr>
            <w:t>- 5 -</w:t>
          </w:r>
          <w:r>
            <w:rPr>
              <w:sz w:val="24"/>
              <w:szCs w:val="24"/>
              <w:highlight w:val="none"/>
            </w:rPr>
            <w:fldChar w:fldCharType="end"/>
          </w:r>
          <w:r>
            <w:rPr>
              <w:sz w:val="24"/>
              <w:szCs w:val="24"/>
              <w:highlight w:val="none"/>
            </w:rPr>
            <w:fldChar w:fldCharType="end"/>
          </w:r>
        </w:p>
        <w:p>
          <w:pPr>
            <w:pStyle w:val="38"/>
            <w:tabs>
              <w:tab w:val="right" w:leader="dot" w:pos="8306"/>
            </w:tabs>
            <w:spacing w:line="360" w:lineRule="auto"/>
            <w:rPr>
              <w:sz w:val="24"/>
              <w:szCs w:val="24"/>
              <w:highlight w:val="none"/>
            </w:rPr>
          </w:pPr>
          <w:r>
            <w:rPr>
              <w:sz w:val="24"/>
              <w:szCs w:val="24"/>
              <w:highlight w:val="none"/>
            </w:rPr>
            <w:fldChar w:fldCharType="begin"/>
          </w:r>
          <w:r>
            <w:rPr>
              <w:sz w:val="24"/>
              <w:szCs w:val="24"/>
              <w:highlight w:val="none"/>
            </w:rPr>
            <w:instrText xml:space="preserve"> HYPERLINK \l _Toc8222 </w:instrText>
          </w:r>
          <w:r>
            <w:rPr>
              <w:sz w:val="24"/>
              <w:szCs w:val="24"/>
              <w:highlight w:val="none"/>
            </w:rPr>
            <w:fldChar w:fldCharType="separate"/>
          </w:r>
          <w:r>
            <w:rPr>
              <w:rFonts w:hint="eastAsia" w:ascii="Times New Roman" w:hAnsi="Times New Roman" w:eastAsia="黑体"/>
              <w:sz w:val="24"/>
              <w:szCs w:val="24"/>
              <w:highlight w:val="none"/>
            </w:rPr>
            <w:t>六、一般公共预算财政拨款基本支出决算情况说明</w:t>
          </w:r>
          <w:r>
            <w:rPr>
              <w:sz w:val="24"/>
              <w:szCs w:val="24"/>
              <w:highlight w:val="none"/>
            </w:rPr>
            <w:tab/>
          </w:r>
          <w:r>
            <w:rPr>
              <w:sz w:val="24"/>
              <w:szCs w:val="24"/>
              <w:highlight w:val="none"/>
            </w:rPr>
            <w:fldChar w:fldCharType="begin"/>
          </w:r>
          <w:r>
            <w:rPr>
              <w:sz w:val="24"/>
              <w:szCs w:val="24"/>
              <w:highlight w:val="none"/>
            </w:rPr>
            <w:instrText xml:space="preserve"> PAGEREF _Toc8222 \h </w:instrText>
          </w:r>
          <w:r>
            <w:rPr>
              <w:sz w:val="24"/>
              <w:szCs w:val="24"/>
              <w:highlight w:val="none"/>
            </w:rPr>
            <w:fldChar w:fldCharType="separate"/>
          </w:r>
          <w:r>
            <w:rPr>
              <w:sz w:val="24"/>
              <w:szCs w:val="24"/>
              <w:highlight w:val="none"/>
            </w:rPr>
            <w:t>- 8 -</w:t>
          </w:r>
          <w:r>
            <w:rPr>
              <w:sz w:val="24"/>
              <w:szCs w:val="24"/>
              <w:highlight w:val="none"/>
            </w:rPr>
            <w:fldChar w:fldCharType="end"/>
          </w:r>
          <w:r>
            <w:rPr>
              <w:sz w:val="24"/>
              <w:szCs w:val="24"/>
              <w:highlight w:val="none"/>
            </w:rPr>
            <w:fldChar w:fldCharType="end"/>
          </w:r>
        </w:p>
        <w:p>
          <w:pPr>
            <w:pStyle w:val="38"/>
            <w:tabs>
              <w:tab w:val="right" w:leader="dot" w:pos="8306"/>
            </w:tabs>
            <w:spacing w:line="360" w:lineRule="auto"/>
            <w:rPr>
              <w:sz w:val="24"/>
              <w:szCs w:val="24"/>
              <w:highlight w:val="none"/>
            </w:rPr>
          </w:pPr>
          <w:r>
            <w:rPr>
              <w:sz w:val="24"/>
              <w:szCs w:val="24"/>
              <w:highlight w:val="none"/>
            </w:rPr>
            <w:fldChar w:fldCharType="begin"/>
          </w:r>
          <w:r>
            <w:rPr>
              <w:sz w:val="24"/>
              <w:szCs w:val="24"/>
              <w:highlight w:val="none"/>
            </w:rPr>
            <w:instrText xml:space="preserve"> HYPERLINK \l _Toc1161 </w:instrText>
          </w:r>
          <w:r>
            <w:rPr>
              <w:sz w:val="24"/>
              <w:szCs w:val="24"/>
              <w:highlight w:val="none"/>
            </w:rPr>
            <w:fldChar w:fldCharType="separate"/>
          </w:r>
          <w:r>
            <w:rPr>
              <w:rFonts w:hint="eastAsia" w:ascii="Times New Roman" w:hAnsi="Times New Roman" w:eastAsia="黑体"/>
              <w:sz w:val="24"/>
              <w:szCs w:val="24"/>
              <w:highlight w:val="none"/>
            </w:rPr>
            <w:t>七、财政拨款“三公”经费支出决算情况说明</w:t>
          </w:r>
          <w:r>
            <w:rPr>
              <w:sz w:val="24"/>
              <w:szCs w:val="24"/>
              <w:highlight w:val="none"/>
            </w:rPr>
            <w:tab/>
          </w:r>
          <w:r>
            <w:rPr>
              <w:sz w:val="24"/>
              <w:szCs w:val="24"/>
              <w:highlight w:val="none"/>
            </w:rPr>
            <w:fldChar w:fldCharType="begin"/>
          </w:r>
          <w:r>
            <w:rPr>
              <w:sz w:val="24"/>
              <w:szCs w:val="24"/>
              <w:highlight w:val="none"/>
            </w:rPr>
            <w:instrText xml:space="preserve"> PAGEREF _Toc1161 \h </w:instrText>
          </w:r>
          <w:r>
            <w:rPr>
              <w:sz w:val="24"/>
              <w:szCs w:val="24"/>
              <w:highlight w:val="none"/>
            </w:rPr>
            <w:fldChar w:fldCharType="separate"/>
          </w:r>
          <w:r>
            <w:rPr>
              <w:sz w:val="24"/>
              <w:szCs w:val="24"/>
              <w:highlight w:val="none"/>
            </w:rPr>
            <w:t>- 8 -</w:t>
          </w:r>
          <w:r>
            <w:rPr>
              <w:sz w:val="24"/>
              <w:szCs w:val="24"/>
              <w:highlight w:val="none"/>
            </w:rPr>
            <w:fldChar w:fldCharType="end"/>
          </w:r>
          <w:r>
            <w:rPr>
              <w:sz w:val="24"/>
              <w:szCs w:val="24"/>
              <w:highlight w:val="none"/>
            </w:rPr>
            <w:fldChar w:fldCharType="end"/>
          </w:r>
        </w:p>
        <w:p>
          <w:pPr>
            <w:pStyle w:val="38"/>
            <w:tabs>
              <w:tab w:val="right" w:leader="dot" w:pos="8306"/>
            </w:tabs>
            <w:spacing w:line="360" w:lineRule="auto"/>
            <w:rPr>
              <w:sz w:val="24"/>
              <w:szCs w:val="24"/>
              <w:highlight w:val="none"/>
            </w:rPr>
          </w:pPr>
          <w:r>
            <w:rPr>
              <w:sz w:val="24"/>
              <w:szCs w:val="24"/>
              <w:highlight w:val="none"/>
            </w:rPr>
            <w:fldChar w:fldCharType="begin"/>
          </w:r>
          <w:r>
            <w:rPr>
              <w:sz w:val="24"/>
              <w:szCs w:val="24"/>
              <w:highlight w:val="none"/>
            </w:rPr>
            <w:instrText xml:space="preserve"> HYPERLINK \l _Toc26581 </w:instrText>
          </w:r>
          <w:r>
            <w:rPr>
              <w:sz w:val="24"/>
              <w:szCs w:val="24"/>
              <w:highlight w:val="none"/>
            </w:rPr>
            <w:fldChar w:fldCharType="separate"/>
          </w:r>
          <w:r>
            <w:rPr>
              <w:rFonts w:hint="eastAsia" w:ascii="Times New Roman" w:hAnsi="Times New Roman" w:eastAsia="黑体"/>
              <w:sz w:val="24"/>
              <w:szCs w:val="24"/>
              <w:highlight w:val="none"/>
            </w:rPr>
            <w:t>八、政府性基金预算支出决算情况说明</w:t>
          </w:r>
          <w:r>
            <w:rPr>
              <w:sz w:val="24"/>
              <w:szCs w:val="24"/>
              <w:highlight w:val="none"/>
            </w:rPr>
            <w:tab/>
          </w:r>
          <w:r>
            <w:rPr>
              <w:sz w:val="24"/>
              <w:szCs w:val="24"/>
              <w:highlight w:val="none"/>
            </w:rPr>
            <w:fldChar w:fldCharType="begin"/>
          </w:r>
          <w:r>
            <w:rPr>
              <w:sz w:val="24"/>
              <w:szCs w:val="24"/>
              <w:highlight w:val="none"/>
            </w:rPr>
            <w:instrText xml:space="preserve"> PAGEREF _Toc26581 \h </w:instrText>
          </w:r>
          <w:r>
            <w:rPr>
              <w:sz w:val="24"/>
              <w:szCs w:val="24"/>
              <w:highlight w:val="none"/>
            </w:rPr>
            <w:fldChar w:fldCharType="separate"/>
          </w:r>
          <w:r>
            <w:rPr>
              <w:sz w:val="24"/>
              <w:szCs w:val="24"/>
              <w:highlight w:val="none"/>
            </w:rPr>
            <w:t>- 10 -</w:t>
          </w:r>
          <w:r>
            <w:rPr>
              <w:sz w:val="24"/>
              <w:szCs w:val="24"/>
              <w:highlight w:val="none"/>
            </w:rPr>
            <w:fldChar w:fldCharType="end"/>
          </w:r>
          <w:r>
            <w:rPr>
              <w:sz w:val="24"/>
              <w:szCs w:val="24"/>
              <w:highlight w:val="none"/>
            </w:rPr>
            <w:fldChar w:fldCharType="end"/>
          </w:r>
        </w:p>
        <w:p>
          <w:pPr>
            <w:pStyle w:val="38"/>
            <w:tabs>
              <w:tab w:val="right" w:leader="dot" w:pos="8306"/>
            </w:tabs>
            <w:spacing w:line="360" w:lineRule="auto"/>
            <w:rPr>
              <w:sz w:val="24"/>
              <w:szCs w:val="24"/>
              <w:highlight w:val="none"/>
            </w:rPr>
          </w:pPr>
          <w:r>
            <w:rPr>
              <w:sz w:val="24"/>
              <w:szCs w:val="24"/>
              <w:highlight w:val="none"/>
            </w:rPr>
            <w:fldChar w:fldCharType="begin"/>
          </w:r>
          <w:r>
            <w:rPr>
              <w:sz w:val="24"/>
              <w:szCs w:val="24"/>
              <w:highlight w:val="none"/>
            </w:rPr>
            <w:instrText xml:space="preserve"> HYPERLINK \l _Toc8762 </w:instrText>
          </w:r>
          <w:r>
            <w:rPr>
              <w:sz w:val="24"/>
              <w:szCs w:val="24"/>
              <w:highlight w:val="none"/>
            </w:rPr>
            <w:fldChar w:fldCharType="separate"/>
          </w:r>
          <w:r>
            <w:rPr>
              <w:rFonts w:hint="eastAsia" w:ascii="Times New Roman" w:hAnsi="Times New Roman" w:eastAsia="黑体"/>
              <w:sz w:val="24"/>
              <w:szCs w:val="24"/>
              <w:highlight w:val="none"/>
              <w:lang w:eastAsia="zh-CN"/>
            </w:rPr>
            <w:t>九、</w:t>
          </w:r>
          <w:r>
            <w:rPr>
              <w:rFonts w:hint="eastAsia" w:ascii="Times New Roman" w:hAnsi="Times New Roman" w:eastAsia="黑体"/>
              <w:sz w:val="24"/>
              <w:szCs w:val="24"/>
              <w:highlight w:val="none"/>
            </w:rPr>
            <w:t>国有资本经营预算支出决算情况说明</w:t>
          </w:r>
          <w:r>
            <w:rPr>
              <w:sz w:val="24"/>
              <w:szCs w:val="24"/>
              <w:highlight w:val="none"/>
            </w:rPr>
            <w:tab/>
          </w:r>
          <w:r>
            <w:rPr>
              <w:sz w:val="24"/>
              <w:szCs w:val="24"/>
              <w:highlight w:val="none"/>
            </w:rPr>
            <w:fldChar w:fldCharType="begin"/>
          </w:r>
          <w:r>
            <w:rPr>
              <w:sz w:val="24"/>
              <w:szCs w:val="24"/>
              <w:highlight w:val="none"/>
            </w:rPr>
            <w:instrText xml:space="preserve"> PAGEREF _Toc8762 \h </w:instrText>
          </w:r>
          <w:r>
            <w:rPr>
              <w:sz w:val="24"/>
              <w:szCs w:val="24"/>
              <w:highlight w:val="none"/>
            </w:rPr>
            <w:fldChar w:fldCharType="separate"/>
          </w:r>
          <w:r>
            <w:rPr>
              <w:sz w:val="24"/>
              <w:szCs w:val="24"/>
              <w:highlight w:val="none"/>
            </w:rPr>
            <w:t>- 10 -</w:t>
          </w:r>
          <w:r>
            <w:rPr>
              <w:sz w:val="24"/>
              <w:szCs w:val="24"/>
              <w:highlight w:val="none"/>
            </w:rPr>
            <w:fldChar w:fldCharType="end"/>
          </w:r>
          <w:r>
            <w:rPr>
              <w:sz w:val="24"/>
              <w:szCs w:val="24"/>
              <w:highlight w:val="none"/>
            </w:rPr>
            <w:fldChar w:fldCharType="end"/>
          </w:r>
        </w:p>
        <w:p>
          <w:pPr>
            <w:pStyle w:val="38"/>
            <w:tabs>
              <w:tab w:val="right" w:leader="dot" w:pos="8306"/>
            </w:tabs>
            <w:spacing w:line="360" w:lineRule="auto"/>
            <w:rPr>
              <w:sz w:val="24"/>
              <w:szCs w:val="24"/>
              <w:highlight w:val="none"/>
            </w:rPr>
          </w:pPr>
          <w:r>
            <w:rPr>
              <w:sz w:val="24"/>
              <w:szCs w:val="24"/>
              <w:highlight w:val="none"/>
            </w:rPr>
            <w:fldChar w:fldCharType="begin"/>
          </w:r>
          <w:r>
            <w:rPr>
              <w:sz w:val="24"/>
              <w:szCs w:val="24"/>
              <w:highlight w:val="none"/>
            </w:rPr>
            <w:instrText xml:space="preserve"> HYPERLINK \l _Toc17500 </w:instrText>
          </w:r>
          <w:r>
            <w:rPr>
              <w:sz w:val="24"/>
              <w:szCs w:val="24"/>
              <w:highlight w:val="none"/>
            </w:rPr>
            <w:fldChar w:fldCharType="separate"/>
          </w:r>
          <w:r>
            <w:rPr>
              <w:rFonts w:hint="eastAsia" w:ascii="Times New Roman" w:hAnsi="Times New Roman" w:eastAsia="黑体"/>
              <w:sz w:val="24"/>
              <w:szCs w:val="24"/>
              <w:highlight w:val="none"/>
              <w:lang w:eastAsia="zh-CN"/>
            </w:rPr>
            <w:t>十、</w:t>
          </w:r>
          <w:r>
            <w:rPr>
              <w:rFonts w:hint="eastAsia" w:ascii="Times New Roman" w:hAnsi="Times New Roman" w:eastAsia="黑体"/>
              <w:sz w:val="24"/>
              <w:szCs w:val="24"/>
              <w:highlight w:val="none"/>
            </w:rPr>
            <w:t>其他重要事项的情况说明</w:t>
          </w:r>
          <w:r>
            <w:rPr>
              <w:sz w:val="24"/>
              <w:szCs w:val="24"/>
              <w:highlight w:val="none"/>
            </w:rPr>
            <w:tab/>
          </w:r>
          <w:r>
            <w:rPr>
              <w:sz w:val="24"/>
              <w:szCs w:val="24"/>
              <w:highlight w:val="none"/>
            </w:rPr>
            <w:fldChar w:fldCharType="begin"/>
          </w:r>
          <w:r>
            <w:rPr>
              <w:sz w:val="24"/>
              <w:szCs w:val="24"/>
              <w:highlight w:val="none"/>
            </w:rPr>
            <w:instrText xml:space="preserve"> PAGEREF _Toc17500 \h </w:instrText>
          </w:r>
          <w:r>
            <w:rPr>
              <w:sz w:val="24"/>
              <w:szCs w:val="24"/>
              <w:highlight w:val="none"/>
            </w:rPr>
            <w:fldChar w:fldCharType="separate"/>
          </w:r>
          <w:r>
            <w:rPr>
              <w:sz w:val="24"/>
              <w:szCs w:val="24"/>
              <w:highlight w:val="none"/>
            </w:rPr>
            <w:t>- 10 -</w:t>
          </w:r>
          <w:r>
            <w:rPr>
              <w:sz w:val="24"/>
              <w:szCs w:val="24"/>
              <w:highlight w:val="none"/>
            </w:rPr>
            <w:fldChar w:fldCharType="end"/>
          </w:r>
          <w:r>
            <w:rPr>
              <w:sz w:val="24"/>
              <w:szCs w:val="24"/>
              <w:highlight w:val="none"/>
            </w:rPr>
            <w:fldChar w:fldCharType="end"/>
          </w:r>
        </w:p>
        <w:p>
          <w:pPr>
            <w:pStyle w:val="37"/>
            <w:tabs>
              <w:tab w:val="right" w:leader="dot" w:pos="8306"/>
            </w:tabs>
            <w:spacing w:line="360" w:lineRule="auto"/>
            <w:rPr>
              <w:b/>
              <w:sz w:val="24"/>
              <w:szCs w:val="24"/>
              <w:highlight w:val="none"/>
            </w:rPr>
          </w:pPr>
          <w:r>
            <w:rPr>
              <w:b/>
              <w:sz w:val="24"/>
              <w:szCs w:val="24"/>
              <w:highlight w:val="none"/>
            </w:rPr>
            <w:fldChar w:fldCharType="begin"/>
          </w:r>
          <w:r>
            <w:rPr>
              <w:b/>
              <w:sz w:val="24"/>
              <w:szCs w:val="24"/>
              <w:highlight w:val="none"/>
            </w:rPr>
            <w:instrText xml:space="preserve"> HYPERLINK \l _Toc12143 </w:instrText>
          </w:r>
          <w:r>
            <w:rPr>
              <w:b/>
              <w:sz w:val="24"/>
              <w:szCs w:val="24"/>
              <w:highlight w:val="none"/>
            </w:rPr>
            <w:fldChar w:fldCharType="separate"/>
          </w:r>
          <w:r>
            <w:rPr>
              <w:rFonts w:hint="eastAsia" w:ascii="Times New Roman" w:hAnsi="Times New Roman" w:eastAsia="黑体"/>
              <w:b/>
              <w:sz w:val="24"/>
              <w:szCs w:val="24"/>
              <w:highlight w:val="none"/>
            </w:rPr>
            <w:t>第</w:t>
          </w:r>
          <w:r>
            <w:rPr>
              <w:rFonts w:hint="eastAsia" w:eastAsia="黑体"/>
              <w:b/>
              <w:sz w:val="24"/>
              <w:szCs w:val="24"/>
              <w:highlight w:val="none"/>
              <w:lang w:eastAsia="zh-CN"/>
            </w:rPr>
            <w:t>三</w:t>
          </w:r>
          <w:r>
            <w:rPr>
              <w:rFonts w:hint="eastAsia" w:ascii="Times New Roman" w:hAnsi="Times New Roman" w:eastAsia="黑体"/>
              <w:b/>
              <w:sz w:val="24"/>
              <w:szCs w:val="24"/>
              <w:highlight w:val="none"/>
            </w:rPr>
            <w:t>部分</w:t>
          </w:r>
          <w:r>
            <w:rPr>
              <w:rFonts w:hint="eastAsia" w:ascii="Times New Roman" w:hAnsi="Times New Roman" w:eastAsia="黑体"/>
              <w:b/>
              <w:sz w:val="24"/>
              <w:szCs w:val="24"/>
              <w:highlight w:val="none"/>
              <w:lang w:val="en-US" w:eastAsia="zh-CN"/>
            </w:rPr>
            <w:t xml:space="preserve"> </w:t>
          </w:r>
          <w:r>
            <w:rPr>
              <w:rFonts w:hint="eastAsia" w:eastAsia="黑体"/>
              <w:b/>
              <w:sz w:val="24"/>
              <w:szCs w:val="24"/>
              <w:highlight w:val="none"/>
              <w:lang w:val="en-US" w:eastAsia="zh-CN"/>
            </w:rPr>
            <w:t xml:space="preserve"> </w:t>
          </w:r>
          <w:r>
            <w:rPr>
              <w:rFonts w:hint="eastAsia" w:ascii="Times New Roman" w:hAnsi="Times New Roman" w:eastAsia="黑体"/>
              <w:b/>
              <w:sz w:val="24"/>
              <w:szCs w:val="24"/>
              <w:highlight w:val="none"/>
            </w:rPr>
            <w:t>名词解释</w:t>
          </w:r>
          <w:r>
            <w:rPr>
              <w:b/>
              <w:sz w:val="24"/>
              <w:szCs w:val="24"/>
              <w:highlight w:val="none"/>
            </w:rPr>
            <w:tab/>
          </w:r>
          <w:r>
            <w:rPr>
              <w:b/>
              <w:sz w:val="24"/>
              <w:szCs w:val="24"/>
              <w:highlight w:val="none"/>
            </w:rPr>
            <w:fldChar w:fldCharType="begin"/>
          </w:r>
          <w:r>
            <w:rPr>
              <w:b/>
              <w:sz w:val="24"/>
              <w:szCs w:val="24"/>
              <w:highlight w:val="none"/>
            </w:rPr>
            <w:instrText xml:space="preserve"> PAGEREF _Toc12143 \h </w:instrText>
          </w:r>
          <w:r>
            <w:rPr>
              <w:b/>
              <w:sz w:val="24"/>
              <w:szCs w:val="24"/>
              <w:highlight w:val="none"/>
            </w:rPr>
            <w:fldChar w:fldCharType="separate"/>
          </w:r>
          <w:r>
            <w:rPr>
              <w:b/>
              <w:sz w:val="24"/>
              <w:szCs w:val="24"/>
              <w:highlight w:val="none"/>
            </w:rPr>
            <w:t>- 14 -</w:t>
          </w:r>
          <w:r>
            <w:rPr>
              <w:b/>
              <w:sz w:val="24"/>
              <w:szCs w:val="24"/>
              <w:highlight w:val="none"/>
            </w:rPr>
            <w:fldChar w:fldCharType="end"/>
          </w:r>
          <w:r>
            <w:rPr>
              <w:b/>
              <w:sz w:val="24"/>
              <w:szCs w:val="24"/>
              <w:highlight w:val="none"/>
            </w:rPr>
            <w:fldChar w:fldCharType="end"/>
          </w:r>
        </w:p>
        <w:p>
          <w:pPr>
            <w:pStyle w:val="37"/>
            <w:tabs>
              <w:tab w:val="right" w:leader="dot" w:pos="8306"/>
            </w:tabs>
            <w:spacing w:line="360" w:lineRule="auto"/>
            <w:rPr>
              <w:b/>
              <w:sz w:val="24"/>
              <w:szCs w:val="24"/>
              <w:highlight w:val="none"/>
            </w:rPr>
          </w:pPr>
          <w:r>
            <w:rPr>
              <w:b/>
              <w:sz w:val="24"/>
              <w:szCs w:val="24"/>
              <w:highlight w:val="none"/>
            </w:rPr>
            <w:fldChar w:fldCharType="begin"/>
          </w:r>
          <w:r>
            <w:rPr>
              <w:b/>
              <w:sz w:val="24"/>
              <w:szCs w:val="24"/>
              <w:highlight w:val="none"/>
            </w:rPr>
            <w:instrText xml:space="preserve"> HYPERLINK \l _Toc27006 </w:instrText>
          </w:r>
          <w:r>
            <w:rPr>
              <w:b/>
              <w:sz w:val="24"/>
              <w:szCs w:val="24"/>
              <w:highlight w:val="none"/>
            </w:rPr>
            <w:fldChar w:fldCharType="separate"/>
          </w:r>
          <w:r>
            <w:rPr>
              <w:rFonts w:hint="eastAsia" w:ascii="Times New Roman" w:hAnsi="Times New Roman" w:eastAsia="黑体"/>
              <w:b/>
              <w:sz w:val="24"/>
              <w:szCs w:val="24"/>
              <w:highlight w:val="none"/>
            </w:rPr>
            <w:t>第四部分</w:t>
          </w:r>
          <w:r>
            <w:rPr>
              <w:rFonts w:hint="eastAsia" w:ascii="Times New Roman" w:hAnsi="Times New Roman" w:eastAsia="黑体"/>
              <w:b/>
              <w:sz w:val="24"/>
              <w:szCs w:val="24"/>
              <w:highlight w:val="none"/>
              <w:lang w:val="en-US" w:eastAsia="zh-CN"/>
            </w:rPr>
            <w:t xml:space="preserve"> </w:t>
          </w:r>
          <w:r>
            <w:rPr>
              <w:rFonts w:hint="eastAsia" w:ascii="Times New Roman" w:hAnsi="Times New Roman" w:eastAsia="黑体"/>
              <w:b/>
              <w:sz w:val="24"/>
              <w:szCs w:val="24"/>
              <w:highlight w:val="none"/>
            </w:rPr>
            <w:t xml:space="preserve"> 附件</w:t>
          </w:r>
          <w:r>
            <w:rPr>
              <w:b/>
              <w:sz w:val="24"/>
              <w:szCs w:val="24"/>
              <w:highlight w:val="none"/>
            </w:rPr>
            <w:tab/>
          </w:r>
          <w:r>
            <w:rPr>
              <w:b/>
              <w:sz w:val="24"/>
              <w:szCs w:val="24"/>
              <w:highlight w:val="none"/>
            </w:rPr>
            <w:fldChar w:fldCharType="begin"/>
          </w:r>
          <w:r>
            <w:rPr>
              <w:b/>
              <w:sz w:val="24"/>
              <w:szCs w:val="24"/>
              <w:highlight w:val="none"/>
            </w:rPr>
            <w:instrText xml:space="preserve"> PAGEREF _Toc27006 \h </w:instrText>
          </w:r>
          <w:r>
            <w:rPr>
              <w:b/>
              <w:sz w:val="24"/>
              <w:szCs w:val="24"/>
              <w:highlight w:val="none"/>
            </w:rPr>
            <w:fldChar w:fldCharType="separate"/>
          </w:r>
          <w:r>
            <w:rPr>
              <w:b/>
              <w:sz w:val="24"/>
              <w:szCs w:val="24"/>
              <w:highlight w:val="none"/>
            </w:rPr>
            <w:t>- 16 -</w:t>
          </w:r>
          <w:r>
            <w:rPr>
              <w:b/>
              <w:sz w:val="24"/>
              <w:szCs w:val="24"/>
              <w:highlight w:val="none"/>
            </w:rPr>
            <w:fldChar w:fldCharType="end"/>
          </w:r>
          <w:r>
            <w:rPr>
              <w:b/>
              <w:sz w:val="24"/>
              <w:szCs w:val="24"/>
              <w:highlight w:val="none"/>
            </w:rPr>
            <w:fldChar w:fldCharType="end"/>
          </w:r>
        </w:p>
        <w:p>
          <w:pPr>
            <w:pStyle w:val="37"/>
            <w:tabs>
              <w:tab w:val="right" w:leader="dot" w:pos="8306"/>
            </w:tabs>
            <w:spacing w:line="360" w:lineRule="auto"/>
            <w:rPr>
              <w:b/>
              <w:sz w:val="24"/>
              <w:szCs w:val="24"/>
              <w:highlight w:val="none"/>
            </w:rPr>
          </w:pPr>
          <w:r>
            <w:rPr>
              <w:b/>
              <w:sz w:val="24"/>
              <w:szCs w:val="24"/>
              <w:highlight w:val="none"/>
            </w:rPr>
            <w:fldChar w:fldCharType="begin"/>
          </w:r>
          <w:r>
            <w:rPr>
              <w:b/>
              <w:sz w:val="24"/>
              <w:szCs w:val="24"/>
              <w:highlight w:val="none"/>
            </w:rPr>
            <w:instrText xml:space="preserve"> HYPERLINK \l _Toc14216 </w:instrText>
          </w:r>
          <w:r>
            <w:rPr>
              <w:b/>
              <w:sz w:val="24"/>
              <w:szCs w:val="24"/>
              <w:highlight w:val="none"/>
            </w:rPr>
            <w:fldChar w:fldCharType="separate"/>
          </w:r>
          <w:r>
            <w:rPr>
              <w:rFonts w:hint="eastAsia" w:ascii="Times New Roman" w:hAnsi="Times New Roman" w:eastAsia="黑体"/>
              <w:b/>
              <w:sz w:val="24"/>
              <w:szCs w:val="24"/>
              <w:highlight w:val="none"/>
            </w:rPr>
            <w:t>第五部分 附表</w:t>
          </w:r>
          <w:r>
            <w:rPr>
              <w:b/>
              <w:sz w:val="24"/>
              <w:szCs w:val="24"/>
              <w:highlight w:val="none"/>
            </w:rPr>
            <w:tab/>
          </w:r>
          <w:r>
            <w:rPr>
              <w:b/>
              <w:sz w:val="24"/>
              <w:szCs w:val="24"/>
              <w:highlight w:val="none"/>
            </w:rPr>
            <w:fldChar w:fldCharType="begin"/>
          </w:r>
          <w:r>
            <w:rPr>
              <w:b/>
              <w:sz w:val="24"/>
              <w:szCs w:val="24"/>
              <w:highlight w:val="none"/>
            </w:rPr>
            <w:instrText xml:space="preserve"> PAGEREF _Toc14216 \h </w:instrText>
          </w:r>
          <w:r>
            <w:rPr>
              <w:b/>
              <w:sz w:val="24"/>
              <w:szCs w:val="24"/>
              <w:highlight w:val="none"/>
            </w:rPr>
            <w:fldChar w:fldCharType="separate"/>
          </w:r>
          <w:r>
            <w:rPr>
              <w:b/>
              <w:sz w:val="24"/>
              <w:szCs w:val="24"/>
              <w:highlight w:val="none"/>
            </w:rPr>
            <w:t>- 42 -</w:t>
          </w:r>
          <w:r>
            <w:rPr>
              <w:b/>
              <w:sz w:val="24"/>
              <w:szCs w:val="24"/>
              <w:highlight w:val="none"/>
            </w:rPr>
            <w:fldChar w:fldCharType="end"/>
          </w:r>
          <w:r>
            <w:rPr>
              <w:b/>
              <w:sz w:val="24"/>
              <w:szCs w:val="24"/>
              <w:highlight w:val="none"/>
            </w:rPr>
            <w:fldChar w:fldCharType="end"/>
          </w:r>
        </w:p>
        <w:p>
          <w:pPr>
            <w:spacing w:line="360" w:lineRule="auto"/>
            <w:rPr>
              <w:highlight w:val="none"/>
            </w:rPr>
          </w:pPr>
          <w:r>
            <w:rPr>
              <w:b/>
              <w:sz w:val="24"/>
              <w:szCs w:val="24"/>
              <w:highlight w:val="none"/>
            </w:rPr>
            <w:fldChar w:fldCharType="end"/>
          </w:r>
        </w:p>
      </w:sdtContent>
    </w:sdt>
    <w:p>
      <w:pPr>
        <w:pStyle w:val="4"/>
        <w:jc w:val="center"/>
        <w:rPr>
          <w:rFonts w:hint="eastAsia" w:ascii="Times New Roman" w:hAnsi="Times New Roman" w:eastAsia="方正小标宋简体" w:cs="方正小标宋简体"/>
          <w:b w:val="0"/>
          <w:color w:val="auto"/>
          <w:highlight w:val="none"/>
        </w:rPr>
        <w:sectPr>
          <w:footerReference r:id="rId6" w:type="first"/>
          <w:footerReference r:id="rId5" w:type="default"/>
          <w:pgSz w:w="11906" w:h="16838"/>
          <w:pgMar w:top="1440" w:right="1800" w:bottom="1440" w:left="1800" w:header="851" w:footer="992" w:gutter="0"/>
          <w:pgNumType w:fmt="numberInDash" w:start="1"/>
          <w:cols w:space="425" w:num="1"/>
          <w:docGrid w:type="lines" w:linePitch="312" w:charSpace="0"/>
        </w:sectPr>
      </w:pPr>
      <w:bookmarkStart w:id="6" w:name="_Toc17254"/>
      <w:bookmarkStart w:id="7" w:name="_Toc15396599"/>
      <w:bookmarkStart w:id="8" w:name="_Toc15377196"/>
    </w:p>
    <w:p>
      <w:pPr>
        <w:pStyle w:val="4"/>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6"/>
      <w:bookmarkEnd w:id="7"/>
      <w:bookmarkEnd w:id="8"/>
    </w:p>
    <w:p>
      <w:pPr>
        <w:pStyle w:val="5"/>
        <w:rPr>
          <w:rFonts w:hint="eastAsia" w:ascii="Times New Roman" w:hAnsi="Times New Roman" w:eastAsia="黑体"/>
          <w:b w:val="0"/>
          <w:color w:val="auto"/>
          <w:highlight w:val="none"/>
          <w:lang w:eastAsia="zh-CN"/>
        </w:rPr>
      </w:pPr>
      <w:bookmarkStart w:id="9" w:name="_Toc15377197"/>
      <w:bookmarkStart w:id="10" w:name="_Toc15396600"/>
      <w:bookmarkStart w:id="11" w:name="_Toc12067"/>
      <w:r>
        <w:rPr>
          <w:rFonts w:hint="eastAsia" w:ascii="Times New Roman" w:hAnsi="Times New Roman" w:eastAsia="黑体"/>
          <w:b w:val="0"/>
          <w:color w:val="auto"/>
          <w:highlight w:val="none"/>
        </w:rPr>
        <w:t>一、</w:t>
      </w:r>
      <w:bookmarkEnd w:id="9"/>
      <w:bookmarkEnd w:id="10"/>
      <w:r>
        <w:rPr>
          <w:rFonts w:hint="eastAsia" w:ascii="Times New Roman" w:hAnsi="Times New Roman" w:eastAsia="黑体"/>
          <w:b w:val="0"/>
          <w:color w:val="auto"/>
          <w:highlight w:val="none"/>
          <w:lang w:eastAsia="zh-CN"/>
        </w:rPr>
        <w:t>部门职责</w:t>
      </w:r>
      <w:bookmarkEnd w:id="11"/>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zh-CN"/>
        </w:rPr>
        <w:t>交警大队主要职能是，负责组织、指挥和监督全区公安机关依法查处道路交通违法行为和处理交通事故；实施全区城乡道路交通管理和车辆、驾驶员（不含农用运输车辆等农业机械的牌证）管理工作；</w:t>
      </w:r>
      <w:r>
        <w:rPr>
          <w:rFonts w:hint="eastAsia" w:ascii="Times New Roman" w:hAnsi="Times New Roman" w:eastAsia="仿宋_GB2312" w:cs="仿宋_GB2312"/>
          <w:color w:val="auto"/>
          <w:sz w:val="32"/>
          <w:szCs w:val="32"/>
          <w:highlight w:val="none"/>
          <w:lang w:val="zh-CN" w:eastAsia="zh-CN"/>
        </w:rPr>
        <w:t>指导</w:t>
      </w:r>
      <w:r>
        <w:rPr>
          <w:rFonts w:hint="eastAsia" w:ascii="Times New Roman" w:hAnsi="Times New Roman" w:eastAsia="仿宋_GB2312" w:cs="仿宋_GB2312"/>
          <w:color w:val="auto"/>
          <w:sz w:val="32"/>
          <w:szCs w:val="32"/>
          <w:highlight w:val="none"/>
          <w:lang w:val="zh-CN"/>
        </w:rPr>
        <w:t>全区交警维护交通秩序；负责摩托车安全检查、牌证发放和驾驶员考核工作；开展安全宣传教育活动；指导和参与城市建设、道路交通和安全设施的规范管理；指导摩托车检测和驾驶员的培训工作。</w:t>
      </w:r>
    </w:p>
    <w:p>
      <w:pPr>
        <w:rPr>
          <w:rFonts w:hint="eastAsia"/>
          <w:highlight w:val="none"/>
          <w:lang w:eastAsia="zh-CN"/>
        </w:rPr>
      </w:pPr>
    </w:p>
    <w:p>
      <w:pPr>
        <w:pStyle w:val="5"/>
        <w:rPr>
          <w:rStyle w:val="31"/>
          <w:rFonts w:ascii="Times New Roman" w:hAnsi="Times New Roman"/>
          <w:b w:val="0"/>
          <w:bCs w:val="0"/>
          <w:color w:val="auto"/>
          <w:highlight w:val="none"/>
        </w:rPr>
      </w:pPr>
      <w:bookmarkStart w:id="12" w:name="_Toc15396601"/>
      <w:bookmarkStart w:id="13" w:name="_Toc15377200"/>
      <w:bookmarkStart w:id="14" w:name="_Toc9967"/>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2"/>
      <w:bookmarkEnd w:id="13"/>
      <w:bookmarkEnd w:id="14"/>
    </w:p>
    <w:p>
      <w:pPr>
        <w:ind w:firstLine="800" w:firstLineChars="250"/>
        <w:rPr>
          <w:rFonts w:hint="eastAsia" w:ascii="Times New Roman" w:hAnsi="Times New Roman" w:eastAsia="仿宋_GB2312" w:cs="仿宋_GB2312"/>
          <w:color w:val="auto"/>
          <w:sz w:val="32"/>
          <w:szCs w:val="32"/>
          <w:highlight w:val="none"/>
          <w:lang w:val="zh-CN"/>
        </w:rPr>
      </w:pPr>
      <w:r>
        <w:rPr>
          <w:rFonts w:hint="eastAsia" w:ascii="Times New Roman" w:hAnsi="Times New Roman" w:eastAsia="仿宋_GB2312" w:cs="仿宋_GB2312"/>
          <w:color w:val="auto"/>
          <w:sz w:val="32"/>
          <w:szCs w:val="32"/>
          <w:highlight w:val="none"/>
          <w:lang w:val="zh-CN"/>
        </w:rPr>
        <w:t>交警大队为二级预算单位，下设11个派出所交警中队</w:t>
      </w:r>
      <w:r>
        <w:rPr>
          <w:rFonts w:hint="eastAsia" w:eastAsia="仿宋_GB2312" w:cs="仿宋_GB2312"/>
          <w:color w:val="auto"/>
          <w:sz w:val="32"/>
          <w:szCs w:val="32"/>
          <w:highlight w:val="none"/>
          <w:lang w:val="zh-CN"/>
        </w:rPr>
        <w:t>。</w:t>
      </w:r>
    </w:p>
    <w:p>
      <w:pPr>
        <w:pStyle w:val="4"/>
        <w:jc w:val="center"/>
        <w:rPr>
          <w:rFonts w:hint="eastAsia" w:ascii="Times New Roman" w:hAnsi="Times New Roman" w:eastAsia="方正小标宋简体" w:cs="方正小标宋简体"/>
          <w:b w:val="0"/>
          <w:color w:val="auto"/>
          <w:highlight w:val="none"/>
        </w:rPr>
      </w:pPr>
      <w:bookmarkStart w:id="15" w:name="_Toc15377204"/>
      <w:bookmarkStart w:id="16" w:name="_Toc13167"/>
      <w:bookmarkStart w:id="17" w:name="_Toc15396602"/>
    </w:p>
    <w:p>
      <w:pPr>
        <w:rPr>
          <w:rFonts w:hint="eastAsia" w:ascii="Times New Roman" w:hAnsi="Times New Roman" w:eastAsia="方正小标宋简体" w:cs="方正小标宋简体"/>
          <w:b w:val="0"/>
          <w:color w:val="auto"/>
          <w:highlight w:val="none"/>
        </w:rPr>
      </w:pPr>
    </w:p>
    <w:p>
      <w:pPr>
        <w:pStyle w:val="2"/>
        <w:rPr>
          <w:rFonts w:hint="eastAsia" w:ascii="Times New Roman" w:hAnsi="Times New Roman" w:eastAsia="方正小标宋简体" w:cs="方正小标宋简体"/>
          <w:b w:val="0"/>
          <w:color w:val="auto"/>
          <w:highlight w:val="none"/>
        </w:rPr>
      </w:pPr>
    </w:p>
    <w:p>
      <w:pPr>
        <w:pStyle w:val="2"/>
        <w:rPr>
          <w:rFonts w:hint="eastAsia" w:ascii="Times New Roman" w:hAnsi="Times New Roman" w:eastAsia="方正小标宋简体" w:cs="方正小标宋简体"/>
          <w:b w:val="0"/>
          <w:color w:val="auto"/>
          <w:highlight w:val="none"/>
        </w:rPr>
      </w:pPr>
    </w:p>
    <w:p>
      <w:pPr>
        <w:pStyle w:val="4"/>
        <w:jc w:val="center"/>
        <w:rPr>
          <w:rFonts w:hint="eastAsia" w:ascii="Times New Roman" w:hAnsi="Times New Roman" w:eastAsia="方正小标宋简体" w:cs="方正小标宋简体"/>
          <w:b w:val="0"/>
          <w:color w:val="auto"/>
          <w:highlight w:val="none"/>
        </w:rPr>
      </w:pPr>
    </w:p>
    <w:p>
      <w:pPr>
        <w:rPr>
          <w:rFonts w:hint="eastAsia"/>
          <w:highlight w:val="none"/>
        </w:rPr>
      </w:pPr>
    </w:p>
    <w:p>
      <w:pPr>
        <w:pStyle w:val="4"/>
        <w:jc w:val="center"/>
        <w:rPr>
          <w:rFonts w:hint="eastAsia" w:ascii="Times New Roman" w:hAnsi="Times New Roman" w:eastAsia="方正小标宋简体" w:cs="方正小标宋简体"/>
          <w:b w:val="0"/>
          <w:color w:val="auto"/>
          <w:highlight w:val="none"/>
        </w:rPr>
      </w:pPr>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5"/>
      <w:bookmarkEnd w:id="16"/>
      <w:bookmarkEnd w:id="17"/>
    </w:p>
    <w:p>
      <w:pPr>
        <w:rPr>
          <w:rFonts w:ascii="Times New Roman" w:hAnsi="Times New Roman"/>
          <w:color w:val="auto"/>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8" w:name="_Toc15396603"/>
      <w:bookmarkStart w:id="19" w:name="_Toc888"/>
      <w:bookmarkStart w:id="20"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18"/>
      <w:bookmarkEnd w:id="19"/>
      <w:bookmarkEnd w:id="20"/>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收、支总计均为955.54万元。与2023年度相比，收、支总计各增加110.29万元，增长13.05%。主要变动原因一是本年度新增道安办工作经费、海龙凯哥文旅园区保障经费等预算项目，二是协警人员预算标准较2023年增加1万元/人。</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1" w:name="_Toc15396604"/>
      <w:bookmarkStart w:id="22" w:name="_Toc9005"/>
      <w:bookmarkStart w:id="23" w:name="_Toc15377206"/>
      <w:r>
        <w:rPr>
          <w:rFonts w:hint="eastAsia" w:ascii="Times New Roman" w:hAnsi="Times New Roman" w:eastAsia="黑体"/>
          <w:color w:val="auto"/>
          <w:sz w:val="32"/>
          <w:szCs w:val="32"/>
          <w:highlight w:val="none"/>
          <w:lang w:eastAsia="zh-CN"/>
        </w:rPr>
        <w:t>二、收入决算情况说明</w:t>
      </w:r>
      <w:bookmarkEnd w:id="21"/>
      <w:bookmarkEnd w:id="22"/>
      <w:bookmarkEnd w:id="23"/>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bookmarkStart w:id="24" w:name="_Toc8621"/>
      <w:r>
        <w:rPr>
          <w:rFonts w:hint="eastAsia" w:ascii="Times New Roman" w:hAnsi="Times New Roman" w:eastAsia="仿宋_GB2312" w:cs="仿宋_GB2312"/>
          <w:color w:val="auto"/>
          <w:sz w:val="32"/>
          <w:szCs w:val="32"/>
          <w:highlight w:val="none"/>
          <w:lang w:eastAsia="zh-CN"/>
        </w:rPr>
        <w:t>2024年度本年收入合计955.54万元，其中：一般公共预算财政拨款收入955.54万元，占</w:t>
      </w:r>
      <w:r>
        <w:rPr>
          <w:rFonts w:hint="eastAsia" w:eastAsia="仿宋_GB2312" w:cs="仿宋_GB2312"/>
          <w:color w:val="auto"/>
          <w:sz w:val="32"/>
          <w:szCs w:val="32"/>
          <w:highlight w:val="none"/>
          <w:lang w:val="en-US" w:eastAsia="zh-CN"/>
        </w:rPr>
        <w:t>100</w:t>
      </w:r>
      <w:r>
        <w:rPr>
          <w:rFonts w:hint="eastAsia" w:ascii="Times New Roman" w:hAnsi="Times New Roman" w:eastAsia="仿宋_GB2312" w:cs="仿宋_GB2312"/>
          <w:color w:val="auto"/>
          <w:sz w:val="32"/>
          <w:szCs w:val="32"/>
          <w:highlight w:val="none"/>
          <w:lang w:eastAsia="zh-CN"/>
        </w:rPr>
        <w:t>%。</w:t>
      </w:r>
      <w:bookmarkEnd w:id="24"/>
    </w:p>
    <w:p>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5" w:name="_Toc5908"/>
      <w:bookmarkStart w:id="26" w:name="_Toc15377207"/>
      <w:bookmarkStart w:id="27"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25"/>
      <w:bookmarkEnd w:id="26"/>
      <w:bookmarkEnd w:id="27"/>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bookmarkStart w:id="28" w:name="_Toc5023"/>
      <w:r>
        <w:rPr>
          <w:rFonts w:hint="eastAsia" w:ascii="Times New Roman" w:hAnsi="Times New Roman" w:eastAsia="仿宋_GB2312" w:cs="仿宋_GB2312"/>
          <w:color w:val="auto"/>
          <w:sz w:val="32"/>
          <w:szCs w:val="32"/>
          <w:highlight w:val="none"/>
          <w:lang w:eastAsia="zh-CN"/>
        </w:rPr>
        <w:t>2024年度本年支出合计955.54万元，其中：基本支出406.50万元，占</w:t>
      </w:r>
      <w:r>
        <w:rPr>
          <w:rFonts w:hint="eastAsia" w:eastAsia="仿宋_GB2312" w:cs="仿宋_GB2312"/>
          <w:color w:val="auto"/>
          <w:sz w:val="32"/>
          <w:szCs w:val="32"/>
          <w:highlight w:val="none"/>
          <w:lang w:val="en-US" w:eastAsia="zh-CN"/>
        </w:rPr>
        <w:t>42.54</w:t>
      </w:r>
      <w:r>
        <w:rPr>
          <w:rFonts w:hint="eastAsia" w:ascii="Times New Roman" w:hAnsi="Times New Roman" w:eastAsia="仿宋_GB2312" w:cs="仿宋_GB2312"/>
          <w:color w:val="auto"/>
          <w:sz w:val="32"/>
          <w:szCs w:val="32"/>
          <w:highlight w:val="none"/>
          <w:lang w:eastAsia="zh-CN"/>
        </w:rPr>
        <w:t>%；项目支出549.04万元，占</w:t>
      </w:r>
      <w:r>
        <w:rPr>
          <w:rFonts w:hint="eastAsia" w:eastAsia="仿宋_GB2312" w:cs="仿宋_GB2312"/>
          <w:color w:val="auto"/>
          <w:sz w:val="32"/>
          <w:szCs w:val="32"/>
          <w:highlight w:val="none"/>
          <w:lang w:val="en-US" w:eastAsia="zh-CN"/>
        </w:rPr>
        <w:t>57.46</w:t>
      </w:r>
      <w:r>
        <w:rPr>
          <w:rFonts w:hint="eastAsia" w:ascii="Times New Roman" w:hAnsi="Times New Roman" w:eastAsia="仿宋_GB2312" w:cs="仿宋_GB2312"/>
          <w:color w:val="auto"/>
          <w:sz w:val="32"/>
          <w:szCs w:val="32"/>
          <w:highlight w:val="none"/>
          <w:lang w:eastAsia="zh-CN"/>
        </w:rPr>
        <w:t>%</w:t>
      </w:r>
      <w:bookmarkEnd w:id="28"/>
      <w:r>
        <w:rPr>
          <w:rFonts w:hint="eastAsia" w:eastAsia="仿宋_GB2312" w:cs="仿宋_GB2312"/>
          <w:color w:val="auto"/>
          <w:sz w:val="32"/>
          <w:szCs w:val="32"/>
          <w:highlight w:val="none"/>
          <w:lang w:eastAsia="zh-CN"/>
        </w:rPr>
        <w:t>。</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spacing w:line="600" w:lineRule="exact"/>
        <w:ind w:firstLine="640" w:firstLineChars="200"/>
        <w:outlineLvl w:val="1"/>
        <w:rPr>
          <w:rStyle w:val="31"/>
          <w:rFonts w:ascii="Times New Roman" w:hAnsi="Times New Roman" w:eastAsia="黑体"/>
          <w:b w:val="0"/>
          <w:color w:val="auto"/>
          <w:highlight w:val="none"/>
        </w:rPr>
      </w:pPr>
      <w:bookmarkStart w:id="29" w:name="_Toc14698"/>
      <w:bookmarkStart w:id="30" w:name="_Toc15377208"/>
      <w:bookmarkStart w:id="31" w:name="_Toc15396606"/>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9"/>
      <w:bookmarkEnd w:id="30"/>
      <w:bookmarkEnd w:id="31"/>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955.54万元。与2023年度相比，财政拨款收入、支出总计各增加110.29万元，增长13.05%。主要变动原因一是本年度新增道安办工作经费、海龙凯哥文旅园区保障经费等预算项目，二是协警人员预算标准较2023年增加1万元/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spacing w:line="600" w:lineRule="exact"/>
        <w:ind w:firstLine="640" w:firstLineChars="200"/>
        <w:outlineLvl w:val="1"/>
        <w:rPr>
          <w:rStyle w:val="31"/>
          <w:rFonts w:ascii="Times New Roman" w:hAnsi="Times New Roman" w:eastAsia="黑体"/>
          <w:b w:val="0"/>
          <w:color w:val="auto"/>
          <w:highlight w:val="none"/>
        </w:rPr>
      </w:pPr>
      <w:bookmarkStart w:id="32" w:name="_Toc8367"/>
      <w:bookmarkStart w:id="33" w:name="_Toc15377209"/>
      <w:bookmarkStart w:id="34"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32"/>
      <w:bookmarkEnd w:id="33"/>
      <w:bookmarkEnd w:id="34"/>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5"/>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2024年度一般公共预算财政拨款支出955.54万元，占本年支出合计的</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%。与2023年度相比，一般公共预算财政拨款支出增加110.29万元，增长13.05%。主要变动原因一是本年度新增道安办工作经费、海龙凯哥文旅园区保障经费等预算项目，二是协警人员预算标准较2023年增加1万元/人。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6"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2024年度一般公共预算财政拨款支出955.54万元，主要用于以下方面：公共安全支出945.54万元，占</w:t>
      </w:r>
      <w:r>
        <w:rPr>
          <w:rFonts w:hint="eastAsia" w:eastAsia="仿宋_GB2312" w:cs="仿宋_GB2312"/>
          <w:color w:val="auto"/>
          <w:kern w:val="2"/>
          <w:sz w:val="32"/>
          <w:szCs w:val="32"/>
          <w:highlight w:val="none"/>
          <w:lang w:val="en-US" w:eastAsia="zh-CN" w:bidi="ar-SA"/>
        </w:rPr>
        <w:t>98.95</w:t>
      </w:r>
      <w:r>
        <w:rPr>
          <w:rFonts w:hint="eastAsia" w:ascii="Times New Roman" w:hAnsi="Times New Roman" w:eastAsia="仿宋_GB2312" w:cs="仿宋_GB2312"/>
          <w:color w:val="auto"/>
          <w:kern w:val="2"/>
          <w:sz w:val="32"/>
          <w:szCs w:val="32"/>
          <w:highlight w:val="none"/>
          <w:lang w:val="en-US" w:eastAsia="zh-CN" w:bidi="ar-SA"/>
        </w:rPr>
        <w:t>%；交通运输支出</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0万元，占</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0</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w:t>
      </w:r>
    </w:p>
    <w:p>
      <w:pPr>
        <w:pStyle w:val="15"/>
        <w:rPr>
          <w:rFonts w:hint="eastAsia"/>
          <w:highlight w:val="none"/>
          <w:lang w:val="en-US" w:eastAsia="zh-CN"/>
        </w:rPr>
      </w:pPr>
      <w:r>
        <w:rPr>
          <w:rFonts w:hint="eastAsia"/>
          <w:highlight w:val="none"/>
          <w:lang w:val="en-US" w:eastAsia="zh-CN"/>
        </w:rPr>
        <w:drawing>
          <wp:inline distT="0" distB="0" distL="114300" distR="114300">
            <wp:extent cx="5043805" cy="3091815"/>
            <wp:effectExtent l="4445" t="4445" r="19050" b="889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7"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8" w:name="_Toc15377444"/>
      <w:bookmarkStart w:id="39" w:name="_Toc15378460"/>
      <w:bookmarkStart w:id="40" w:name="_Toc15377213"/>
      <w:r>
        <w:rPr>
          <w:rFonts w:hint="eastAsia" w:ascii="Times New Roman" w:hAnsi="Times New Roman" w:eastAsia="仿宋_GB2312" w:cs="仿宋_GB2312"/>
          <w:color w:val="auto"/>
          <w:kern w:val="2"/>
          <w:sz w:val="32"/>
          <w:szCs w:val="32"/>
          <w:highlight w:val="none"/>
          <w:lang w:val="en-US" w:eastAsia="zh-CN" w:bidi="ar-SA"/>
        </w:rPr>
        <w:t>2024年度一般公共预算支出决算数为955.54</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8"/>
      <w:bookmarkEnd w:id="39"/>
      <w:bookmarkEnd w:id="40"/>
    </w:p>
    <w:p>
      <w:pPr>
        <w:spacing w:line="600" w:lineRule="exact"/>
        <w:ind w:firstLine="640" w:firstLineChars="200"/>
        <w:rPr>
          <w:rFonts w:ascii="仿宋" w:hAnsi="仿宋" w:eastAsia="仿宋"/>
          <w:b w:val="0"/>
          <w:bCs w:val="0"/>
          <w:sz w:val="32"/>
          <w:szCs w:val="32"/>
          <w:highlight w:val="none"/>
        </w:rPr>
      </w:pPr>
      <w:r>
        <w:rPr>
          <w:rStyle w:val="19"/>
          <w:rFonts w:ascii="仿宋" w:hAnsi="仿宋" w:eastAsia="仿宋"/>
          <w:b w:val="0"/>
          <w:bCs w:val="0"/>
          <w:color w:val="auto"/>
          <w:sz w:val="32"/>
          <w:szCs w:val="32"/>
          <w:highlight w:val="none"/>
        </w:rPr>
        <w:t>1.</w:t>
      </w:r>
      <w:r>
        <w:rPr>
          <w:rStyle w:val="19"/>
          <w:rFonts w:hint="eastAsia" w:ascii="仿宋_GB2312" w:eastAsia="仿宋_GB2312"/>
          <w:b w:val="0"/>
          <w:bCs w:val="0"/>
          <w:color w:val="000000"/>
          <w:sz w:val="32"/>
          <w:szCs w:val="32"/>
          <w:highlight w:val="none"/>
        </w:rPr>
        <w:t>公共安全支出</w:t>
      </w:r>
      <w:r>
        <w:rPr>
          <w:rStyle w:val="19"/>
          <w:rFonts w:hint="eastAsia" w:ascii="仿宋" w:hAnsi="仿宋" w:eastAsia="仿宋"/>
          <w:b w:val="0"/>
          <w:bCs w:val="0"/>
          <w:color w:val="auto"/>
          <w:sz w:val="32"/>
          <w:szCs w:val="32"/>
          <w:highlight w:val="none"/>
        </w:rPr>
        <w:t>（类）</w:t>
      </w:r>
      <w:r>
        <w:rPr>
          <w:rStyle w:val="19"/>
          <w:rFonts w:hint="eastAsia" w:ascii="仿宋_GB2312" w:eastAsia="仿宋_GB2312"/>
          <w:b w:val="0"/>
          <w:bCs w:val="0"/>
          <w:color w:val="000000"/>
          <w:sz w:val="32"/>
          <w:szCs w:val="32"/>
          <w:highlight w:val="none"/>
        </w:rPr>
        <w:t>公安（款）行政运行（项）</w:t>
      </w:r>
      <w:r>
        <w:rPr>
          <w:rStyle w:val="19"/>
          <w:rFonts w:ascii="仿宋" w:hAnsi="仿宋" w:eastAsia="仿宋"/>
          <w:b w:val="0"/>
          <w:bCs w:val="0"/>
          <w:color w:val="auto"/>
          <w:sz w:val="32"/>
          <w:szCs w:val="32"/>
          <w:highlight w:val="none"/>
        </w:rPr>
        <w:t xml:space="preserve">: </w:t>
      </w:r>
      <w:r>
        <w:rPr>
          <w:rStyle w:val="19"/>
          <w:rFonts w:hint="eastAsia" w:ascii="仿宋" w:hAnsi="仿宋" w:eastAsia="仿宋"/>
          <w:b w:val="0"/>
          <w:bCs w:val="0"/>
          <w:sz w:val="32"/>
          <w:szCs w:val="32"/>
          <w:highlight w:val="none"/>
        </w:rPr>
        <w:t>支出决算为406.50万元，完成预算100</w:t>
      </w:r>
      <w:r>
        <w:rPr>
          <w:rStyle w:val="19"/>
          <w:rFonts w:ascii="仿宋" w:hAnsi="仿宋" w:eastAsia="仿宋"/>
          <w:b w:val="0"/>
          <w:bCs w:val="0"/>
          <w:sz w:val="32"/>
          <w:szCs w:val="32"/>
          <w:highlight w:val="none"/>
        </w:rPr>
        <w:t>%</w:t>
      </w:r>
      <w:r>
        <w:rPr>
          <w:rStyle w:val="19"/>
          <w:rFonts w:hint="eastAsia" w:ascii="仿宋_GB2312" w:eastAsia="仿宋_GB2312"/>
          <w:b w:val="0"/>
          <w:bCs w:val="0"/>
          <w:color w:val="000000"/>
          <w:sz w:val="32"/>
          <w:szCs w:val="32"/>
          <w:highlight w:val="none"/>
          <w:lang w:eastAsia="zh-CN"/>
        </w:rPr>
        <w:t>，</w:t>
      </w:r>
      <w:r>
        <w:rPr>
          <w:rStyle w:val="19"/>
          <w:rFonts w:hint="eastAsia" w:ascii="仿宋_GB2312" w:eastAsia="仿宋_GB2312"/>
          <w:b w:val="0"/>
          <w:bCs w:val="0"/>
          <w:color w:val="000000"/>
          <w:sz w:val="32"/>
          <w:szCs w:val="32"/>
          <w:highlight w:val="none"/>
        </w:rPr>
        <w:t>决算数</w:t>
      </w:r>
      <w:r>
        <w:rPr>
          <w:rStyle w:val="19"/>
          <w:rFonts w:hint="eastAsia" w:ascii="仿宋_GB2312" w:eastAsia="仿宋_GB2312"/>
          <w:b w:val="0"/>
          <w:bCs w:val="0"/>
          <w:color w:val="000000"/>
          <w:sz w:val="32"/>
          <w:szCs w:val="32"/>
          <w:highlight w:val="none"/>
          <w:lang w:val="en-US" w:eastAsia="zh-CN"/>
        </w:rPr>
        <w:t>等于</w:t>
      </w:r>
      <w:r>
        <w:rPr>
          <w:rStyle w:val="19"/>
          <w:rFonts w:hint="eastAsia" w:ascii="仿宋_GB2312" w:eastAsia="仿宋_GB2312"/>
          <w:b w:val="0"/>
          <w:bCs w:val="0"/>
          <w:color w:val="000000"/>
          <w:sz w:val="32"/>
          <w:szCs w:val="32"/>
          <w:highlight w:val="none"/>
        </w:rPr>
        <w:t>预算数</w:t>
      </w:r>
      <w:r>
        <w:rPr>
          <w:rStyle w:val="19"/>
          <w:rFonts w:hint="eastAsia" w:ascii="仿宋" w:hAnsi="仿宋" w:eastAsia="仿宋"/>
          <w:b w:val="0"/>
          <w:bCs w:val="0"/>
          <w:sz w:val="32"/>
          <w:szCs w:val="32"/>
          <w:highlight w:val="none"/>
        </w:rPr>
        <w:t>。</w:t>
      </w:r>
    </w:p>
    <w:p>
      <w:pPr>
        <w:spacing w:line="600" w:lineRule="exact"/>
        <w:ind w:firstLine="640" w:firstLineChars="200"/>
        <w:rPr>
          <w:rFonts w:ascii="仿宋" w:hAnsi="仿宋" w:eastAsia="仿宋"/>
          <w:b w:val="0"/>
          <w:bCs w:val="0"/>
          <w:color w:val="auto"/>
          <w:sz w:val="32"/>
          <w:szCs w:val="32"/>
          <w:highlight w:val="none"/>
        </w:rPr>
      </w:pPr>
      <w:r>
        <w:rPr>
          <w:rStyle w:val="19"/>
          <w:rFonts w:ascii="仿宋" w:hAnsi="仿宋" w:eastAsia="仿宋"/>
          <w:b w:val="0"/>
          <w:bCs w:val="0"/>
          <w:color w:val="auto"/>
          <w:sz w:val="32"/>
          <w:szCs w:val="32"/>
          <w:highlight w:val="none"/>
        </w:rPr>
        <w:t>2.</w:t>
      </w:r>
      <w:r>
        <w:rPr>
          <w:rStyle w:val="19"/>
          <w:rFonts w:hint="eastAsia" w:ascii="仿宋_GB2312" w:eastAsia="仿宋_GB2312"/>
          <w:b w:val="0"/>
          <w:bCs w:val="0"/>
          <w:color w:val="000000"/>
          <w:sz w:val="32"/>
          <w:szCs w:val="32"/>
          <w:highlight w:val="none"/>
        </w:rPr>
        <w:t>公共安全支出</w:t>
      </w:r>
      <w:r>
        <w:rPr>
          <w:rStyle w:val="19"/>
          <w:rFonts w:hint="eastAsia" w:ascii="仿宋" w:hAnsi="仿宋" w:eastAsia="仿宋"/>
          <w:b w:val="0"/>
          <w:bCs w:val="0"/>
          <w:color w:val="auto"/>
          <w:sz w:val="32"/>
          <w:szCs w:val="32"/>
          <w:highlight w:val="none"/>
        </w:rPr>
        <w:t>（类）</w:t>
      </w:r>
      <w:r>
        <w:rPr>
          <w:rStyle w:val="19"/>
          <w:rFonts w:hint="eastAsia" w:ascii="仿宋_GB2312" w:eastAsia="仿宋_GB2312"/>
          <w:b w:val="0"/>
          <w:bCs w:val="0"/>
          <w:color w:val="000000"/>
          <w:sz w:val="32"/>
          <w:szCs w:val="32"/>
          <w:highlight w:val="none"/>
        </w:rPr>
        <w:t>公安（款）一般行政管理事务（项）</w:t>
      </w:r>
      <w:r>
        <w:rPr>
          <w:rStyle w:val="19"/>
          <w:rFonts w:ascii="仿宋_GB2312" w:eastAsia="仿宋_GB2312"/>
          <w:b w:val="0"/>
          <w:bCs w:val="0"/>
          <w:color w:val="000000"/>
          <w:sz w:val="32"/>
          <w:szCs w:val="32"/>
          <w:highlight w:val="none"/>
        </w:rPr>
        <w:t xml:space="preserve">: </w:t>
      </w:r>
      <w:r>
        <w:rPr>
          <w:rStyle w:val="19"/>
          <w:rFonts w:hint="eastAsia" w:ascii="仿宋_GB2312" w:eastAsia="仿宋_GB2312"/>
          <w:b w:val="0"/>
          <w:bCs w:val="0"/>
          <w:color w:val="000000"/>
          <w:sz w:val="32"/>
          <w:szCs w:val="32"/>
          <w:highlight w:val="none"/>
        </w:rPr>
        <w:t>支出决算为</w:t>
      </w:r>
      <w:r>
        <w:rPr>
          <w:rStyle w:val="19"/>
          <w:rFonts w:hint="eastAsia" w:ascii="仿宋_GB2312"/>
          <w:b w:val="0"/>
          <w:bCs w:val="0"/>
          <w:color w:val="000000"/>
          <w:sz w:val="32"/>
          <w:szCs w:val="32"/>
          <w:highlight w:val="none"/>
          <w:lang w:val="en-US" w:eastAsia="zh-CN"/>
        </w:rPr>
        <w:t>87.97</w:t>
      </w:r>
      <w:r>
        <w:rPr>
          <w:rStyle w:val="19"/>
          <w:rFonts w:hint="eastAsia" w:ascii="仿宋_GB2312" w:eastAsia="仿宋_GB2312"/>
          <w:b w:val="0"/>
          <w:bCs w:val="0"/>
          <w:color w:val="000000"/>
          <w:sz w:val="32"/>
          <w:szCs w:val="32"/>
          <w:highlight w:val="none"/>
        </w:rPr>
        <w:t>万元，完成预算</w:t>
      </w:r>
      <w:r>
        <w:rPr>
          <w:rStyle w:val="19"/>
          <w:rFonts w:hint="eastAsia" w:ascii="仿宋_GB2312" w:eastAsia="仿宋_GB2312"/>
          <w:b w:val="0"/>
          <w:bCs w:val="0"/>
          <w:color w:val="000000"/>
          <w:sz w:val="32"/>
          <w:szCs w:val="32"/>
          <w:highlight w:val="none"/>
          <w:lang w:val="en-US" w:eastAsia="zh-CN"/>
        </w:rPr>
        <w:t>100</w:t>
      </w:r>
      <w:r>
        <w:rPr>
          <w:rStyle w:val="19"/>
          <w:rFonts w:ascii="仿宋_GB2312" w:eastAsia="仿宋_GB2312"/>
          <w:b w:val="0"/>
          <w:bCs w:val="0"/>
          <w:color w:val="000000"/>
          <w:sz w:val="32"/>
          <w:szCs w:val="32"/>
          <w:highlight w:val="none"/>
        </w:rPr>
        <w:t>%</w:t>
      </w:r>
      <w:r>
        <w:rPr>
          <w:rStyle w:val="19"/>
          <w:rFonts w:hint="eastAsia" w:ascii="仿宋_GB2312" w:eastAsia="仿宋_GB2312"/>
          <w:b w:val="0"/>
          <w:bCs w:val="0"/>
          <w:color w:val="000000"/>
          <w:sz w:val="32"/>
          <w:szCs w:val="32"/>
          <w:highlight w:val="none"/>
        </w:rPr>
        <w:t>，决算数</w:t>
      </w:r>
      <w:r>
        <w:rPr>
          <w:rStyle w:val="19"/>
          <w:rFonts w:hint="eastAsia" w:ascii="仿宋_GB2312" w:eastAsia="仿宋_GB2312"/>
          <w:b w:val="0"/>
          <w:bCs w:val="0"/>
          <w:color w:val="000000"/>
          <w:sz w:val="32"/>
          <w:szCs w:val="32"/>
          <w:highlight w:val="none"/>
          <w:lang w:val="en-US" w:eastAsia="zh-CN"/>
        </w:rPr>
        <w:t>等于</w:t>
      </w:r>
      <w:r>
        <w:rPr>
          <w:rStyle w:val="19"/>
          <w:rFonts w:hint="eastAsia" w:ascii="仿宋_GB2312" w:eastAsia="仿宋_GB2312"/>
          <w:b w:val="0"/>
          <w:bCs w:val="0"/>
          <w:color w:val="000000"/>
          <w:sz w:val="32"/>
          <w:szCs w:val="32"/>
          <w:highlight w:val="none"/>
        </w:rPr>
        <w:t>预算数</w:t>
      </w:r>
      <w:r>
        <w:rPr>
          <w:rStyle w:val="19"/>
          <w:rFonts w:hint="eastAsia" w:ascii="仿宋" w:hAnsi="仿宋" w:eastAsia="仿宋"/>
          <w:b w:val="0"/>
          <w:bCs w:val="0"/>
          <w:color w:val="auto"/>
          <w:sz w:val="32"/>
          <w:szCs w:val="32"/>
          <w:highlight w:val="none"/>
        </w:rPr>
        <w:t>。</w:t>
      </w:r>
    </w:p>
    <w:p>
      <w:pPr>
        <w:spacing w:line="600" w:lineRule="exact"/>
        <w:ind w:firstLine="640" w:firstLineChars="200"/>
        <w:rPr>
          <w:rStyle w:val="19"/>
          <w:rFonts w:hint="eastAsia" w:ascii="仿宋_GB2312" w:eastAsia="仿宋_GB2312"/>
          <w:b w:val="0"/>
          <w:bCs w:val="0"/>
          <w:color w:val="000000"/>
          <w:sz w:val="32"/>
          <w:szCs w:val="32"/>
          <w:highlight w:val="none"/>
          <w:lang w:val="en-US" w:eastAsia="zh-CN"/>
        </w:rPr>
      </w:pPr>
      <w:r>
        <w:rPr>
          <w:rStyle w:val="19"/>
          <w:rFonts w:ascii="仿宋" w:hAnsi="仿宋" w:eastAsia="仿宋"/>
          <w:b w:val="0"/>
          <w:bCs w:val="0"/>
          <w:color w:val="auto"/>
          <w:sz w:val="32"/>
          <w:szCs w:val="32"/>
          <w:highlight w:val="none"/>
        </w:rPr>
        <w:t>3.</w:t>
      </w:r>
      <w:r>
        <w:rPr>
          <w:rStyle w:val="19"/>
          <w:rFonts w:hint="eastAsia" w:ascii="仿宋_GB2312" w:eastAsia="仿宋_GB2312"/>
          <w:b w:val="0"/>
          <w:bCs w:val="0"/>
          <w:color w:val="000000"/>
          <w:sz w:val="32"/>
          <w:szCs w:val="32"/>
          <w:highlight w:val="none"/>
        </w:rPr>
        <w:t>公共安全支出（类）公安（款）执法办案</w:t>
      </w:r>
      <w:r>
        <w:rPr>
          <w:rStyle w:val="19"/>
          <w:rFonts w:hint="eastAsia" w:ascii="仿宋" w:hAnsi="仿宋" w:eastAsia="仿宋"/>
          <w:b w:val="0"/>
          <w:bCs w:val="0"/>
          <w:color w:val="000000"/>
          <w:sz w:val="32"/>
          <w:szCs w:val="32"/>
          <w:highlight w:val="none"/>
        </w:rPr>
        <w:t>（项）</w:t>
      </w:r>
      <w:r>
        <w:rPr>
          <w:rStyle w:val="19"/>
          <w:rFonts w:ascii="仿宋" w:hAnsi="仿宋" w:eastAsia="仿宋"/>
          <w:b w:val="0"/>
          <w:bCs w:val="0"/>
          <w:color w:val="000000"/>
          <w:sz w:val="32"/>
          <w:szCs w:val="32"/>
          <w:highlight w:val="none"/>
        </w:rPr>
        <w:t xml:space="preserve">: </w:t>
      </w:r>
      <w:r>
        <w:rPr>
          <w:rStyle w:val="19"/>
          <w:rFonts w:hint="eastAsia" w:ascii="仿宋" w:hAnsi="仿宋" w:eastAsia="仿宋"/>
          <w:b w:val="0"/>
          <w:bCs w:val="0"/>
          <w:color w:val="000000"/>
          <w:sz w:val="32"/>
          <w:szCs w:val="32"/>
          <w:highlight w:val="none"/>
        </w:rPr>
        <w:t>支出决算为</w:t>
      </w:r>
      <w:r>
        <w:rPr>
          <w:rStyle w:val="19"/>
          <w:rFonts w:hint="eastAsia" w:ascii="仿宋" w:hAnsi="仿宋" w:eastAsia="仿宋"/>
          <w:b w:val="0"/>
          <w:bCs w:val="0"/>
          <w:color w:val="000000"/>
          <w:sz w:val="32"/>
          <w:szCs w:val="32"/>
          <w:highlight w:val="none"/>
          <w:lang w:val="en-US" w:eastAsia="zh-CN"/>
        </w:rPr>
        <w:t>174.48</w:t>
      </w:r>
      <w:r>
        <w:rPr>
          <w:rStyle w:val="19"/>
          <w:rFonts w:hint="eastAsia" w:ascii="仿宋" w:hAnsi="仿宋" w:eastAsia="仿宋"/>
          <w:b w:val="0"/>
          <w:bCs w:val="0"/>
          <w:color w:val="000000"/>
          <w:sz w:val="32"/>
          <w:szCs w:val="32"/>
          <w:highlight w:val="none"/>
        </w:rPr>
        <w:t>万元，</w:t>
      </w:r>
      <w:r>
        <w:rPr>
          <w:rStyle w:val="19"/>
          <w:rFonts w:hint="eastAsia" w:ascii="仿宋_GB2312" w:eastAsia="仿宋_GB2312"/>
          <w:b w:val="0"/>
          <w:bCs w:val="0"/>
          <w:color w:val="000000"/>
          <w:sz w:val="32"/>
          <w:szCs w:val="32"/>
          <w:highlight w:val="none"/>
        </w:rPr>
        <w:t>完成预算</w:t>
      </w:r>
      <w:r>
        <w:rPr>
          <w:rStyle w:val="19"/>
          <w:rFonts w:hint="eastAsia" w:ascii="仿宋_GB2312" w:eastAsia="仿宋_GB2312"/>
          <w:b w:val="0"/>
          <w:bCs w:val="0"/>
          <w:color w:val="000000"/>
          <w:sz w:val="32"/>
          <w:szCs w:val="32"/>
          <w:highlight w:val="none"/>
          <w:lang w:val="en-US" w:eastAsia="zh-CN"/>
        </w:rPr>
        <w:t>100</w:t>
      </w:r>
      <w:r>
        <w:rPr>
          <w:rStyle w:val="19"/>
          <w:rFonts w:ascii="仿宋_GB2312" w:eastAsia="仿宋_GB2312"/>
          <w:b w:val="0"/>
          <w:bCs w:val="0"/>
          <w:color w:val="000000"/>
          <w:sz w:val="32"/>
          <w:szCs w:val="32"/>
          <w:highlight w:val="none"/>
        </w:rPr>
        <w:t>%</w:t>
      </w:r>
      <w:r>
        <w:rPr>
          <w:rStyle w:val="19"/>
          <w:rFonts w:hint="eastAsia" w:ascii="仿宋_GB2312" w:eastAsia="仿宋_GB2312"/>
          <w:b w:val="0"/>
          <w:bCs w:val="0"/>
          <w:color w:val="000000"/>
          <w:sz w:val="32"/>
          <w:szCs w:val="32"/>
          <w:highlight w:val="none"/>
          <w:lang w:eastAsia="zh-CN"/>
        </w:rPr>
        <w:t>，</w:t>
      </w:r>
      <w:r>
        <w:rPr>
          <w:rStyle w:val="19"/>
          <w:rFonts w:hint="eastAsia" w:ascii="仿宋_GB2312" w:eastAsia="仿宋_GB2312"/>
          <w:b w:val="0"/>
          <w:bCs w:val="0"/>
          <w:color w:val="000000"/>
          <w:sz w:val="32"/>
          <w:szCs w:val="32"/>
          <w:highlight w:val="none"/>
        </w:rPr>
        <w:t>决算数</w:t>
      </w:r>
      <w:r>
        <w:rPr>
          <w:rStyle w:val="19"/>
          <w:rFonts w:hint="eastAsia" w:ascii="仿宋_GB2312" w:eastAsia="仿宋_GB2312"/>
          <w:b w:val="0"/>
          <w:bCs w:val="0"/>
          <w:color w:val="000000"/>
          <w:sz w:val="32"/>
          <w:szCs w:val="32"/>
          <w:highlight w:val="none"/>
          <w:lang w:val="en-US" w:eastAsia="zh-CN"/>
        </w:rPr>
        <w:t>等于</w:t>
      </w:r>
      <w:r>
        <w:rPr>
          <w:rStyle w:val="19"/>
          <w:rFonts w:hint="eastAsia" w:ascii="仿宋_GB2312" w:eastAsia="仿宋_GB2312"/>
          <w:b w:val="0"/>
          <w:bCs w:val="0"/>
          <w:color w:val="000000"/>
          <w:sz w:val="32"/>
          <w:szCs w:val="32"/>
          <w:highlight w:val="none"/>
        </w:rPr>
        <w:t>预算数</w:t>
      </w:r>
      <w:r>
        <w:rPr>
          <w:rStyle w:val="19"/>
          <w:rFonts w:hint="eastAsia" w:ascii="仿宋_GB2312" w:eastAsia="仿宋_GB2312"/>
          <w:b w:val="0"/>
          <w:bCs w:val="0"/>
          <w:color w:val="000000"/>
          <w:sz w:val="32"/>
          <w:szCs w:val="32"/>
          <w:highlight w:val="none"/>
          <w:lang w:eastAsia="zh-CN"/>
        </w:rPr>
        <w:t>。</w:t>
      </w:r>
      <w:r>
        <w:rPr>
          <w:rStyle w:val="19"/>
          <w:rFonts w:hint="eastAsia" w:ascii="仿宋_GB2312" w:eastAsia="仿宋_GB2312"/>
          <w:b w:val="0"/>
          <w:bCs w:val="0"/>
          <w:color w:val="000000"/>
          <w:sz w:val="32"/>
          <w:szCs w:val="32"/>
          <w:highlight w:val="none"/>
          <w:lang w:val="en-US" w:eastAsia="zh-CN"/>
        </w:rPr>
        <w:t xml:space="preserve">      </w:t>
      </w:r>
    </w:p>
    <w:p>
      <w:pPr>
        <w:spacing w:line="600" w:lineRule="exact"/>
        <w:ind w:firstLine="640" w:firstLineChars="200"/>
        <w:rPr>
          <w:rStyle w:val="19"/>
          <w:rFonts w:hint="eastAsia" w:ascii="仿宋_GB2312" w:eastAsia="仿宋_GB2312"/>
          <w:b w:val="0"/>
          <w:bCs w:val="0"/>
          <w:color w:val="000000"/>
          <w:sz w:val="32"/>
          <w:szCs w:val="32"/>
          <w:highlight w:val="none"/>
          <w:lang w:eastAsia="zh-CN"/>
        </w:rPr>
      </w:pPr>
      <w:r>
        <w:rPr>
          <w:rStyle w:val="19"/>
          <w:rFonts w:ascii="仿宋" w:hAnsi="仿宋" w:eastAsia="仿宋"/>
          <w:b w:val="0"/>
          <w:bCs w:val="0"/>
          <w:color w:val="auto"/>
          <w:sz w:val="32"/>
          <w:szCs w:val="32"/>
          <w:highlight w:val="none"/>
        </w:rPr>
        <w:t>4.</w:t>
      </w:r>
      <w:r>
        <w:rPr>
          <w:rStyle w:val="19"/>
          <w:rFonts w:hint="eastAsia" w:ascii="仿宋_GB2312" w:eastAsia="仿宋_GB2312"/>
          <w:b w:val="0"/>
          <w:bCs w:val="0"/>
          <w:color w:val="000000"/>
          <w:sz w:val="32"/>
          <w:szCs w:val="32"/>
          <w:highlight w:val="none"/>
        </w:rPr>
        <w:t>公共安全支出（类）公安（款）</w:t>
      </w:r>
      <w:r>
        <w:rPr>
          <w:rStyle w:val="19"/>
          <w:rFonts w:hint="eastAsia" w:ascii="仿宋_GB2312" w:eastAsia="仿宋_GB2312"/>
          <w:b w:val="0"/>
          <w:bCs w:val="0"/>
          <w:color w:val="000000"/>
          <w:sz w:val="32"/>
          <w:szCs w:val="32"/>
          <w:highlight w:val="none"/>
          <w:lang w:val="en-US" w:eastAsia="zh-CN"/>
        </w:rPr>
        <w:t>特别业务</w:t>
      </w:r>
      <w:r>
        <w:rPr>
          <w:rStyle w:val="19"/>
          <w:rFonts w:hint="eastAsia" w:ascii="仿宋_GB2312" w:eastAsia="仿宋_GB2312"/>
          <w:b w:val="0"/>
          <w:bCs w:val="0"/>
          <w:color w:val="000000"/>
          <w:sz w:val="32"/>
          <w:szCs w:val="32"/>
          <w:highlight w:val="none"/>
        </w:rPr>
        <w:t>（项）：</w:t>
      </w:r>
      <w:r>
        <w:rPr>
          <w:rStyle w:val="19"/>
          <w:rFonts w:hint="eastAsia" w:ascii="仿宋" w:hAnsi="仿宋" w:eastAsia="仿宋"/>
          <w:b w:val="0"/>
          <w:bCs w:val="0"/>
          <w:color w:val="000000"/>
          <w:sz w:val="32"/>
          <w:szCs w:val="32"/>
          <w:highlight w:val="none"/>
        </w:rPr>
        <w:t>支出决算为</w:t>
      </w:r>
      <w:r>
        <w:rPr>
          <w:rStyle w:val="19"/>
          <w:rFonts w:hint="eastAsia" w:ascii="仿宋" w:hAnsi="仿宋" w:eastAsia="仿宋"/>
          <w:b w:val="0"/>
          <w:bCs w:val="0"/>
          <w:color w:val="000000"/>
          <w:sz w:val="32"/>
          <w:szCs w:val="32"/>
          <w:highlight w:val="none"/>
          <w:lang w:val="en-US" w:eastAsia="zh-CN"/>
        </w:rPr>
        <w:t>50.00</w:t>
      </w:r>
      <w:r>
        <w:rPr>
          <w:rStyle w:val="19"/>
          <w:rFonts w:hint="eastAsia" w:ascii="仿宋" w:hAnsi="仿宋" w:eastAsia="仿宋"/>
          <w:b w:val="0"/>
          <w:bCs w:val="0"/>
          <w:color w:val="000000"/>
          <w:sz w:val="32"/>
          <w:szCs w:val="32"/>
          <w:highlight w:val="none"/>
        </w:rPr>
        <w:t>万元，完成预算</w:t>
      </w:r>
      <w:r>
        <w:rPr>
          <w:rStyle w:val="19"/>
          <w:rFonts w:hint="eastAsia" w:ascii="仿宋" w:hAnsi="仿宋" w:eastAsia="仿宋"/>
          <w:b w:val="0"/>
          <w:bCs w:val="0"/>
          <w:color w:val="000000"/>
          <w:sz w:val="32"/>
          <w:szCs w:val="32"/>
          <w:highlight w:val="none"/>
          <w:lang w:val="en-US" w:eastAsia="zh-CN"/>
        </w:rPr>
        <w:t>100</w:t>
      </w:r>
      <w:r>
        <w:rPr>
          <w:rStyle w:val="19"/>
          <w:rFonts w:ascii="仿宋" w:hAnsi="仿宋" w:eastAsia="仿宋"/>
          <w:b w:val="0"/>
          <w:bCs w:val="0"/>
          <w:color w:val="000000"/>
          <w:sz w:val="32"/>
          <w:szCs w:val="32"/>
          <w:highlight w:val="none"/>
        </w:rPr>
        <w:t>%</w:t>
      </w:r>
      <w:r>
        <w:rPr>
          <w:rStyle w:val="19"/>
          <w:rFonts w:hint="eastAsia" w:ascii="仿宋" w:hAnsi="仿宋" w:eastAsia="仿宋"/>
          <w:b w:val="0"/>
          <w:bCs w:val="0"/>
          <w:color w:val="000000"/>
          <w:sz w:val="32"/>
          <w:szCs w:val="32"/>
          <w:highlight w:val="none"/>
          <w:lang w:eastAsia="zh-CN"/>
        </w:rPr>
        <w:t>，</w:t>
      </w:r>
      <w:r>
        <w:rPr>
          <w:rStyle w:val="19"/>
          <w:rFonts w:hint="eastAsia" w:ascii="仿宋_GB2312" w:eastAsia="仿宋_GB2312"/>
          <w:b w:val="0"/>
          <w:bCs w:val="0"/>
          <w:color w:val="000000"/>
          <w:sz w:val="32"/>
          <w:szCs w:val="32"/>
          <w:highlight w:val="none"/>
        </w:rPr>
        <w:t>决算数</w:t>
      </w:r>
      <w:r>
        <w:rPr>
          <w:rStyle w:val="19"/>
          <w:rFonts w:hint="eastAsia" w:ascii="仿宋_GB2312" w:eastAsia="仿宋_GB2312"/>
          <w:b w:val="0"/>
          <w:bCs w:val="0"/>
          <w:color w:val="000000"/>
          <w:sz w:val="32"/>
          <w:szCs w:val="32"/>
          <w:highlight w:val="none"/>
          <w:lang w:val="en-US" w:eastAsia="zh-CN"/>
        </w:rPr>
        <w:t>等于</w:t>
      </w:r>
      <w:r>
        <w:rPr>
          <w:rStyle w:val="19"/>
          <w:rFonts w:hint="eastAsia" w:ascii="仿宋_GB2312" w:eastAsia="仿宋_GB2312"/>
          <w:b w:val="0"/>
          <w:bCs w:val="0"/>
          <w:color w:val="000000"/>
          <w:sz w:val="32"/>
          <w:szCs w:val="32"/>
          <w:highlight w:val="none"/>
        </w:rPr>
        <w:t>预算数</w:t>
      </w:r>
      <w:r>
        <w:rPr>
          <w:rStyle w:val="19"/>
          <w:rFonts w:hint="eastAsia" w:ascii="仿宋_GB2312" w:eastAsia="仿宋_GB2312"/>
          <w:b w:val="0"/>
          <w:bCs w:val="0"/>
          <w:color w:val="000000"/>
          <w:sz w:val="32"/>
          <w:szCs w:val="32"/>
          <w:highlight w:val="none"/>
          <w:lang w:eastAsia="zh-CN"/>
        </w:rPr>
        <w:t>。</w:t>
      </w:r>
    </w:p>
    <w:p>
      <w:pPr>
        <w:spacing w:line="600" w:lineRule="exact"/>
        <w:ind w:firstLine="640" w:firstLineChars="200"/>
        <w:rPr>
          <w:rStyle w:val="19"/>
          <w:rFonts w:hint="eastAsia" w:ascii="仿宋_GB2312" w:eastAsia="仿宋_GB2312"/>
          <w:b w:val="0"/>
          <w:bCs w:val="0"/>
          <w:color w:val="000000"/>
          <w:sz w:val="32"/>
          <w:szCs w:val="32"/>
          <w:highlight w:val="none"/>
          <w:lang w:eastAsia="zh-CN"/>
        </w:rPr>
      </w:pPr>
      <w:r>
        <w:rPr>
          <w:rFonts w:hint="eastAsia" w:ascii="Times New Roman" w:hAnsi="Times New Roman" w:cs="Times New Roman"/>
          <w:b w:val="0"/>
          <w:bCs w:val="0"/>
          <w:i w:val="0"/>
          <w:iCs w:val="0"/>
          <w:color w:val="auto"/>
          <w:sz w:val="32"/>
          <w:szCs w:val="32"/>
          <w:highlight w:val="none"/>
          <w:lang w:val="en-US" w:eastAsia="zh-CN"/>
        </w:rPr>
        <w:t>5.公共安全支出（类）公安（款）其他公安支出（项）：</w:t>
      </w:r>
      <w:r>
        <w:rPr>
          <w:rStyle w:val="19"/>
          <w:rFonts w:hint="eastAsia" w:ascii="仿宋" w:hAnsi="仿宋" w:eastAsia="仿宋"/>
          <w:b w:val="0"/>
          <w:bCs w:val="0"/>
          <w:color w:val="000000"/>
          <w:sz w:val="32"/>
          <w:szCs w:val="32"/>
          <w:highlight w:val="none"/>
        </w:rPr>
        <w:t>支出决算为</w:t>
      </w:r>
      <w:r>
        <w:rPr>
          <w:rStyle w:val="19"/>
          <w:rFonts w:hint="eastAsia" w:ascii="仿宋" w:hAnsi="仿宋" w:eastAsia="仿宋"/>
          <w:b w:val="0"/>
          <w:bCs w:val="0"/>
          <w:color w:val="000000"/>
          <w:sz w:val="32"/>
          <w:szCs w:val="32"/>
          <w:highlight w:val="none"/>
          <w:lang w:val="en-US" w:eastAsia="zh-CN"/>
        </w:rPr>
        <w:t>226.58</w:t>
      </w:r>
      <w:r>
        <w:rPr>
          <w:rStyle w:val="19"/>
          <w:rFonts w:hint="eastAsia" w:ascii="仿宋" w:hAnsi="仿宋" w:eastAsia="仿宋"/>
          <w:b w:val="0"/>
          <w:bCs w:val="0"/>
          <w:color w:val="000000"/>
          <w:sz w:val="32"/>
          <w:szCs w:val="32"/>
          <w:highlight w:val="none"/>
        </w:rPr>
        <w:t>万元，</w:t>
      </w:r>
      <w:r>
        <w:rPr>
          <w:rStyle w:val="19"/>
          <w:rFonts w:hint="eastAsia" w:ascii="仿宋_GB2312" w:eastAsia="仿宋_GB2312"/>
          <w:b w:val="0"/>
          <w:bCs w:val="0"/>
          <w:color w:val="000000"/>
          <w:sz w:val="32"/>
          <w:szCs w:val="32"/>
          <w:highlight w:val="none"/>
        </w:rPr>
        <w:t>完成预算</w:t>
      </w:r>
      <w:r>
        <w:rPr>
          <w:rStyle w:val="19"/>
          <w:rFonts w:hint="eastAsia" w:ascii="仿宋_GB2312" w:eastAsia="仿宋_GB2312"/>
          <w:b w:val="0"/>
          <w:bCs w:val="0"/>
          <w:color w:val="000000"/>
          <w:sz w:val="32"/>
          <w:szCs w:val="32"/>
          <w:highlight w:val="none"/>
          <w:lang w:val="en-US" w:eastAsia="zh-CN"/>
        </w:rPr>
        <w:t>100</w:t>
      </w:r>
      <w:r>
        <w:rPr>
          <w:rStyle w:val="19"/>
          <w:rFonts w:ascii="仿宋_GB2312" w:eastAsia="仿宋_GB2312"/>
          <w:b w:val="0"/>
          <w:bCs w:val="0"/>
          <w:color w:val="000000"/>
          <w:sz w:val="32"/>
          <w:szCs w:val="32"/>
          <w:highlight w:val="none"/>
        </w:rPr>
        <w:t>%</w:t>
      </w:r>
      <w:r>
        <w:rPr>
          <w:rStyle w:val="19"/>
          <w:rFonts w:hint="eastAsia" w:ascii="仿宋_GB2312" w:eastAsia="仿宋_GB2312"/>
          <w:b w:val="0"/>
          <w:bCs w:val="0"/>
          <w:color w:val="000000"/>
          <w:sz w:val="32"/>
          <w:szCs w:val="32"/>
          <w:highlight w:val="none"/>
          <w:lang w:eastAsia="zh-CN"/>
        </w:rPr>
        <w:t>，</w:t>
      </w:r>
      <w:r>
        <w:rPr>
          <w:rStyle w:val="19"/>
          <w:rFonts w:hint="eastAsia" w:ascii="仿宋_GB2312" w:eastAsia="仿宋_GB2312"/>
          <w:b w:val="0"/>
          <w:bCs w:val="0"/>
          <w:color w:val="000000"/>
          <w:sz w:val="32"/>
          <w:szCs w:val="32"/>
          <w:highlight w:val="none"/>
        </w:rPr>
        <w:t>决算数</w:t>
      </w:r>
      <w:r>
        <w:rPr>
          <w:rStyle w:val="19"/>
          <w:rFonts w:hint="eastAsia" w:ascii="仿宋_GB2312" w:eastAsia="仿宋_GB2312"/>
          <w:b w:val="0"/>
          <w:bCs w:val="0"/>
          <w:color w:val="000000"/>
          <w:sz w:val="32"/>
          <w:szCs w:val="32"/>
          <w:highlight w:val="none"/>
          <w:lang w:val="en-US" w:eastAsia="zh-CN"/>
        </w:rPr>
        <w:t>等于</w:t>
      </w:r>
      <w:r>
        <w:rPr>
          <w:rStyle w:val="19"/>
          <w:rFonts w:hint="eastAsia" w:ascii="仿宋_GB2312" w:eastAsia="仿宋_GB2312"/>
          <w:b w:val="0"/>
          <w:bCs w:val="0"/>
          <w:color w:val="000000"/>
          <w:sz w:val="32"/>
          <w:szCs w:val="32"/>
          <w:highlight w:val="none"/>
        </w:rPr>
        <w:t>预算数</w:t>
      </w:r>
      <w:r>
        <w:rPr>
          <w:rStyle w:val="19"/>
          <w:rFonts w:hint="eastAsia" w:ascii="仿宋_GB2312" w:eastAsia="仿宋_GB2312"/>
          <w:b w:val="0"/>
          <w:bCs w:val="0"/>
          <w:color w:val="000000"/>
          <w:sz w:val="32"/>
          <w:szCs w:val="32"/>
          <w:highlight w:val="none"/>
          <w:lang w:eastAsia="zh-CN"/>
        </w:rPr>
        <w:t>。</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6.交通运输支出（类）公路水路运输（款）公路和运输安全（项）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Style w:val="19"/>
          <w:rFonts w:hint="eastAsia" w:ascii="仿宋_GB2312" w:eastAsia="仿宋_GB2312"/>
          <w:b w:val="0"/>
          <w:bCs w:val="0"/>
          <w:color w:val="000000"/>
          <w:sz w:val="32"/>
          <w:szCs w:val="32"/>
          <w:highlight w:val="none"/>
          <w:lang w:eastAsia="zh-CN"/>
        </w:rPr>
        <w:t>，</w:t>
      </w:r>
      <w:r>
        <w:rPr>
          <w:rStyle w:val="19"/>
          <w:rFonts w:hint="eastAsia" w:ascii="仿宋_GB2312" w:eastAsia="仿宋_GB2312"/>
          <w:b w:val="0"/>
          <w:bCs w:val="0"/>
          <w:color w:val="000000"/>
          <w:sz w:val="32"/>
          <w:szCs w:val="32"/>
          <w:highlight w:val="none"/>
        </w:rPr>
        <w:t>决算数</w:t>
      </w:r>
      <w:r>
        <w:rPr>
          <w:rStyle w:val="19"/>
          <w:rFonts w:hint="eastAsia" w:ascii="仿宋_GB2312" w:eastAsia="仿宋_GB2312"/>
          <w:b w:val="0"/>
          <w:bCs w:val="0"/>
          <w:color w:val="000000"/>
          <w:sz w:val="32"/>
          <w:szCs w:val="32"/>
          <w:highlight w:val="none"/>
          <w:lang w:val="en-US" w:eastAsia="zh-CN"/>
        </w:rPr>
        <w:t>等于</w:t>
      </w:r>
      <w:r>
        <w:rPr>
          <w:rStyle w:val="19"/>
          <w:rFonts w:hint="eastAsia" w:ascii="仿宋_GB2312" w:eastAsia="仿宋_GB2312"/>
          <w:b w:val="0"/>
          <w:bCs w:val="0"/>
          <w:color w:val="000000"/>
          <w:sz w:val="32"/>
          <w:szCs w:val="32"/>
          <w:highlight w:val="none"/>
        </w:rPr>
        <w:t>预算数</w:t>
      </w:r>
      <w:r>
        <w:rPr>
          <w:rStyle w:val="19"/>
          <w:rFonts w:hint="eastAsia" w:ascii="仿宋_GB2312" w:eastAsia="仿宋_GB2312"/>
          <w:b w:val="0"/>
          <w:bCs w:val="0"/>
          <w:color w:val="000000"/>
          <w:sz w:val="32"/>
          <w:szCs w:val="32"/>
          <w:highlight w:val="none"/>
          <w:lang w:eastAsia="zh-CN"/>
        </w:rPr>
        <w:t>。</w:t>
      </w:r>
    </w:p>
    <w:p>
      <w:pPr>
        <w:tabs>
          <w:tab w:val="right" w:pos="8306"/>
        </w:tabs>
        <w:spacing w:line="600" w:lineRule="exact"/>
        <w:ind w:firstLine="640"/>
        <w:outlineLvl w:val="1"/>
        <w:rPr>
          <w:rStyle w:val="31"/>
          <w:rFonts w:ascii="Times New Roman" w:hAnsi="Times New Roman"/>
          <w:color w:val="auto"/>
          <w:highlight w:val="none"/>
        </w:rPr>
      </w:pPr>
      <w:bookmarkStart w:id="41" w:name="_Toc15396608"/>
      <w:bookmarkStart w:id="42" w:name="_Toc15377214"/>
      <w:bookmarkStart w:id="43" w:name="_Toc8222"/>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41"/>
      <w:bookmarkEnd w:id="42"/>
      <w:bookmarkEnd w:id="43"/>
      <w:r>
        <w:rPr>
          <w:rStyle w:val="31"/>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2024年度一般公共预算财政拨款基本支出406.50万元，其中：</w:t>
      </w:r>
    </w:p>
    <w:p>
      <w:pPr>
        <w:keepNext w:val="0"/>
        <w:keepLines w:val="0"/>
        <w:pageBreakBefore w:val="0"/>
        <w:widowControl w:val="0"/>
        <w:kinsoku/>
        <w:wordWrap/>
        <w:overflowPunct/>
        <w:topLinePunct w:val="0"/>
        <w:bidi w:val="0"/>
        <w:snapToGrid/>
        <w:spacing w:line="560" w:lineRule="exact"/>
        <w:ind w:firstLine="645"/>
        <w:textAlignment w:val="auto"/>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仿宋_GB2312" w:cs="Times New Roman"/>
          <w:b w:val="0"/>
          <w:bCs w:val="0"/>
          <w:i w:val="0"/>
          <w:iCs w:val="0"/>
          <w:color w:val="auto"/>
          <w:sz w:val="32"/>
          <w:szCs w:val="32"/>
          <w:highlight w:val="none"/>
        </w:rPr>
        <w:t>人员经费390.50万元，主要包括：协警、聘用人员的</w:t>
      </w:r>
      <w:r>
        <w:rPr>
          <w:rFonts w:hint="eastAsia" w:eastAsia="仿宋_GB2312" w:cs="Times New Roman"/>
          <w:b w:val="0"/>
          <w:bCs w:val="0"/>
          <w:i w:val="0"/>
          <w:iCs w:val="0"/>
          <w:color w:val="auto"/>
          <w:sz w:val="32"/>
          <w:szCs w:val="32"/>
          <w:highlight w:val="none"/>
          <w:lang w:eastAsia="zh-CN"/>
        </w:rPr>
        <w:t>劳务派遣费用</w:t>
      </w:r>
      <w:r>
        <w:rPr>
          <w:rFonts w:hint="default" w:ascii="Times New Roman" w:hAnsi="Times New Roman" w:eastAsia="仿宋_GB2312" w:cs="Times New Roman"/>
          <w:b w:val="0"/>
          <w:bCs w:val="0"/>
          <w:i w:val="0"/>
          <w:iCs w:val="0"/>
          <w:color w:val="auto"/>
          <w:sz w:val="32"/>
          <w:szCs w:val="32"/>
          <w:highlight w:val="none"/>
        </w:rPr>
        <w:t>支出。</w:t>
      </w:r>
    </w:p>
    <w:p>
      <w:pPr>
        <w:keepNext w:val="0"/>
        <w:keepLines w:val="0"/>
        <w:pageBreakBefore w:val="0"/>
        <w:widowControl w:val="0"/>
        <w:kinsoku/>
        <w:wordWrap/>
        <w:overflowPunct/>
        <w:topLinePunct w:val="0"/>
        <w:bidi w:val="0"/>
        <w:snapToGrid/>
        <w:spacing w:line="560" w:lineRule="exact"/>
        <w:ind w:firstLine="645"/>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公用经费</w:t>
      </w:r>
      <w:r>
        <w:rPr>
          <w:rFonts w:hint="eastAsia" w:ascii="Times New Roman" w:hAnsi="Times New Roman" w:cs="Times New Roman"/>
          <w:b w:val="0"/>
          <w:bCs w:val="0"/>
          <w:i w:val="0"/>
          <w:iCs w:val="0"/>
          <w:color w:val="auto"/>
          <w:sz w:val="32"/>
          <w:szCs w:val="32"/>
          <w:highlight w:val="none"/>
          <w:lang w:val="en-US" w:eastAsia="zh-CN"/>
        </w:rPr>
        <w:t>16.00</w:t>
      </w:r>
      <w:r>
        <w:rPr>
          <w:rFonts w:hint="default" w:ascii="Times New Roman" w:hAnsi="Times New Roman" w:eastAsia="仿宋_GB2312" w:cs="Times New Roman"/>
          <w:b w:val="0"/>
          <w:bCs w:val="0"/>
          <w:i w:val="0"/>
          <w:iCs w:val="0"/>
          <w:color w:val="auto"/>
          <w:sz w:val="32"/>
          <w:szCs w:val="32"/>
          <w:highlight w:val="none"/>
        </w:rPr>
        <w:t>万元，主要包括：公务用车运行维护费。</w:t>
      </w:r>
    </w:p>
    <w:p>
      <w:pPr>
        <w:spacing w:line="600" w:lineRule="exact"/>
        <w:ind w:firstLine="640"/>
        <w:outlineLvl w:val="1"/>
        <w:rPr>
          <w:rStyle w:val="31"/>
          <w:rFonts w:ascii="Times New Roman" w:hAnsi="Times New Roman" w:eastAsia="黑体"/>
          <w:b w:val="0"/>
          <w:color w:val="auto"/>
          <w:highlight w:val="none"/>
        </w:rPr>
      </w:pPr>
      <w:bookmarkStart w:id="44" w:name="_Toc1161"/>
      <w:bookmarkStart w:id="45" w:name="_Toc15377215"/>
      <w:bookmarkStart w:id="46" w:name="_Toc15396609"/>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44"/>
      <w:bookmarkEnd w:id="45"/>
      <w:bookmarkEnd w:id="46"/>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b w:val="0"/>
          <w:bCs w:val="0"/>
          <w:i w:val="0"/>
          <w:iCs w:val="0"/>
          <w:color w:val="auto"/>
          <w:sz w:val="32"/>
          <w:szCs w:val="32"/>
          <w:highlight w:val="none"/>
        </w:rPr>
        <w:t>决算数与预算数持平</w:t>
      </w:r>
      <w:r>
        <w:rPr>
          <w:rFonts w:hint="eastAsia" w:eastAsia="仿宋_GB2312" w:cs="Times New Roman"/>
          <w:b w:val="0"/>
          <w:bCs w:val="0"/>
          <w:i w:val="0"/>
          <w:iCs w:val="0"/>
          <w:color w:val="auto"/>
          <w:sz w:val="32"/>
          <w:szCs w:val="32"/>
          <w:highlight w:val="none"/>
          <w:lang w:eastAsia="zh-CN"/>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8"/>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%。具体情况如下：</w:t>
      </w:r>
    </w:p>
    <w:p>
      <w:pPr>
        <w:pStyle w:val="15"/>
        <w:rPr>
          <w:rFonts w:hint="eastAsia"/>
          <w:highlight w:val="none"/>
          <w:lang w:val="en-US" w:eastAsia="zh-CN"/>
        </w:rPr>
      </w:pPr>
      <w:r>
        <w:rPr>
          <w:rFonts w:hint="eastAsia"/>
          <w:highlight w:val="none"/>
          <w:lang w:val="en-US" w:eastAsia="zh-CN"/>
        </w:rPr>
        <w:drawing>
          <wp:inline distT="0" distB="0" distL="114300" distR="114300">
            <wp:extent cx="5130800" cy="2768600"/>
            <wp:effectExtent l="4445" t="4445" r="8255" b="825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spacing w:line="600" w:lineRule="exact"/>
        <w:ind w:firstLine="640"/>
        <w:rPr>
          <w:rFonts w:hint="eastAsia" w:ascii="仿宋_GB2312" w:eastAsia="仿宋_GB2312"/>
          <w:sz w:val="32"/>
          <w:szCs w:val="32"/>
          <w:highlight w:val="none"/>
          <w:lang w:eastAsia="zh-CN"/>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eastAsia="仿宋_GB2312"/>
          <w:sz w:val="32"/>
          <w:szCs w:val="32"/>
          <w:highlight w:val="none"/>
        </w:rPr>
        <w:t>我单位未安排因公出国（境）</w:t>
      </w:r>
      <w:r>
        <w:rPr>
          <w:rFonts w:hint="eastAsia" w:ascii="仿宋_GB2312" w:eastAsia="仿宋_GB2312"/>
          <w:sz w:val="32"/>
          <w:szCs w:val="32"/>
          <w:highlight w:val="none"/>
          <w:lang w:eastAsia="zh-CN"/>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b/>
          <w:bCs/>
          <w:color w:val="auto"/>
          <w:kern w:val="2"/>
          <w:sz w:val="32"/>
          <w:szCs w:val="32"/>
          <w:highlight w:val="none"/>
          <w:lang w:val="en-US" w:eastAsia="zh-CN" w:bidi="ar-SA"/>
        </w:rPr>
        <w:t>16</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主要原因</w:t>
      </w:r>
      <w:r>
        <w:rPr>
          <w:rFonts w:hint="eastAsia" w:eastAsia="仿宋_GB2312" w:cs="仿宋_GB2312"/>
          <w:color w:val="auto"/>
          <w:kern w:val="2"/>
          <w:sz w:val="32"/>
          <w:szCs w:val="32"/>
          <w:highlight w:val="none"/>
          <w:lang w:val="en-US" w:eastAsia="zh-CN" w:bidi="ar-SA"/>
        </w:rPr>
        <w:t>系本年度部申请车辆报废一台。</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皮卡</w:t>
      </w:r>
      <w:r>
        <w:rPr>
          <w:rFonts w:hint="eastAsia" w:ascii="Times New Roman" w:hAnsi="Times New Roman" w:eastAsia="仿宋_GB2312" w:cs="仿宋_GB2312"/>
          <w:color w:val="auto"/>
          <w:kern w:val="2"/>
          <w:sz w:val="32"/>
          <w:szCs w:val="32"/>
          <w:highlight w:val="none"/>
          <w:lang w:val="en-US" w:eastAsia="zh-CN" w:bidi="ar-SA"/>
        </w:rPr>
        <w:t>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面包车1</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公务用车运行维护费支出</w:t>
      </w: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万元。主要用于单位执法执勤车辆所需的公务用车燃料费、维修费、过路过桥费、保险费等支出。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主要原因系我单位厉行勤俭节约，暂未安排公务接待事项。其中：</w:t>
      </w:r>
    </w:p>
    <w:p>
      <w:pPr>
        <w:spacing w:line="600" w:lineRule="exact"/>
        <w:ind w:firstLine="640"/>
        <w:rPr>
          <w:rFonts w:hint="default" w:ascii="Times New Roman" w:hAnsi="Times New Roman" w:eastAsia="仿宋_GB2312" w:cs="Times New Roman"/>
          <w:b w:val="0"/>
          <w:bCs w:val="0"/>
          <w:i w:val="0"/>
          <w:iCs w:val="0"/>
          <w:color w:val="auto"/>
          <w:sz w:val="32"/>
          <w:szCs w:val="32"/>
          <w:highlight w:val="none"/>
        </w:rPr>
      </w:pPr>
      <w:bookmarkStart w:id="49" w:name="_Toc15377218"/>
      <w:bookmarkStart w:id="50" w:name="_Toc15396610"/>
      <w:r>
        <w:rPr>
          <w:rFonts w:hint="default" w:ascii="Times New Roman" w:hAnsi="Times New Roman" w:eastAsia="仿宋_GB2312" w:cs="Times New Roman"/>
          <w:b w:val="0"/>
          <w:bCs w:val="0"/>
          <w:i w:val="0"/>
          <w:iCs w:val="0"/>
          <w:color w:val="auto"/>
          <w:sz w:val="32"/>
          <w:szCs w:val="32"/>
          <w:highlight w:val="none"/>
        </w:rPr>
        <w:t>国内公务接待支出</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r>
        <w:rPr>
          <w:rFonts w:hint="eastAsia" w:ascii="仿宋_GB2312" w:eastAsia="仿宋_GB2312"/>
          <w:sz w:val="32"/>
          <w:szCs w:val="32"/>
          <w:highlight w:val="none"/>
        </w:rPr>
        <w:t>。国内公务接待</w:t>
      </w:r>
      <w:r>
        <w:rPr>
          <w:rFonts w:hint="eastAsia" w:ascii="仿宋_GB2312"/>
          <w:sz w:val="32"/>
          <w:szCs w:val="32"/>
          <w:highlight w:val="none"/>
          <w:lang w:val="en-US" w:eastAsia="zh-CN"/>
        </w:rPr>
        <w:t>0</w:t>
      </w:r>
      <w:r>
        <w:rPr>
          <w:rFonts w:hint="eastAsia" w:ascii="仿宋_GB2312" w:eastAsia="仿宋_GB2312"/>
          <w:sz w:val="32"/>
          <w:szCs w:val="32"/>
          <w:highlight w:val="none"/>
        </w:rPr>
        <w:t>批次，</w:t>
      </w:r>
      <w:r>
        <w:rPr>
          <w:rFonts w:hint="eastAsia" w:ascii="仿宋_GB2312"/>
          <w:sz w:val="32"/>
          <w:szCs w:val="32"/>
          <w:highlight w:val="none"/>
          <w:lang w:val="en-US" w:eastAsia="zh-CN"/>
        </w:rPr>
        <w:t>0</w:t>
      </w:r>
      <w:r>
        <w:rPr>
          <w:rFonts w:hint="eastAsia" w:ascii="仿宋_GB2312" w:eastAsia="仿宋_GB2312"/>
          <w:sz w:val="32"/>
          <w:szCs w:val="32"/>
          <w:highlight w:val="none"/>
        </w:rPr>
        <w:t>人次（不包括陪同人员），共计支出</w:t>
      </w:r>
      <w:r>
        <w:rPr>
          <w:rFonts w:hint="eastAsia" w:ascii="仿宋_GB2312"/>
          <w:sz w:val="32"/>
          <w:szCs w:val="32"/>
          <w:highlight w:val="none"/>
          <w:lang w:val="en-US" w:eastAsia="zh-CN"/>
        </w:rPr>
        <w:t>0</w:t>
      </w:r>
      <w:r>
        <w:rPr>
          <w:rFonts w:hint="eastAsia" w:ascii="仿宋_GB2312" w:eastAsia="仿宋_GB2312"/>
          <w:sz w:val="32"/>
          <w:szCs w:val="32"/>
          <w:highlight w:val="none"/>
        </w:rPr>
        <w:t>万元。</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外事接待支出</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r>
        <w:rPr>
          <w:rFonts w:hint="default" w:ascii="Times New Roman" w:hAnsi="Times New Roman" w:eastAsia="仿宋_GB2312"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外事接待</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批次，</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人</w:t>
      </w:r>
      <w:r>
        <w:rPr>
          <w:rFonts w:hint="default" w:ascii="Times New Roman" w:hAnsi="Times New Roman" w:eastAsia="仿宋_GB2312" w:cs="Times New Roman"/>
          <w:b w:val="0"/>
          <w:bCs w:val="0"/>
          <w:i w:val="0"/>
          <w:iCs w:val="0"/>
          <w:color w:val="auto"/>
          <w:sz w:val="32"/>
          <w:szCs w:val="32"/>
          <w:highlight w:val="none"/>
          <w:lang w:eastAsia="zh-CN"/>
        </w:rPr>
        <w:t>次（不包括陪同人员）</w:t>
      </w:r>
      <w:r>
        <w:rPr>
          <w:rFonts w:hint="default" w:ascii="Times New Roman" w:hAnsi="Times New Roman" w:eastAsia="仿宋_GB2312" w:cs="Times New Roman"/>
          <w:b w:val="0"/>
          <w:bCs w:val="0"/>
          <w:i w:val="0"/>
          <w:iCs w:val="0"/>
          <w:color w:val="auto"/>
          <w:sz w:val="32"/>
          <w:szCs w:val="32"/>
          <w:highlight w:val="none"/>
        </w:rPr>
        <w:t>，共计支出</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p>
    <w:p>
      <w:pPr>
        <w:spacing w:line="600" w:lineRule="exact"/>
        <w:ind w:firstLine="640"/>
        <w:outlineLvl w:val="1"/>
        <w:rPr>
          <w:rStyle w:val="31"/>
          <w:rFonts w:ascii="Times New Roman" w:hAnsi="Times New Roman" w:eastAsia="黑体"/>
          <w:color w:val="auto"/>
          <w:highlight w:val="none"/>
        </w:rPr>
      </w:pPr>
      <w:bookmarkStart w:id="51" w:name="_Toc26581"/>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49"/>
      <w:bookmarkEnd w:id="50"/>
      <w:bookmarkEnd w:id="5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52" w:name="_Toc15396611"/>
      <w:bookmarkStart w:id="53" w:name="_Toc15377219"/>
      <w:bookmarkStart w:id="54" w:name="_Toc8762"/>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52"/>
      <w:bookmarkEnd w:id="53"/>
      <w:bookmarkEnd w:id="5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55" w:name="_Toc15396612"/>
      <w:bookmarkStart w:id="56" w:name="_Toc15377221"/>
      <w:bookmarkStart w:id="57" w:name="_Toc17500"/>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55"/>
      <w:bookmarkEnd w:id="56"/>
      <w:bookmarkEnd w:id="57"/>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8" w:name="_Toc15377222"/>
      <w:r>
        <w:rPr>
          <w:rFonts w:hint="eastAsia" w:ascii="Times New Roman" w:hAnsi="Times New Roman" w:eastAsia="楷体_GB2312" w:cs="楷体_GB2312"/>
          <w:b/>
          <w:color w:val="auto"/>
          <w:sz w:val="32"/>
          <w:szCs w:val="32"/>
          <w:highlight w:val="none"/>
        </w:rPr>
        <w:t>（一）机关运行经费支出情况</w:t>
      </w:r>
      <w:bookmarkEnd w:id="58"/>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2024年度，区交警大队机关运行经费支出</w:t>
      </w: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万元，比2023年度减少</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主要原因</w:t>
      </w:r>
      <w:r>
        <w:rPr>
          <w:rFonts w:hint="eastAsia" w:eastAsia="仿宋_GB2312" w:cs="仿宋_GB2312"/>
          <w:color w:val="auto"/>
          <w:kern w:val="2"/>
          <w:sz w:val="32"/>
          <w:szCs w:val="32"/>
          <w:highlight w:val="none"/>
          <w:lang w:val="en-US" w:eastAsia="zh-CN" w:bidi="ar-SA"/>
        </w:rPr>
        <w:t>系本年度部申请车辆报废一台。</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9" w:name="_Toc15377223"/>
      <w:r>
        <w:rPr>
          <w:rFonts w:hint="eastAsia" w:ascii="Times New Roman" w:hAnsi="Times New Roman" w:eastAsia="楷体_GB2312" w:cs="楷体_GB2312"/>
          <w:b/>
          <w:color w:val="auto"/>
          <w:sz w:val="32"/>
          <w:szCs w:val="32"/>
          <w:highlight w:val="none"/>
        </w:rPr>
        <w:t>（二）政府采购支出情况</w:t>
      </w:r>
      <w:bookmarkEnd w:id="5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2024年度，区交警大队政府采购支出总额118.04万元，其中：政府采购货物支出0万元、政府采购工程支出0万元、政府采购服务支出118.04万元。授予中小企业合同金额118.04万元，占政府采购支出总额的</w:t>
      </w: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0%，其中：授予小微企业合同金额0万元，占政府采购支出总额的0%。</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0" w:name="_Toc15377224"/>
      <w:r>
        <w:rPr>
          <w:rFonts w:hint="eastAsia" w:ascii="Times New Roman" w:hAnsi="Times New Roman" w:eastAsia="楷体_GB2312" w:cs="楷体_GB2312"/>
          <w:b/>
          <w:color w:val="auto"/>
          <w:sz w:val="32"/>
          <w:szCs w:val="32"/>
          <w:highlight w:val="none"/>
        </w:rPr>
        <w:t>（三）国有资产占有使用情况</w:t>
      </w:r>
      <w:bookmarkEnd w:id="6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年12月31日，区交警大队共有车辆</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辆，其中：主要</w:t>
      </w:r>
      <w:r>
        <w:rPr>
          <w:rFonts w:hint="eastAsia" w:eastAsia="仿宋_GB2312" w:cs="仿宋_GB2312"/>
          <w:color w:val="auto"/>
          <w:kern w:val="2"/>
          <w:sz w:val="32"/>
          <w:szCs w:val="32"/>
          <w:highlight w:val="none"/>
          <w:lang w:val="en-US" w:eastAsia="zh-CN" w:bidi="ar-SA"/>
        </w:rPr>
        <w:t>负责人</w:t>
      </w:r>
      <w:r>
        <w:rPr>
          <w:rFonts w:hint="eastAsia" w:ascii="Times New Roman" w:hAnsi="Times New Roman" w:eastAsia="仿宋_GB2312" w:cs="仿宋_GB2312"/>
          <w:color w:val="auto"/>
          <w:kern w:val="2"/>
          <w:sz w:val="32"/>
          <w:szCs w:val="32"/>
          <w:highlight w:val="none"/>
          <w:lang w:val="en-US" w:eastAsia="zh-CN" w:bidi="ar-SA"/>
        </w:rPr>
        <w:t>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辆、机要通信用车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辆、应急保障用车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辆、其他用车</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辆，其他用车主要是用于执法执勤用车</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单价100万元</w:t>
      </w:r>
      <w:r>
        <w:rPr>
          <w:rFonts w:hint="eastAsia" w:eastAsia="仿宋_GB2312" w:cs="仿宋_GB2312"/>
          <w:color w:val="auto"/>
          <w:kern w:val="2"/>
          <w:sz w:val="32"/>
          <w:szCs w:val="32"/>
          <w:highlight w:val="none"/>
          <w:lang w:val="en-US" w:eastAsia="zh-CN" w:bidi="ar-SA"/>
        </w:rPr>
        <w:t>（含）</w:t>
      </w:r>
      <w:r>
        <w:rPr>
          <w:rFonts w:hint="eastAsia" w:ascii="Times New Roman" w:hAnsi="Times New Roman" w:eastAsia="仿宋_GB2312" w:cs="仿宋_GB2312"/>
          <w:color w:val="auto"/>
          <w:kern w:val="2"/>
          <w:sz w:val="32"/>
          <w:szCs w:val="32"/>
          <w:highlight w:val="none"/>
          <w:lang w:val="en-US" w:eastAsia="zh-CN" w:bidi="ar-SA"/>
        </w:rPr>
        <w:t>以上设备（不含车辆）</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台（套）。</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highlight w:val="none"/>
        </w:rPr>
        <w:t>根据预算绩效管理要求，本部门在</w:t>
      </w:r>
      <w:r>
        <w:rPr>
          <w:rFonts w:hint="default" w:ascii="Times New Roman" w:hAnsi="Times New Roman" w:eastAsia="仿宋_GB2312" w:cs="Times New Roman"/>
          <w:b w:val="0"/>
          <w:bCs w:val="0"/>
          <w:i w:val="0"/>
          <w:iCs w:val="0"/>
          <w:color w:val="auto"/>
          <w:sz w:val="32"/>
          <w:szCs w:val="32"/>
          <w:highlight w:val="none"/>
          <w:lang w:val="en-US" w:eastAsia="zh-CN"/>
        </w:rPr>
        <w:t>202</w:t>
      </w:r>
      <w:r>
        <w:rPr>
          <w:rFonts w:hint="eastAsia" w:eastAsia="仿宋_GB2312" w:cs="Times New Roman"/>
          <w:b w:val="0"/>
          <w:bCs w:val="0"/>
          <w:i w:val="0"/>
          <w:iCs w:val="0"/>
          <w:color w:val="auto"/>
          <w:sz w:val="32"/>
          <w:szCs w:val="32"/>
          <w:highlight w:val="none"/>
          <w:lang w:val="en-US" w:eastAsia="zh-CN"/>
        </w:rPr>
        <w:t>4</w:t>
      </w:r>
      <w:r>
        <w:rPr>
          <w:rFonts w:hint="default" w:ascii="Times New Roman" w:hAnsi="Times New Roman" w:eastAsia="仿宋_GB2312" w:cs="Times New Roman"/>
          <w:b w:val="0"/>
          <w:bCs w:val="0"/>
          <w:i w:val="0"/>
          <w:iCs w:val="0"/>
          <w:color w:val="auto"/>
          <w:sz w:val="32"/>
          <w:szCs w:val="32"/>
          <w:highlight w:val="none"/>
          <w:lang w:val="en-US" w:eastAsia="zh-CN"/>
        </w:rPr>
        <w:t>年度</w:t>
      </w:r>
      <w:r>
        <w:rPr>
          <w:rFonts w:hint="default" w:ascii="Times New Roman" w:hAnsi="Times New Roman" w:eastAsia="仿宋_GB2312" w:cs="Times New Roman"/>
          <w:b w:val="0"/>
          <w:bCs w:val="0"/>
          <w:i w:val="0"/>
          <w:iCs w:val="0"/>
          <w:color w:val="auto"/>
          <w:sz w:val="32"/>
          <w:szCs w:val="32"/>
          <w:highlight w:val="none"/>
        </w:rPr>
        <w:t>预算编制阶段，组织</w:t>
      </w:r>
      <w:r>
        <w:rPr>
          <w:rFonts w:hint="eastAsia" w:ascii="Times New Roman" w:hAnsi="Times New Roman" w:eastAsia="仿宋_GB2312" w:cs="Times New Roman"/>
          <w:b w:val="0"/>
          <w:bCs w:val="0"/>
          <w:i w:val="0"/>
          <w:iCs w:val="0"/>
          <w:color w:val="auto"/>
          <w:sz w:val="32"/>
          <w:szCs w:val="32"/>
          <w:highlight w:val="none"/>
          <w:lang w:eastAsia="zh-CN"/>
        </w:rPr>
        <w:t>对车驾管业务专项经费项目、红绿灯日常运行维护费项目、交通事故检验鉴定工作经费项目、交通安全管理专项经费项目</w:t>
      </w:r>
      <w:r>
        <w:rPr>
          <w:rFonts w:hint="default" w:ascii="Times New Roman" w:hAnsi="Times New Roman" w:eastAsia="仿宋_GB2312" w:cs="Times New Roman"/>
          <w:b w:val="0"/>
          <w:bCs w:val="0"/>
          <w:i w:val="0"/>
          <w:iCs w:val="0"/>
          <w:color w:val="auto"/>
          <w:sz w:val="32"/>
          <w:szCs w:val="32"/>
          <w:highlight w:val="none"/>
          <w:lang w:eastAsia="zh-CN"/>
        </w:rPr>
        <w:t>等</w:t>
      </w:r>
      <w:r>
        <w:rPr>
          <w:rFonts w:hint="default" w:ascii="Times New Roman" w:hAnsi="Times New Roman" w:eastAsia="仿宋_GB2312" w:cs="Times New Roman"/>
          <w:b w:val="0"/>
          <w:bCs w:val="0"/>
          <w:i w:val="0"/>
          <w:iCs w:val="0"/>
          <w:color w:val="auto"/>
          <w:sz w:val="32"/>
          <w:szCs w:val="32"/>
          <w:highlight w:val="none"/>
          <w:lang w:val="en-US" w:eastAsia="zh-CN"/>
        </w:rPr>
        <w:t>项目</w:t>
      </w:r>
      <w:r>
        <w:rPr>
          <w:rFonts w:hint="default" w:ascii="Times New Roman" w:hAnsi="Times New Roman" w:eastAsia="仿宋_GB2312" w:cs="Times New Roman"/>
          <w:b w:val="0"/>
          <w:bCs w:val="0"/>
          <w:i w:val="0"/>
          <w:iCs w:val="0"/>
          <w:color w:val="auto"/>
          <w:sz w:val="32"/>
          <w:szCs w:val="32"/>
          <w:highlight w:val="none"/>
        </w:rPr>
        <w:t>开展了预算事前绩效评估</w:t>
      </w:r>
      <w:r>
        <w:rPr>
          <w:rFonts w:hint="eastAsia" w:eastAsia="仿宋_GB2312" w:cs="Times New Roman"/>
          <w:b w:val="0"/>
          <w:bCs w:val="0"/>
          <w:i w:val="0"/>
          <w:iCs w:val="0"/>
          <w:color w:val="auto"/>
          <w:sz w:val="32"/>
          <w:szCs w:val="32"/>
          <w:highlight w:val="none"/>
          <w:lang w:eastAsia="zh-CN"/>
        </w:rPr>
        <w:t>，</w:t>
      </w:r>
      <w:r>
        <w:rPr>
          <w:rFonts w:hint="eastAsia" w:ascii="Times New Roman" w:hAnsi="Times New Roman" w:eastAsia="仿宋_GB2312" w:cs="仿宋_GB2312"/>
          <w:color w:val="auto"/>
          <w:kern w:val="2"/>
          <w:sz w:val="32"/>
          <w:szCs w:val="32"/>
          <w:highlight w:val="none"/>
          <w:lang w:val="en-US" w:eastAsia="zh-CN" w:bidi="ar-SA"/>
        </w:rPr>
        <w:t>对</w:t>
      </w: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组织对2024年度一般公共预算、政府性基金预算、国有资本经营预算、社会保险基金预算以及资本资产、债券资金等全面开展绩效自评，形成区交警大队部门整体（含部门预算项目）绩效自评报告、</w:t>
      </w:r>
      <w:r>
        <w:rPr>
          <w:rFonts w:hint="eastAsia" w:ascii="Times New Roman" w:hAnsi="Times New Roman" w:eastAsia="仿宋_GB2312" w:cs="Times New Roman"/>
          <w:b w:val="0"/>
          <w:bCs w:val="0"/>
          <w:i w:val="0"/>
          <w:iCs w:val="0"/>
          <w:color w:val="auto"/>
          <w:sz w:val="32"/>
          <w:szCs w:val="32"/>
          <w:highlight w:val="none"/>
          <w:lang w:eastAsia="zh-CN"/>
        </w:rPr>
        <w:t>车驾管业务专项经费项目、红绿灯日常运行维护费项目、交通事故检验鉴定工作经费项目、交通安全管理专项经费项目</w:t>
      </w:r>
      <w:r>
        <w:rPr>
          <w:rFonts w:hint="default" w:ascii="Times New Roman" w:hAnsi="Times New Roman" w:eastAsia="仿宋_GB2312" w:cs="Times New Roman"/>
          <w:b w:val="0"/>
          <w:bCs w:val="0"/>
          <w:i w:val="0"/>
          <w:iCs w:val="0"/>
          <w:color w:val="auto"/>
          <w:sz w:val="32"/>
          <w:szCs w:val="32"/>
          <w:highlight w:val="none"/>
          <w:lang w:eastAsia="zh-CN"/>
        </w:rPr>
        <w:t>等</w:t>
      </w:r>
      <w:r>
        <w:rPr>
          <w:rFonts w:hint="eastAsia" w:ascii="Times New Roman" w:hAnsi="Times New Roman" w:eastAsia="仿宋_GB2312" w:cs="Times New Roman"/>
          <w:kern w:val="2"/>
          <w:sz w:val="32"/>
          <w:szCs w:val="32"/>
          <w:highlight w:val="none"/>
          <w:u w:val="none"/>
          <w:lang w:val="en-US" w:eastAsia="zh-CN" w:bidi="ar"/>
        </w:rPr>
        <w:t>项目支出绩效自评表</w:t>
      </w:r>
      <w:r>
        <w:rPr>
          <w:rFonts w:hint="eastAsia" w:ascii="Times New Roman" w:hAnsi="Times New Roman" w:eastAsia="仿宋_GB2312" w:cs="仿宋_GB2312"/>
          <w:color w:val="auto"/>
          <w:kern w:val="2"/>
          <w:sz w:val="32"/>
          <w:szCs w:val="32"/>
          <w:highlight w:val="none"/>
          <w:lang w:val="en-US" w:eastAsia="zh-CN" w:bidi="ar-SA"/>
        </w:rPr>
        <w:t>，其中，</w:t>
      </w:r>
      <w:r>
        <w:rPr>
          <w:rFonts w:hint="eastAsia" w:ascii="仿宋_GB2312" w:hAnsi="仿宋_GB2312" w:cs="仿宋_GB2312"/>
          <w:color w:val="auto"/>
          <w:sz w:val="32"/>
          <w:szCs w:val="32"/>
          <w:highlight w:val="none"/>
          <w:lang w:eastAsia="zh-CN"/>
        </w:rPr>
        <w:t>区交警大队</w:t>
      </w:r>
      <w:r>
        <w:rPr>
          <w:rFonts w:hint="default" w:ascii="Times New Roman" w:hAnsi="Times New Roman" w:eastAsia="仿宋_GB2312" w:cs="Times New Roman"/>
          <w:b w:val="0"/>
          <w:bCs w:val="0"/>
          <w:i w:val="0"/>
          <w:iCs w:val="0"/>
          <w:color w:val="auto"/>
          <w:sz w:val="32"/>
          <w:szCs w:val="32"/>
          <w:highlight w:val="none"/>
          <w:lang w:val="en-US" w:eastAsia="zh-CN"/>
        </w:rPr>
        <w:t>部门</w:t>
      </w:r>
      <w:r>
        <w:rPr>
          <w:rFonts w:hint="eastAsia" w:ascii="Times New Roman" w:hAnsi="Times New Roman" w:eastAsia="仿宋_GB2312" w:cs="仿宋_GB2312"/>
          <w:color w:val="auto"/>
          <w:kern w:val="2"/>
          <w:sz w:val="32"/>
          <w:szCs w:val="32"/>
          <w:highlight w:val="none"/>
          <w:lang w:val="en-US" w:eastAsia="zh-CN" w:bidi="ar-SA"/>
        </w:rPr>
        <w:t>整体（含部门预算项目）绩效自评得分为</w:t>
      </w:r>
      <w:r>
        <w:rPr>
          <w:rFonts w:hint="eastAsia" w:eastAsia="仿宋_GB2312" w:cs="仿宋_GB2312"/>
          <w:color w:val="auto"/>
          <w:kern w:val="2"/>
          <w:sz w:val="32"/>
          <w:szCs w:val="32"/>
          <w:highlight w:val="none"/>
          <w:lang w:val="en-US" w:eastAsia="zh-CN" w:bidi="ar-SA"/>
        </w:rPr>
        <w:t>94.50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2024年我大队整体上完成了年初设定的绩效目标，有效地保障了各项道路交通安全管理工作的顺利完成，充分发挥了财政资金的经济效益、社会效益。积极推动预算绩效管理工作深入开展，切实增强预算编制的科学性、合理性和可行性，提升了编制质量。绩效目标设置完整、明确、量化、合理，覆盖全部项目，能反映年度履行法律监督职能情况。在预算执行管理工作中，严格按照预算确定的资金类别和用途执行，实时监控预算执行进度</w:t>
      </w:r>
      <w:r>
        <w:rPr>
          <w:rFonts w:hint="eastAsia" w:eastAsia="仿宋_GB2312" w:cs="仿宋_GB2312"/>
          <w:color w:val="auto"/>
          <w:kern w:val="2"/>
          <w:sz w:val="32"/>
          <w:szCs w:val="32"/>
          <w:highlight w:val="none"/>
          <w:lang w:val="en-US" w:eastAsia="zh-CN" w:bidi="ar-SA"/>
        </w:rPr>
        <w:t>；交通事故检验鉴定专项经费项目绩效自评综合得分为98分，绩效自评综述：按照全年的事故量和刑事案件情况，对相应的进行鉴定，保障事故认定的准确，充分达到保平安降事故的作用；</w:t>
      </w:r>
      <w:r>
        <w:rPr>
          <w:rFonts w:hint="eastAsia" w:ascii="Times New Roman" w:hAnsi="Times New Roman" w:eastAsia="仿宋_GB2312" w:cs="Times New Roman"/>
          <w:b w:val="0"/>
          <w:bCs w:val="0"/>
          <w:i w:val="0"/>
          <w:iCs w:val="0"/>
          <w:color w:val="auto"/>
          <w:sz w:val="32"/>
          <w:szCs w:val="32"/>
          <w:highlight w:val="none"/>
          <w:lang w:eastAsia="zh-CN"/>
        </w:rPr>
        <w:t>交通事故违章车辆停车拖车费</w:t>
      </w:r>
      <w:r>
        <w:rPr>
          <w:rFonts w:hint="eastAsia" w:eastAsia="仿宋_GB2312" w:cs="Times New Roman"/>
          <w:b w:val="0"/>
          <w:bCs w:val="0"/>
          <w:i w:val="0"/>
          <w:iCs w:val="0"/>
          <w:color w:val="auto"/>
          <w:sz w:val="32"/>
          <w:szCs w:val="32"/>
          <w:highlight w:val="none"/>
          <w:lang w:eastAsia="zh-CN"/>
        </w:rPr>
        <w:t>项</w:t>
      </w:r>
      <w:r>
        <w:rPr>
          <w:rFonts w:hint="eastAsia" w:eastAsia="仿宋_GB2312" w:cs="仿宋_GB2312"/>
          <w:color w:val="auto"/>
          <w:kern w:val="2"/>
          <w:sz w:val="32"/>
          <w:szCs w:val="32"/>
          <w:highlight w:val="none"/>
          <w:lang w:val="en-US" w:eastAsia="zh-CN" w:bidi="ar-SA"/>
        </w:rPr>
        <w:t>目绩效自评综合得分为97分，绩效自评综述：及时高效的处理违停车辆，较好地保障了路面畅通率；</w:t>
      </w:r>
      <w:r>
        <w:rPr>
          <w:rFonts w:hint="eastAsia" w:ascii="Times New Roman" w:hAnsi="Times New Roman" w:eastAsia="仿宋_GB2312" w:cs="Times New Roman"/>
          <w:b w:val="0"/>
          <w:bCs w:val="0"/>
          <w:i w:val="0"/>
          <w:iCs w:val="0"/>
          <w:color w:val="auto"/>
          <w:sz w:val="32"/>
          <w:szCs w:val="32"/>
          <w:highlight w:val="none"/>
          <w:lang w:eastAsia="zh-CN"/>
        </w:rPr>
        <w:t>车架管业务专项经费</w:t>
      </w:r>
      <w:r>
        <w:rPr>
          <w:rFonts w:hint="eastAsia" w:eastAsia="仿宋_GB2312" w:cs="Times New Roman"/>
          <w:b w:val="0"/>
          <w:bCs w:val="0"/>
          <w:i w:val="0"/>
          <w:iCs w:val="0"/>
          <w:color w:val="auto"/>
          <w:sz w:val="32"/>
          <w:szCs w:val="32"/>
          <w:highlight w:val="none"/>
          <w:lang w:eastAsia="zh-CN"/>
        </w:rPr>
        <w:t>项</w:t>
      </w:r>
      <w:r>
        <w:rPr>
          <w:rFonts w:hint="eastAsia" w:eastAsia="仿宋_GB2312" w:cs="仿宋_GB2312"/>
          <w:color w:val="auto"/>
          <w:kern w:val="2"/>
          <w:sz w:val="32"/>
          <w:szCs w:val="32"/>
          <w:highlight w:val="none"/>
          <w:lang w:val="en-US" w:eastAsia="zh-CN" w:bidi="ar-SA"/>
        </w:rPr>
        <w:t>目绩效自评综合得分为97分，绩效自评综述：紧紧围绕“便民、高效、规范”目标，扎实推进各项工作，共办理各类业务31495件，超额完成项目绩效指标，共完成行政事业性收费120.8万元，超额完成绩效指标值。全年四川公安社会化评价满意度测评，车管所窗口仅一条不满意回复，群众获得感和满意度不断增强；</w:t>
      </w:r>
      <w:r>
        <w:rPr>
          <w:rFonts w:hint="eastAsia" w:ascii="Times New Roman" w:hAnsi="Times New Roman" w:eastAsia="仿宋_GB2312" w:cs="Times New Roman"/>
          <w:b w:val="0"/>
          <w:bCs w:val="0"/>
          <w:i w:val="0"/>
          <w:iCs w:val="0"/>
          <w:color w:val="auto"/>
          <w:sz w:val="32"/>
          <w:szCs w:val="32"/>
          <w:highlight w:val="none"/>
          <w:lang w:eastAsia="zh-CN"/>
        </w:rPr>
        <w:t>122平台维护</w:t>
      </w:r>
      <w:r>
        <w:rPr>
          <w:rFonts w:hint="eastAsia" w:eastAsia="仿宋_GB2312" w:cs="Times New Roman"/>
          <w:b w:val="0"/>
          <w:bCs w:val="0"/>
          <w:i w:val="0"/>
          <w:iCs w:val="0"/>
          <w:color w:val="auto"/>
          <w:sz w:val="32"/>
          <w:szCs w:val="32"/>
          <w:highlight w:val="none"/>
          <w:lang w:eastAsia="zh-CN"/>
        </w:rPr>
        <w:t>项</w:t>
      </w:r>
      <w:r>
        <w:rPr>
          <w:rFonts w:hint="eastAsia" w:eastAsia="仿宋_GB2312" w:cs="仿宋_GB2312"/>
          <w:color w:val="auto"/>
          <w:kern w:val="2"/>
          <w:sz w:val="32"/>
          <w:szCs w:val="32"/>
          <w:highlight w:val="none"/>
          <w:lang w:val="en-US" w:eastAsia="zh-CN" w:bidi="ar-SA"/>
        </w:rPr>
        <w:t>目绩效自评综合得分为100分，绩效自评综述：该项目按照年初预算实际执行，保障了所有网络的正常运转，违法提示等短信及时发送；</w:t>
      </w:r>
      <w:r>
        <w:rPr>
          <w:rFonts w:hint="eastAsia" w:ascii="Times New Roman" w:hAnsi="Times New Roman" w:eastAsia="仿宋_GB2312" w:cs="Times New Roman"/>
          <w:b w:val="0"/>
          <w:bCs w:val="0"/>
          <w:i w:val="0"/>
          <w:iCs w:val="0"/>
          <w:color w:val="auto"/>
          <w:sz w:val="32"/>
          <w:szCs w:val="32"/>
          <w:highlight w:val="none"/>
          <w:lang w:eastAsia="zh-CN"/>
        </w:rPr>
        <w:t>红绿灯日常运行维护</w:t>
      </w:r>
      <w:r>
        <w:rPr>
          <w:rFonts w:hint="eastAsia" w:eastAsia="仿宋_GB2312" w:cs="Times New Roman"/>
          <w:b w:val="0"/>
          <w:bCs w:val="0"/>
          <w:i w:val="0"/>
          <w:iCs w:val="0"/>
          <w:color w:val="auto"/>
          <w:sz w:val="32"/>
          <w:szCs w:val="32"/>
          <w:highlight w:val="none"/>
          <w:lang w:eastAsia="zh-CN"/>
        </w:rPr>
        <w:t>项</w:t>
      </w:r>
      <w:r>
        <w:rPr>
          <w:rFonts w:hint="eastAsia" w:eastAsia="仿宋_GB2312" w:cs="仿宋_GB2312"/>
          <w:color w:val="auto"/>
          <w:kern w:val="2"/>
          <w:sz w:val="32"/>
          <w:szCs w:val="32"/>
          <w:highlight w:val="none"/>
          <w:lang w:val="en-US" w:eastAsia="zh-CN" w:bidi="ar-SA"/>
        </w:rPr>
        <w:t>目绩效自评综合得分为100分，绩效自评综述：坚持走科技兴安道路，强化信息化、智能化运用，在安居城区新增4处“电子警察”等抓拍系统，利用抓拍系统扩展对违法停车、超速、闯红灯等违法行为的查处，运用科技手段全力保障群众出行安全和路面畅通；</w:t>
      </w:r>
      <w:r>
        <w:rPr>
          <w:rFonts w:hint="eastAsia" w:ascii="Times New Roman" w:hAnsi="Times New Roman" w:eastAsia="仿宋_GB2312" w:cs="Times New Roman"/>
          <w:b w:val="0"/>
          <w:bCs w:val="0"/>
          <w:i w:val="0"/>
          <w:iCs w:val="0"/>
          <w:color w:val="auto"/>
          <w:sz w:val="32"/>
          <w:szCs w:val="32"/>
          <w:highlight w:val="none"/>
          <w:lang w:eastAsia="zh-CN"/>
        </w:rPr>
        <w:t>道安办工作经费</w:t>
      </w:r>
      <w:r>
        <w:rPr>
          <w:rFonts w:hint="eastAsia" w:eastAsia="仿宋_GB2312" w:cs="Times New Roman"/>
          <w:b w:val="0"/>
          <w:bCs w:val="0"/>
          <w:i w:val="0"/>
          <w:iCs w:val="0"/>
          <w:color w:val="auto"/>
          <w:sz w:val="32"/>
          <w:szCs w:val="32"/>
          <w:highlight w:val="none"/>
          <w:lang w:eastAsia="zh-CN"/>
        </w:rPr>
        <w:t>项</w:t>
      </w:r>
      <w:r>
        <w:rPr>
          <w:rFonts w:hint="eastAsia" w:eastAsia="仿宋_GB2312" w:cs="仿宋_GB2312"/>
          <w:color w:val="auto"/>
          <w:kern w:val="2"/>
          <w:sz w:val="32"/>
          <w:szCs w:val="32"/>
          <w:highlight w:val="none"/>
          <w:lang w:val="en-US" w:eastAsia="zh-CN" w:bidi="ar-SA"/>
        </w:rPr>
        <w:t>目绩效自评综合得分为100分，绩效自评综述：紧紧围绕上级要求开展全区道路交通安全隐患协调治理工作，全年来共排查挂牌隐患28处，整改28处，不定时发放宣传资料，营造良好的宣传氛围，每月下乡督导乡镇交管办日常工作开展情况，对每处上报隐患进行现场勘察，同时制定整改方式，明确整改单位；</w:t>
      </w:r>
      <w:r>
        <w:rPr>
          <w:rFonts w:hint="eastAsia" w:ascii="Times New Roman" w:hAnsi="Times New Roman" w:eastAsia="仿宋_GB2312" w:cs="Times New Roman"/>
          <w:b w:val="0"/>
          <w:bCs w:val="0"/>
          <w:i w:val="0"/>
          <w:iCs w:val="0"/>
          <w:color w:val="auto"/>
          <w:sz w:val="32"/>
          <w:szCs w:val="32"/>
          <w:highlight w:val="none"/>
          <w:lang w:eastAsia="zh-CN"/>
        </w:rPr>
        <w:t>政法转移经费</w:t>
      </w:r>
      <w:r>
        <w:rPr>
          <w:rFonts w:hint="eastAsia" w:eastAsia="仿宋_GB2312" w:cs="Times New Roman"/>
          <w:b w:val="0"/>
          <w:bCs w:val="0"/>
          <w:i w:val="0"/>
          <w:iCs w:val="0"/>
          <w:color w:val="auto"/>
          <w:sz w:val="32"/>
          <w:szCs w:val="32"/>
          <w:highlight w:val="none"/>
          <w:lang w:eastAsia="zh-CN"/>
        </w:rPr>
        <w:t>项</w:t>
      </w:r>
      <w:r>
        <w:rPr>
          <w:rFonts w:hint="eastAsia" w:eastAsia="仿宋_GB2312" w:cs="仿宋_GB2312"/>
          <w:color w:val="auto"/>
          <w:kern w:val="2"/>
          <w:sz w:val="32"/>
          <w:szCs w:val="32"/>
          <w:highlight w:val="none"/>
          <w:lang w:val="en-US" w:eastAsia="zh-CN" w:bidi="ar-SA"/>
        </w:rPr>
        <w:t>目绩效自评综合得分为98分，绩效自评综述：项目资金严格按照财政管理制度和项目实施方案执行，资金拨付、使用审批流程完备，资金使用合规率达100%；</w:t>
      </w:r>
      <w:r>
        <w:rPr>
          <w:rFonts w:hint="eastAsia" w:ascii="Times New Roman" w:hAnsi="Times New Roman" w:eastAsia="仿宋_GB2312" w:cs="Times New Roman"/>
          <w:b w:val="0"/>
          <w:bCs w:val="0"/>
          <w:i w:val="0"/>
          <w:iCs w:val="0"/>
          <w:color w:val="auto"/>
          <w:sz w:val="32"/>
          <w:szCs w:val="32"/>
          <w:highlight w:val="none"/>
          <w:lang w:eastAsia="zh-CN"/>
        </w:rPr>
        <w:t>交通安全管理专项</w:t>
      </w:r>
      <w:r>
        <w:rPr>
          <w:rFonts w:hint="eastAsia" w:eastAsia="仿宋_GB2312" w:cs="Times New Roman"/>
          <w:b w:val="0"/>
          <w:bCs w:val="0"/>
          <w:i w:val="0"/>
          <w:iCs w:val="0"/>
          <w:color w:val="auto"/>
          <w:sz w:val="32"/>
          <w:szCs w:val="32"/>
          <w:highlight w:val="none"/>
          <w:lang w:eastAsia="zh-CN"/>
        </w:rPr>
        <w:t>项</w:t>
      </w:r>
      <w:r>
        <w:rPr>
          <w:rFonts w:hint="eastAsia" w:eastAsia="仿宋_GB2312" w:cs="仿宋_GB2312"/>
          <w:color w:val="auto"/>
          <w:kern w:val="2"/>
          <w:sz w:val="32"/>
          <w:szCs w:val="32"/>
          <w:highlight w:val="none"/>
          <w:lang w:val="en-US" w:eastAsia="zh-CN" w:bidi="ar-SA"/>
        </w:rPr>
        <w:t>目绩效自评综合得分为100分，绩效自评综述：依托“七进”宣传机制，进学校、进机关、进企业、进单位等120余次，在公园、商场等人员较为集中的地点，举办大型宣传教育活动，有效教育广大群众自觉摒弃交通陋习，提高群众道路交安全意识。</w:t>
      </w:r>
      <w:r>
        <w:rPr>
          <w:rFonts w:hint="eastAsia" w:ascii="Times New Roman" w:hAnsi="Times New Roman" w:eastAsia="仿宋_GB2312" w:cs="Times New Roman"/>
          <w:b w:val="0"/>
          <w:bCs w:val="0"/>
          <w:i w:val="0"/>
          <w:iCs w:val="0"/>
          <w:color w:val="auto"/>
          <w:sz w:val="32"/>
          <w:szCs w:val="32"/>
          <w:highlight w:val="none"/>
          <w:lang w:eastAsia="zh-CN"/>
        </w:rPr>
        <w:t>海龙凯哥文旅园区保障经费</w:t>
      </w:r>
      <w:r>
        <w:rPr>
          <w:rFonts w:hint="eastAsia" w:eastAsia="仿宋_GB2312" w:cs="Times New Roman"/>
          <w:b w:val="0"/>
          <w:bCs w:val="0"/>
          <w:i w:val="0"/>
          <w:iCs w:val="0"/>
          <w:color w:val="auto"/>
          <w:sz w:val="32"/>
          <w:szCs w:val="32"/>
          <w:highlight w:val="none"/>
          <w:lang w:eastAsia="zh-CN"/>
        </w:rPr>
        <w:t>项</w:t>
      </w:r>
      <w:r>
        <w:rPr>
          <w:rFonts w:hint="eastAsia" w:eastAsia="仿宋_GB2312" w:cs="仿宋_GB2312"/>
          <w:color w:val="auto"/>
          <w:kern w:val="2"/>
          <w:sz w:val="32"/>
          <w:szCs w:val="32"/>
          <w:highlight w:val="none"/>
          <w:lang w:val="en-US" w:eastAsia="zh-CN" w:bidi="ar-SA"/>
        </w:rPr>
        <w:t>目绩效自评综合得分为97分，绩效自评综述：项目整体执行情况良好，符合上级决策部署，资金分配及使用合规合法，取得较好的社会效益。</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61" w:name="_Toc15377225"/>
      <w:bookmarkStart w:id="62" w:name="_Toc15396613"/>
      <w:bookmarkStart w:id="63" w:name="_Toc12143"/>
    </w:p>
    <w:p>
      <w:pPr>
        <w:pStyle w:val="2"/>
        <w:rPr>
          <w:rFonts w:hint="eastAsia"/>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61"/>
      <w:bookmarkEnd w:id="62"/>
      <w:bookmarkEnd w:id="63"/>
    </w:p>
    <w:p>
      <w:pPr>
        <w:pStyle w:val="2"/>
        <w:rPr>
          <w:rFonts w:hint="eastAsia"/>
        </w:rPr>
      </w:pP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5.使用非财政拨款结余（含专用结余）：指事业单位使用以前年度积累的非财政拨款结余弥补当年收支差额的金额。</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9.公共安全支出（类）公安（款）一般行政管理事务（项）: 反映行政单位（包括实行公务员管理的事业单位）未单独设置项项级科目的其他项目支出。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10.公共安全支出（类）公安（款）执法办案（项）: 反映公安机关从事行政执法、刑事司法及侦查办案等相关活动的支出。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11.公共安全支出（类）公安（款）特别业务（项）: 反映公安机关开展特别业务工作的相关支出。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12.公共安全支出（类）公安（款）其他公安支出（项）: 反映除上述项目以外其他用于公安方面的支出。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13.基本支出：指为保障机构正常运转、完成日常工作任务而发生的人员支出和公用支出。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14.项目支出：指在基本支出之外为完成特定行政任务和事业发展目标所发生的支出。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15.经营支出：指事业单位在专业业务活动及其辅助活动之外开展非独立核算经营活动发生的支出。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三公”经费：指部门用财政拨款安排的因公出国（境）费、公务用车购置及运行费和公务接待费。其中，因公出国（境）费反映单位公务出国（境）的国际旅费、国外城市间交通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黑体"/>
          <w:color w:val="auto"/>
          <w:sz w:val="44"/>
          <w:szCs w:val="44"/>
          <w:highlight w:val="none"/>
        </w:rPr>
      </w:pPr>
      <w:r>
        <w:rPr>
          <w:rFonts w:hint="eastAsia" w:ascii="Times New Roman" w:hAnsi="Times New Roman" w:eastAsia="仿宋_GB2312" w:cs="仿宋_GB2312"/>
          <w:color w:val="auto"/>
          <w:kern w:val="2"/>
          <w:sz w:val="32"/>
          <w:szCs w:val="32"/>
          <w:highlight w:val="none"/>
          <w:lang w:val="en-US" w:eastAsia="zh-CN" w:bidi="ar-SA"/>
        </w:rPr>
        <w:t>17.机关运行经费：为保障行政单位（含参照公务员法管理的事业单位）运行用于购买货物和服务的各项资金，包括办公及印刷费、邮电费、差旅费、会议费、福利费、日常维修费、办公用房水电费、公务用车运行维护费以及其他费用。</w:t>
      </w:r>
      <w:bookmarkStart w:id="64" w:name="_Toc15396614"/>
      <w:bookmarkStart w:id="65" w:name="_Toc27006"/>
      <w:bookmarkStart w:id="66" w:name="_Toc15377226"/>
    </w:p>
    <w:p>
      <w:pPr>
        <w:spacing w:line="600" w:lineRule="exact"/>
        <w:jc w:val="center"/>
        <w:outlineLvl w:val="0"/>
        <w:rPr>
          <w:rStyle w:val="30"/>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64"/>
      <w:bookmarkEnd w:id="65"/>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方正小标宋简体" w:eastAsia="方正小标宋简体"/>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方正小标宋简体" w:eastAsia="方正小标宋简体"/>
          <w:bCs/>
          <w:sz w:val="44"/>
          <w:szCs w:val="44"/>
          <w:highlight w:val="none"/>
          <w:shd w:val="clear" w:color="auto" w:fill="FFFFFF"/>
        </w:rPr>
      </w:pPr>
      <w:r>
        <w:rPr>
          <w:rFonts w:hint="eastAsia" w:ascii="方正小标宋简体" w:eastAsia="方正小标宋简体"/>
          <w:bCs/>
          <w:sz w:val="44"/>
          <w:szCs w:val="44"/>
          <w:highlight w:val="none"/>
          <w:shd w:val="clear" w:color="auto" w:fill="FFFFFF"/>
        </w:rPr>
        <w:t>遂宁市公安局安居区分局交通警察大队</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pPr>
        <w:keepNext w:val="0"/>
        <w:keepLines w:val="0"/>
        <w:pageBreakBefore w:val="0"/>
        <w:widowControl/>
        <w:kinsoku/>
        <w:wordWrap/>
        <w:overflowPunct/>
        <w:topLinePunct w:val="0"/>
        <w:autoSpaceDE/>
        <w:autoSpaceDN/>
        <w:bidi w:val="0"/>
        <w:adjustRightInd w:val="0"/>
        <w:snapToGrid w:val="0"/>
        <w:spacing w:line="578" w:lineRule="exact"/>
        <w:ind w:left="638" w:leftChars="304" w:firstLine="0" w:firstLineChars="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仿宋_GB2312" w:cs="Times New Roman"/>
          <w:sz w:val="32"/>
          <w:szCs w:val="32"/>
          <w:highlight w:val="none"/>
          <w:lang w:val="zh-CN" w:eastAsia="zh-CN"/>
        </w:rPr>
        <w:t>交警大队为二级预算单位，下设11个派出所交警中队。</w:t>
      </w: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zh-CN" w:eastAsia="zh-CN"/>
        </w:rPr>
      </w:pPr>
      <w:r>
        <w:rPr>
          <w:rFonts w:hint="eastAsia" w:ascii="Times New Roman" w:hAnsi="Times New Roman" w:eastAsia="仿宋_GB2312" w:cs="Times New Roman"/>
          <w:sz w:val="32"/>
          <w:szCs w:val="32"/>
          <w:highlight w:val="none"/>
          <w:lang w:val="zh-CN" w:eastAsia="zh-CN"/>
        </w:rPr>
        <w:t>交警大队主要职能是，负责组织、指挥和监督全区公安机关依法查处道路交通违法行为和处理交通事故；实施全区城乡道路交通管理和车辆、驾驶员（不含农用运输车辆等农业机械的牌证）管理工作；指导全区交警维护交通秩序；负责摩托车安全检查、牌证发放和驾驶员考核工作；开展安全宣传教育活动；指导和参与城市建设、道路交通和安全设施的规范管理；指导摩托车检测和驾驶员的培训工作</w:t>
      </w:r>
      <w:r>
        <w:rPr>
          <w:rFonts w:hint="eastAsia" w:eastAsia="仿宋_GB2312" w:cs="Times New Roman"/>
          <w:sz w:val="32"/>
          <w:szCs w:val="32"/>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szCs w:val="32"/>
          <w:highlight w:val="none"/>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Times New Roman"/>
          <w:sz w:val="32"/>
          <w:szCs w:val="32"/>
          <w:highlight w:val="none"/>
          <w:lang w:val="en-US" w:eastAsia="zh-CN"/>
        </w:rPr>
        <w:t>截至202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年末，区交警大队及下属单位有</w:t>
      </w:r>
      <w:r>
        <w:rPr>
          <w:rFonts w:hint="eastAsia" w:eastAsia="仿宋_GB2312" w:cs="Times New Roman"/>
          <w:sz w:val="32"/>
          <w:szCs w:val="32"/>
          <w:highlight w:val="none"/>
          <w:lang w:val="en-US" w:eastAsia="zh-CN"/>
        </w:rPr>
        <w:t>在职</w:t>
      </w:r>
      <w:r>
        <w:rPr>
          <w:rFonts w:hint="default" w:ascii="Times New Roman" w:hAnsi="Times New Roman" w:eastAsia="仿宋_GB2312" w:cs="Times New Roman"/>
          <w:sz w:val="32"/>
          <w:szCs w:val="32"/>
          <w:highlight w:val="none"/>
          <w:lang w:val="en-US" w:eastAsia="zh-CN"/>
        </w:rPr>
        <w:t>民警26人，交通协警71人</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Times New Roman"/>
          <w:sz w:val="32"/>
          <w:szCs w:val="32"/>
          <w:highlight w:val="none"/>
          <w:lang w:val="en-US" w:eastAsia="zh-CN"/>
        </w:rPr>
        <w:t>区交警大队</w:t>
      </w:r>
      <w:r>
        <w:rPr>
          <w:rFonts w:hint="eastAsia" w:ascii="Times New Roman" w:hAnsi="Times New Roman" w:eastAsia="仿宋_GB2312" w:cs="Times New Roman"/>
          <w:sz w:val="32"/>
          <w:szCs w:val="32"/>
          <w:highlight w:val="none"/>
          <w:lang w:val="en-US" w:eastAsia="zh-CN"/>
        </w:rPr>
        <w:t>2024年年初预算收入955.54</w:t>
      </w:r>
      <w:r>
        <w:rPr>
          <w:rFonts w:hint="eastAsia"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、决算报表收入955.54</w:t>
      </w:r>
      <w:r>
        <w:rPr>
          <w:rFonts w:hint="eastAsia"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highlight w:val="none"/>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Times New Roman"/>
          <w:sz w:val="32"/>
          <w:szCs w:val="32"/>
          <w:highlight w:val="none"/>
          <w:lang w:val="en-US" w:eastAsia="zh-CN"/>
        </w:rPr>
        <w:t>区交警大队</w:t>
      </w:r>
      <w:r>
        <w:rPr>
          <w:rFonts w:hint="eastAsia" w:ascii="Times New Roman" w:hAnsi="Times New Roman" w:eastAsia="仿宋_GB2312" w:cs="Times New Roman"/>
          <w:sz w:val="32"/>
          <w:szCs w:val="32"/>
          <w:highlight w:val="none"/>
          <w:lang w:val="en-US" w:eastAsia="zh-CN"/>
        </w:rPr>
        <w:t>2024年年初预算支出955.54</w:t>
      </w:r>
      <w:r>
        <w:rPr>
          <w:rFonts w:hint="eastAsia"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、决算报表支出955.54</w:t>
      </w:r>
      <w:r>
        <w:rPr>
          <w:rFonts w:hint="eastAsia"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default" w:ascii="Times New Roman" w:hAnsi="Times New Roman" w:eastAsia="仿宋_GB2312" w:cs="Times New Roman"/>
          <w:sz w:val="32"/>
          <w:szCs w:val="32"/>
          <w:highlight w:val="none"/>
          <w:lang w:val="en-US" w:eastAsia="zh-CN"/>
        </w:rPr>
        <w:t>区交警大队</w:t>
      </w:r>
      <w:r>
        <w:rPr>
          <w:rFonts w:hint="eastAsia" w:ascii="Times New Roman" w:hAnsi="Times New Roman" w:eastAsia="仿宋_GB2312" w:cs="Times New Roman"/>
          <w:sz w:val="32"/>
          <w:szCs w:val="32"/>
          <w:highlight w:val="none"/>
          <w:lang w:val="en-US" w:eastAsia="zh-CN"/>
        </w:rPr>
        <w:t>2024年决算报表</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val="en-US" w:eastAsia="zh-CN"/>
        </w:rPr>
        <w:t>结转结余</w:t>
      </w:r>
      <w:r>
        <w:rPr>
          <w:rFonts w:hint="eastAsia" w:ascii="Times New Roman" w:hAnsi="Times New Roman" w:eastAsia="仿宋_GB2312" w:cs="Times New Roman"/>
          <w:sz w:val="32"/>
          <w:szCs w:val="32"/>
          <w:highlight w:val="none"/>
          <w:lang w:val="en-US" w:eastAsia="zh-CN"/>
        </w:rPr>
        <w:t>情况</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①</w:t>
      </w:r>
      <w:r>
        <w:rPr>
          <w:rFonts w:hint="eastAsia" w:ascii="Times New Roman" w:hAnsi="Times New Roman" w:eastAsia="仿宋_GB2312" w:cs="仿宋_GB2312"/>
          <w:color w:val="auto"/>
          <w:kern w:val="2"/>
          <w:sz w:val="32"/>
          <w:szCs w:val="32"/>
          <w:highlight w:val="none"/>
          <w:lang w:val="en-US" w:eastAsia="zh-CN" w:bidi="ar-SA"/>
        </w:rPr>
        <w:t>交通安全管理履职效果。紧紧围绕交管工作重心利用“双微”新媒体和农村“大喇叭”，狠抓交通安全宣传。今年共发放各类宣传材料1.5万余份，微博公众号共发布2400余条信息，依托“七进”宣传机制，进学校、进机关、进企业、进单位等120余次，在公园、商场等人员较为集中的地点，举办大型宣传教育活动11场次，制作横幅36条，制作视频24条，有效教育广大群众自觉摒弃交通陋习，提高群众道路交安全意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②</w:t>
      </w:r>
      <w:r>
        <w:rPr>
          <w:rFonts w:hint="eastAsia" w:ascii="Times New Roman" w:hAnsi="Times New Roman" w:eastAsia="仿宋_GB2312" w:cs="仿宋_GB2312"/>
          <w:color w:val="auto"/>
          <w:kern w:val="2"/>
          <w:sz w:val="32"/>
          <w:szCs w:val="32"/>
          <w:highlight w:val="none"/>
          <w:lang w:val="en-US" w:eastAsia="zh-CN" w:bidi="ar-SA"/>
        </w:rPr>
        <w:t>道安办实体化运行履职效果。以安全生产治本攻坚三年行动为抓手，积极行动、强化配合，组织开展道路交通设施专项巡查20余次，完善老旧交通标志32套，维护道路隔离护栏13处，施划道路交通标线24处，深入排查全区道路交通隐患点位28处，其中省级挂牌督办国省道隐患点段1处，市级挂牌督办隐患点段1处，事故多发隐患点段7处，普通公路隐患点段19处，所有隐患点位已完成整治22处，余6处进入收尾阶段。采取多种措施持续强化源头企业监管力度，今年以来，监管道路运输企业已达18家，深入企业检查57次，下发《一般道路交通安全隐患整改通知书》25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③</w:t>
      </w:r>
      <w:r>
        <w:rPr>
          <w:rFonts w:hint="eastAsia" w:ascii="Times New Roman" w:hAnsi="Times New Roman" w:eastAsia="仿宋_GB2312" w:cs="仿宋_GB2312"/>
          <w:color w:val="auto"/>
          <w:kern w:val="2"/>
          <w:sz w:val="32"/>
          <w:szCs w:val="32"/>
          <w:highlight w:val="none"/>
          <w:lang w:val="en-US" w:eastAsia="zh-CN" w:bidi="ar-SA"/>
        </w:rPr>
        <w:t>车架管业务履职效果。以群众满意为服务目标，车驾管全面落实“马上办、网上办、就近办、一次办”等审批服务便民化，持续提升“一网通办”“一窗通办”“多地联办”等能力水平，全力推动“川渝通办”事项落实落地，解决办事群众“多地跑”“往返跑”等问题。全年共办理机动车注册登记1522辆，补换驾驶证3242笔，机动车驾驶证申领2892起，注销机动车业务3482辆，“川渝通办”业务1077起，“两个教育”学习362人次，共发放电动自行车号牌1800张。积极提高违法处理室业务办理效率，今年违法处理大厅接待人数6500余人次，处理违章条数1.1万余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④</w:t>
      </w:r>
      <w:r>
        <w:rPr>
          <w:rFonts w:hint="eastAsia" w:ascii="Times New Roman" w:hAnsi="Times New Roman" w:eastAsia="仿宋_GB2312" w:cs="仿宋_GB2312"/>
          <w:color w:val="auto"/>
          <w:kern w:val="2"/>
          <w:sz w:val="32"/>
          <w:szCs w:val="32"/>
          <w:highlight w:val="none"/>
          <w:lang w:val="en-US" w:eastAsia="zh-CN" w:bidi="ar-SA"/>
        </w:rPr>
        <w:t>红绿灯日常运行维护履职效果。聚焦防范重大安全风险，着力解决遏制重特大事故难题，不断提高防范水平，安居交警坚持走科技兴安的道路，强化信息化、智能化运用，在安居城区新增4处“电子警察”等抓拍系统，利用抓拍系统扩展对违法停车、超速、闯红灯等违法行为的查处，运用科技手段全力保障群众出行安全和路面畅通；联合区住建局对正在升级改造的兴贸路、兴业路、琼江路科学布设道路交通设施，新增标志标牌标线20处，设置限时停车位230个、夜间停车位248个、非机动车停车区52个，有效减缓了兴贸路、兴业路、琼江路停车压力；联合区综合执法局增设安居大道中央隔离护栏、机动车道与非机动车道隔离护栏，并规划调头路口15处，切实改善安居大道车辆通行秩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⑤</w:t>
      </w:r>
      <w:r>
        <w:rPr>
          <w:rFonts w:hint="eastAsia" w:ascii="Times New Roman" w:hAnsi="Times New Roman" w:eastAsia="仿宋_GB2312" w:cs="仿宋_GB2312"/>
          <w:color w:val="auto"/>
          <w:kern w:val="2"/>
          <w:sz w:val="32"/>
          <w:szCs w:val="32"/>
          <w:highlight w:val="none"/>
          <w:lang w:val="en-US" w:eastAsia="zh-CN" w:bidi="ar-SA"/>
        </w:rPr>
        <w:t>交通事故检验鉴定履职效果。结合交通事故大数据，研判交通违法规律特点，实现重点违法全天“无缝”管控。今年以来，全区共查纠各类交通违法行为6.72万起，其中非现场执法4.05万起，现场执法2.67万起。重点交通违法中：查处酒驾1607起、醉驾38起、无牌无证1462起、超载944起、超速3097起、超员397起。2024年全年共发生交通事故2365起，同比上升33%；受伤760人，下降12%；财损205万，上升18%；死亡22人，上升16%。全区未发生较大交通事故，受伤人数持续下降，证明简易擦挂类的交通事故发生起数多，隐患排查治理取得新成效，总体上全区道路交通安全形势保持平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我单位不断强化预算意识，实行部门综合预算管理，形成以单位领导支持、财务部门牵头、其他部门密切配合的工作格局，保证预算编制质量。结合我单位业务情况，进行科学合理分配细化，单位预算经批复后，跟踪预算执行进度，科学合理安排支出。严格执行项目支出预算，积极组织项目实施。本单位2024年预算资金均为财政拨款收入，预算支出执行率100%，预算年终结余为0元。并且2024年全年厉行节约，严控一般性支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本部门制定了《遂宁市公安局安居区分局交通警察大队内控手册》，内含财务管理等制度，覆盖预算编制、资金审批、资产管理、政府采购等关键环节，未发现因制度缺失或执行不到位导致的问题。严格遵循财务岗位设置规范，设置财务负责人、会计、出纳等财务工作岗位。财务负责人对经济活动发生的票据及其相关附件审核把关，检查其合规性、合法性，有无违规事项；会计按会计制度审查经济活动过程及结算单据附件的真实性、完整性、合规性；出纳终审把关，并据实支付，完全做到“钱账分离、审批与经办分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我单位制定较为完善的资产管理制度，涵盖资产采购审批、验收登记、日常使用、维护保养、报废处置等各个环节，明确了各部门职责和工作流程，制度内容符合相关法规和单位实际情况。资产使用责任基本落实到人，各部门能够对使用的资产进行日常维护。但部分高价值设备使用效率较低，存在闲置现象；部分资产维护保养不及时，导致设备老化、损坏，影响正常使用。在今后的工作中，将以问题为导向，不断完善资产管理体系，加强制度执行力度，提高资产使用效率和信息化管理水平，确保资产的安全、完整和有效利用，为单位的发展提供有力保障。</w:t>
      </w:r>
    </w:p>
    <w:p>
      <w:pPr>
        <w:pStyle w:val="39"/>
        <w:spacing w:line="560" w:lineRule="exact"/>
        <w:rPr>
          <w:rFonts w:ascii="仿宋_GB2312"/>
          <w:kern w:val="2"/>
          <w:szCs w:val="32"/>
          <w:highlight w:val="none"/>
          <w:lang w:val="en-US"/>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2024年度，本单位严格执行政府采购法规及内部控制要求，全年完成政府采购项目3项，分别是:车辆加油.添加燃料服务项目，采购总额9万元，通过政府集中采购、框架协议合同授予等方式;交通事故检验鉴定项目，包一法医学鉴定服务项目通过分散采购、依法组织单一来源采购，采购总额20万元。包二交通事故车辆鉴定服务项目通过分散采购、依法组织竞争性磋商采购，采购总额60万元；红绿灯及抓拍系统运行维护项目通过分散采购、依法组织竞争性磋商采购，采购总额78.88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常年项目绩效分析。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个，涉及预算总金额549.04万元，1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阶段</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一次性</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2024年严格落实“三重一大”集体决策制度，大额资金使用事先由支委会讨论，超过5万元提交局党委会审议，会议纪要完整，决策全程留痕。严格按照有关规定要求操作入库项目10个，入库标准科学合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。本年度预算编制遵循“量入为出、收支平衡”的原则，预算总额为955.54万元，主要用于</w:t>
      </w:r>
      <w:r>
        <w:rPr>
          <w:rFonts w:hint="eastAsia" w:eastAsia="仿宋_GB2312" w:cs="仿宋_GB2312"/>
          <w:color w:val="auto"/>
          <w:kern w:val="2"/>
          <w:sz w:val="32"/>
          <w:szCs w:val="32"/>
          <w:highlight w:val="none"/>
          <w:lang w:val="zh-CN" w:eastAsia="zh-CN" w:bidi="ar-SA"/>
        </w:rPr>
        <w:t>临聘</w:t>
      </w:r>
      <w:r>
        <w:rPr>
          <w:rFonts w:hint="eastAsia" w:ascii="Times New Roman" w:hAnsi="Times New Roman" w:eastAsia="仿宋_GB2312" w:cs="仿宋_GB2312"/>
          <w:color w:val="auto"/>
          <w:kern w:val="2"/>
          <w:sz w:val="32"/>
          <w:szCs w:val="32"/>
          <w:highlight w:val="none"/>
          <w:lang w:val="zh-CN" w:eastAsia="zh-CN" w:bidi="ar-SA"/>
        </w:rPr>
        <w:t>人员经费、公用经费、项目经费，未超范围使用。</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为补足农村交通安全管理短板，提升新时代农村交通安全治理能力和服务水平，我单位深化拓展农村地区警保合作项目，多维度夯实交通安全基础。通过努力，已在交通流量大、人员密集的拦江、三家两镇高标准建成投运2个三级警保合作劝导站，现有劝导员12名、流动巡查员51名。运行以来，农村劝导员共排查农村道路安全隐患72处,组织整改59处,上报镇交管办整改3处，代办保险业务294笔，劝导纠正违法行为5000余起,警保合作劝导站建设工作取得了初步成效。</w:t>
      </w:r>
    </w:p>
    <w:p>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仿宋_GB2312"/>
          <w:color w:val="auto"/>
          <w:kern w:val="2"/>
          <w:sz w:val="32"/>
          <w:szCs w:val="32"/>
          <w:highlight w:val="none"/>
          <w:lang w:val="zh-CN" w:eastAsia="zh-CN" w:bidi="ar-SA"/>
        </w:rPr>
        <w:t>按规定在政府门户网站对外公开了我单位2024年部门预算编制情况。编制绩效目标时，认真审查绩效目标，对绩效目标设置不合理、绩效指标不够明确量化的均要求修改完善，重新填报绩效目标。开展了项目预算绩效运行监控，对项目实施较慢，要求项目实施部门加快项目实施进度，确保年底全面实现项目绩效目标。对绩效评价中发现的问题要求项目实施单位及时整改，将评价结果作为考核依据，与预算编制挂钩，加强部门预算及预算绩效管理工作。</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pPr>
        <w:spacing w:line="560" w:lineRule="exact"/>
        <w:ind w:firstLine="643" w:firstLineChars="200"/>
        <w:contextualSpacing/>
        <w:rPr>
          <w:rFonts w:hint="eastAsia" w:ascii="仿宋_GB2312"/>
          <w:szCs w:val="32"/>
          <w:highlight w:val="none"/>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Times New Roman" w:hAnsi="Times New Roman" w:eastAsia="仿宋_GB2312" w:cs="仿宋_GB2312"/>
          <w:color w:val="auto"/>
          <w:kern w:val="2"/>
          <w:sz w:val="32"/>
          <w:szCs w:val="32"/>
          <w:highlight w:val="none"/>
          <w:lang w:val="zh-CN" w:eastAsia="zh-CN" w:bidi="ar-SA"/>
        </w:rPr>
        <w:t>按照预算绩效管理要求，本部门对2024年整体支出开展绩效自评，自评得分94.5分。2024年，我大队整体上完成了年初设定的绩效目标，有效地保障了各项道路交通安全管理工作的顺利完成，充分发挥了财政资金的经济效益、社会效益。积极推动预算绩效管理工作深入开展，切实增强预算编制的科学性、合理性和可行性，提升了编制质量。绩效目标设置完整、明确、量化、合理，覆盖全部项目，能反映年度履行法律监督职能情况。在预算执行管理工作中，严格按照预算确定的资金类别和用途执行，实时监控预算执行进度。</w:t>
      </w:r>
    </w:p>
    <w:p>
      <w:pPr>
        <w:spacing w:line="560" w:lineRule="exact"/>
        <w:ind w:firstLine="643" w:firstLineChars="200"/>
        <w:contextualSpacing/>
        <w:rPr>
          <w:rFonts w:hint="eastAsia"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ascii="Times New Roman" w:hAnsi="Times New Roman" w:eastAsia="仿宋_GB2312" w:cs="仿宋_GB2312"/>
          <w:color w:val="auto"/>
          <w:kern w:val="2"/>
          <w:sz w:val="32"/>
          <w:szCs w:val="32"/>
          <w:highlight w:val="none"/>
          <w:lang w:val="zh-CN" w:eastAsia="zh-CN" w:bidi="ar-SA"/>
        </w:rPr>
        <w:t>一是绩效目标管理意识淡薄；二是预算执行进度</w:t>
      </w:r>
      <w:r>
        <w:rPr>
          <w:rFonts w:hint="eastAsia" w:eastAsia="仿宋_GB2312" w:cs="仿宋_GB2312"/>
          <w:color w:val="auto"/>
          <w:kern w:val="2"/>
          <w:sz w:val="32"/>
          <w:szCs w:val="32"/>
          <w:highlight w:val="none"/>
          <w:lang w:val="zh-CN" w:eastAsia="zh-CN" w:bidi="ar-SA"/>
        </w:rPr>
        <w:t>较缓慢</w:t>
      </w:r>
      <w:r>
        <w:rPr>
          <w:rFonts w:hint="eastAsia" w:ascii="Times New Roman" w:hAnsi="Times New Roman" w:eastAsia="仿宋_GB2312" w:cs="仿宋_GB2312"/>
          <w:color w:val="auto"/>
          <w:kern w:val="2"/>
          <w:sz w:val="32"/>
          <w:szCs w:val="32"/>
          <w:highlight w:val="none"/>
          <w:lang w:val="zh-CN" w:eastAsia="zh-CN" w:bidi="ar-SA"/>
        </w:rPr>
        <w:t>；三是预算编制精准度不够。</w:t>
      </w:r>
    </w:p>
    <w:p>
      <w:pPr>
        <w:spacing w:line="560" w:lineRule="exact"/>
        <w:ind w:firstLine="643" w:firstLineChars="200"/>
        <w:contextualSpacing/>
        <w:rPr>
          <w:rFonts w:hint="eastAsia" w:ascii="仿宋_GB2312"/>
          <w:b w:val="0"/>
          <w:kern w:val="2"/>
          <w:sz w:val="32"/>
          <w:szCs w:val="32"/>
          <w:highlight w:val="none"/>
          <w:lang w:val="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67" w:name="_Hlk110546638"/>
      <w:r>
        <w:rPr>
          <w:rFonts w:hint="eastAsia" w:ascii="Times New Roman" w:hAnsi="Times New Roman" w:eastAsia="仿宋_GB2312" w:cs="仿宋_GB2312"/>
          <w:b w:val="0"/>
          <w:bCs w:val="0"/>
          <w:color w:val="auto"/>
          <w:kern w:val="2"/>
          <w:sz w:val="32"/>
          <w:szCs w:val="32"/>
          <w:highlight w:val="none"/>
          <w:lang w:val="zh-CN" w:eastAsia="zh-CN" w:bidi="ar-SA"/>
        </w:rPr>
        <w:t>在今后的工作中，我大队将严格执行预算法、预决算相关规定，继续发挥上下联动效力，加强预算编制的统筹管理，增强需求测算科学性，强化预算编制指导工作，继续加强支出进度管理，加强支出绩效跟踪，继续推进预算绩效评价，提高预算执行绩效，落实绩效评价结果应用。同时，建议财政部门：多组织交流学习，针对预算绩效管理工作的难点、重点，多组织专业培训，全面提高预算绩效管理水平。</w:t>
      </w:r>
    </w:p>
    <w:bookmarkEnd w:id="67"/>
    <w:p>
      <w:pPr>
        <w:pStyle w:val="9"/>
        <w:keepNext w:val="0"/>
        <w:keepLines w:val="0"/>
        <w:pageBreakBefore w:val="0"/>
        <w:numPr>
          <w:ilvl w:val="0"/>
          <w:numId w:val="0"/>
        </w:numPr>
        <w:kinsoku/>
        <w:wordWrap/>
        <w:overflowPunct/>
        <w:topLinePunct w:val="0"/>
        <w:autoSpaceDE/>
        <w:autoSpaceDN/>
        <w:bidi w:val="0"/>
        <w:spacing w:line="560" w:lineRule="exact"/>
        <w:jc w:val="left"/>
        <w:textAlignment w:val="auto"/>
        <w:rPr>
          <w:rFonts w:hint="eastAsia" w:ascii="Times New Roman" w:hAnsi="Times New Roman" w:eastAsia="仿宋_GB2312" w:cs="Times New Roman"/>
          <w:kern w:val="2"/>
          <w:sz w:val="32"/>
          <w:szCs w:val="32"/>
          <w:highlight w:val="none"/>
          <w:u w:val="none"/>
          <w:lang w:val="zh-CN" w:eastAsia="zh-CN" w:bidi="ar"/>
        </w:rPr>
      </w:pPr>
    </w:p>
    <w:p>
      <w:pPr>
        <w:pStyle w:val="9"/>
        <w:keepNext w:val="0"/>
        <w:keepLines w:val="0"/>
        <w:pageBreakBefore w:val="0"/>
        <w:numPr>
          <w:ilvl w:val="0"/>
          <w:numId w:val="0"/>
        </w:numPr>
        <w:kinsoku/>
        <w:wordWrap/>
        <w:overflowPunct/>
        <w:topLinePunct w:val="0"/>
        <w:autoSpaceDE/>
        <w:autoSpaceDN/>
        <w:bidi w:val="0"/>
        <w:spacing w:line="560" w:lineRule="exact"/>
        <w:jc w:val="left"/>
        <w:textAlignment w:val="auto"/>
        <w:rPr>
          <w:rFonts w:hint="default" w:ascii="Times New Roman" w:hAnsi="Times New Roman" w:eastAsia="仿宋_GB2312" w:cs="Times New Roman"/>
          <w:kern w:val="2"/>
          <w:sz w:val="32"/>
          <w:szCs w:val="32"/>
          <w:highlight w:val="none"/>
          <w:u w:val="none"/>
          <w:lang w:val="en-US" w:eastAsia="zh-CN" w:bidi="ar"/>
        </w:rPr>
      </w:pPr>
      <w:r>
        <w:rPr>
          <w:rFonts w:hint="eastAsia" w:ascii="Times New Roman" w:hAnsi="Times New Roman" w:eastAsia="仿宋_GB2312" w:cs="Times New Roman"/>
          <w:kern w:val="2"/>
          <w:sz w:val="32"/>
          <w:szCs w:val="32"/>
          <w:highlight w:val="none"/>
          <w:u w:val="none"/>
          <w:lang w:val="zh-CN" w:eastAsia="zh-CN" w:bidi="ar"/>
        </w:rPr>
        <w:t>附表：</w:t>
      </w:r>
      <w:r>
        <w:rPr>
          <w:rFonts w:hint="eastAsia" w:ascii="Times New Roman" w:eastAsia="仿宋_GB2312" w:cs="Times New Roman"/>
          <w:kern w:val="2"/>
          <w:sz w:val="32"/>
          <w:szCs w:val="32"/>
          <w:highlight w:val="none"/>
          <w:u w:val="none"/>
          <w:lang w:val="en-US" w:eastAsia="zh-CN" w:bidi="ar"/>
        </w:rPr>
        <w:t>1.部门整体支出绩效自评表</w:t>
      </w:r>
    </w:p>
    <w:p>
      <w:pPr>
        <w:pStyle w:val="9"/>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highlight w:val="none"/>
          <w:u w:val="none"/>
          <w:lang w:val="en-US" w:eastAsia="zh-CN" w:bidi="ar"/>
        </w:rPr>
      </w:pPr>
      <w:r>
        <w:rPr>
          <w:rFonts w:hint="eastAsia" w:ascii="Times New Roman" w:eastAsia="仿宋_GB2312" w:cs="Times New Roman"/>
          <w:kern w:val="2"/>
          <w:sz w:val="32"/>
          <w:szCs w:val="32"/>
          <w:highlight w:val="none"/>
          <w:u w:val="none"/>
          <w:lang w:val="en-US" w:eastAsia="zh-CN" w:bidi="ar"/>
        </w:rPr>
        <w:t>2.</w:t>
      </w:r>
      <w:r>
        <w:rPr>
          <w:rFonts w:hint="eastAsia" w:ascii="Times New Roman" w:hAnsi="Times New Roman" w:eastAsia="仿宋_GB2312" w:cs="Times New Roman"/>
          <w:kern w:val="2"/>
          <w:sz w:val="32"/>
          <w:szCs w:val="32"/>
          <w:highlight w:val="none"/>
          <w:u w:val="none"/>
          <w:lang w:val="en-US" w:eastAsia="zh-CN" w:bidi="ar"/>
        </w:rPr>
        <w:t>部门预算项目支出绩效自评表</w:t>
      </w:r>
    </w:p>
    <w:p>
      <w:pPr>
        <w:pStyle w:val="9"/>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highlight w:val="none"/>
          <w:u w:val="none"/>
          <w:lang w:val="en-US" w:eastAsia="zh-CN" w:bidi="ar"/>
        </w:rPr>
      </w:pPr>
    </w:p>
    <w:p>
      <w:pPr>
        <w:pStyle w:val="9"/>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highlight w:val="none"/>
          <w:u w:val="none"/>
          <w:lang w:val="en-US" w:eastAsia="zh-CN" w:bidi="ar"/>
        </w:rPr>
      </w:pPr>
    </w:p>
    <w:p>
      <w:pPr>
        <w:pStyle w:val="9"/>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highlight w:val="none"/>
          <w:u w:val="none"/>
          <w:lang w:val="en-US" w:eastAsia="zh-CN" w:bidi="ar"/>
        </w:rPr>
      </w:pPr>
    </w:p>
    <w:p>
      <w:pPr>
        <w:pStyle w:val="9"/>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highlight w:val="none"/>
          <w:u w:val="none"/>
          <w:lang w:val="en-US" w:eastAsia="zh-CN" w:bidi="ar"/>
        </w:rPr>
      </w:pPr>
    </w:p>
    <w:p>
      <w:pPr>
        <w:pStyle w:val="9"/>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highlight w:val="none"/>
          <w:u w:val="none"/>
          <w:lang w:val="en-US" w:eastAsia="zh-CN" w:bidi="ar"/>
        </w:rPr>
      </w:pPr>
    </w:p>
    <w:p>
      <w:pPr>
        <w:pStyle w:val="9"/>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highlight w:val="none"/>
          <w:u w:val="none"/>
          <w:lang w:val="en-US" w:eastAsia="zh-CN" w:bidi="ar"/>
        </w:rPr>
      </w:pPr>
    </w:p>
    <w:p>
      <w:pPr>
        <w:pStyle w:val="9"/>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highlight w:val="none"/>
          <w:u w:val="none"/>
          <w:lang w:val="en-US" w:eastAsia="zh-CN" w:bidi="ar"/>
        </w:rPr>
      </w:pPr>
    </w:p>
    <w:p>
      <w:pPr>
        <w:pStyle w:val="9"/>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highlight w:val="none"/>
          <w:u w:val="none"/>
          <w:lang w:val="en-US" w:eastAsia="zh-CN" w:bidi="ar"/>
        </w:rPr>
      </w:pPr>
    </w:p>
    <w:p>
      <w:pPr>
        <w:pStyle w:val="9"/>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highlight w:val="none"/>
          <w:u w:val="none"/>
          <w:lang w:val="en-US" w:eastAsia="zh-CN" w:bidi="ar"/>
        </w:rPr>
      </w:pPr>
    </w:p>
    <w:p>
      <w:pPr>
        <w:pStyle w:val="9"/>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highlight w:val="none"/>
          <w:u w:val="none"/>
          <w:lang w:val="en-US" w:eastAsia="zh-CN" w:bidi="ar"/>
        </w:rPr>
      </w:pPr>
    </w:p>
    <w:p>
      <w:pPr>
        <w:pStyle w:val="9"/>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highlight w:val="none"/>
          <w:u w:val="none"/>
          <w:lang w:val="zh-CN" w:eastAsia="zh-CN" w:bidi="ar"/>
        </w:rPr>
      </w:pPr>
    </w:p>
    <w:p>
      <w:pPr>
        <w:pStyle w:val="9"/>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highlight w:val="none"/>
          <w:u w:val="none"/>
          <w:lang w:val="zh-CN" w:eastAsia="zh-CN" w:bidi="ar"/>
        </w:rPr>
      </w:pPr>
    </w:p>
    <w:p>
      <w:pPr>
        <w:pStyle w:val="9"/>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highlight w:val="none"/>
          <w:u w:val="none"/>
          <w:lang w:val="zh-CN" w:eastAsia="zh-CN" w:bidi="ar"/>
        </w:rPr>
        <w:sectPr>
          <w:footerReference r:id="rId7" w:type="default"/>
          <w:pgSz w:w="11906" w:h="16838"/>
          <w:pgMar w:top="1440" w:right="1800" w:bottom="1440" w:left="1800" w:header="851" w:footer="992" w:gutter="0"/>
          <w:pgNumType w:fmt="numberInDash" w:start="1"/>
          <w:cols w:space="425" w:num="1"/>
          <w:docGrid w:type="lines" w:linePitch="312" w:charSpace="0"/>
        </w:sectPr>
      </w:pPr>
    </w:p>
    <w:tbl>
      <w:tblPr>
        <w:tblStyle w:val="17"/>
        <w:tblW w:w="525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0"/>
        <w:gridCol w:w="1062"/>
        <w:gridCol w:w="2631"/>
        <w:gridCol w:w="750"/>
        <w:gridCol w:w="2318"/>
        <w:gridCol w:w="5123"/>
        <w:gridCol w:w="1153"/>
        <w:gridCol w:w="7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部门整体支出绩效自评表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绩效指标</w:t>
            </w:r>
          </w:p>
        </w:tc>
        <w:tc>
          <w:tcPr>
            <w:tcW w:w="7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指标解释</w:t>
            </w:r>
          </w:p>
        </w:tc>
        <w:tc>
          <w:tcPr>
            <w:tcW w:w="17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评分说明</w:t>
            </w:r>
          </w:p>
        </w:tc>
        <w:tc>
          <w:tcPr>
            <w:tcW w:w="386"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自评得分</w:t>
            </w: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一级指标</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二级指标</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三级指标</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指标分值</w:t>
            </w: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highlight w:val="none"/>
                <w:u w:val="none"/>
              </w:rPr>
            </w:pPr>
          </w:p>
        </w:tc>
        <w:tc>
          <w:tcPr>
            <w:tcW w:w="17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highlight w:val="none"/>
                <w:u w:val="none"/>
              </w:rPr>
            </w:pPr>
          </w:p>
        </w:tc>
        <w:tc>
          <w:tcPr>
            <w:tcW w:w="386"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highlight w:val="none"/>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总体绩效</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（56分）</w:t>
            </w:r>
          </w:p>
        </w:tc>
        <w:tc>
          <w:tcPr>
            <w:tcW w:w="35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履职效能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（10分）</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交通安全管理履职效果</w:t>
            </w:r>
          </w:p>
        </w:tc>
        <w:tc>
          <w:tcPr>
            <w:tcW w:w="251"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77" w:type="pct"/>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部门整体绩效目标中选定4-6个核心职能目标，反映该项职能目标完成效果情况</w:t>
            </w:r>
          </w:p>
        </w:tc>
        <w:tc>
          <w:tcPr>
            <w:tcW w:w="1719" w:type="pct"/>
            <w:vMerge w:val="restart"/>
            <w:tcBorders>
              <w:top w:val="nil"/>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239" w:type="pct"/>
            <w:vMerge w:val="restart"/>
            <w:tcBorders>
              <w:top w:val="nil"/>
              <w:left w:val="nil"/>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35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交通事故检验鉴定履职效果</w:t>
            </w:r>
          </w:p>
        </w:tc>
        <w:tc>
          <w:tcPr>
            <w:tcW w:w="25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777" w:type="pct"/>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9" w:type="pct"/>
            <w:vMerge w:val="continue"/>
            <w:tcBorders>
              <w:top w:val="nil"/>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239" w:type="pct"/>
            <w:vMerge w:val="continue"/>
            <w:tcBorders>
              <w:top w:val="nil"/>
              <w:left w:val="nil"/>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35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道安办实体化运行履职效果</w:t>
            </w:r>
          </w:p>
        </w:tc>
        <w:tc>
          <w:tcPr>
            <w:tcW w:w="25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777" w:type="pct"/>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9" w:type="pct"/>
            <w:vMerge w:val="continue"/>
            <w:tcBorders>
              <w:top w:val="nil"/>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239" w:type="pct"/>
            <w:vMerge w:val="continue"/>
            <w:tcBorders>
              <w:top w:val="nil"/>
              <w:left w:val="nil"/>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35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车架管业务履职效果</w:t>
            </w:r>
          </w:p>
        </w:tc>
        <w:tc>
          <w:tcPr>
            <w:tcW w:w="25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777" w:type="pct"/>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9" w:type="pct"/>
            <w:vMerge w:val="continue"/>
            <w:tcBorders>
              <w:top w:val="nil"/>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239" w:type="pct"/>
            <w:vMerge w:val="continue"/>
            <w:tcBorders>
              <w:top w:val="nil"/>
              <w:left w:val="nil"/>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35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红绿灯日常运行维护履职效果</w:t>
            </w:r>
          </w:p>
        </w:tc>
        <w:tc>
          <w:tcPr>
            <w:tcW w:w="25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777" w:type="pct"/>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9" w:type="pct"/>
            <w:vMerge w:val="continue"/>
            <w:tcBorders>
              <w:top w:val="nil"/>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239" w:type="pct"/>
            <w:vMerge w:val="continue"/>
            <w:tcBorders>
              <w:top w:val="nil"/>
              <w:left w:val="nil"/>
              <w:bottom w:val="nil"/>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7"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（31分）</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预算编制质量</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部门是否严格按要求编制年初部门预算，年初预算编制的科学性和准确性</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该项指标得分=（1-财政拨款预算偏离度）×100%×8。偏离度=|预算执行数-调整预算数|÷调整预算数。</w:t>
            </w:r>
          </w:p>
        </w:tc>
        <w:tc>
          <w:tcPr>
            <w:tcW w:w="38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7"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支出执行进度</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部门1至12月预算执行情况</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该项指标得分=中省转移支付资金1至12月实际支出数÷1-12月部门预算数*3+专项债券资金实际支出数÷1-12月部门预算数*3+专项预算项目1至12月实际支出数÷1-12月预算数*3。</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预算年终结余</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部门整体年终预算结余情况</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该项指标得分=（1-部门整体预算结余率）×100%×8部门整体预算结余率为当年年终部门预算注销金额和结转金额占部门预算总金额的比率。</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7"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严控一般性支出</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部门严控“三公”经费、会议、培训、差旅、办节办展、办公设备购置、信息网络及软件购置更新、课题经费等8项一般性支出情况</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该项指标得分=基础分值+加分值。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1.基础分值。一般性支出财政拨款年初预算较上年实现压减得1.5分；一般性支出财政拨款预算执行较上年实现压减得1.5分。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2.加分值。一般性支出财政拨款年初预算较上年每压减1%得0.2分，累计不超过1分；一般性支出财政拨款预算执行较上年每压减1%得0.4分，累计不超过2分。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4"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资产管理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（9分）</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人均资产变化率</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部门人均资产变化情况</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Style w:val="42"/>
                <w:color w:val="auto"/>
                <w:sz w:val="18"/>
                <w:szCs w:val="18"/>
                <w:highlight w:val="none"/>
                <w:lang w:val="en-US" w:eastAsia="zh-CN" w:bidi="ar"/>
              </w:rPr>
              <w:t>部门人均资产变化率Y=（2024年行政事业单位人均占有资产-2023年行政事业单位人均占有资产）÷2023年行政事业单位人均占有资产×100%。行政事业单位人均占有资产=（固定资产净值+无形资产净值）÷行政事业单位编制内实有人数。</w:t>
            </w:r>
            <w:r>
              <w:rPr>
                <w:rFonts w:hint="eastAsia" w:ascii="宋体" w:hAnsi="宋体" w:eastAsia="宋体" w:cs="宋体"/>
                <w:i w:val="0"/>
                <w:iCs w:val="0"/>
                <w:color w:val="auto"/>
                <w:kern w:val="0"/>
                <w:sz w:val="18"/>
                <w:szCs w:val="18"/>
                <w:highlight w:val="none"/>
                <w:u w:val="none"/>
                <w:lang w:val="en-US" w:eastAsia="zh-CN" w:bidi="ar"/>
              </w:rPr>
              <w:t>2024年市直行政事业单位人均资产变化率平均值N为-4.63%</w:t>
            </w:r>
            <w:r>
              <w:rPr>
                <w:rStyle w:val="42"/>
                <w:color w:val="auto"/>
                <w:sz w:val="18"/>
                <w:szCs w:val="18"/>
                <w:highlight w:val="none"/>
                <w:lang w:val="en-US" w:eastAsia="zh-CN" w:bidi="ar"/>
              </w:rPr>
              <w:t>，Y≤N，得3分；N＜Y≤0.8N（即-3.704%），得2分；0.8N＜Y≤0.5N（即-2.32%），得1分；Y＞0.5N，得0分。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4"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资产利用率</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部门资产超最低使用年限情况</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Style w:val="42"/>
                <w:color w:val="auto"/>
                <w:sz w:val="18"/>
                <w:szCs w:val="18"/>
                <w:highlight w:val="none"/>
                <w:lang w:val="en-US" w:eastAsia="zh-CN" w:bidi="ar"/>
              </w:rPr>
              <w:t>该项指标得分=（超最低使用年限的办公家具账面原值÷办公家具账面原值×100%×1.5）</w:t>
            </w:r>
            <w:r>
              <w:rPr>
                <w:rFonts w:hint="eastAsia" w:ascii="宋体" w:hAnsi="宋体" w:eastAsia="宋体" w:cs="宋体"/>
                <w:i w:val="0"/>
                <w:iCs w:val="0"/>
                <w:color w:val="auto"/>
                <w:kern w:val="0"/>
                <w:sz w:val="18"/>
                <w:szCs w:val="18"/>
                <w:highlight w:val="none"/>
                <w:u w:val="none"/>
                <w:lang w:val="en-US" w:eastAsia="zh-CN" w:bidi="ar"/>
              </w:rPr>
              <w:t>省级平均值办公家具为N=16.77%。Y≥N，得1.5分；0.8N≤Y＜N，得1分；0.5N≤Y＜0.8N，得0.5分；Y＜0.5N，得0分。</w:t>
            </w:r>
            <w:r>
              <w:rPr>
                <w:rStyle w:val="42"/>
                <w:color w:val="auto"/>
                <w:sz w:val="18"/>
                <w:szCs w:val="18"/>
                <w:highlight w:val="none"/>
                <w:lang w:val="en-US" w:eastAsia="zh-CN" w:bidi="ar"/>
              </w:rPr>
              <w:t>+（超最低使用年限的办公设备账面原值÷办公设备账面原值×100%×1.5）。</w:t>
            </w:r>
            <w:r>
              <w:rPr>
                <w:rFonts w:hint="eastAsia" w:ascii="宋体" w:hAnsi="宋体" w:eastAsia="宋体" w:cs="宋体"/>
                <w:i w:val="0"/>
                <w:iCs w:val="0"/>
                <w:color w:val="auto"/>
                <w:kern w:val="0"/>
                <w:sz w:val="18"/>
                <w:szCs w:val="18"/>
                <w:highlight w:val="none"/>
                <w:u w:val="none"/>
                <w:lang w:val="en-US" w:eastAsia="zh-CN" w:bidi="ar"/>
              </w:rPr>
              <w:t>省级平均值办公设备为N=41.20%。Y≥N，得1.5分；0.8N≤Y＜N，得1分；0.5N≤Y＜0.8N，得0.5分；Y＜0.5N，得0分。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资产盘活率</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部门闲置一年以上的资产盘活情况</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采购管理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（6分）</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支持中小企业发展</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部门是否严格执行政府采购促进中小企业发展相关管理办法</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对适宜由中小企业提供的采购项目和采购包，预留采购份额专门面向中小企业采购，并在采购预算中单独列示，不符合要求的扣3分。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采购执行率</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部门政府采购项目资金支付比例情况</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该项指标得分=当年政府采购实际支付总金额÷（当年政府采购总预算数-当年已完成采购项目节约金额）×100%×3。</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0"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项目绩效</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（44分）</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项目决策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（12分）</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决策程序</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部门预算项目设立是否按规定履行评估论证、申报程序</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该项指标得分=4-部门未履行事前评估程序的部门预算阶段项目（含一次性项目）数量÷应该开展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目标设置</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部门预算项目绩效目标与计划期内的任务量、预算安排的资金量匹配情况，绩效目标设置是否科学合理、规范完整、量化细化、预算匹配</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项目入库</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部门预算项目是否在规定时间完成项目入库</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该项指标得分=4-规定时间未入财政库部门预算阶段项目（含一次性项目）数量÷最终安排部门预算阶段项目（含一次性项目）总数×100%×4。（默认满分）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项目执行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（15分）</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执行同向</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部门预算项目实际列支内容是否与绩效目标设置方向相符</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该项指标得分=4-实际列支内容与绩效目标设置方向不相符的部门预算阶段项目（含一次性项目）数量÷部门预算阶段项目（含一次性项目）总数×100%×5。</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7"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项目调整</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部门预算项目是否采取对应调整措施</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该项指标得分=4-应采取未采取收回预算、调整目标等处置措施的部门预算阶段项目（含一次性项目）数量÷应采取收回预算、调整目标等处置措施的部门预算阶段项目（含一次性项目）总数×100%×6。</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7"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执行结果</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部门预算项目预算执行情况</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该项指标得分=预算结余率小于10%的常年项目数量÷部门预算常年项目总数×100%×2+预算结余率小于10%的一次性项目和阶段项目数量÷部门预算一次性项目和阶段项目总数×100%×2。</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目标实现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（17分）</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目标完成</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部门预算项目绩效目标数量指标完成情况</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该项指标得分=完成绩效目标数量指标的部门预算阶段项目（含一次性项目）数量÷部门预算阶段项目（含一次性项目）总数×100%×6。</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目标偏离</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部门预算项目绩效目标数量指标实现程度与预期目标的偏离情况</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实现效果</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部门预算项目绩效目标效益指标实施效果</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该项指标得分=完成绩效目标效益指标的部门预算阶段项目（含一次性项目）数量÷部门预算阶段项目（含一次性项目）总数×100%×5。</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扣分项</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财务管理</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财务管理制度</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部门财务管理制度建立情况</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部门未制定内部财务管理制度等制度机制的,财务管理制度未得到落实，发现一处扣1分，扣完为止。</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highlight w:val="none"/>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财务岗位设置</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部门财务岗位设置是否符合相关财务管理制度要求</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部门未合理设置财务工作岗位，职责权限不明确，未严格实行不相容岗位分离，发现一处扣1分，扣完为止。</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highlight w:val="none"/>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资金使用规范</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部门资金使用是否符合相关财务管理制度规定</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部门资金使用不符合相关财务管理制度规定的，发现一处扣1分，扣完为止。</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7"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highlight w:val="none"/>
                <w:u w:val="none"/>
              </w:rPr>
            </w:pP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预算绩效存在问题</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预算管理和绩效管理工作存在问题</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2"/>
                <w:szCs w:val="22"/>
                <w:highlight w:val="none"/>
                <w:u w:val="none"/>
              </w:rPr>
            </w:pP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被评价部门配合度</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被评价对象工作配合情况</w:t>
            </w:r>
          </w:p>
        </w:tc>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评价工作开展过程中，被评价对象拖延推诿、提交资料不及时等拒不配合评价工作的，每发现一次扣1分，扣完为止。</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62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分值</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18"/>
                <w:szCs w:val="18"/>
                <w:highlight w:val="none"/>
                <w:u w:val="none"/>
                <w:lang w:val="en-US" w:eastAsia="zh-CN" w:bidi="ar"/>
              </w:rPr>
              <w:t>94.5</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bl>
    <w:p>
      <w:pPr>
        <w:pStyle w:val="9"/>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highlight w:val="none"/>
          <w:u w:val="none"/>
          <w:lang w:val="zh-CN" w:eastAsia="zh-CN" w:bidi="ar"/>
        </w:rPr>
      </w:pPr>
    </w:p>
    <w:p>
      <w:pPr>
        <w:keepNext w:val="0"/>
        <w:keepLines w:val="0"/>
        <w:widowControl/>
        <w:suppressLineNumbers w:val="0"/>
        <w:jc w:val="center"/>
        <w:textAlignment w:val="center"/>
        <w:rPr>
          <w:rStyle w:val="40"/>
          <w:highlight w:val="none"/>
          <w:lang w:val="en-US" w:eastAsia="zh-CN" w:bidi="ar"/>
        </w:rPr>
        <w:sectPr>
          <w:footerReference r:id="rId8" w:type="default"/>
          <w:pgSz w:w="16838" w:h="11906" w:orient="landscape"/>
          <w:pgMar w:top="1800" w:right="1440" w:bottom="1800" w:left="1440" w:header="851" w:footer="992" w:gutter="0"/>
          <w:pgNumType w:fmt="numberInDash" w:start="24"/>
          <w:cols w:space="425" w:num="1"/>
          <w:docGrid w:type="lines" w:linePitch="312" w:charSpace="0"/>
        </w:sectPr>
      </w:pPr>
    </w:p>
    <w:tbl>
      <w:tblPr>
        <w:tblStyle w:val="17"/>
        <w:tblpPr w:leftFromText="180" w:rightFromText="180" w:vertAnchor="text" w:horzAnchor="page" w:tblpX="426" w:tblpY="1465"/>
        <w:tblOverlap w:val="never"/>
        <w:tblW w:w="11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569"/>
        <w:gridCol w:w="1502"/>
        <w:gridCol w:w="1734"/>
        <w:gridCol w:w="412"/>
        <w:gridCol w:w="1295"/>
        <w:gridCol w:w="420"/>
        <w:gridCol w:w="867"/>
        <w:gridCol w:w="486"/>
        <w:gridCol w:w="486"/>
        <w:gridCol w:w="1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113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highlight w:val="none"/>
                <w:u w:val="none"/>
              </w:rPr>
            </w:pPr>
            <w:r>
              <w:rPr>
                <w:rStyle w:val="40"/>
                <w:highlight w:val="none"/>
                <w:lang w:val="en-US" w:eastAsia="zh-CN" w:bidi="ar"/>
              </w:rPr>
              <w:t>部门预算项目支出绩效自评表（</w:t>
            </w:r>
            <w:r>
              <w:rPr>
                <w:rStyle w:val="41"/>
                <w:highlight w:val="none"/>
                <w:lang w:val="en-US" w:eastAsia="zh-CN" w:bidi="ar"/>
              </w:rPr>
              <w:t>2024年度</w:t>
            </w:r>
            <w:r>
              <w:rPr>
                <w:rStyle w:val="40"/>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项目名称</w:t>
            </w:r>
          </w:p>
        </w:tc>
        <w:tc>
          <w:tcPr>
            <w:tcW w:w="91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51090422T000000393520-交通事故检验鉴定专项经费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主管部门</w:t>
            </w:r>
          </w:p>
        </w:tc>
        <w:tc>
          <w:tcPr>
            <w:tcW w:w="5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遂宁市公安局安居区分局交通警察大队部门</w:t>
            </w:r>
          </w:p>
        </w:tc>
        <w:tc>
          <w:tcPr>
            <w:tcW w:w="86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实施单位 （盖章）</w:t>
            </w:r>
          </w:p>
        </w:tc>
        <w:tc>
          <w:tcPr>
            <w:tcW w:w="2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遂宁市公安局安居区分局交通警察大队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项目基本情况</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1.项目年度目标完成情况</w:t>
            </w:r>
          </w:p>
        </w:tc>
        <w:tc>
          <w:tcPr>
            <w:tcW w:w="5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项目年度目标</w:t>
            </w:r>
          </w:p>
        </w:tc>
        <w:tc>
          <w:tcPr>
            <w:tcW w:w="3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5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高质量完成道路交通事故处理中存在的车辆、尸体、血液、伤情检验鉴定工作。</w:t>
            </w:r>
          </w:p>
        </w:tc>
        <w:tc>
          <w:tcPr>
            <w:tcW w:w="3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按照实际案件需要做相应的病理鉴定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2.项目实施内容及过程概述</w:t>
            </w:r>
          </w:p>
        </w:tc>
        <w:tc>
          <w:tcPr>
            <w:tcW w:w="91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当交通事故发生后，为保障事故的准确认定，报相关负责人后由指定鉴定中心进行鉴定出具报告。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预算执行情况（10分）</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年度预算数（万元）</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年初预算</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调整后预算数</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总额</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80.00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79.48</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79.48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highlight w:val="none"/>
                <w:u w:val="none"/>
              </w:rPr>
            </w:pPr>
            <w:r>
              <w:rPr>
                <w:rFonts w:hint="eastAsia" w:ascii="黑体" w:hAnsi="黑体" w:eastAsia="黑体" w:cs="黑体"/>
                <w:i/>
                <w:iCs/>
                <w:color w:val="000000"/>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其中：财政资金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80.00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79.48</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79.48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财政专户管理资金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单位资金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绩效指标（90分）</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一级指标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二级指标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三级指标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指标性质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度量单位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完成值</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产出指标</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数量指标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交通事故尸体检验鉴定</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人</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40人</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交通事故车辆检验鉴定</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辆</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298</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质量指标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检验鉴定结果符合法律要求</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时效指标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按时出鉴定报告</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天</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14天</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效益指标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社会效益指标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稳定社会发展</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定性</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优良差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优</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满意度指标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服务对象满意度指标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群众对交通事故处理程序的满意度</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95%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成本指标</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经济成本指标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道路交通事故尸体、血液、病理检测鉴定</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40.25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招标合作单位变更，支付原中标单位欠款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道路交通事故车辆检测鉴定</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60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38.33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合计</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98</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评价结论</w:t>
            </w:r>
          </w:p>
        </w:tc>
        <w:tc>
          <w:tcPr>
            <w:tcW w:w="107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按照全年的事故量和刑事案件情况，对相应的进行鉴定，保障事故认定的准确，达到保平安降事故的作用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存在问题</w:t>
            </w:r>
          </w:p>
        </w:tc>
        <w:tc>
          <w:tcPr>
            <w:tcW w:w="107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委托检验鉴定，被委托方出具报告书不及时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改进措施</w:t>
            </w:r>
          </w:p>
        </w:tc>
        <w:tc>
          <w:tcPr>
            <w:tcW w:w="107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建议提高办事效率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项目负责人：梁潇</w:t>
            </w:r>
          </w:p>
        </w:tc>
        <w:tc>
          <w:tcPr>
            <w:tcW w:w="55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财务负责人：蒋静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7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2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8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9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113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highlight w:val="none"/>
                <w:u w:val="none"/>
              </w:rPr>
            </w:pPr>
            <w:r>
              <w:rPr>
                <w:rStyle w:val="40"/>
                <w:highlight w:val="none"/>
                <w:lang w:val="en-US" w:eastAsia="zh-CN" w:bidi="ar"/>
              </w:rPr>
              <w:t>部门预算项目支出绩效自评表（</w:t>
            </w:r>
            <w:r>
              <w:rPr>
                <w:rStyle w:val="41"/>
                <w:highlight w:val="none"/>
                <w:lang w:val="en-US" w:eastAsia="zh-CN" w:bidi="ar"/>
              </w:rPr>
              <w:t>2024年度</w:t>
            </w:r>
            <w:r>
              <w:rPr>
                <w:rStyle w:val="40"/>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项目名称</w:t>
            </w:r>
          </w:p>
        </w:tc>
        <w:tc>
          <w:tcPr>
            <w:tcW w:w="91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51090422T000000393525-交通事故违章车辆停车拖车费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主管部门</w:t>
            </w:r>
          </w:p>
        </w:tc>
        <w:tc>
          <w:tcPr>
            <w:tcW w:w="5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遂宁市公安局安居区分局交通警察大队部门</w:t>
            </w:r>
          </w:p>
        </w:tc>
        <w:tc>
          <w:tcPr>
            <w:tcW w:w="86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实施单位 （盖章）</w:t>
            </w:r>
          </w:p>
        </w:tc>
        <w:tc>
          <w:tcPr>
            <w:tcW w:w="2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遂宁市公安局安居区分局交通警察大队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项目基本情况</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1.项目年度目标完成情况</w:t>
            </w:r>
          </w:p>
        </w:tc>
        <w:tc>
          <w:tcPr>
            <w:tcW w:w="5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项目年度目标</w:t>
            </w:r>
          </w:p>
        </w:tc>
        <w:tc>
          <w:tcPr>
            <w:tcW w:w="3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5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完成交通事故现场事故车辆，违章车辆的存放、施救行为。</w:t>
            </w:r>
          </w:p>
        </w:tc>
        <w:tc>
          <w:tcPr>
            <w:tcW w:w="3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按照实际情况对违法车辆进行拖移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2.项目实施内容及过程概述</w:t>
            </w:r>
          </w:p>
        </w:tc>
        <w:tc>
          <w:tcPr>
            <w:tcW w:w="91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为保障路面畅通有序，及时将违法车辆进行拖移，加强违法车辆扣车管控，打击三无车辆上路行驶；保障路面通畅有序。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预算执行情况（10分）</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年度预算数（万元）</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年初预算</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调整后预算数</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总额</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20.00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highlight w:val="none"/>
                <w:u w:val="none"/>
              </w:rPr>
            </w:pPr>
            <w:r>
              <w:rPr>
                <w:rFonts w:hint="eastAsia" w:ascii="黑体" w:hAnsi="黑体" w:eastAsia="黑体" w:cs="黑体"/>
                <w:i/>
                <w:iCs/>
                <w:color w:val="000000"/>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其中：财政资金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20.00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财政专户管理资金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单位资金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绩效指标（90分）</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一级指标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二级指标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三级指标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指标性质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度量单位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完成值</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产出指标</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数量指标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事故车辆、违章车辆保管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辆</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1320辆</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13</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事故车辆、违章车辆拖离现场</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辆</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723辆</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质量指标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故障车、违规停放车辆清除率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90%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时效指标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拖车到达现场时间</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60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分钟</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30分钟</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效益指标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社会效益指标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保证交通事故处理工作有序、合理、合法开展</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定性</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优良差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优</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满意度指标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服务对象满意度指标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群众对交通事故现场处警情况满意度</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90%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成本指标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经济成本指标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拖车、停车费用</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20万元</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合计</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97</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评价结论</w:t>
            </w:r>
          </w:p>
        </w:tc>
        <w:tc>
          <w:tcPr>
            <w:tcW w:w="107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按照本年度实际情况，拖车良好地保障了路面畅通率。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存在问题</w:t>
            </w:r>
          </w:p>
        </w:tc>
        <w:tc>
          <w:tcPr>
            <w:tcW w:w="107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发生交通事故时施救车辆因不足到达现场不及时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改进措施</w:t>
            </w:r>
          </w:p>
        </w:tc>
        <w:tc>
          <w:tcPr>
            <w:tcW w:w="107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建议新增施救车辆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项目负责人：梁潇</w:t>
            </w:r>
          </w:p>
        </w:tc>
        <w:tc>
          <w:tcPr>
            <w:tcW w:w="55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财务负责人：蒋静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7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2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8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9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113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highlight w:val="none"/>
                <w:u w:val="none"/>
              </w:rPr>
            </w:pPr>
            <w:r>
              <w:rPr>
                <w:rStyle w:val="40"/>
                <w:highlight w:val="none"/>
                <w:lang w:val="en-US" w:eastAsia="zh-CN" w:bidi="ar"/>
              </w:rPr>
              <w:t>部门预算项目支出绩效自评表（</w:t>
            </w:r>
            <w:r>
              <w:rPr>
                <w:rStyle w:val="41"/>
                <w:highlight w:val="none"/>
                <w:lang w:val="en-US" w:eastAsia="zh-CN" w:bidi="ar"/>
              </w:rPr>
              <w:t>2024年度</w:t>
            </w:r>
            <w:r>
              <w:rPr>
                <w:rStyle w:val="40"/>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项目名称</w:t>
            </w:r>
          </w:p>
        </w:tc>
        <w:tc>
          <w:tcPr>
            <w:tcW w:w="91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51090422T000000393536-车架管业务专项经费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主管部门</w:t>
            </w:r>
          </w:p>
        </w:tc>
        <w:tc>
          <w:tcPr>
            <w:tcW w:w="5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遂宁市公安局安居区分局交通警察大队部门</w:t>
            </w:r>
          </w:p>
        </w:tc>
        <w:tc>
          <w:tcPr>
            <w:tcW w:w="86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实施单位 （盖章）</w:t>
            </w:r>
          </w:p>
        </w:tc>
        <w:tc>
          <w:tcPr>
            <w:tcW w:w="2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遂宁市公安局安居区分局交通警察大队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项目基本情况</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1.项目年度目标完成情况</w:t>
            </w:r>
          </w:p>
        </w:tc>
        <w:tc>
          <w:tcPr>
            <w:tcW w:w="5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项目年度目标</w:t>
            </w:r>
          </w:p>
        </w:tc>
        <w:tc>
          <w:tcPr>
            <w:tcW w:w="3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5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项目年度目标完成良好，车架管业务日常工作开展</w:t>
            </w:r>
          </w:p>
        </w:tc>
        <w:tc>
          <w:tcPr>
            <w:tcW w:w="3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以群众满意为服务目标，车驾管全面落实“马上办、网上办、就近办、一次办”等审批服务便民化，持续提升“一网通办”“一窗通办”“多地联办”等能力水平，全力推动“川渝通办”事项落实落地，解决办事群众“多地跑”“往返跑”等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2.项目实施内容及过程概述</w:t>
            </w:r>
          </w:p>
        </w:tc>
        <w:tc>
          <w:tcPr>
            <w:tcW w:w="91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支持车管大厅运行；按法律要求发放驾照、行驶证等；按法律要求发放机动车牌照;车架管业务宣传办理等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预算执行情况（10分）</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年度预算数（万元）</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年初预算</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调整后预算数</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总额</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70.00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69.98</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69.98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highlight w:val="none"/>
                <w:u w:val="none"/>
              </w:rPr>
            </w:pPr>
            <w:r>
              <w:rPr>
                <w:rFonts w:hint="eastAsia" w:ascii="黑体" w:hAnsi="黑体" w:eastAsia="黑体" w:cs="黑体"/>
                <w:i/>
                <w:iCs/>
                <w:color w:val="000000"/>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其中：财政资金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70.00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69.98</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69.98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财政专户管理资金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单位资金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绩效指标（90分）</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一级指标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二级指标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三级指标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指标性质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度量单位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完成值</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产出指标</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数量指标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办理驾驶证业务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8000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11530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办理机动车业务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15000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19965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质量指标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行驶证制作规范率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15</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机动车号牌制作规范率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时效指标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业务办理后，及时领取、安装证牌</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天</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1天</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效益指标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经济效益指标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行政性收费</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70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120.8</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满意度指标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服务对象满意度指标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群众对驾驶人管理及机动车管理满意度</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90%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成本指标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经济成本指标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车牌、驾驶证工本费</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30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合计</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97</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2"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评价结论</w:t>
            </w:r>
          </w:p>
        </w:tc>
        <w:tc>
          <w:tcPr>
            <w:tcW w:w="107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2024年以来，车管所紧紧围绕“便民、高效、规范”目标，扎实推进各项工作，。2024年，车管窗口共办理各类业务31495件，其中机动车业务19965件（机动车登记1810件、车辆年检8934件，其他9221件）、驾驶证业务11530件（补换证6976件），组织摩托车驾驶证考试3319人次，都超额完成项目绩效指标。2024年，车管所共完成行政事业性收费  120.8万元，超额完成绩效指标值。全年四川公安社会化评价满意度测评，车管所窗口仅一条不满意回复，群众获得感和满意度不断增强。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存在问题</w:t>
            </w:r>
          </w:p>
        </w:tc>
        <w:tc>
          <w:tcPr>
            <w:tcW w:w="107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服务效率方面，业务高峰期窗口排队现象仍交突出，线上平台部分功能操作复杂，导致群众办事体验不佳。人员管理方面，窗口工作人员流动性强，新进人员业务熟练程度不足，对新政策解读不精准，影响服务专业性与规范性。此外，与其他部门联动机制尚不完善，数据共享不及时，跨部门业务协办效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改进措施</w:t>
            </w:r>
          </w:p>
        </w:tc>
        <w:tc>
          <w:tcPr>
            <w:tcW w:w="107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优化预算动态调整机制，加强成本管控，进一步完善项目全周期监督，持续提升项目绩效管理水平。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项目负责人：陈琛</w:t>
            </w:r>
          </w:p>
        </w:tc>
        <w:tc>
          <w:tcPr>
            <w:tcW w:w="55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财务负责人：蒋静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5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7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2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8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9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113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highlight w:val="none"/>
                <w:u w:val="none"/>
              </w:rPr>
            </w:pPr>
            <w:r>
              <w:rPr>
                <w:rStyle w:val="40"/>
                <w:highlight w:val="none"/>
                <w:lang w:val="en-US" w:eastAsia="zh-CN" w:bidi="ar"/>
              </w:rPr>
              <w:t>部门预算项目支出绩效自评表（</w:t>
            </w:r>
            <w:r>
              <w:rPr>
                <w:rStyle w:val="41"/>
                <w:highlight w:val="none"/>
                <w:lang w:val="en-US" w:eastAsia="zh-CN" w:bidi="ar"/>
              </w:rPr>
              <w:t>2024年度</w:t>
            </w:r>
            <w:r>
              <w:rPr>
                <w:rStyle w:val="40"/>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项目名称</w:t>
            </w:r>
          </w:p>
        </w:tc>
        <w:tc>
          <w:tcPr>
            <w:tcW w:w="91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51090422T000000393547-122平台维护费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主管部门</w:t>
            </w:r>
          </w:p>
        </w:tc>
        <w:tc>
          <w:tcPr>
            <w:tcW w:w="5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遂宁市公安局安居区分局交通警察大队部门</w:t>
            </w:r>
          </w:p>
        </w:tc>
        <w:tc>
          <w:tcPr>
            <w:tcW w:w="86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实施单位 （盖章）</w:t>
            </w:r>
          </w:p>
        </w:tc>
        <w:tc>
          <w:tcPr>
            <w:tcW w:w="2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遂宁市公安局安居区分局交通警察大队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项目基本情况</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1.项目年度目标完成情况</w:t>
            </w:r>
          </w:p>
        </w:tc>
        <w:tc>
          <w:tcPr>
            <w:tcW w:w="5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项目年度目标</w:t>
            </w:r>
          </w:p>
        </w:tc>
        <w:tc>
          <w:tcPr>
            <w:tcW w:w="3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5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用于大队122交通指挥平台软、硬件升级及网络信息系统运行与维护费用、平台网络租赁费等。</w:t>
            </w:r>
          </w:p>
        </w:tc>
        <w:tc>
          <w:tcPr>
            <w:tcW w:w="3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保障所有网络正常运转，各项工作正常开展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2.项目实施内容及过程概述</w:t>
            </w:r>
          </w:p>
        </w:tc>
        <w:tc>
          <w:tcPr>
            <w:tcW w:w="91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1、对路口红绿灯日常远程巡检</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2、突发故障障时，运维单位能及时主动响应并处置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预算执行情况（10分）</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年度预算数（万元）</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年初预算</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调整后预算数</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总额</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28.00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28.00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28.00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highlight w:val="none"/>
                <w:u w:val="none"/>
              </w:rPr>
            </w:pPr>
            <w:r>
              <w:rPr>
                <w:rFonts w:hint="eastAsia" w:ascii="黑体" w:hAnsi="黑体" w:eastAsia="黑体" w:cs="黑体"/>
                <w:i/>
                <w:iCs/>
                <w:color w:val="000000"/>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其中：财政资金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28.00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28.00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28.00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财政专户管理资金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单位资金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绩效指标（90分）</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一级指标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二级指标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三级指标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指标性质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度量单位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完成值</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产出指标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数量指标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红绿灯抓拍系统进行维护数量</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16</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质量指标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122指挥平台运行正常率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98</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时效指标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租赁费支付</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天</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90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效益指标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社会效益指标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规范城市交通秩序</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定性</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优良差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可持续影响指标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优化交通环境、减少交通事故、保护人民生命财产安全</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定性</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优良差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满意度指标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服务对象满意度指标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群众满意度</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98</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成本指标</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经济成本指标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抓拍系统网络租赁费</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机房建设</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平台维护费</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8</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合计</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评价结论</w:t>
            </w:r>
          </w:p>
        </w:tc>
        <w:tc>
          <w:tcPr>
            <w:tcW w:w="107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该项目按照年初预算实际执行，保障了所有网络的正常运转，违法提示等短信及时发送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存在问题</w:t>
            </w:r>
          </w:p>
        </w:tc>
        <w:tc>
          <w:tcPr>
            <w:tcW w:w="107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本单位机房未配备应急电源功率无法满足现实需要，项目在实施过程中，机房在外部电源中断后，降温设备无法运行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改进措施</w:t>
            </w:r>
          </w:p>
        </w:tc>
        <w:tc>
          <w:tcPr>
            <w:tcW w:w="107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针对以上情况，分局决定将本单位机房搬迁到分局新建机房进行统一管理。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项目负责人：吴建军</w:t>
            </w:r>
          </w:p>
        </w:tc>
        <w:tc>
          <w:tcPr>
            <w:tcW w:w="55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财务负责人：蒋静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5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7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2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8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9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113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highlight w:val="none"/>
                <w:u w:val="none"/>
              </w:rPr>
            </w:pPr>
            <w:r>
              <w:rPr>
                <w:rStyle w:val="40"/>
                <w:highlight w:val="none"/>
                <w:lang w:val="en-US" w:eastAsia="zh-CN" w:bidi="ar"/>
              </w:rPr>
              <w:t>部门预算项目支出绩效自评表（</w:t>
            </w:r>
            <w:r>
              <w:rPr>
                <w:rStyle w:val="41"/>
                <w:highlight w:val="none"/>
                <w:lang w:val="en-US" w:eastAsia="zh-CN" w:bidi="ar"/>
              </w:rPr>
              <w:t>2024年度</w:t>
            </w:r>
            <w:r>
              <w:rPr>
                <w:rStyle w:val="40"/>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项目名称</w:t>
            </w:r>
          </w:p>
        </w:tc>
        <w:tc>
          <w:tcPr>
            <w:tcW w:w="91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51090422T000000393554-红绿灯日常运行维护费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主管部门</w:t>
            </w:r>
          </w:p>
        </w:tc>
        <w:tc>
          <w:tcPr>
            <w:tcW w:w="5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遂宁市公安局安居区分局交通警察大队部门</w:t>
            </w:r>
          </w:p>
        </w:tc>
        <w:tc>
          <w:tcPr>
            <w:tcW w:w="86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实施单位 （盖章）</w:t>
            </w:r>
          </w:p>
        </w:tc>
        <w:tc>
          <w:tcPr>
            <w:tcW w:w="2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遂宁市公安局安居区分局交通警察大队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项目基本情况</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1.项目年度目标完成情况</w:t>
            </w:r>
          </w:p>
        </w:tc>
        <w:tc>
          <w:tcPr>
            <w:tcW w:w="5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项目年度目标</w:t>
            </w:r>
          </w:p>
        </w:tc>
        <w:tc>
          <w:tcPr>
            <w:tcW w:w="3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5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对安居城区16个红绿灯及违章抓拍设施设备进行日常的管理和维修维护。</w:t>
            </w:r>
          </w:p>
        </w:tc>
        <w:tc>
          <w:tcPr>
            <w:tcW w:w="3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该项目在运行过程中中标单位能及时处理发生的各项故障，己达到分合同约定要求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2.项目实施内容及过程概述</w:t>
            </w:r>
          </w:p>
        </w:tc>
        <w:tc>
          <w:tcPr>
            <w:tcW w:w="91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1、对路口红绿灯日常远程巡检</w:t>
            </w:r>
            <w:r>
              <w:rPr>
                <w:rFonts w:ascii="宋体" w:hAnsi="宋体" w:eastAsia="宋体" w:cs="宋体"/>
                <w:i w:val="0"/>
                <w:iCs w:val="0"/>
                <w:color w:val="000000"/>
                <w:kern w:val="0"/>
                <w:sz w:val="18"/>
                <w:szCs w:val="18"/>
                <w:highlight w:val="none"/>
                <w:u w:val="none"/>
                <w:lang w:val="en-US" w:eastAsia="zh-CN" w:bidi="ar"/>
              </w:rPr>
              <w:br w:type="textWrapping"/>
            </w:r>
            <w:r>
              <w:rPr>
                <w:rFonts w:ascii="宋体" w:hAnsi="宋体" w:eastAsia="宋体" w:cs="宋体"/>
                <w:i w:val="0"/>
                <w:iCs w:val="0"/>
                <w:color w:val="000000"/>
                <w:kern w:val="0"/>
                <w:sz w:val="18"/>
                <w:szCs w:val="18"/>
                <w:highlight w:val="none"/>
                <w:u w:val="none"/>
                <w:lang w:val="en-US" w:eastAsia="zh-CN" w:bidi="ar"/>
              </w:rPr>
              <w:t>2、突发故障障时，运维单位能及时主动响应并处置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预算执行情况（10分）</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年度预算数（万元）</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年初预算</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调整后预算数</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总额</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50.00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highlight w:val="none"/>
                <w:u w:val="none"/>
              </w:rPr>
            </w:pPr>
            <w:r>
              <w:rPr>
                <w:rFonts w:hint="eastAsia" w:ascii="黑体" w:hAnsi="黑体" w:eastAsia="黑体" w:cs="黑体"/>
                <w:i/>
                <w:iCs/>
                <w:color w:val="000000"/>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其中：财政资金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50.00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财政专户管理资金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单位资金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绩效指标（90分）</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一级指标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二级指标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三级指标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指标性质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度量单位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完成值</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产出指标</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数量指标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红绿灯及抓拍系统网络租赁数量</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16</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红绿灯及抓拍系统维修维护数量</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16</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质量指标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城区红绿灯正常运转率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90%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时效指标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维修维护时长</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7</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天</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7天</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效益指标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社会效益指标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交通事故下降率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可持续影响指标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约束交通参与者、减少交通违法行为</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定性</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优良差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满意度指标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服务对象满意度指标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群众满意度</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95%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成本指标</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经济成本指标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16个红绿灯路口网络租赁费</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18万元</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16个红绿灯及抓拍系统维修维护费</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32万元</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合计</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评价结论</w:t>
            </w:r>
          </w:p>
        </w:tc>
        <w:tc>
          <w:tcPr>
            <w:tcW w:w="107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坚持走科技兴安道路，强化信息化、智能化运用，在安居城区新增4处“电子警察”等抓拍系统，利用抓拍系统扩展对违法停车、超速、闯红灯等违法行为的查处，运用科技手段全力保障群众出行安全和路面畅通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存在问题</w:t>
            </w:r>
          </w:p>
        </w:tc>
        <w:tc>
          <w:tcPr>
            <w:tcW w:w="107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新增设的红绿灯施工单位未及时移交，发生问题不能及时处理维护，在项目实施过程中，部分点位存在故障处置不及时等问题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改进措施</w:t>
            </w:r>
          </w:p>
        </w:tc>
        <w:tc>
          <w:tcPr>
            <w:tcW w:w="107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针对发现的问题，强化对城区红绿灯及电子警察设备的巡检，对新增的红绿灯及相关设施及时的协调安装单位进行移交。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项目负责人：吴建军</w:t>
            </w:r>
          </w:p>
        </w:tc>
        <w:tc>
          <w:tcPr>
            <w:tcW w:w="55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财务负责人：蒋静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5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7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2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8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9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113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highlight w:val="none"/>
                <w:u w:val="none"/>
              </w:rPr>
            </w:pPr>
            <w:r>
              <w:rPr>
                <w:rStyle w:val="40"/>
                <w:highlight w:val="none"/>
                <w:lang w:val="en-US" w:eastAsia="zh-CN" w:bidi="ar"/>
              </w:rPr>
              <w:t>部门预算项目支出绩效自评表（</w:t>
            </w:r>
            <w:r>
              <w:rPr>
                <w:rStyle w:val="41"/>
                <w:highlight w:val="none"/>
                <w:lang w:val="en-US" w:eastAsia="zh-CN" w:bidi="ar"/>
              </w:rPr>
              <w:t>2024年度</w:t>
            </w:r>
            <w:r>
              <w:rPr>
                <w:rStyle w:val="40"/>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项目名称</w:t>
            </w:r>
          </w:p>
        </w:tc>
        <w:tc>
          <w:tcPr>
            <w:tcW w:w="91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51090422T000007238719-道安办工作经费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主管部门</w:t>
            </w:r>
          </w:p>
        </w:tc>
        <w:tc>
          <w:tcPr>
            <w:tcW w:w="5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遂宁市公安局安居区分局交通警察大队部门</w:t>
            </w:r>
          </w:p>
        </w:tc>
        <w:tc>
          <w:tcPr>
            <w:tcW w:w="86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实施单位 （盖章）</w:t>
            </w:r>
          </w:p>
        </w:tc>
        <w:tc>
          <w:tcPr>
            <w:tcW w:w="2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遂宁市公安局安居区分局交通警察大队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项目基本情况</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1.项目年度目标完成情况</w:t>
            </w:r>
          </w:p>
        </w:tc>
        <w:tc>
          <w:tcPr>
            <w:tcW w:w="5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项目年度目标</w:t>
            </w:r>
          </w:p>
        </w:tc>
        <w:tc>
          <w:tcPr>
            <w:tcW w:w="3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5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完成道安办实体化运作</w:t>
            </w:r>
          </w:p>
        </w:tc>
        <w:tc>
          <w:tcPr>
            <w:tcW w:w="3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以安全生产治本攻坚三年行动为抓手，积极行动、强化配合，组织开展道路交通设施专项巡查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2.项目实施内容及过程概述</w:t>
            </w:r>
          </w:p>
        </w:tc>
        <w:tc>
          <w:tcPr>
            <w:tcW w:w="91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用于道安办日常工作开展、出差、租赁汽车、宣传资料印发、劝导员装备配备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预算执行情况（10分）</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年度预算数（万元）</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年初预算</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调整后预算数</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总额</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20.00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highlight w:val="none"/>
                <w:u w:val="none"/>
              </w:rPr>
            </w:pPr>
            <w:r>
              <w:rPr>
                <w:rFonts w:hint="eastAsia" w:ascii="黑体" w:hAnsi="黑体" w:eastAsia="黑体" w:cs="黑体"/>
                <w:i/>
                <w:iCs/>
                <w:color w:val="000000"/>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其中：财政资金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20.00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财政专户管理资金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单位资金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绩效指标（90分）</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一级指标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二级指标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三级指标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指标性质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度量单位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完成值</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产出指标</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数量指标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排查隐患</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处</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落实专职工作人员</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人</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3人</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每月到乡镇开展工作</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次</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4次</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质量指标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安全隐患整治有序高效推进</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定性</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优良差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时效指标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工作经费拨付时间</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天</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30天</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效益指标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社会效益指标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降低道路安全事故</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定性</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优良差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满意度指标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服务对象满意度指标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群众满意度</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95%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成本指标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经济成本指标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劝导员装配配备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元/人</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合计</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评价结论</w:t>
            </w:r>
          </w:p>
        </w:tc>
        <w:tc>
          <w:tcPr>
            <w:tcW w:w="107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1.2024年以来区道安办紧紧围绕上级要求开展全区道路交通安全隐患协调治理工作，2024年全年来共排查挂牌隐患28处，整改28处。2.不定时发放宣传资料，共计5万余份，营造良好的宣传氛围。3.每月4次下乡督导乡镇交管办日常工作开展情况。4.对每处上报隐患进行现场勘察，同时制定整改方式，明确整改单位。5.2024年以来全区道路交通安全事故同比2023年稳步下降。6.2024年以来区道安办、应急局、交运局联合办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存在问题</w:t>
            </w:r>
          </w:p>
        </w:tc>
        <w:tc>
          <w:tcPr>
            <w:tcW w:w="107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2024年以来全区道路交通安全隐患排查目标100处，仅挂牌完成28处，有些小隐患镇、交警中队未进行上并自行进行整改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改进措施</w:t>
            </w:r>
          </w:p>
        </w:tc>
        <w:tc>
          <w:tcPr>
            <w:tcW w:w="107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下一步区道安办将对道路交通安全隐患进行全面协调，发现一处治理一处，并建立专门隐患治理台账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项目负责人：杨琦</w:t>
            </w:r>
          </w:p>
        </w:tc>
        <w:tc>
          <w:tcPr>
            <w:tcW w:w="55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财务负责人：蒋静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5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7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2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8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9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113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项目名称</w:t>
            </w:r>
          </w:p>
        </w:tc>
        <w:tc>
          <w:tcPr>
            <w:tcW w:w="91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51090422T000007351027-路长制专项经费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主管部门</w:t>
            </w:r>
          </w:p>
        </w:tc>
        <w:tc>
          <w:tcPr>
            <w:tcW w:w="5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遂宁市公安局安居区分局交通警察大队部门</w:t>
            </w:r>
          </w:p>
        </w:tc>
        <w:tc>
          <w:tcPr>
            <w:tcW w:w="86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实施单位 （盖章）</w:t>
            </w:r>
          </w:p>
        </w:tc>
        <w:tc>
          <w:tcPr>
            <w:tcW w:w="2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遂宁市公安局安居区分局交通警察大队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项目基本情况</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1.项目年度目标完成情况</w:t>
            </w:r>
          </w:p>
        </w:tc>
        <w:tc>
          <w:tcPr>
            <w:tcW w:w="5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项目年度目标</w:t>
            </w:r>
          </w:p>
        </w:tc>
        <w:tc>
          <w:tcPr>
            <w:tcW w:w="3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5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年度目标完成良好，劝导员积极性很高</w:t>
            </w:r>
          </w:p>
        </w:tc>
        <w:tc>
          <w:tcPr>
            <w:tcW w:w="3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根据《遂宁市安居区道路交通安全综合治理考核办法》要求，对全区交通安全情况进行考核。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2.项目实施内容及过程概述</w:t>
            </w:r>
          </w:p>
        </w:tc>
        <w:tc>
          <w:tcPr>
            <w:tcW w:w="91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为推进农村道路交通安全违法行为精准劝导，镇交管办工作人员、路长、路管员进行上门“一对一”精准劝导，道安办对每月成功率进行排名。根据农村道路交通安全管理信息系统精准调取劝导成功率、公安交通管理综合应用平台调取亡人事故方式进行考核，道安办根据各镇提供的证明材料进行核查、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预算执行情况（10分）</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年度预算数（万元）</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年初预算</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调整后预算数</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总额</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88.60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88.60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highlight w:val="none"/>
                <w:u w:val="none"/>
              </w:rPr>
            </w:pPr>
            <w:r>
              <w:rPr>
                <w:rFonts w:hint="eastAsia" w:ascii="黑体" w:hAnsi="黑体" w:eastAsia="黑体" w:cs="黑体"/>
                <w:i/>
                <w:iCs/>
                <w:color w:val="000000"/>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其中：财政资金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88.60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88.60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财政专户管理资金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单位资金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绩效指标（90分）</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一级指标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二级指标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三级指标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指标性质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度量单位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完成值</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产出指标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数量指标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415</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415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人</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415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25</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效益指标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社会效益指标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降低道路安全隐患防止事故发生</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定性</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优良差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13</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满意度指标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服务对象满意度指标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群众满意度</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成本指标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经济成本指标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路管员配备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88.6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88.6万元</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合计</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98</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评价结论</w:t>
            </w:r>
          </w:p>
        </w:tc>
        <w:tc>
          <w:tcPr>
            <w:tcW w:w="107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1.2024年以来区道安办紧紧围绕上级要求开展全区道路交通安全隐患协调治理工作，2024年全年来共排查挂牌隐患28处，整改28处。2.不定时发放宣传资料，共计5万余份，营造良好的宣传氛围。3.每月4次下乡督导乡镇交管办日常工作开展情况。4.对每处上报隐患进行现场勘察，同时制定整改方式，明确整改单位。5.2024年以来全区道路交通安全事故同比2023年稳步下降。6.2024年以来区道安办、应急局、交运局联合办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存在问题</w:t>
            </w:r>
          </w:p>
        </w:tc>
        <w:tc>
          <w:tcPr>
            <w:tcW w:w="107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24年以来全区道路交通安全隐患排查目标100处，仅挂牌完成28处，有些小隐患镇、交警中队未进行上并自行进行整改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改进措施</w:t>
            </w:r>
          </w:p>
        </w:tc>
        <w:tc>
          <w:tcPr>
            <w:tcW w:w="107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下一步区道安办将对道路交通安全隐患进行全面协调，发现一处治理一处，并建立专门隐患台账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项目负责人：杨琦</w:t>
            </w:r>
          </w:p>
        </w:tc>
        <w:tc>
          <w:tcPr>
            <w:tcW w:w="55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财务负责人：蒋静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5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7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2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8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9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6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156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150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173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41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12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4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86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47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47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197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113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项目名称</w:t>
            </w:r>
          </w:p>
        </w:tc>
        <w:tc>
          <w:tcPr>
            <w:tcW w:w="91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51090423T000008731841-政法转移经费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主管部门</w:t>
            </w:r>
          </w:p>
        </w:tc>
        <w:tc>
          <w:tcPr>
            <w:tcW w:w="5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遂宁市公安局安居区分局交通警察大队部门</w:t>
            </w:r>
          </w:p>
        </w:tc>
        <w:tc>
          <w:tcPr>
            <w:tcW w:w="86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实施单位 （盖章）</w:t>
            </w:r>
          </w:p>
        </w:tc>
        <w:tc>
          <w:tcPr>
            <w:tcW w:w="2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遂宁市公安局安居区分局交通警察大队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项目基本情况</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1.项目年度目标完成情况</w:t>
            </w:r>
          </w:p>
        </w:tc>
        <w:tc>
          <w:tcPr>
            <w:tcW w:w="5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项目年度目标</w:t>
            </w:r>
          </w:p>
        </w:tc>
        <w:tc>
          <w:tcPr>
            <w:tcW w:w="3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5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项目资金使用规范透明符合财政管理制度</w:t>
            </w:r>
          </w:p>
        </w:tc>
        <w:tc>
          <w:tcPr>
            <w:tcW w:w="3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项目资金严格按照财政管理制度和项目实施方案执行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2.项目实施内容及过程概述</w:t>
            </w:r>
          </w:p>
        </w:tc>
        <w:tc>
          <w:tcPr>
            <w:tcW w:w="91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该项目主要用于执法办案（业务）费用、业务装备费用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预算执行情况（10分）</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年度预算数（万元）</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年初预算</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调整后预算数</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总额</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45.00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87.97</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87.97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highlight w:val="none"/>
                <w:u w:val="none"/>
              </w:rPr>
            </w:pPr>
            <w:r>
              <w:rPr>
                <w:rFonts w:hint="eastAsia" w:ascii="黑体" w:hAnsi="黑体" w:eastAsia="黑体" w:cs="黑体"/>
                <w:i/>
                <w:iCs/>
                <w:color w:val="000000"/>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其中：财政资金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45.00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87.97</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87.97</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财政专户管理资金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单位资金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绩效指标（90分）</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一级指标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二级指标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三级指标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指标性质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度量单位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完成值</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产出指标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时效指标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项目资金拨付准确率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98%</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8</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效益指标</w:t>
            </w:r>
          </w:p>
        </w:tc>
        <w:tc>
          <w:tcPr>
            <w:tcW w:w="150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社会效益指标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提升部门执法能力</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定性</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优良差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满意度指标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满意度指标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群众满意度</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98%</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合计</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98</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评价结论</w:t>
            </w:r>
          </w:p>
        </w:tc>
        <w:tc>
          <w:tcPr>
            <w:tcW w:w="107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项目资金严格按照财政管理制度和项目实施方案执行，资金拨付、使用审批流程完备，资金使用合规率达100%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存在问题</w:t>
            </w:r>
          </w:p>
        </w:tc>
        <w:tc>
          <w:tcPr>
            <w:tcW w:w="107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缺乏健全的经费管理制度，财务工作人员专业能力不足，对经费使用政策理解不透。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改进措施</w:t>
            </w:r>
          </w:p>
        </w:tc>
        <w:tc>
          <w:tcPr>
            <w:tcW w:w="107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制定政法转移经费管理细则，加强财务工作人员培训，提升政策理解和业务操作能力。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项目负责人：蒋朝斌</w:t>
            </w:r>
          </w:p>
        </w:tc>
        <w:tc>
          <w:tcPr>
            <w:tcW w:w="55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财务负责人：蒋静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5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7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2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8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9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113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highlight w:val="none"/>
                <w:u w:val="none"/>
              </w:rPr>
            </w:pPr>
            <w:r>
              <w:rPr>
                <w:rStyle w:val="40"/>
                <w:highlight w:val="none"/>
                <w:lang w:val="en-US" w:eastAsia="zh-CN" w:bidi="ar"/>
              </w:rPr>
              <w:t>部门预算项目支出绩效自评表（</w:t>
            </w:r>
            <w:r>
              <w:rPr>
                <w:rStyle w:val="41"/>
                <w:highlight w:val="none"/>
                <w:lang w:val="en-US" w:eastAsia="zh-CN" w:bidi="ar"/>
              </w:rPr>
              <w:t>2024年度</w:t>
            </w:r>
            <w:r>
              <w:rPr>
                <w:rStyle w:val="40"/>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项目名称</w:t>
            </w:r>
          </w:p>
        </w:tc>
        <w:tc>
          <w:tcPr>
            <w:tcW w:w="91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51090424T000011157439-交通安全管理专项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主管部门</w:t>
            </w:r>
          </w:p>
        </w:tc>
        <w:tc>
          <w:tcPr>
            <w:tcW w:w="5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遂宁市公安局安居区分局交通警察大队部门</w:t>
            </w:r>
          </w:p>
        </w:tc>
        <w:tc>
          <w:tcPr>
            <w:tcW w:w="86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实施单位 （盖章）</w:t>
            </w:r>
          </w:p>
        </w:tc>
        <w:tc>
          <w:tcPr>
            <w:tcW w:w="2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遂宁市公安局安居区分局交通警察大队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项目基本情况</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1.项目年度目标完成情况</w:t>
            </w:r>
          </w:p>
        </w:tc>
        <w:tc>
          <w:tcPr>
            <w:tcW w:w="5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项目年度目标</w:t>
            </w:r>
          </w:p>
        </w:tc>
        <w:tc>
          <w:tcPr>
            <w:tcW w:w="3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5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完成安居区道路交通管理工作，按上级部门要求开展交通安全专项整治，交通安全宣传工作、违法处理宣传办理等，确保全年无重特大交通事故发生。</w:t>
            </w:r>
          </w:p>
        </w:tc>
        <w:tc>
          <w:tcPr>
            <w:tcW w:w="3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 xml:space="preserve"> 紧紧围绕交管工作重心，利用“双微”新媒体和农村“大喇叭”，狠抓交通安全宣传。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2.项目实施内容及过程概述</w:t>
            </w:r>
          </w:p>
        </w:tc>
        <w:tc>
          <w:tcPr>
            <w:tcW w:w="91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该项目用于我单位进行道路交通安全宣传，增强群众交通安全意识和法律知识，各项交通安全专项整治活动从而保障道路交通安全。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预算执行情况（10分）</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年度预算数（万元）</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年初预算</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调整后预算数</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总额</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95.00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95.00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95.00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highlight w:val="none"/>
                <w:u w:val="none"/>
              </w:rPr>
            </w:pPr>
            <w:r>
              <w:rPr>
                <w:rFonts w:hint="eastAsia" w:ascii="黑体" w:hAnsi="黑体" w:eastAsia="黑体" w:cs="黑体"/>
                <w:i/>
                <w:iCs/>
                <w:color w:val="000000"/>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其中：财政资金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95.00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95.00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95.00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财政专户管理资金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单位资金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绩效指标（90分）</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一级指标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二级指标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三级指标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指标性质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度量单位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完成值</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产出指标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数量指标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开展“双超“、“酒驾”等各项交通安全专项整治活动</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600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次</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600次</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质量指标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项目资金拨付准确率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98%</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时效指标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专项整治“双超“、“酒驾”等违法行为时间</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天</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300天</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效益指标</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社会效益指标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交通事故死亡人数下降率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群众投诉下降率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满意度指标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服务对象满意度指标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交通参与者</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95%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成本指标</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经济成本指标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对单位、企业、驾驶人、行人等进行交通安全宣传</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40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40万元</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开展各项交通安全专项整治活动</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55万元</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合计</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评价结论</w:t>
            </w:r>
          </w:p>
        </w:tc>
        <w:tc>
          <w:tcPr>
            <w:tcW w:w="107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共发放各类宣传材料1.5万余份，微博公众号共发布2400余条信息，依托“七进”宣传机制，进学校、进机关、进企业、进单位等120余次，在公园、商场等人员较为集中的地点，举办大型宣传教育活动11场次，制作横幅36条，制作视频24条，有效教育广大群众自觉摒弃交通陋习，提高群众道路交安全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存在问题</w:t>
            </w:r>
          </w:p>
        </w:tc>
        <w:tc>
          <w:tcPr>
            <w:tcW w:w="107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1.交通安全整治力度不足，整治频次不足；2.宣传形式及宣传资料单一；3.交警、城管等多个部门存在职责交叉沟通协调不畅；4.科技手段应用水平较低，电子警察、测速设备等整体科技应用水平有待提高。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改进措施</w:t>
            </w:r>
          </w:p>
        </w:tc>
        <w:tc>
          <w:tcPr>
            <w:tcW w:w="107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加强整治力度、频次，形成高压态势，减少交通事故的发生；2.多元化宣传教育，通过走访学校、社区企业，使用社交媒体等多渠道开展交通安全宣传，制作富有趣味性、警示性交通安全科普内容的宣传资料；3.加强执法管理与写作，建立交警、城管、街道办联合协作机制；4、提高科学应用水平、智能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项目负责人：杨勇</w:t>
            </w:r>
          </w:p>
        </w:tc>
        <w:tc>
          <w:tcPr>
            <w:tcW w:w="55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财务负责人：蒋静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5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7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2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8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9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6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156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150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173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41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12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4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86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47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47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197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113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highlight w:val="none"/>
                <w:u w:val="none"/>
              </w:rPr>
            </w:pPr>
            <w:r>
              <w:rPr>
                <w:rStyle w:val="40"/>
                <w:highlight w:val="none"/>
                <w:lang w:val="en-US" w:eastAsia="zh-CN" w:bidi="ar"/>
              </w:rPr>
              <w:t>部门预算项目支出绩效自评表（</w:t>
            </w:r>
            <w:r>
              <w:rPr>
                <w:rStyle w:val="41"/>
                <w:highlight w:val="none"/>
                <w:lang w:val="en-US" w:eastAsia="zh-CN" w:bidi="ar"/>
              </w:rPr>
              <w:t>2024年度</w:t>
            </w:r>
            <w:r>
              <w:rPr>
                <w:rStyle w:val="40"/>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项目名称</w:t>
            </w:r>
          </w:p>
        </w:tc>
        <w:tc>
          <w:tcPr>
            <w:tcW w:w="91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51090425T000012284255-海龙凯哥文旅园区保障经费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主管部门</w:t>
            </w:r>
          </w:p>
        </w:tc>
        <w:tc>
          <w:tcPr>
            <w:tcW w:w="5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遂宁市公安局安居区分局交通警察大队部门</w:t>
            </w:r>
          </w:p>
        </w:tc>
        <w:tc>
          <w:tcPr>
            <w:tcW w:w="86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实施单位 （盖章）</w:t>
            </w:r>
          </w:p>
        </w:tc>
        <w:tc>
          <w:tcPr>
            <w:tcW w:w="2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遂宁市公安局安居区分局交通警察大队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项目基本情况</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1.项目年度目标完成情况</w:t>
            </w:r>
          </w:p>
        </w:tc>
        <w:tc>
          <w:tcPr>
            <w:tcW w:w="5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项目年度目标</w:t>
            </w:r>
          </w:p>
        </w:tc>
        <w:tc>
          <w:tcPr>
            <w:tcW w:w="3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5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完成海龙凯哥文旅园区日常勤务工作</w:t>
            </w:r>
          </w:p>
        </w:tc>
        <w:tc>
          <w:tcPr>
            <w:tcW w:w="3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海龙凯哥文旅园区通行效率显著提升，未发生长时间、大面积交通拥堵。事故率明显下降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2.项目实施内容及过程概述</w:t>
            </w:r>
          </w:p>
        </w:tc>
        <w:tc>
          <w:tcPr>
            <w:tcW w:w="91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用于海龙凯哥文旅园区日常工作开展、出差、租赁汽车、燃油、宣传资料印发、装备及服装配备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预算执行情况（10分）</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年度预算数（万元）</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年初预算</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调整后预算数</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总额</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highlight w:val="none"/>
                <w:u w:val="none"/>
              </w:rPr>
            </w:pPr>
            <w:r>
              <w:rPr>
                <w:rFonts w:hint="eastAsia" w:ascii="黑体" w:hAnsi="黑体" w:eastAsia="黑体" w:cs="黑体"/>
                <w:i/>
                <w:iCs/>
                <w:color w:val="000000"/>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其中：财政资金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财政专户管理资金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单位资金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其他资金</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highlight w:val="none"/>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绩效指标（90分）</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一级指标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二级指标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三级指标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指标性质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度量单位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完成值</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产出指标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数量指标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海龙凯哥文旅园区开展勤务工作</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天</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30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效益指标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质量指标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文旅园区秩序高效推进</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定性</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优良差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优</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满意度指标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服务对象满意度指标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群众满意度</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98%</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13</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成本指标</w:t>
            </w:r>
          </w:p>
        </w:tc>
        <w:tc>
          <w:tcPr>
            <w:tcW w:w="1502"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经济成本指标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车辆租赁费及燃油费</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6.6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6.6万元</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02"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制作交通管制、交通分流、车辆禁停等标志标牌，印刷宣传资料传单</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1.4万元</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69"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502"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装备及服装费</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2万元</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15</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合计</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97</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评价结论</w:t>
            </w:r>
          </w:p>
        </w:tc>
        <w:tc>
          <w:tcPr>
            <w:tcW w:w="107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 通行效率显著提升：未发生长时间、大面积交通拥堵。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事故率明显下降：通过严查酒驾、超员等违法行为，减少了违法行为的发生，未发生重大交通事故。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存在问题</w:t>
            </w:r>
          </w:p>
        </w:tc>
        <w:tc>
          <w:tcPr>
            <w:tcW w:w="107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 警力资源不足：节假日游客暴增时，现有警力难以满足全时段、全区域管控需求，部分路段仍存在短时排队现象。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设施智能化水平低：景区周边交通流量监测设备覆盖率不足，实时数据共享与分析能力较弱，影响应急响应速度。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部分游客配合度低：个别游客存在随意停车、闯红灯等不文明行为，增加交通管理难度。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改进措施</w:t>
            </w:r>
          </w:p>
        </w:tc>
        <w:tc>
          <w:tcPr>
            <w:tcW w:w="107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 加强警力统筹：建立与周边交警中队的联勤联动机制，整合警力资源；探索招募交通志愿者，扩充管理力量。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推进智慧交管：申请专项资金，在景区周边增设智能交通监控设备，接入大数据平台，实现流量实时监测与智能调度。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深化宣传教育：联合景区管理部门，在游客中心、停车场等区域设置交通安全宣传点，通过典型案例警示、文明出行倡议等方式，提升游客遵规意识。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7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项目负责人：杨勇</w:t>
            </w:r>
          </w:p>
        </w:tc>
        <w:tc>
          <w:tcPr>
            <w:tcW w:w="55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财务负责人：蒋静</w:t>
            </w:r>
          </w:p>
        </w:tc>
      </w:tr>
    </w:tbl>
    <w:p>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none"/>
          <w:lang w:val="zh-CN" w:eastAsia="zh-CN"/>
        </w:rPr>
      </w:pPr>
    </w:p>
    <w:p>
      <w:pPr>
        <w:pStyle w:val="7"/>
        <w:rPr>
          <w:rFonts w:hint="eastAsia" w:ascii="Times New Roman" w:hAnsi="Times New Roman" w:cs="宋体"/>
          <w:color w:val="FF0000"/>
          <w:kern w:val="0"/>
          <w:sz w:val="32"/>
          <w:szCs w:val="32"/>
          <w:highlight w:val="none"/>
          <w:shd w:val="clear" w:color="auto" w:fill="FFFFFF"/>
          <w:lang w:val="zh-CN"/>
        </w:rPr>
      </w:pPr>
    </w:p>
    <w:p>
      <w:pPr>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黑体" w:cs="黑体"/>
          <w:color w:val="auto"/>
          <w:kern w:val="0"/>
          <w:sz w:val="32"/>
          <w:szCs w:val="32"/>
          <w:highlight w:val="none"/>
          <w:shd w:val="clear" w:color="auto" w:fill="FFFFFF"/>
          <w:lang w:val="zh-CN"/>
        </w:rPr>
        <w:br w:type="page"/>
      </w:r>
      <w:bookmarkStart w:id="68" w:name="_Toc15396618"/>
    </w:p>
    <w:p>
      <w:pPr>
        <w:widowControl/>
        <w:jc w:val="center"/>
        <w:outlineLvl w:val="0"/>
        <w:rPr>
          <w:rFonts w:hint="eastAsia" w:ascii="Times New Roman" w:hAnsi="Times New Roman" w:eastAsia="仿宋"/>
          <w:b w:val="0"/>
          <w:color w:val="auto"/>
          <w:highlight w:val="none"/>
        </w:rPr>
      </w:pPr>
      <w:bookmarkStart w:id="69" w:name="_Toc14216"/>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66"/>
      <w:bookmarkEnd w:id="68"/>
      <w:bookmarkEnd w:id="69"/>
      <w:bookmarkStart w:id="70" w:name="_Toc15396619"/>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70"/>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1" w:name="_Toc15396620"/>
      <w:r>
        <w:rPr>
          <w:rFonts w:hint="eastAsia" w:ascii="Times New Roman" w:hAnsi="Times New Roman" w:eastAsia="仿宋_GB2312" w:cs="仿宋_GB2312"/>
          <w:color w:val="auto"/>
          <w:sz w:val="32"/>
          <w:szCs w:val="32"/>
          <w:highlight w:val="none"/>
        </w:rPr>
        <w:t>二、收入决算表</w:t>
      </w:r>
      <w:bookmarkEnd w:id="71"/>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2" w:name="_Toc15396621"/>
      <w:r>
        <w:rPr>
          <w:rFonts w:hint="eastAsia" w:ascii="Times New Roman" w:hAnsi="Times New Roman" w:eastAsia="仿宋_GB2312" w:cs="仿宋_GB2312"/>
          <w:color w:val="auto"/>
          <w:sz w:val="32"/>
          <w:szCs w:val="32"/>
          <w:highlight w:val="none"/>
        </w:rPr>
        <w:t>三、支出决算表</w:t>
      </w:r>
      <w:bookmarkEnd w:id="72"/>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3" w:name="_Toc15396622"/>
      <w:r>
        <w:rPr>
          <w:rFonts w:hint="eastAsia" w:ascii="Times New Roman" w:hAnsi="Times New Roman" w:eastAsia="仿宋_GB2312" w:cs="仿宋_GB2312"/>
          <w:color w:val="auto"/>
          <w:sz w:val="32"/>
          <w:szCs w:val="32"/>
          <w:highlight w:val="none"/>
        </w:rPr>
        <w:t>四、财政拨款收入支出决算总表</w:t>
      </w:r>
      <w:bookmarkEnd w:id="73"/>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4" w:name="_Toc15396623"/>
      <w:r>
        <w:rPr>
          <w:rFonts w:hint="eastAsia" w:ascii="Times New Roman" w:hAnsi="Times New Roman" w:eastAsia="仿宋_GB2312" w:cs="仿宋_GB2312"/>
          <w:color w:val="auto"/>
          <w:sz w:val="32"/>
          <w:szCs w:val="32"/>
          <w:highlight w:val="none"/>
        </w:rPr>
        <w:t>五、财政拨款支出决算明细表</w:t>
      </w:r>
      <w:bookmarkEnd w:id="74"/>
      <w:bookmarkStart w:id="75" w:name="_Toc15396624"/>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75"/>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6" w:name="_Toc15396625"/>
      <w:r>
        <w:rPr>
          <w:rFonts w:hint="eastAsia" w:ascii="Times New Roman" w:hAnsi="Times New Roman" w:eastAsia="仿宋_GB2312" w:cs="仿宋_GB2312"/>
          <w:color w:val="auto"/>
          <w:sz w:val="32"/>
          <w:szCs w:val="32"/>
          <w:highlight w:val="none"/>
        </w:rPr>
        <w:t>七、一般公共预算财政拨款支出决算明细表</w:t>
      </w:r>
      <w:bookmarkEnd w:id="76"/>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7" w:name="_Toc15396626"/>
      <w:r>
        <w:rPr>
          <w:rFonts w:hint="eastAsia" w:ascii="Times New Roman" w:hAnsi="Times New Roman" w:eastAsia="仿宋_GB2312" w:cs="仿宋_GB2312"/>
          <w:color w:val="auto"/>
          <w:sz w:val="32"/>
          <w:szCs w:val="32"/>
          <w:highlight w:val="none"/>
        </w:rPr>
        <w:t>八、一般公共预算财政拨款基本支出决算表</w:t>
      </w:r>
      <w:bookmarkEnd w:id="77"/>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8" w:name="_Toc15396627"/>
      <w:r>
        <w:rPr>
          <w:rFonts w:hint="eastAsia" w:ascii="Times New Roman" w:hAnsi="Times New Roman" w:eastAsia="仿宋_GB2312" w:cs="仿宋_GB2312"/>
          <w:color w:val="auto"/>
          <w:sz w:val="32"/>
          <w:szCs w:val="32"/>
          <w:highlight w:val="none"/>
        </w:rPr>
        <w:t>九、一般公共预算财政拨款项目支出决算表</w:t>
      </w:r>
      <w:bookmarkEnd w:id="78"/>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9" w:name="_Toc15396628"/>
      <w:r>
        <w:rPr>
          <w:rFonts w:hint="eastAsia" w:ascii="Times New Roman" w:hAnsi="Times New Roman" w:eastAsia="仿宋_GB2312" w:cs="仿宋_GB2312"/>
          <w:color w:val="auto"/>
          <w:sz w:val="32"/>
          <w:szCs w:val="32"/>
          <w:highlight w:val="none"/>
        </w:rPr>
        <w:t>十、</w:t>
      </w:r>
      <w:bookmarkEnd w:id="79"/>
      <w:r>
        <w:rPr>
          <w:rFonts w:hint="eastAsia" w:ascii="Times New Roman" w:hAnsi="Times New Roman" w:eastAsia="仿宋_GB2312" w:cs="仿宋_GB2312"/>
          <w:color w:val="auto"/>
          <w:sz w:val="32"/>
          <w:szCs w:val="32"/>
          <w:highlight w:val="none"/>
        </w:rPr>
        <w:t>政府性基金预算财政拨款收入支出决算表</w:t>
      </w: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0" w:name="_Toc15396629"/>
      <w:r>
        <w:rPr>
          <w:rFonts w:hint="eastAsia" w:ascii="Times New Roman" w:hAnsi="Times New Roman" w:eastAsia="仿宋_GB2312" w:cs="仿宋_GB2312"/>
          <w:color w:val="auto"/>
          <w:sz w:val="32"/>
          <w:szCs w:val="32"/>
          <w:highlight w:val="none"/>
        </w:rPr>
        <w:t>十一、</w:t>
      </w:r>
      <w:bookmarkEnd w:id="8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1" w:name="_Toc15396630"/>
      <w:r>
        <w:rPr>
          <w:rFonts w:hint="eastAsia" w:ascii="Times New Roman" w:hAnsi="Times New Roman" w:eastAsia="仿宋_GB2312" w:cs="仿宋_GB2312"/>
          <w:color w:val="auto"/>
          <w:sz w:val="32"/>
          <w:szCs w:val="32"/>
          <w:highlight w:val="none"/>
        </w:rPr>
        <w:t>十二、</w:t>
      </w:r>
      <w:bookmarkEnd w:id="81"/>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82" w:name="_Toc15396631"/>
      <w:r>
        <w:rPr>
          <w:rFonts w:hint="eastAsia" w:ascii="Times New Roman" w:hAnsi="Times New Roman" w:eastAsia="仿宋_GB2312" w:cs="仿宋_GB2312"/>
          <w:color w:val="auto"/>
          <w:sz w:val="32"/>
          <w:szCs w:val="32"/>
          <w:highlight w:val="none"/>
        </w:rPr>
        <w:t>十三、</w:t>
      </w:r>
      <w:bookmarkEnd w:id="82"/>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highlight w:val="none"/>
          <w:lang w:eastAsia="zh-CN"/>
        </w:rPr>
      </w:pPr>
    </w:p>
    <w:sectPr>
      <w:footerReference r:id="rId9" w:type="default"/>
      <w:pgSz w:w="11906" w:h="16838"/>
      <w:pgMar w:top="1440" w:right="1800" w:bottom="1440" w:left="1800" w:header="851" w:footer="992" w:gutter="0"/>
      <w:pgNumType w:fmt="numberInDash" w:start="2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- 1 -</w:t>
                    </w:r>
                    <w:r>
                      <w:fldChar w:fldCharType="end"/>
                    </w:r>
                  </w:p>
                </w:txbxContent>
              </v:textbox>
            </v:shape>
          </w:pict>
        </mc:Fallback>
      </mc:AlternateContent>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- 1 -</w:t>
                    </w:r>
                    <w:r>
                      <w:fldChar w:fldCharType="end"/>
                    </w:r>
                  </w:p>
                </w:txbxContent>
              </v:textbox>
            </v:shape>
          </w:pict>
        </mc:Fallback>
      </mc:AlternateContent>
    </w:r>
  </w:p>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- 1 -</w:t>
                    </w:r>
                    <w:r>
                      <w:fldChar w:fldCharType="end"/>
                    </w:r>
                  </w:p>
                </w:txbxContent>
              </v:textbox>
            </v:shape>
          </w:pict>
        </mc:Fallback>
      </mc:AlternateConten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5711"/>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FEBE30"/>
    <w:rsid w:val="039B59D4"/>
    <w:rsid w:val="04B272DA"/>
    <w:rsid w:val="061E35DE"/>
    <w:rsid w:val="062E2800"/>
    <w:rsid w:val="066E0107"/>
    <w:rsid w:val="07996F6E"/>
    <w:rsid w:val="07DFD8BA"/>
    <w:rsid w:val="09367531"/>
    <w:rsid w:val="09867E8F"/>
    <w:rsid w:val="0A2032A3"/>
    <w:rsid w:val="0A536929"/>
    <w:rsid w:val="0BE023D5"/>
    <w:rsid w:val="0CA8290A"/>
    <w:rsid w:val="0D35B1ED"/>
    <w:rsid w:val="0F98263C"/>
    <w:rsid w:val="0FB42C9E"/>
    <w:rsid w:val="0FBC7598"/>
    <w:rsid w:val="101860EC"/>
    <w:rsid w:val="10C055FF"/>
    <w:rsid w:val="11761E61"/>
    <w:rsid w:val="11772AA4"/>
    <w:rsid w:val="118107EC"/>
    <w:rsid w:val="13D50BC4"/>
    <w:rsid w:val="15E61BAF"/>
    <w:rsid w:val="165E0673"/>
    <w:rsid w:val="16BB723D"/>
    <w:rsid w:val="17216686"/>
    <w:rsid w:val="175B40AA"/>
    <w:rsid w:val="17C328B1"/>
    <w:rsid w:val="186504BB"/>
    <w:rsid w:val="18A11583"/>
    <w:rsid w:val="19A445FC"/>
    <w:rsid w:val="1AD20CCC"/>
    <w:rsid w:val="1BE8440E"/>
    <w:rsid w:val="1C8E144E"/>
    <w:rsid w:val="1D155CEE"/>
    <w:rsid w:val="1D996845"/>
    <w:rsid w:val="1E504393"/>
    <w:rsid w:val="1E740ACF"/>
    <w:rsid w:val="1FF35744"/>
    <w:rsid w:val="1FF6BC77"/>
    <w:rsid w:val="20EF44FA"/>
    <w:rsid w:val="218F4327"/>
    <w:rsid w:val="21965988"/>
    <w:rsid w:val="22E859B7"/>
    <w:rsid w:val="23513BD9"/>
    <w:rsid w:val="23860B96"/>
    <w:rsid w:val="240371BF"/>
    <w:rsid w:val="240E2544"/>
    <w:rsid w:val="257B0F03"/>
    <w:rsid w:val="260F557C"/>
    <w:rsid w:val="268F00F3"/>
    <w:rsid w:val="2717208C"/>
    <w:rsid w:val="281408E2"/>
    <w:rsid w:val="2877544C"/>
    <w:rsid w:val="290D304F"/>
    <w:rsid w:val="294A3DA7"/>
    <w:rsid w:val="29CF193C"/>
    <w:rsid w:val="29FD04D3"/>
    <w:rsid w:val="2A905339"/>
    <w:rsid w:val="2B6D3FC1"/>
    <w:rsid w:val="2BFF7BC6"/>
    <w:rsid w:val="2C8A61B5"/>
    <w:rsid w:val="2DF04E50"/>
    <w:rsid w:val="2F040D46"/>
    <w:rsid w:val="2FAE5751"/>
    <w:rsid w:val="2FB1A395"/>
    <w:rsid w:val="2FD9A7D8"/>
    <w:rsid w:val="319F7F4E"/>
    <w:rsid w:val="3304709D"/>
    <w:rsid w:val="332C6C18"/>
    <w:rsid w:val="34892BC5"/>
    <w:rsid w:val="349D6851"/>
    <w:rsid w:val="34F94A46"/>
    <w:rsid w:val="3624500D"/>
    <w:rsid w:val="36495AA6"/>
    <w:rsid w:val="36AA5135"/>
    <w:rsid w:val="36BE0DA7"/>
    <w:rsid w:val="376B6AA6"/>
    <w:rsid w:val="376D39B2"/>
    <w:rsid w:val="37E16F03"/>
    <w:rsid w:val="37F470B1"/>
    <w:rsid w:val="37F53A3B"/>
    <w:rsid w:val="389B6C89"/>
    <w:rsid w:val="38D469F0"/>
    <w:rsid w:val="39627CCD"/>
    <w:rsid w:val="397BAF1F"/>
    <w:rsid w:val="3A2B49B3"/>
    <w:rsid w:val="3AB79AF3"/>
    <w:rsid w:val="3B7EF35A"/>
    <w:rsid w:val="3B9FDB6C"/>
    <w:rsid w:val="3BF5BC2F"/>
    <w:rsid w:val="3CEBA265"/>
    <w:rsid w:val="3D98207C"/>
    <w:rsid w:val="3DEE7CF3"/>
    <w:rsid w:val="3E78745D"/>
    <w:rsid w:val="3FF4CAE0"/>
    <w:rsid w:val="3FF7B227"/>
    <w:rsid w:val="40BF79D5"/>
    <w:rsid w:val="44E268DA"/>
    <w:rsid w:val="44F93E44"/>
    <w:rsid w:val="45D16192"/>
    <w:rsid w:val="46D00C57"/>
    <w:rsid w:val="486A6C7A"/>
    <w:rsid w:val="4A627F82"/>
    <w:rsid w:val="4B0E749A"/>
    <w:rsid w:val="4B4F25DA"/>
    <w:rsid w:val="4BCC27D0"/>
    <w:rsid w:val="4BE068DB"/>
    <w:rsid w:val="4CE6281D"/>
    <w:rsid w:val="4D577224"/>
    <w:rsid w:val="4DBF1CEB"/>
    <w:rsid w:val="4EAB630A"/>
    <w:rsid w:val="4ECE2238"/>
    <w:rsid w:val="4F833267"/>
    <w:rsid w:val="4FE9BD67"/>
    <w:rsid w:val="4FFB052F"/>
    <w:rsid w:val="50371DAC"/>
    <w:rsid w:val="525D0B15"/>
    <w:rsid w:val="537E6D0A"/>
    <w:rsid w:val="53F74C96"/>
    <w:rsid w:val="56261BDC"/>
    <w:rsid w:val="56E47B74"/>
    <w:rsid w:val="573D690C"/>
    <w:rsid w:val="57BA02D5"/>
    <w:rsid w:val="57BD3DD4"/>
    <w:rsid w:val="58173319"/>
    <w:rsid w:val="586D2146"/>
    <w:rsid w:val="59B03041"/>
    <w:rsid w:val="5A12614C"/>
    <w:rsid w:val="5AF92295"/>
    <w:rsid w:val="5B961A42"/>
    <w:rsid w:val="5BDD79E6"/>
    <w:rsid w:val="5BF561CA"/>
    <w:rsid w:val="5BFF5DFC"/>
    <w:rsid w:val="5CD71FC4"/>
    <w:rsid w:val="5D1F11B5"/>
    <w:rsid w:val="5D9A1755"/>
    <w:rsid w:val="5DAE1B18"/>
    <w:rsid w:val="5DE7D9E5"/>
    <w:rsid w:val="5DF01D80"/>
    <w:rsid w:val="5ECEC941"/>
    <w:rsid w:val="5FBF9FF3"/>
    <w:rsid w:val="5FCD4E2C"/>
    <w:rsid w:val="5FEF394A"/>
    <w:rsid w:val="5FF67715"/>
    <w:rsid w:val="60BD45BD"/>
    <w:rsid w:val="60ED618B"/>
    <w:rsid w:val="62BF3928"/>
    <w:rsid w:val="647F5392"/>
    <w:rsid w:val="664B1D71"/>
    <w:rsid w:val="67AA3209"/>
    <w:rsid w:val="698D0931"/>
    <w:rsid w:val="69F43BE2"/>
    <w:rsid w:val="6A5401BF"/>
    <w:rsid w:val="6A971BBD"/>
    <w:rsid w:val="6AC46385"/>
    <w:rsid w:val="6B053271"/>
    <w:rsid w:val="6BBD1A66"/>
    <w:rsid w:val="6C4A05C8"/>
    <w:rsid w:val="6C8742B8"/>
    <w:rsid w:val="6DB12EE2"/>
    <w:rsid w:val="6DBF5E93"/>
    <w:rsid w:val="6DD62813"/>
    <w:rsid w:val="6DFF077E"/>
    <w:rsid w:val="6E7E3605"/>
    <w:rsid w:val="6E7FDCC7"/>
    <w:rsid w:val="6EC67A19"/>
    <w:rsid w:val="6ED6A62E"/>
    <w:rsid w:val="6EE00B15"/>
    <w:rsid w:val="6F6FB3EB"/>
    <w:rsid w:val="6F8731EA"/>
    <w:rsid w:val="6FCE6052"/>
    <w:rsid w:val="6FD57C00"/>
    <w:rsid w:val="6FEFFFD8"/>
    <w:rsid w:val="6FF5CC65"/>
    <w:rsid w:val="6FFB47EC"/>
    <w:rsid w:val="6FFF034A"/>
    <w:rsid w:val="70567EF9"/>
    <w:rsid w:val="712A28F1"/>
    <w:rsid w:val="715C0E4B"/>
    <w:rsid w:val="72233669"/>
    <w:rsid w:val="72734D90"/>
    <w:rsid w:val="7332FE48"/>
    <w:rsid w:val="736D135E"/>
    <w:rsid w:val="73AB61DA"/>
    <w:rsid w:val="73AD73D5"/>
    <w:rsid w:val="73B6EB34"/>
    <w:rsid w:val="73FA497D"/>
    <w:rsid w:val="744731E5"/>
    <w:rsid w:val="74BBD01D"/>
    <w:rsid w:val="74ED5379"/>
    <w:rsid w:val="75DEEEC2"/>
    <w:rsid w:val="76E3355F"/>
    <w:rsid w:val="76FF5125"/>
    <w:rsid w:val="776F6FFA"/>
    <w:rsid w:val="778769C8"/>
    <w:rsid w:val="77DC22F5"/>
    <w:rsid w:val="79086DAD"/>
    <w:rsid w:val="798049F2"/>
    <w:rsid w:val="79D7FD79"/>
    <w:rsid w:val="79EE5BA4"/>
    <w:rsid w:val="7A894339"/>
    <w:rsid w:val="7AFF7572"/>
    <w:rsid w:val="7B6C7DFB"/>
    <w:rsid w:val="7BBFBED0"/>
    <w:rsid w:val="7BC3E394"/>
    <w:rsid w:val="7C1F3737"/>
    <w:rsid w:val="7C3C3BD3"/>
    <w:rsid w:val="7CBFC87B"/>
    <w:rsid w:val="7CFE0F48"/>
    <w:rsid w:val="7D7EC23E"/>
    <w:rsid w:val="7D8F677B"/>
    <w:rsid w:val="7DA62E7B"/>
    <w:rsid w:val="7DE71C1A"/>
    <w:rsid w:val="7E8ADEBF"/>
    <w:rsid w:val="7EEF11D3"/>
    <w:rsid w:val="7F0971A6"/>
    <w:rsid w:val="7F3F679B"/>
    <w:rsid w:val="7F4FC4EF"/>
    <w:rsid w:val="7F5E4D54"/>
    <w:rsid w:val="7F6E0135"/>
    <w:rsid w:val="7FA30C79"/>
    <w:rsid w:val="7FAF8ABF"/>
    <w:rsid w:val="7FB7269E"/>
    <w:rsid w:val="7FC96657"/>
    <w:rsid w:val="7FDA9588"/>
    <w:rsid w:val="7FDF220F"/>
    <w:rsid w:val="7FEDC5F7"/>
    <w:rsid w:val="7FEDD9DE"/>
    <w:rsid w:val="7FF5890D"/>
    <w:rsid w:val="7FF93490"/>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FFA9E8"/>
    <w:rsid w:val="E5F4E9DC"/>
    <w:rsid w:val="E70FE695"/>
    <w:rsid w:val="ECFED1BC"/>
    <w:rsid w:val="ED1D69BB"/>
    <w:rsid w:val="ED7FD312"/>
    <w:rsid w:val="EF53993F"/>
    <w:rsid w:val="EF6FD633"/>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rPr>
      <w:rFonts w:eastAsia="宋体"/>
      <w:sz w:val="21"/>
      <w:szCs w:val="20"/>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7">
    <w:name w:val="Body Text"/>
    <w:basedOn w:val="1"/>
    <w:link w:val="27"/>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next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7"/>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4"/>
    <w:qFormat/>
    <w:uiPriority w:val="9"/>
    <w:rPr>
      <w:rFonts w:ascii="Times New Roman" w:hAnsi="Times New Roman"/>
      <w:b/>
      <w:bCs/>
      <w:kern w:val="44"/>
      <w:sz w:val="44"/>
      <w:szCs w:val="44"/>
    </w:rPr>
  </w:style>
  <w:style w:type="character" w:customStyle="1" w:styleId="31">
    <w:name w:val="标题 2 Char"/>
    <w:basedOn w:val="18"/>
    <w:link w:val="5"/>
    <w:qFormat/>
    <w:uiPriority w:val="9"/>
    <w:rPr>
      <w:rFonts w:asciiTheme="majorHAnsi" w:hAnsiTheme="majorHAnsi" w:eastAsiaTheme="majorEastAsia" w:cstheme="majorBidi"/>
      <w:b/>
      <w:bCs/>
      <w:kern w:val="2"/>
      <w:sz w:val="32"/>
      <w:szCs w:val="32"/>
    </w:r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character" w:customStyle="1" w:styleId="34">
    <w:name w:val="标题 3 Char"/>
    <w:basedOn w:val="18"/>
    <w:link w:val="6"/>
    <w:qFormat/>
    <w:uiPriority w:val="9"/>
    <w:rPr>
      <w:rFonts w:ascii="Times New Roman" w:hAnsi="Times New Roman"/>
      <w:b/>
      <w:bCs/>
      <w:kern w:val="2"/>
      <w:sz w:val="32"/>
      <w:szCs w:val="32"/>
    </w:r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WPSOffice手动目录 1"/>
    <w:qFormat/>
    <w:uiPriority w:val="0"/>
    <w:pPr>
      <w:ind w:leftChars="0"/>
    </w:pPr>
    <w:rPr>
      <w:rFonts w:asciiTheme="minorHAnsi" w:hAnsiTheme="minorHAnsi" w:eastAsiaTheme="minorEastAsia" w:cstheme="minorBidi"/>
      <w:sz w:val="20"/>
      <w:szCs w:val="20"/>
    </w:rPr>
  </w:style>
  <w:style w:type="paragraph" w:customStyle="1" w:styleId="38">
    <w:name w:val="WPSOffice手动目录 2"/>
    <w:qFormat/>
    <w:uiPriority w:val="0"/>
    <w:pPr>
      <w:ind w:leftChars="200"/>
    </w:pPr>
    <w:rPr>
      <w:rFonts w:asciiTheme="minorHAnsi" w:hAnsiTheme="minorHAnsi" w:eastAsiaTheme="minorEastAsia" w:cstheme="minorBidi"/>
      <w:sz w:val="20"/>
      <w:szCs w:val="20"/>
    </w:rPr>
  </w:style>
  <w:style w:type="paragraph" w:customStyle="1" w:styleId="39">
    <w:name w:val="质联正文"/>
    <w:basedOn w:val="1"/>
    <w:qFormat/>
    <w:uiPriority w:val="3"/>
    <w:pPr>
      <w:spacing w:line="600" w:lineRule="exact"/>
      <w:ind w:firstLine="640" w:firstLineChars="200"/>
    </w:pPr>
    <w:rPr>
      <w:kern w:val="0"/>
      <w:szCs w:val="28"/>
      <w:lang w:val="zh-CN"/>
    </w:rPr>
  </w:style>
  <w:style w:type="character" w:customStyle="1" w:styleId="40">
    <w:name w:val="font21"/>
    <w:basedOn w:val="18"/>
    <w:qFormat/>
    <w:uiPriority w:val="0"/>
    <w:rPr>
      <w:rFonts w:hint="eastAsia" w:ascii="黑体" w:hAnsi="宋体" w:eastAsia="黑体" w:cs="黑体"/>
      <w:b/>
      <w:bCs/>
      <w:color w:val="000000"/>
      <w:sz w:val="30"/>
      <w:szCs w:val="30"/>
      <w:u w:val="none"/>
    </w:rPr>
  </w:style>
  <w:style w:type="character" w:customStyle="1" w:styleId="41">
    <w:name w:val="font81"/>
    <w:basedOn w:val="18"/>
    <w:qFormat/>
    <w:uiPriority w:val="0"/>
    <w:rPr>
      <w:rFonts w:hint="eastAsia" w:ascii="黑体" w:hAnsi="宋体" w:eastAsia="黑体" w:cs="黑体"/>
      <w:b/>
      <w:bCs/>
      <w:color w:val="000000"/>
      <w:sz w:val="30"/>
      <w:szCs w:val="30"/>
      <w:u w:val="none"/>
    </w:rPr>
  </w:style>
  <w:style w:type="character" w:customStyle="1" w:styleId="42">
    <w:name w:val="font01"/>
    <w:basedOn w:val="1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845.25</c:v>
                </c:pt>
                <c:pt idx="1">
                  <c:v>845.25</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955.54</c:v>
                </c:pt>
                <c:pt idx="1">
                  <c:v>955.54</c:v>
                </c:pt>
              </c:numCache>
            </c:numRef>
          </c:val>
        </c:ser>
        <c:dLbls>
          <c:showLegendKey val="0"/>
          <c:showVal val="0"/>
          <c:showCatName val="0"/>
          <c:showSerName val="0"/>
          <c:showPercent val="0"/>
          <c:showBubbleSize val="0"/>
        </c:dLbls>
        <c:gapWidth val="219"/>
        <c:overlap val="-27"/>
        <c:axId val="563125012"/>
        <c:axId val="543336824"/>
      </c:barChart>
      <c:catAx>
        <c:axId val="5631250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3336824"/>
        <c:crosses val="autoZero"/>
        <c:auto val="1"/>
        <c:lblAlgn val="ctr"/>
        <c:lblOffset val="100"/>
        <c:noMultiLvlLbl val="0"/>
      </c:catAx>
      <c:valAx>
        <c:axId val="543336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125012"/>
        <c:crosses val="autoZero"/>
        <c:crossBetween val="between"/>
        <c:majorUnit val="5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0%</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zh-CN"/>
              <a:t>占比（</a:t>
            </a:r>
            <a:r>
              <a:rPr lang="en-US" altLang="zh-CN"/>
              <a:t>%</a:t>
            </a:r>
            <a:r>
              <a:rPr altLang="zh-CN"/>
              <a:t>）</a:t>
            </a:r>
            <a:endParaRPr altLang="zh-CN"/>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销售额</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42.54</c:v>
                </c:pt>
                <c:pt idx="1">
                  <c:v>57.46</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21625"/>
          <c:y val="0.02"/>
        </c:manualLayout>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845.25</c:v>
                </c:pt>
                <c:pt idx="1">
                  <c:v>845.25</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955.54</c:v>
                </c:pt>
                <c:pt idx="1">
                  <c:v>955.54</c:v>
                </c:pt>
              </c:numCache>
            </c:numRef>
          </c:val>
        </c:ser>
        <c:dLbls>
          <c:showLegendKey val="0"/>
          <c:showVal val="1"/>
          <c:showCatName val="0"/>
          <c:showSerName val="0"/>
          <c:showPercent val="0"/>
          <c:showBubbleSize val="0"/>
        </c:dLbls>
        <c:gapWidth val="219"/>
        <c:overlap val="-27"/>
        <c:axId val="944755782"/>
        <c:axId val="493294534"/>
      </c:barChart>
      <c:catAx>
        <c:axId val="94475578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3294534"/>
        <c:crosses val="autoZero"/>
        <c:auto val="1"/>
        <c:lblAlgn val="ctr"/>
        <c:lblOffset val="100"/>
        <c:noMultiLvlLbl val="0"/>
      </c:catAx>
      <c:valAx>
        <c:axId val="49329453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4755782"/>
        <c:crosses val="autoZero"/>
        <c:crossBetween val="between"/>
        <c:majorUnit val="5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36"/>
          <c:y val="0.047"/>
        </c:manualLayout>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845.25</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955.54</c:v>
                </c:pt>
              </c:numCache>
            </c:numRef>
          </c:val>
        </c:ser>
        <c:dLbls>
          <c:showLegendKey val="0"/>
          <c:showVal val="1"/>
          <c:showCatName val="0"/>
          <c:showSerName val="0"/>
          <c:showPercent val="0"/>
          <c:showBubbleSize val="0"/>
        </c:dLbls>
        <c:gapWidth val="219"/>
        <c:overlap val="-27"/>
        <c:axId val="944755782"/>
        <c:axId val="493294534"/>
      </c:barChart>
      <c:catAx>
        <c:axId val="94475578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3294534"/>
        <c:crosses val="autoZero"/>
        <c:auto val="1"/>
        <c:lblAlgn val="ctr"/>
        <c:lblOffset val="100"/>
        <c:noMultiLvlLbl val="0"/>
      </c:catAx>
      <c:valAx>
        <c:axId val="49329453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4755782"/>
        <c:crosses val="autoZero"/>
        <c:crossBetween val="between"/>
        <c:majorUnit val="5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公共安全支出</c:v>
                </c:pt>
                <c:pt idx="1">
                  <c:v>交通运输支出</c:v>
                </c:pt>
              </c:strCache>
            </c:strRef>
          </c:cat>
          <c:val>
            <c:numRef>
              <c:f>Sheet1!$B$2:$B$3</c:f>
              <c:numCache>
                <c:formatCode>General</c:formatCode>
                <c:ptCount val="2"/>
                <c:pt idx="0">
                  <c:v>98.95</c:v>
                </c:pt>
                <c:pt idx="1">
                  <c:v>1.05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占比（%）</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100</c:v>
                </c:pt>
                <c:pt idx="2">
                  <c:v>0</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C8E7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44</Pages>
  <Words>21176</Words>
  <Characters>23509</Characters>
  <Lines>61</Lines>
  <Paragraphs>17</Paragraphs>
  <TotalTime>0</TotalTime>
  <ScaleCrop>false</ScaleCrop>
  <LinksUpToDate>false</LinksUpToDate>
  <CharactersWithSpaces>23650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Administrator</cp:lastModifiedBy>
  <cp:lastPrinted>2025-07-29T14:54:00Z</cp:lastPrinted>
  <dcterms:modified xsi:type="dcterms:W3CDTF">2025-08-21T10:34:01Z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3BF536824C220DA3E40E8B68BA118B1C_42</vt:lpwstr>
  </property>
</Properties>
</file>