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Lines="0"/>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7426"/>
      <w:bookmarkStart w:id="2" w:name="_Toc15396476"/>
      <w:bookmarkStart w:id="3" w:name="_Toc15377194"/>
      <w:bookmarkStart w:id="4" w:name="_Toc15396598"/>
      <w:bookmarkStart w:id="5" w:name="_Toc15378442"/>
    </w:p>
    <w:p>
      <w:pPr>
        <w:pStyle w:val="7"/>
        <w:spacing w:beforeLines="0"/>
        <w:jc w:val="both"/>
        <w:rPr>
          <w:rFonts w:hint="eastAsia" w:ascii="Times New Roman" w:hAnsi="Times New Roman" w:eastAsia="方正小标宋简体" w:cs="Times New Roman"/>
          <w:color w:val="auto"/>
          <w:kern w:val="2"/>
          <w:sz w:val="44"/>
          <w:szCs w:val="44"/>
          <w:highlight w:val="none"/>
          <w:lang w:val="en-US" w:eastAsia="zh-CN" w:bidi="ar-SA"/>
        </w:rPr>
      </w:pPr>
    </w:p>
    <w:p>
      <w:pPr>
        <w:pStyle w:val="7"/>
        <w:autoSpaceDE/>
        <w:autoSpaceDN/>
        <w:adjustRightInd/>
        <w:spacing w:beforeLines="130" w:afterLines="0"/>
        <w:jc w:val="center"/>
        <w:rPr>
          <w:rFonts w:hint="eastAsia" w:ascii="方正小标宋简体" w:hAnsi="方正小标宋简体" w:eastAsia="方正小标宋简体" w:cs="方正小标宋简体"/>
          <w:color w:val="auto"/>
          <w:kern w:val="2"/>
          <w:sz w:val="48"/>
          <w:szCs w:val="48"/>
          <w:highlight w:val="none"/>
          <w:lang w:val="en-US" w:eastAsia="zh-CN" w:bidi="ar-SA"/>
        </w:rPr>
      </w:pPr>
      <w:r>
        <w:rPr>
          <w:rFonts w:hint="eastAsia" w:ascii="方正小标宋简体" w:hAnsi="方正小标宋简体" w:eastAsia="方正小标宋简体" w:cs="方正小标宋简体"/>
          <w:color w:val="auto"/>
          <w:kern w:val="2"/>
          <w:sz w:val="48"/>
          <w:szCs w:val="48"/>
          <w:highlight w:val="none"/>
          <w:lang w:val="en-US" w:eastAsia="zh-CN" w:bidi="ar-SA"/>
        </w:rPr>
        <w:t>2024年度</w:t>
      </w:r>
    </w:p>
    <w:p>
      <w:pPr>
        <w:pStyle w:val="7"/>
        <w:autoSpaceDE/>
        <w:autoSpaceDN/>
        <w:adjustRightInd/>
        <w:spacing w:beforeLines="130" w:afterLines="0"/>
        <w:jc w:val="center"/>
        <w:rPr>
          <w:rFonts w:hint="eastAsia" w:ascii="方正小标宋简体" w:hAnsi="方正小标宋简体" w:eastAsia="方正小标宋简体" w:cs="方正小标宋简体"/>
          <w:color w:val="auto"/>
          <w:kern w:val="2"/>
          <w:sz w:val="48"/>
          <w:szCs w:val="48"/>
          <w:highlight w:val="none"/>
          <w:lang w:val="en-US" w:eastAsia="zh-CN" w:bidi="ar-SA"/>
        </w:rPr>
      </w:pPr>
      <w:r>
        <w:rPr>
          <w:rFonts w:hint="eastAsia" w:ascii="方正小标宋简体" w:hAnsi="方正小标宋简体" w:eastAsia="方正小标宋简体" w:cs="方正小标宋简体"/>
          <w:color w:val="auto"/>
          <w:kern w:val="2"/>
          <w:sz w:val="48"/>
          <w:szCs w:val="48"/>
          <w:highlight w:val="none"/>
          <w:lang w:val="en-US" w:eastAsia="zh-CN" w:bidi="ar-SA"/>
        </w:rPr>
        <w:t>四川省</w:t>
      </w:r>
      <w:bookmarkEnd w:id="0"/>
      <w:bookmarkStart w:id="6" w:name="_Toc15306268"/>
      <w:r>
        <w:rPr>
          <w:rFonts w:hint="eastAsia" w:ascii="方正小标宋简体" w:hAnsi="方正小标宋简体" w:eastAsia="方正小标宋简体" w:cs="方正小标宋简体"/>
          <w:color w:val="auto"/>
          <w:kern w:val="2"/>
          <w:sz w:val="48"/>
          <w:szCs w:val="48"/>
          <w:highlight w:val="none"/>
          <w:lang w:val="en-US" w:eastAsia="zh-CN" w:bidi="ar-SA"/>
        </w:rPr>
        <w:t>遂宁市安居区三家镇大安初级中学校部门决算</w:t>
      </w:r>
      <w:bookmarkEnd w:id="1"/>
      <w:bookmarkEnd w:id="2"/>
      <w:bookmarkEnd w:id="3"/>
      <w:bookmarkEnd w:id="4"/>
      <w:bookmarkEnd w:id="5"/>
      <w:bookmarkEnd w:id="6"/>
      <w:r>
        <w:rPr>
          <w:rFonts w:hint="eastAsia" w:ascii="方正小标宋简体" w:hAnsi="方正小标宋简体" w:eastAsia="方正小标宋简体" w:cs="方正小标宋简体"/>
          <w:color w:val="auto"/>
          <w:kern w:val="2"/>
          <w:sz w:val="48"/>
          <w:szCs w:val="48"/>
          <w:highlight w:val="none"/>
          <w:lang w:val="en-US" w:eastAsia="zh-CN" w:bidi="ar-SA"/>
        </w:rPr>
        <w:t>公开</w:t>
      </w:r>
    </w:p>
    <w:p>
      <w:pPr>
        <w:pStyle w:val="12"/>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仿宋" w:hAnsi="仿宋" w:eastAsia="仿宋" w:cs="仿宋"/>
          <w:b/>
          <w:bCs/>
          <w:color w:val="auto"/>
          <w:sz w:val="32"/>
          <w:szCs w:val="32"/>
          <w:highlight w:val="none"/>
          <w:lang w:val="en-US" w:eastAsia="zh-CN"/>
        </w:rPr>
      </w:pPr>
    </w:p>
    <w:p>
      <w:pPr>
        <w:widowControl/>
        <w:jc w:val="center"/>
        <w:rPr>
          <w:rFonts w:hint="eastAsia" w:ascii="仿宋" w:hAnsi="仿宋" w:eastAsia="仿宋" w:cs="仿宋"/>
          <w:b/>
          <w:bCs/>
          <w:color w:val="auto"/>
          <w:sz w:val="48"/>
          <w:szCs w:val="4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5"/>
        <w:jc w:val="center"/>
        <w:rPr>
          <w:rFonts w:hint="eastAsia" w:ascii="仿宋" w:hAnsi="仿宋" w:eastAsia="仿宋" w:cs="仿宋"/>
          <w:b/>
          <w:bCs/>
          <w:color w:val="auto"/>
          <w:highlight w:val="none"/>
        </w:rPr>
      </w:pPr>
    </w:p>
    <w:p>
      <w:pPr>
        <w:pStyle w:val="5"/>
        <w:jc w:val="center"/>
        <w:rPr>
          <w:rFonts w:hint="eastAsia" w:ascii="仿宋" w:hAnsi="仿宋" w:eastAsia="仿宋" w:cs="仿宋"/>
          <w:b/>
          <w:bCs/>
          <w:color w:val="auto"/>
          <w:highlight w:val="none"/>
        </w:rPr>
        <w:sectPr>
          <w:footerReference r:id="rId8" w:type="first"/>
          <w:footerReference r:id="rId7" w:type="default"/>
          <w:type w:val="continuous"/>
          <w:pgSz w:w="11906" w:h="16838"/>
          <w:pgMar w:top="1440" w:right="1800" w:bottom="1440" w:left="1800" w:header="851" w:footer="992" w:gutter="0"/>
          <w:pgNumType w:fmt="decimal"/>
          <w:cols w:space="0" w:num="1"/>
          <w:titlePg/>
          <w:docGrid w:type="lines" w:linePitch="312" w:charSpace="0"/>
        </w:sectPr>
      </w:pPr>
    </w:p>
    <w:p>
      <w:pPr>
        <w:widowControl/>
        <w:jc w:val="center"/>
        <w:outlineLvl w:val="9"/>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目录</w:t>
      </w:r>
    </w:p>
    <w:p>
      <w:pPr>
        <w:widowControl/>
        <w:jc w:val="center"/>
        <w:outlineLvl w:val="9"/>
        <w:rPr>
          <w:rFonts w:hint="eastAsia" w:ascii="仿宋" w:hAnsi="仿宋" w:eastAsia="仿宋" w:cs="仿宋"/>
          <w:b/>
          <w:bCs/>
          <w:color w:val="auto"/>
          <w:sz w:val="28"/>
          <w:szCs w:val="28"/>
          <w:highlight w:val="none"/>
        </w:rPr>
      </w:pPr>
    </w:p>
    <w:p>
      <w:pPr>
        <w:pStyle w:val="11"/>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公开时间：20</w:t>
      </w:r>
      <w:r>
        <w:rPr>
          <w:rFonts w:hint="eastAsia" w:ascii="仿宋" w:hAnsi="仿宋" w:eastAsia="仿宋" w:cs="仿宋"/>
          <w:b/>
          <w:bCs/>
          <w:color w:val="auto"/>
          <w:sz w:val="32"/>
          <w:szCs w:val="32"/>
          <w:highlight w:val="none"/>
          <w:lang w:val="en-US" w:eastAsia="zh-CN"/>
        </w:rPr>
        <w:t>25</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 xml:space="preserve"> 8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lang w:val="en-US" w:eastAsia="zh-CN"/>
        </w:rPr>
        <w:t xml:space="preserve"> 2</w:t>
      </w:r>
      <w:r>
        <w:rPr>
          <w:rFonts w:hint="eastAsia" w:cs="仿宋"/>
          <w:b/>
          <w:bCs/>
          <w:color w:val="auto"/>
          <w:sz w:val="32"/>
          <w:szCs w:val="32"/>
          <w:highlight w:val="none"/>
          <w:lang w:val="en-US" w:eastAsia="zh-CN"/>
        </w:rPr>
        <w:t>8</w:t>
      </w:r>
      <w:r>
        <w:rPr>
          <w:rFonts w:hint="eastAsia" w:ascii="仿宋" w:hAnsi="仿宋" w:eastAsia="仿宋" w:cs="仿宋"/>
          <w:b/>
          <w:bCs/>
          <w:color w:val="auto"/>
          <w:sz w:val="32"/>
          <w:szCs w:val="32"/>
          <w:highlight w:val="none"/>
        </w:rPr>
        <w:t>日</w:t>
      </w:r>
    </w:p>
    <w:sdt>
      <w:sdtPr>
        <w:rPr>
          <w:rFonts w:hint="eastAsia" w:ascii="仿宋" w:hAnsi="仿宋" w:eastAsia="仿宋" w:cs="仿宋"/>
          <w:kern w:val="2"/>
          <w:sz w:val="32"/>
          <w:szCs w:val="32"/>
          <w:lang w:val="en-US" w:eastAsia="zh-CN" w:bidi="ar-SA"/>
        </w:rPr>
        <w:id w:val="147477539"/>
        <w15:color w:val="DBDBDB"/>
        <w:docPartObj>
          <w:docPartGallery w:val="Table of Contents"/>
          <w:docPartUnique/>
        </w:docPartObj>
      </w:sdtPr>
      <w:sdtEndPr>
        <w:rPr>
          <w:rFonts w:hint="eastAsia" w:ascii="仿宋_GB2312" w:hAnsi="仿宋_GB2312" w:eastAsia="仿宋_GB2312" w:cs="仿宋_GB2312"/>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TOC \o "1-2" \h \u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_Toc4793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第一部分</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 xml:space="preserve">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_Toc15312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一、部门职责：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_Toc17175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机构设置</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_Toc525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第二部分</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2024年度</w:t>
          </w:r>
          <w:r>
            <w:rPr>
              <w:rFonts w:hint="eastAsia" w:ascii="仿宋_GB2312" w:hAnsi="仿宋_GB2312" w:eastAsia="仿宋_GB2312" w:cs="仿宋_GB2312"/>
              <w:bCs/>
              <w:sz w:val="32"/>
              <w:szCs w:val="32"/>
              <w:highlight w:val="none"/>
            </w:rPr>
            <w:t>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_Toc29050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一、</w:t>
          </w:r>
          <w:r>
            <w:rPr>
              <w:rFonts w:hint="eastAsia" w:ascii="仿宋_GB2312" w:hAnsi="仿宋_GB2312" w:eastAsia="仿宋_GB2312" w:cs="仿宋_GB2312"/>
              <w:bCs/>
              <w:sz w:val="32"/>
              <w:szCs w:val="32"/>
              <w:highlight w:val="none"/>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_Toc24116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_Toc26415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三、</w:t>
          </w:r>
          <w:r>
            <w:rPr>
              <w:rFonts w:hint="eastAsia" w:ascii="仿宋_GB2312" w:hAnsi="仿宋_GB2312" w:eastAsia="仿宋_GB2312" w:cs="仿宋_GB2312"/>
              <w:bCs/>
              <w:sz w:val="32"/>
              <w:szCs w:val="32"/>
              <w:highlight w:val="none"/>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_Toc7732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_Toc1272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_Toc26660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_Toc1890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_Toc25044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_Toc25044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_Toc12974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九、</w:t>
          </w:r>
          <w:r>
            <w:rPr>
              <w:rFonts w:hint="eastAsia" w:ascii="仿宋_GB2312" w:hAnsi="仿宋_GB2312" w:eastAsia="仿宋_GB2312" w:cs="仿宋_GB2312"/>
              <w:bCs/>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_Toc17792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eastAsia="zh-CN"/>
            </w:rPr>
            <w:t>十、</w:t>
          </w:r>
          <w:r>
            <w:rPr>
              <w:rFonts w:hint="eastAsia" w:ascii="仿宋_GB2312" w:hAnsi="仿宋_GB2312" w:eastAsia="仿宋_GB2312" w:cs="仿宋_GB2312"/>
              <w:bCs/>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_Toc17792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_Toc19232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_Toc21866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_Toc9399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val="zh-CN"/>
            </w:rPr>
            <w:t>一、基本情况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_Toc27966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val="zh-CN"/>
            </w:rPr>
            <w:t>二、部门资金收支情况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_Toc11664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lang w:val="zh-CN"/>
            </w:rPr>
            <w:t>三、部门预算绩效分析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第五部分</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_Toc10069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Cs/>
              <w:sz w:val="32"/>
              <w:szCs w:val="32"/>
              <w:highlight w:val="none"/>
              <w:lang w:val="en-US" w:eastAsia="zh-CN"/>
            </w:rPr>
            <w:t>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_Toc12425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_Toc32087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_Toc14815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_Toc18138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_Toc5599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_Toc19937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_Toc25049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_Toc25049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_Toc12395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_Toc10743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_Toc16248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_Toc8886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_Toc20265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_Toc17150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sz w:val="32"/>
              <w:szCs w:val="32"/>
              <w:highlight w:val="none"/>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3"/>
            <w:rPr>
              <w:rFonts w:hint="eastAsia" w:ascii="仿宋_GB2312" w:hAnsi="仿宋_GB2312" w:eastAsia="仿宋_GB2312" w:cs="仿宋_GB2312"/>
              <w:kern w:val="2"/>
              <w:sz w:val="21"/>
              <w:szCs w:val="32"/>
              <w:lang w:val="en-US" w:eastAsia="zh-CN" w:bidi="ar-SA"/>
            </w:rPr>
            <w:sectPr>
              <w:footerReference r:id="rId10" w:type="first"/>
              <w:footerReference r:id="rId9" w:type="default"/>
              <w:pgSz w:w="11906" w:h="16838"/>
              <w:pgMar w:top="1440" w:right="1800" w:bottom="1440" w:left="1800" w:header="851" w:footer="992" w:gutter="0"/>
              <w:pgNumType w:fmt="decimal"/>
              <w:cols w:space="0" w:num="1"/>
              <w:titlePg/>
              <w:docGrid w:type="lines" w:linePitch="312" w:charSpace="0"/>
            </w:sectPr>
          </w:pPr>
          <w:r>
            <w:rPr>
              <w:rFonts w:hint="eastAsia" w:ascii="仿宋_GB2312" w:hAnsi="仿宋_GB2312" w:eastAsia="仿宋_GB2312" w:cs="仿宋_GB2312"/>
              <w:kern w:val="2"/>
              <w:sz w:val="32"/>
              <w:szCs w:val="32"/>
              <w:lang w:val="en-US" w:eastAsia="zh-CN" w:bidi="ar-SA"/>
            </w:rPr>
            <w:fldChar w:fldCharType="end"/>
          </w:r>
        </w:p>
      </w:sdtContent>
    </w:sdt>
    <w:p>
      <w:pPr>
        <w:pStyle w:val="5"/>
        <w:keepNext/>
        <w:keepLines/>
        <w:autoSpaceDE/>
        <w:autoSpaceDN/>
        <w:adjustRightInd/>
        <w:spacing w:before="340" w:after="330" w:line="578" w:lineRule="auto"/>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bookmarkStart w:id="7" w:name="_Toc4793"/>
      <w:r>
        <w:rPr>
          <w:rFonts w:hint="eastAsia" w:ascii="Times New Roman" w:hAnsi="Times New Roman" w:eastAsia="方正小标宋简体" w:cs="方正小标宋简体"/>
          <w:b w:val="0"/>
          <w:bCs/>
          <w:color w:val="auto"/>
          <w:kern w:val="44"/>
          <w:sz w:val="44"/>
          <w:szCs w:val="44"/>
          <w:highlight w:val="none"/>
          <w:lang w:val="en-US" w:eastAsia="zh-CN" w:bidi="ar-SA"/>
        </w:rPr>
        <w:t>第一部分  部门概况</w:t>
      </w:r>
      <w:bookmarkEnd w:id="7"/>
    </w:p>
    <w:p>
      <w:pPr>
        <w:widowControl/>
        <w:jc w:val="left"/>
        <w:rPr>
          <w:rFonts w:hint="eastAsia" w:ascii="仿宋" w:hAnsi="仿宋" w:eastAsia="仿宋" w:cs="仿宋"/>
          <w:b/>
          <w:bCs/>
          <w:color w:val="auto"/>
          <w:sz w:val="32"/>
          <w:szCs w:val="32"/>
          <w:highlight w:val="none"/>
        </w:rPr>
      </w:pPr>
    </w:p>
    <w:p>
      <w:pPr>
        <w:pStyle w:val="6"/>
        <w:keepNext/>
        <w:keepLines/>
        <w:autoSpaceDE/>
        <w:autoSpaceDN/>
        <w:adjustRightInd/>
        <w:spacing w:before="260" w:after="260" w:line="416" w:lineRule="auto"/>
        <w:ind w:firstLine="0"/>
        <w:jc w:val="both"/>
        <w:outlineLvl w:val="1"/>
        <w:rPr>
          <w:rFonts w:hint="eastAsia" w:ascii="仿宋" w:hAnsi="仿宋" w:eastAsia="仿宋" w:cs="仿宋"/>
          <w:b/>
          <w:bCs/>
          <w:color w:val="auto"/>
          <w:highlight w:val="none"/>
          <w:u w:val="none"/>
          <w:lang w:eastAsia="zh-CN"/>
        </w:rPr>
      </w:pPr>
      <w:bookmarkStart w:id="8" w:name="_Toc15312"/>
      <w:r>
        <w:rPr>
          <w:rFonts w:hint="eastAsia" w:ascii="Times New Roman" w:hAnsi="Times New Roman" w:eastAsia="黑体" w:cstheme="majorBidi"/>
          <w:b w:val="0"/>
          <w:bCs/>
          <w:color w:val="auto"/>
          <w:kern w:val="2"/>
          <w:sz w:val="32"/>
          <w:szCs w:val="32"/>
          <w:highlight w:val="none"/>
          <w:lang w:val="en-US" w:eastAsia="zh-CN" w:bidi="ar-SA"/>
        </w:rPr>
        <w:t>一、部门职责：</w:t>
      </w:r>
      <w:bookmarkEnd w:id="8"/>
    </w:p>
    <w:p>
      <w:pPr>
        <w:pStyle w:val="7"/>
        <w:autoSpaceDE w:val="0"/>
        <w:autoSpaceDN w:val="0"/>
        <w:adjustRightInd w:val="0"/>
        <w:snapToGrid w:val="0"/>
        <w:spacing w:before="93" w:afterLines="0" w:line="600" w:lineRule="exact"/>
        <w:ind w:firstLine="672" w:firstLineChars="210"/>
        <w:outlineLvl w:val="2"/>
        <w:rPr>
          <w:rFonts w:hint="eastAsia" w:hAnsi="仿宋_GB2312" w:cs="仿宋_GB2312"/>
          <w:kern w:val="0"/>
          <w:sz w:val="32"/>
          <w:szCs w:val="24"/>
          <w:lang w:eastAsia="zh-CN"/>
        </w:rPr>
      </w:pPr>
      <w:r>
        <w:rPr>
          <w:rFonts w:hint="eastAsia" w:hAnsi="仿宋_GB2312" w:cs="仿宋_GB2312"/>
          <w:kern w:val="0"/>
          <w:sz w:val="32"/>
          <w:szCs w:val="24"/>
          <w:lang w:eastAsia="zh-CN"/>
        </w:rPr>
        <w:t>实施初中义务教育，促进基础教育发展，负责初中学历教育和相关社会服务。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 w:val="0"/>
          <w:bCs/>
          <w:color w:val="auto"/>
          <w:kern w:val="2"/>
          <w:sz w:val="32"/>
          <w:szCs w:val="32"/>
          <w:highlight w:val="none"/>
          <w:lang w:val="en-US" w:eastAsia="zh-CN" w:bidi="ar-SA"/>
        </w:rPr>
      </w:pPr>
      <w:bookmarkStart w:id="9" w:name="_Toc15396601"/>
      <w:bookmarkStart w:id="10" w:name="_Toc15377200"/>
      <w:bookmarkStart w:id="11" w:name="_Toc17175"/>
      <w:r>
        <w:rPr>
          <w:rFonts w:hint="eastAsia" w:ascii="Times New Roman" w:hAnsi="Times New Roman" w:eastAsia="黑体" w:cstheme="majorBidi"/>
          <w:b w:val="0"/>
          <w:bCs/>
          <w:color w:val="auto"/>
          <w:kern w:val="2"/>
          <w:sz w:val="32"/>
          <w:szCs w:val="32"/>
          <w:highlight w:val="none"/>
          <w:lang w:val="en-US" w:eastAsia="zh-CN" w:bidi="ar-SA"/>
        </w:rPr>
        <w:t>二、机构设置</w:t>
      </w:r>
      <w:bookmarkEnd w:id="9"/>
      <w:bookmarkEnd w:id="10"/>
      <w:r>
        <w:rPr>
          <w:rFonts w:hint="eastAsia" w:ascii="Times New Roman" w:hAnsi="Times New Roman" w:eastAsia="黑体" w:cstheme="majorBidi"/>
          <w:b w:val="0"/>
          <w:bCs/>
          <w:color w:val="auto"/>
          <w:kern w:val="2"/>
          <w:sz w:val="32"/>
          <w:szCs w:val="32"/>
          <w:highlight w:val="none"/>
          <w:lang w:val="en-US" w:eastAsia="zh-CN" w:bidi="ar-SA"/>
        </w:rPr>
        <w:t>：</w:t>
      </w:r>
      <w:bookmarkEnd w:id="11"/>
    </w:p>
    <w:p>
      <w:pPr>
        <w:pStyle w:val="7"/>
        <w:autoSpaceDE w:val="0"/>
        <w:autoSpaceDN w:val="0"/>
        <w:adjustRightInd w:val="0"/>
        <w:snapToGrid w:val="0"/>
        <w:spacing w:before="93" w:afterLines="0" w:line="600" w:lineRule="exact"/>
        <w:ind w:firstLine="672" w:firstLineChars="210"/>
        <w:outlineLvl w:val="2"/>
        <w:rPr>
          <w:rFonts w:hint="eastAsia" w:hAnsi="仿宋_GB2312" w:cs="仿宋_GB2312"/>
          <w:kern w:val="0"/>
          <w:sz w:val="32"/>
          <w:szCs w:val="24"/>
          <w:lang w:eastAsia="zh-CN"/>
        </w:rPr>
      </w:pPr>
      <w:r>
        <w:rPr>
          <w:rFonts w:hint="eastAsia" w:hAnsi="仿宋_GB2312" w:cs="仿宋_GB2312"/>
          <w:kern w:val="0"/>
          <w:sz w:val="32"/>
          <w:szCs w:val="24"/>
          <w:lang w:val="en-US" w:eastAsia="zh-CN"/>
        </w:rPr>
        <w:t>我校全称是遂宁市安居区三家镇大安初级中学校，是一所乡村初级中学校。主管单位是遂宁市安居区教育局。学校内部设行政、教导、德育、安全、团支部、后勤、财务等职能机构共同促进学校教育教学工作健康发展。 我校为独立编制机构1个，独立核算机构1个。我校现有在编教师33人，遗属3人，退休教师11人，学生196人。</w:t>
      </w:r>
    </w:p>
    <w:p>
      <w:pPr>
        <w:pStyle w:val="6"/>
        <w:rPr>
          <w:rStyle w:val="19"/>
          <w:rFonts w:hint="eastAsia" w:ascii="仿宋" w:hAnsi="仿宋" w:eastAsia="仿宋" w:cs="仿宋"/>
          <w:b/>
          <w:bCs/>
          <w:color w:val="auto"/>
          <w:highlight w:val="none"/>
        </w:rPr>
      </w:pPr>
    </w:p>
    <w:p>
      <w:pPr>
        <w:pStyle w:val="5"/>
        <w:jc w:val="center"/>
        <w:rPr>
          <w:rFonts w:hint="eastAsia" w:ascii="仿宋" w:hAnsi="仿宋" w:eastAsia="仿宋" w:cs="仿宋"/>
          <w:b/>
          <w:bCs/>
          <w:color w:val="auto"/>
          <w:highlight w:val="none"/>
        </w:rPr>
        <w:sectPr>
          <w:footerReference r:id="rId12" w:type="first"/>
          <w:footerReference r:id="rId11" w:type="default"/>
          <w:pgSz w:w="11906" w:h="16838"/>
          <w:pgMar w:top="1440" w:right="1800" w:bottom="1440" w:left="1800" w:header="851" w:footer="992" w:gutter="0"/>
          <w:pgNumType w:fmt="decimal"/>
          <w:cols w:space="0" w:num="1"/>
          <w:titlePg/>
          <w:docGrid w:type="lines" w:linePitch="312" w:charSpace="0"/>
        </w:sectPr>
      </w:pPr>
      <w:bookmarkStart w:id="12" w:name="_Toc15396602"/>
      <w:bookmarkStart w:id="13" w:name="_Toc15377204"/>
    </w:p>
    <w:p>
      <w:pPr>
        <w:pStyle w:val="5"/>
        <w:keepNext/>
        <w:keepLines/>
        <w:autoSpaceDE w:val="0"/>
        <w:autoSpaceDN w:val="0"/>
        <w:adjustRightInd w:val="0"/>
        <w:spacing w:before="340" w:after="330" w:line="576" w:lineRule="exact"/>
        <w:ind w:right="442"/>
        <w:jc w:val="center"/>
        <w:outlineLvl w:val="9"/>
        <w:rPr>
          <w:rFonts w:hint="eastAsia" w:ascii="仿宋" w:hAnsi="仿宋" w:eastAsia="仿宋" w:cs="仿宋"/>
          <w:b/>
          <w:bCs/>
          <w:color w:val="auto"/>
          <w:highlight w:val="none"/>
        </w:rPr>
      </w:pPr>
      <w:bookmarkStart w:id="14" w:name="_Toc525"/>
      <w:r>
        <w:rPr>
          <w:rFonts w:hint="eastAsia" w:ascii="方正小标宋简体" w:hAnsi="方正小标宋简体" w:eastAsia="方正小标宋简体" w:cs="方正小标宋简体"/>
          <w:b w:val="0"/>
          <w:bCs w:val="0"/>
          <w:color w:val="auto"/>
          <w:kern w:val="44"/>
          <w:sz w:val="44"/>
          <w:szCs w:val="24"/>
          <w:lang w:val="zh-CN"/>
        </w:rPr>
        <w:t>第二部分</w:t>
      </w:r>
      <w:r>
        <w:rPr>
          <w:rFonts w:hint="eastAsia" w:ascii="方正小标宋简体" w:hAnsi="方正小标宋简体" w:eastAsia="方正小标宋简体" w:cs="方正小标宋简体"/>
          <w:b w:val="0"/>
          <w:bCs w:val="0"/>
          <w:color w:val="auto"/>
          <w:kern w:val="44"/>
          <w:sz w:val="44"/>
          <w:szCs w:val="24"/>
          <w:lang w:val="en-US" w:eastAsia="zh-CN"/>
        </w:rPr>
        <w:t>2024年度</w:t>
      </w:r>
      <w:r>
        <w:rPr>
          <w:rFonts w:hint="eastAsia" w:ascii="方正小标宋简体" w:hAnsi="方正小标宋简体" w:eastAsia="方正小标宋简体" w:cs="方正小标宋简体"/>
          <w:b w:val="0"/>
          <w:bCs w:val="0"/>
          <w:color w:val="auto"/>
          <w:kern w:val="44"/>
          <w:sz w:val="44"/>
          <w:szCs w:val="24"/>
          <w:lang w:val="zh-CN"/>
        </w:rPr>
        <w:t>部门决算情况说明</w:t>
      </w:r>
      <w:bookmarkEnd w:id="12"/>
      <w:bookmarkEnd w:id="13"/>
      <w:bookmarkEnd w:id="14"/>
    </w:p>
    <w:p>
      <w:pPr>
        <w:keepNext/>
        <w:keepLines/>
        <w:autoSpaceDE w:val="0"/>
        <w:autoSpaceDN w:val="0"/>
        <w:adjustRightInd w:val="0"/>
        <w:spacing w:line="576" w:lineRule="exact"/>
        <w:jc w:val="both"/>
        <w:rPr>
          <w:rFonts w:hint="eastAsia" w:ascii="黑体" w:hAnsi="黑体" w:eastAsia="黑体"/>
          <w:color w:val="auto"/>
          <w:kern w:val="2"/>
          <w:sz w:val="32"/>
          <w:szCs w:val="24"/>
          <w:lang w:val="zh-CN"/>
        </w:rPr>
      </w:pPr>
      <w:bookmarkStart w:id="15" w:name="_Toc29050"/>
      <w:bookmarkStart w:id="16" w:name="_Toc15396603"/>
      <w:bookmarkStart w:id="17" w:name="_Toc15377205"/>
      <w:r>
        <w:rPr>
          <w:rFonts w:hint="eastAsia" w:ascii="黑体" w:hAnsi="黑体" w:eastAsia="黑体"/>
          <w:color w:val="auto"/>
          <w:kern w:val="2"/>
          <w:sz w:val="32"/>
          <w:szCs w:val="24"/>
          <w:lang w:val="zh-CN" w:eastAsia="zh-CN"/>
        </w:rPr>
        <w:t>一、</w:t>
      </w:r>
      <w:r>
        <w:rPr>
          <w:rFonts w:hint="eastAsia" w:ascii="黑体" w:hAnsi="黑体" w:eastAsia="黑体"/>
          <w:color w:val="auto"/>
          <w:kern w:val="2"/>
          <w:sz w:val="32"/>
          <w:szCs w:val="24"/>
          <w:lang w:val="zh-CN"/>
        </w:rPr>
        <w:t>收入支出决算总体情况说明</w:t>
      </w:r>
      <w:bookmarkEnd w:id="15"/>
      <w:bookmarkEnd w:id="16"/>
      <w:bookmarkEnd w:id="17"/>
    </w:p>
    <w:p>
      <w:pPr>
        <w:pStyle w:val="7"/>
        <w:keepNext/>
        <w:keepLines/>
        <w:autoSpaceDE w:val="0"/>
        <w:autoSpaceDN w:val="0"/>
        <w:adjustRightInd w:val="0"/>
        <w:snapToGrid w:val="0"/>
        <w:spacing w:before="93" w:afterLines="0" w:line="600" w:lineRule="exact"/>
        <w:ind w:firstLine="672" w:firstLineChars="210"/>
        <w:jc w:val="both"/>
        <w:outlineLvl w:val="2"/>
        <w:rPr>
          <w:rFonts w:hint="eastAsia" w:ascii="仿宋_GB2312" w:hAnsi="仿宋_GB2312" w:eastAsia="仿宋_GB2312" w:cs="仿宋_GB2312"/>
          <w:color w:val="000000"/>
          <w:kern w:val="0"/>
          <w:sz w:val="32"/>
          <w:szCs w:val="24"/>
          <w:lang w:val="zh-CN" w:eastAsia="zh-CN"/>
        </w:rPr>
      </w:pPr>
      <w:r>
        <w:rPr>
          <w:rFonts w:hint="eastAsia" w:ascii="仿宋_GB2312" w:hAnsi="仿宋_GB2312" w:eastAsia="仿宋_GB2312" w:cs="仿宋_GB2312"/>
          <w:color w:val="000000"/>
          <w:kern w:val="0"/>
          <w:sz w:val="32"/>
          <w:szCs w:val="24"/>
          <w:lang w:val="zh-CN" w:eastAsia="zh-CN"/>
        </w:rPr>
        <w:t>2024年度收入</w:t>
      </w:r>
      <w:r>
        <w:rPr>
          <w:rFonts w:hint="eastAsia" w:ascii="仿宋_GB2312" w:hAnsi="仿宋_GB2312" w:eastAsia="仿宋_GB2312" w:cs="仿宋_GB2312"/>
          <w:color w:val="000000"/>
          <w:kern w:val="0"/>
          <w:sz w:val="32"/>
          <w:szCs w:val="24"/>
          <w:lang w:val="zh-CN"/>
        </w:rPr>
        <w:t>、</w:t>
      </w:r>
      <w:r>
        <w:rPr>
          <w:rFonts w:hint="eastAsia" w:ascii="仿宋_GB2312" w:hAnsi="仿宋_GB2312" w:eastAsia="仿宋_GB2312" w:cs="仿宋_GB2312"/>
          <w:color w:val="000000"/>
          <w:kern w:val="0"/>
          <w:sz w:val="32"/>
          <w:szCs w:val="24"/>
          <w:lang w:val="zh-CN" w:eastAsia="zh-CN"/>
        </w:rPr>
        <w:t>支出</w:t>
      </w:r>
      <w:r>
        <w:rPr>
          <w:rFonts w:hint="eastAsia" w:ascii="仿宋_GB2312" w:hAnsi="仿宋_GB2312" w:eastAsia="仿宋_GB2312" w:cs="仿宋_GB2312"/>
          <w:color w:val="000000"/>
          <w:kern w:val="0"/>
          <w:sz w:val="32"/>
          <w:szCs w:val="24"/>
          <w:lang w:val="zh-CN"/>
        </w:rPr>
        <w:t>总计</w:t>
      </w:r>
      <w:r>
        <w:rPr>
          <w:rFonts w:hint="eastAsia" w:ascii="仿宋_GB2312" w:hAnsi="仿宋_GB2312" w:eastAsia="仿宋_GB2312" w:cs="仿宋_GB2312"/>
          <w:color w:val="000000"/>
          <w:kern w:val="0"/>
          <w:sz w:val="32"/>
          <w:szCs w:val="24"/>
          <w:lang w:val="zh-CN" w:eastAsia="zh-CN"/>
        </w:rPr>
        <w:t>均为</w:t>
      </w:r>
      <w:r>
        <w:rPr>
          <w:rFonts w:hint="eastAsia" w:ascii="仿宋_GB2312" w:hAnsi="仿宋_GB2312" w:eastAsia="仿宋_GB2312" w:cs="仿宋_GB2312"/>
          <w:color w:val="000000"/>
          <w:kern w:val="0"/>
          <w:sz w:val="32"/>
          <w:szCs w:val="24"/>
          <w:lang w:val="en-US" w:eastAsia="zh-CN"/>
        </w:rPr>
        <w:t>794.38</w:t>
      </w:r>
      <w:r>
        <w:rPr>
          <w:rFonts w:hint="eastAsia" w:ascii="仿宋_GB2312" w:hAnsi="仿宋_GB2312" w:eastAsia="仿宋_GB2312" w:cs="仿宋_GB2312"/>
          <w:color w:val="000000"/>
          <w:kern w:val="0"/>
          <w:sz w:val="32"/>
          <w:szCs w:val="24"/>
          <w:lang w:val="zh-CN"/>
        </w:rPr>
        <w:t>万元。与</w:t>
      </w:r>
      <w:r>
        <w:rPr>
          <w:rFonts w:hint="eastAsia" w:ascii="仿宋_GB2312" w:hAnsi="仿宋_GB2312" w:eastAsia="仿宋_GB2312" w:cs="仿宋_GB2312"/>
          <w:color w:val="000000"/>
          <w:kern w:val="0"/>
          <w:sz w:val="32"/>
          <w:szCs w:val="24"/>
          <w:lang w:val="zh-CN" w:eastAsia="zh-CN"/>
        </w:rPr>
        <w:t>202</w:t>
      </w:r>
      <w:r>
        <w:rPr>
          <w:rFonts w:hint="eastAsia" w:ascii="仿宋_GB2312" w:hAnsi="仿宋_GB2312" w:eastAsia="仿宋_GB2312" w:cs="仿宋_GB2312"/>
          <w:color w:val="000000"/>
          <w:kern w:val="0"/>
          <w:sz w:val="32"/>
          <w:szCs w:val="24"/>
          <w:lang w:val="en-US" w:eastAsia="zh-CN"/>
        </w:rPr>
        <w:t>3</w:t>
      </w:r>
      <w:r>
        <w:rPr>
          <w:rFonts w:hint="eastAsia" w:ascii="仿宋_GB2312" w:hAnsi="仿宋_GB2312" w:eastAsia="仿宋_GB2312" w:cs="仿宋_GB2312"/>
          <w:color w:val="000000"/>
          <w:kern w:val="0"/>
          <w:sz w:val="32"/>
          <w:szCs w:val="24"/>
          <w:lang w:val="zh-CN"/>
        </w:rPr>
        <w:t>年</w:t>
      </w:r>
      <w:r>
        <w:rPr>
          <w:rFonts w:hint="eastAsia" w:ascii="仿宋_GB2312" w:hAnsi="仿宋_GB2312" w:eastAsia="仿宋_GB2312" w:cs="仿宋_GB2312"/>
          <w:color w:val="000000"/>
          <w:kern w:val="0"/>
          <w:sz w:val="32"/>
          <w:szCs w:val="24"/>
          <w:lang w:val="zh-CN" w:eastAsia="zh-CN"/>
        </w:rPr>
        <w:t>度</w:t>
      </w:r>
      <w:r>
        <w:rPr>
          <w:rFonts w:hint="eastAsia" w:ascii="仿宋_GB2312" w:hAnsi="仿宋_GB2312" w:eastAsia="仿宋_GB2312" w:cs="仿宋_GB2312"/>
          <w:color w:val="000000"/>
          <w:kern w:val="0"/>
          <w:sz w:val="32"/>
          <w:szCs w:val="24"/>
          <w:lang w:val="zh-CN"/>
        </w:rPr>
        <w:t>相比，</w:t>
      </w:r>
      <w:r>
        <w:rPr>
          <w:rFonts w:hint="eastAsia" w:ascii="仿宋_GB2312" w:hAnsi="仿宋_GB2312" w:eastAsia="仿宋_GB2312" w:cs="仿宋_GB2312"/>
          <w:color w:val="000000"/>
          <w:kern w:val="0"/>
          <w:sz w:val="32"/>
          <w:szCs w:val="24"/>
          <w:lang w:val="zh-CN" w:eastAsia="zh-CN"/>
        </w:rPr>
        <w:t>收入</w:t>
      </w:r>
      <w:r>
        <w:rPr>
          <w:rFonts w:hint="eastAsia" w:ascii="仿宋_GB2312" w:hAnsi="仿宋_GB2312" w:eastAsia="仿宋_GB2312" w:cs="仿宋_GB2312"/>
          <w:color w:val="000000"/>
          <w:kern w:val="0"/>
          <w:sz w:val="32"/>
          <w:szCs w:val="24"/>
          <w:lang w:val="zh-CN"/>
        </w:rPr>
        <w:t>、</w:t>
      </w:r>
      <w:r>
        <w:rPr>
          <w:rFonts w:hint="eastAsia" w:ascii="仿宋_GB2312" w:hAnsi="仿宋_GB2312" w:eastAsia="仿宋_GB2312" w:cs="仿宋_GB2312"/>
          <w:color w:val="000000"/>
          <w:kern w:val="0"/>
          <w:sz w:val="32"/>
          <w:szCs w:val="24"/>
          <w:lang w:val="zh-CN" w:eastAsia="zh-CN"/>
        </w:rPr>
        <w:t>支出</w:t>
      </w:r>
      <w:r>
        <w:rPr>
          <w:rFonts w:hint="eastAsia" w:ascii="仿宋_GB2312" w:hAnsi="仿宋_GB2312" w:eastAsia="仿宋_GB2312" w:cs="仿宋_GB2312"/>
          <w:color w:val="000000"/>
          <w:kern w:val="0"/>
          <w:sz w:val="32"/>
          <w:szCs w:val="24"/>
          <w:lang w:val="zh-CN"/>
        </w:rPr>
        <w:t>总计各增加</w:t>
      </w:r>
      <w:r>
        <w:rPr>
          <w:rFonts w:hint="eastAsia" w:ascii="仿宋_GB2312" w:hAnsi="仿宋_GB2312" w:eastAsia="仿宋_GB2312" w:cs="仿宋_GB2312"/>
          <w:color w:val="000000"/>
          <w:kern w:val="0"/>
          <w:sz w:val="32"/>
          <w:szCs w:val="24"/>
          <w:lang w:val="en-US" w:eastAsia="zh-CN"/>
        </w:rPr>
        <w:t>129.01</w:t>
      </w:r>
      <w:r>
        <w:rPr>
          <w:rFonts w:hint="eastAsia" w:ascii="仿宋_GB2312" w:hAnsi="仿宋_GB2312" w:eastAsia="仿宋_GB2312" w:cs="仿宋_GB2312"/>
          <w:color w:val="000000"/>
          <w:kern w:val="0"/>
          <w:sz w:val="32"/>
          <w:szCs w:val="24"/>
          <w:lang w:val="zh-CN"/>
        </w:rPr>
        <w:t>万元，增长</w:t>
      </w:r>
      <w:r>
        <w:rPr>
          <w:rFonts w:hint="eastAsia" w:ascii="仿宋_GB2312" w:hAnsi="仿宋_GB2312" w:eastAsia="仿宋_GB2312" w:cs="仿宋_GB2312"/>
          <w:color w:val="000000"/>
          <w:kern w:val="0"/>
          <w:sz w:val="32"/>
          <w:szCs w:val="24"/>
          <w:lang w:val="en-US" w:eastAsia="zh-CN"/>
        </w:rPr>
        <w:t>16.24</w:t>
      </w:r>
      <w:r>
        <w:rPr>
          <w:rFonts w:hint="eastAsia" w:ascii="仿宋_GB2312" w:hAnsi="仿宋_GB2312" w:eastAsia="仿宋_GB2312" w:cs="仿宋_GB2312"/>
          <w:color w:val="000000"/>
          <w:kern w:val="0"/>
          <w:sz w:val="32"/>
          <w:szCs w:val="24"/>
          <w:lang w:val="zh-CN"/>
        </w:rPr>
        <w:t>%。主要变动原因是</w:t>
      </w:r>
      <w:r>
        <w:rPr>
          <w:rFonts w:hint="eastAsia" w:ascii="仿宋_GB2312" w:hAnsi="仿宋_GB2312" w:eastAsia="仿宋_GB2312" w:cs="仿宋_GB2312"/>
          <w:color w:val="000000"/>
          <w:kern w:val="0"/>
          <w:sz w:val="32"/>
          <w:szCs w:val="24"/>
          <w:lang w:val="zh-CN" w:eastAsia="zh-CN"/>
        </w:rPr>
        <w:t>本年度决算将学生课后服务费、学生伙食费纳入决算中，导致收入、支出经费均有增加。</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sz w:val="32"/>
        </w:rPr>
        <mc:AlternateContent>
          <mc:Choice Requires="wps">
            <w:drawing>
              <wp:anchor distT="0" distB="0" distL="114300" distR="114300" simplePos="0" relativeHeight="251664384" behindDoc="0" locked="0" layoutInCell="1" allowOverlap="1">
                <wp:simplePos x="0" y="0"/>
                <wp:positionH relativeFrom="column">
                  <wp:posOffset>4051935</wp:posOffset>
                </wp:positionH>
                <wp:positionV relativeFrom="paragraph">
                  <wp:posOffset>514985</wp:posOffset>
                </wp:positionV>
                <wp:extent cx="657225" cy="266700"/>
                <wp:effectExtent l="0" t="0" r="9525" b="0"/>
                <wp:wrapNone/>
                <wp:docPr id="8" name="文本框 8"/>
                <wp:cNvGraphicFramePr/>
                <a:graphic xmlns:a="http://schemas.openxmlformats.org/drawingml/2006/main">
                  <a:graphicData uri="http://schemas.microsoft.com/office/word/2010/wordprocessingShape">
                    <wps:wsp>
                      <wps:cNvSpPr txBox="1"/>
                      <wps:spPr>
                        <a:xfrm>
                          <a:off x="5213985" y="4384040"/>
                          <a:ext cx="65722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794.38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05pt;margin-top:40.55pt;height:21pt;width:51.75pt;z-index:251664384;mso-width-relative:page;mso-height-relative:page;" fillcolor="#FFFFFF [3201]" filled="t" stroked="f" coordsize="21600,21600" o:gfxdata="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sy3o9UA&#10;AAAKAQAADwAAAAAAAAABACAAAAAiAAAAZHJzL2Rvd25yZXYueG1sUEsBAhQAFAAAAAgAh07iQBWL&#10;tDNbAgAAmgQAAA4AAAAAAAAAAQAgAAAAJA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794.38</w:t>
                      </w:r>
                    </w:p>
                  </w:txbxContent>
                </v:textbox>
              </v:shape>
            </w:pict>
          </mc:Fallback>
        </mc:AlternateContent>
      </w:r>
      <w:r>
        <w:rPr>
          <w:rFonts w:hint="eastAsia" w:ascii="仿宋" w:hAnsi="仿宋" w:eastAsia="仿宋" w:cs="仿宋"/>
          <w:b/>
          <w:bCs/>
          <w:sz w:val="32"/>
        </w:rPr>
        <mc:AlternateContent>
          <mc:Choice Requires="wps">
            <w:drawing>
              <wp:anchor distT="0" distB="0" distL="114300" distR="114300" simplePos="0" relativeHeight="251663360" behindDoc="0" locked="0" layoutInCell="1" allowOverlap="1">
                <wp:simplePos x="0" y="0"/>
                <wp:positionH relativeFrom="column">
                  <wp:posOffset>3480435</wp:posOffset>
                </wp:positionH>
                <wp:positionV relativeFrom="paragraph">
                  <wp:posOffset>2038985</wp:posOffset>
                </wp:positionV>
                <wp:extent cx="628650" cy="266700"/>
                <wp:effectExtent l="0" t="0" r="0" b="0"/>
                <wp:wrapNone/>
                <wp:docPr id="7" name="文本框 7"/>
                <wp:cNvGraphicFramePr/>
                <a:graphic xmlns:a="http://schemas.openxmlformats.org/drawingml/2006/main">
                  <a:graphicData uri="http://schemas.microsoft.com/office/word/2010/wordprocessingShape">
                    <wps:wsp>
                      <wps:cNvSpPr txBox="1"/>
                      <wps:spPr>
                        <a:xfrm>
                          <a:off x="4623435" y="4879340"/>
                          <a:ext cx="6286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665.37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05pt;margin-top:160.55pt;height:21pt;width:49.5pt;z-index:251663360;mso-width-relative:page;mso-height-relative:page;" fillcolor="#FFFFFF [3201]" filled="t" stroked="f" coordsize="21600,21600" o:gfxdata="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FWB/NUA&#10;AAALAQAADwAAAAAAAAABACAAAAAiAAAAZHJzL2Rvd25yZXYueG1sUEsBAhQAFAAAAAgAh07iQCt4&#10;mnlbAgAAmgQAAA4AAAAAAAAAAQAgAAAAJA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665.37</w:t>
                      </w:r>
                    </w:p>
                  </w:txbxContent>
                </v:textbox>
              </v:shape>
            </w:pict>
          </mc:Fallback>
        </mc:AlternateContent>
      </w:r>
      <w:r>
        <w:rPr>
          <w:rFonts w:hint="eastAsia" w:ascii="仿宋" w:hAnsi="仿宋" w:eastAsia="仿宋" w:cs="仿宋"/>
          <w:b/>
          <w:bCs/>
          <w:sz w:val="32"/>
        </w:rPr>
        <mc:AlternateContent>
          <mc:Choice Requires="wps">
            <w:drawing>
              <wp:anchor distT="0" distB="0" distL="114300" distR="114300" simplePos="0" relativeHeight="251662336" behindDoc="0" locked="0" layoutInCell="1" allowOverlap="1">
                <wp:simplePos x="0" y="0"/>
                <wp:positionH relativeFrom="column">
                  <wp:posOffset>1880235</wp:posOffset>
                </wp:positionH>
                <wp:positionV relativeFrom="paragraph">
                  <wp:posOffset>494030</wp:posOffset>
                </wp:positionV>
                <wp:extent cx="638175" cy="276225"/>
                <wp:effectExtent l="0" t="0" r="9525" b="9525"/>
                <wp:wrapNone/>
                <wp:docPr id="5" name="文本框 5"/>
                <wp:cNvGraphicFramePr/>
                <a:graphic xmlns:a="http://schemas.openxmlformats.org/drawingml/2006/main">
                  <a:graphicData uri="http://schemas.microsoft.com/office/word/2010/wordprocessingShape">
                    <wps:wsp>
                      <wps:cNvSpPr txBox="1"/>
                      <wps:spPr>
                        <a:xfrm>
                          <a:off x="2813685" y="4382135"/>
                          <a:ext cx="63817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794.38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05pt;margin-top:38.9pt;height:21.75pt;width:50.25pt;z-index:251662336;mso-width-relative:page;mso-height-relative:page;" fillcolor="#FFFFFF [3201]" filled="t" stroked="f" coordsize="21600,21600" o:gfxdata="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TDR4fV&#10;AAAACgEAAA8AAAAAAAAAAQAgAAAAIgAAAGRycy9kb3ducmV2LnhtbFBLAQIUABQAAAAIAIdO4kCk&#10;cOuXXAIAAJoEAAAOAAAAAAAAAAEAIAAAACQBAABkcnMvZTJvRG9jLnhtbFBLBQYAAAAABgAGAFkB&#10;AADyBQAAAAA=&#10;">
                <v:fill on="t" focussize="0,0"/>
                <v:stroke on="f" weight="0.5pt"/>
                <v:imagedata o:title=""/>
                <o:lock v:ext="edit" aspectratio="f"/>
                <v:textbox>
                  <w:txbxContent>
                    <w:p>
                      <w:pPr>
                        <w:rPr>
                          <w:rFonts w:hint="default" w:eastAsia="宋体"/>
                          <w:lang w:val="en-US" w:eastAsia="zh-CN"/>
                        </w:rPr>
                      </w:pPr>
                      <w:r>
                        <w:rPr>
                          <w:rFonts w:hint="eastAsia"/>
                          <w:lang w:val="en-US" w:eastAsia="zh-CN"/>
                        </w:rPr>
                        <w:t>794.38</w:t>
                      </w:r>
                    </w:p>
                  </w:txbxContent>
                </v:textbox>
              </v:shape>
            </w:pict>
          </mc:Fallback>
        </mc:AlternateContent>
      </w:r>
      <w:r>
        <w:rPr>
          <w:rFonts w:hint="eastAsia" w:ascii="仿宋" w:hAnsi="仿宋" w:eastAsia="仿宋" w:cs="仿宋"/>
          <w:b/>
          <w:bCs/>
          <w:sz w:val="32"/>
        </w:rPr>
        <mc:AlternateContent>
          <mc:Choice Requires="wps">
            <w:drawing>
              <wp:anchor distT="0" distB="0" distL="114300" distR="114300" simplePos="0" relativeHeight="251661312" behindDoc="0" locked="0" layoutInCell="1" allowOverlap="1">
                <wp:simplePos x="0" y="0"/>
                <wp:positionH relativeFrom="column">
                  <wp:posOffset>1213485</wp:posOffset>
                </wp:positionH>
                <wp:positionV relativeFrom="paragraph">
                  <wp:posOffset>2047240</wp:posOffset>
                </wp:positionV>
                <wp:extent cx="600075" cy="274955"/>
                <wp:effectExtent l="0" t="0" r="9525" b="10795"/>
                <wp:wrapNone/>
                <wp:docPr id="3" name="文本框 3"/>
                <wp:cNvGraphicFramePr/>
                <a:graphic xmlns:a="http://schemas.openxmlformats.org/drawingml/2006/main">
                  <a:graphicData uri="http://schemas.microsoft.com/office/word/2010/wordprocessingShape">
                    <wps:wsp>
                      <wps:cNvSpPr txBox="1"/>
                      <wps:spPr>
                        <a:xfrm>
                          <a:off x="2327910" y="4925060"/>
                          <a:ext cx="600075" cy="274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665.37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5pt;margin-top:161.2pt;height:21.65pt;width:47.25pt;z-index:251661312;mso-width-relative:page;mso-height-relative:page;" fillcolor="#FFFFFF [3201]" filled="t" stroked="f" coordsize="21600,21600" o:gfxdata="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idxT9YA&#10;AAALAQAADwAAAAAAAAABACAAAAAiAAAAZHJzL2Rvd25yZXYueG1sUEsBAhQAFAAAAAgAh07iQJWj&#10;uz5aAgAAmgQAAA4AAAAAAAAAAQAgAAAAJQ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665.37</w:t>
                      </w:r>
                    </w:p>
                  </w:txbxContent>
                </v:textbox>
              </v:shape>
            </w:pict>
          </mc:Fallback>
        </mc:AlternateContent>
      </w:r>
      <w:r>
        <w:rPr>
          <w:rFonts w:hint="eastAsia" w:ascii="仿宋" w:hAnsi="仿宋" w:eastAsia="仿宋" w:cs="仿宋"/>
          <w:b/>
          <w:bCs/>
          <w:color w:val="auto"/>
          <w:sz w:val="32"/>
          <w:szCs w:val="32"/>
          <w:highlight w:val="none"/>
          <w:lang w:eastAsia="zh-CN"/>
        </w:rPr>
        <w:drawing>
          <wp:inline distT="0" distB="0" distL="114300" distR="114300">
            <wp:extent cx="4759960" cy="4264025"/>
            <wp:effectExtent l="4445" t="4445" r="1714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ascii="仿宋" w:hAnsi="仿宋" w:eastAsia="仿宋" w:cs="仿宋"/>
          <w:b/>
          <w:bCs/>
          <w:sz w:val="32"/>
        </w:rPr>
        <mc:AlternateContent>
          <mc:Choice Requires="wps">
            <w:drawing>
              <wp:anchor distT="0" distB="0" distL="114300" distR="114300" simplePos="0" relativeHeight="251660288" behindDoc="0" locked="0" layoutInCell="1" allowOverlap="1">
                <wp:simplePos x="0" y="0"/>
                <wp:positionH relativeFrom="column">
                  <wp:posOffset>4328160</wp:posOffset>
                </wp:positionH>
                <wp:positionV relativeFrom="paragraph">
                  <wp:posOffset>236855</wp:posOffset>
                </wp:positionV>
                <wp:extent cx="847090" cy="304800"/>
                <wp:effectExtent l="0" t="0" r="10160" b="0"/>
                <wp:wrapNone/>
                <wp:docPr id="2" name="文本框 2"/>
                <wp:cNvGraphicFramePr/>
                <a:graphic xmlns:a="http://schemas.openxmlformats.org/drawingml/2006/main">
                  <a:graphicData uri="http://schemas.microsoft.com/office/word/2010/wordprocessingShape">
                    <wps:wsp>
                      <wps:cNvSpPr txBox="1"/>
                      <wps:spPr>
                        <a:xfrm>
                          <a:off x="5604510" y="4410710"/>
                          <a:ext cx="84709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8pt;margin-top:18.65pt;height:24pt;width:66.7pt;z-index:251660288;mso-width-relative:page;mso-height-relative:page;" fillcolor="#FFFFFF [3201]" filled="t" stroked="f" coordsize="21600,21600" o:gfxdata="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NtzStUA&#10;AAAJAQAADwAAAAAAAAABACAAAAAiAAAAZHJzL2Rvd25yZXYueG1sUEsBAhQAFAAAAAgAh07iQA4T&#10;PiBbAgAAmgQAAA4AAAAAAAAAAQAgAAAAJAEAAGRycy9lMm9Eb2MueG1sUEsFBgAAAAAGAAYAWQEA&#10;APE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ind w:firstLine="321" w:firstLineChars="10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（图1：</w:t>
      </w:r>
      <w:r>
        <w:rPr>
          <w:rFonts w:hint="eastAsia" w:ascii="仿宋" w:hAnsi="仿宋" w:eastAsia="仿宋" w:cs="仿宋"/>
          <w:b/>
          <w:bCs/>
          <w:color w:val="auto"/>
          <w:sz w:val="32"/>
          <w:szCs w:val="32"/>
          <w:highlight w:val="none"/>
          <w:lang w:eastAsia="zh-CN"/>
        </w:rPr>
        <w:t>收入</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支出</w:t>
      </w:r>
      <w:r>
        <w:rPr>
          <w:rFonts w:hint="eastAsia" w:ascii="仿宋" w:hAnsi="仿宋" w:eastAsia="仿宋" w:cs="仿宋"/>
          <w:b/>
          <w:bCs/>
          <w:color w:val="auto"/>
          <w:sz w:val="32"/>
          <w:szCs w:val="32"/>
          <w:highlight w:val="none"/>
        </w:rPr>
        <w:t>决算总计变动情况图）（柱状图）</w:t>
      </w:r>
    </w:p>
    <w:p>
      <w:pPr>
        <w:keepNext/>
        <w:keepLines/>
        <w:autoSpaceDE w:val="0"/>
        <w:autoSpaceDN w:val="0"/>
        <w:adjustRightInd w:val="0"/>
        <w:spacing w:line="576" w:lineRule="exact"/>
        <w:jc w:val="both"/>
        <w:rPr>
          <w:rFonts w:hint="eastAsia" w:ascii="黑体" w:hAnsi="黑体" w:eastAsia="黑体"/>
          <w:color w:val="auto"/>
          <w:kern w:val="2"/>
          <w:sz w:val="32"/>
          <w:szCs w:val="24"/>
          <w:lang w:val="zh-CN" w:eastAsia="zh-CN"/>
        </w:rPr>
      </w:pPr>
      <w:bookmarkStart w:id="18" w:name="_Toc15377206"/>
      <w:bookmarkStart w:id="19" w:name="_Toc24116"/>
      <w:bookmarkStart w:id="20" w:name="_Toc15396604"/>
      <w:r>
        <w:rPr>
          <w:rFonts w:hint="eastAsia" w:ascii="黑体" w:hAnsi="黑体" w:eastAsia="黑体"/>
          <w:color w:val="auto"/>
          <w:kern w:val="2"/>
          <w:sz w:val="32"/>
          <w:szCs w:val="24"/>
          <w:lang w:val="zh-CN" w:eastAsia="zh-CN"/>
        </w:rPr>
        <w:t>二、收入决算情况说明</w:t>
      </w:r>
      <w:bookmarkEnd w:id="18"/>
      <w:bookmarkEnd w:id="19"/>
      <w:bookmarkEnd w:id="20"/>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2024年度本年收入合计</w:t>
      </w:r>
      <w:r>
        <w:rPr>
          <w:rFonts w:hint="eastAsia" w:ascii="仿宋_GB2312" w:hAnsi="仿宋_GB2312" w:eastAsia="仿宋_GB2312" w:cs="仿宋_GB2312"/>
          <w:b w:val="0"/>
          <w:bCs w:val="0"/>
          <w:color w:val="auto"/>
          <w:sz w:val="32"/>
          <w:szCs w:val="32"/>
          <w:highlight w:val="none"/>
          <w:lang w:val="en-US" w:eastAsia="zh-CN"/>
        </w:rPr>
        <w:t>794.38</w:t>
      </w:r>
      <w:r>
        <w:rPr>
          <w:rFonts w:hint="eastAsia" w:ascii="仿宋_GB2312" w:hAnsi="仿宋_GB2312" w:eastAsia="仿宋_GB2312" w:cs="仿宋_GB2312"/>
          <w:b w:val="0"/>
          <w:bCs w:val="0"/>
          <w:color w:val="auto"/>
          <w:sz w:val="32"/>
          <w:szCs w:val="32"/>
          <w:highlight w:val="none"/>
          <w:lang w:eastAsia="zh-CN"/>
        </w:rPr>
        <w:t>万元，其中：一般公共预算财政拨款收入</w:t>
      </w:r>
      <w:r>
        <w:rPr>
          <w:rFonts w:hint="eastAsia" w:ascii="仿宋_GB2312" w:hAnsi="仿宋_GB2312" w:eastAsia="仿宋_GB2312" w:cs="仿宋_GB2312"/>
          <w:b w:val="0"/>
          <w:bCs w:val="0"/>
          <w:color w:val="auto"/>
          <w:sz w:val="32"/>
          <w:szCs w:val="32"/>
          <w:highlight w:val="none"/>
          <w:lang w:val="en-US" w:eastAsia="zh-CN"/>
        </w:rPr>
        <w:t>717.01</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color w:val="auto"/>
          <w:sz w:val="32"/>
          <w:szCs w:val="32"/>
          <w:highlight w:val="none"/>
          <w:lang w:val="en-US" w:eastAsia="zh-CN"/>
        </w:rPr>
        <w:t>90.26</w:t>
      </w:r>
      <w:r>
        <w:rPr>
          <w:rFonts w:hint="eastAsia" w:ascii="仿宋_GB2312" w:hAnsi="仿宋_GB2312" w:eastAsia="仿宋_GB2312" w:cs="仿宋_GB2312"/>
          <w:b w:val="0"/>
          <w:bCs w:val="0"/>
          <w:color w:val="auto"/>
          <w:sz w:val="32"/>
          <w:szCs w:val="32"/>
          <w:highlight w:val="none"/>
          <w:lang w:eastAsia="zh-CN"/>
        </w:rPr>
        <w:t>%；其他收入</w:t>
      </w:r>
      <w:r>
        <w:rPr>
          <w:rFonts w:hint="eastAsia" w:ascii="仿宋_GB2312" w:hAnsi="仿宋_GB2312" w:eastAsia="仿宋_GB2312" w:cs="仿宋_GB2312"/>
          <w:b w:val="0"/>
          <w:bCs w:val="0"/>
          <w:color w:val="auto"/>
          <w:sz w:val="32"/>
          <w:szCs w:val="32"/>
          <w:highlight w:val="none"/>
          <w:lang w:val="en-US" w:eastAsia="zh-CN"/>
        </w:rPr>
        <w:t>77.37</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color w:val="auto"/>
          <w:sz w:val="32"/>
          <w:szCs w:val="32"/>
          <w:highlight w:val="none"/>
          <w:lang w:val="en-US" w:eastAsia="zh-CN"/>
        </w:rPr>
        <w:t>9.74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w:t>
      </w:r>
    </w:p>
    <w:p>
      <w:pPr>
        <w:ind w:firstLine="803" w:firstLineChars="250"/>
        <w:outlineLvl w:val="9"/>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176530</wp:posOffset>
            </wp:positionH>
            <wp:positionV relativeFrom="paragraph">
              <wp:posOffset>62865</wp:posOffset>
            </wp:positionV>
            <wp:extent cx="5055235" cy="3408045"/>
            <wp:effectExtent l="4445" t="4445" r="7620" b="1651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ind w:firstLine="803" w:firstLineChars="250"/>
        <w:rPr>
          <w:rFonts w:hint="eastAsia" w:ascii="仿宋" w:hAnsi="仿宋" w:eastAsia="仿宋" w:cs="仿宋"/>
          <w:b/>
          <w:bCs/>
          <w:color w:val="auto"/>
          <w:sz w:val="32"/>
          <w:szCs w:val="32"/>
          <w:highlight w:val="none"/>
          <w:lang w:eastAsia="zh-CN"/>
        </w:rPr>
      </w:pPr>
    </w:p>
    <w:p>
      <w:pPr>
        <w:ind w:firstLine="803" w:firstLineChars="250"/>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ind w:firstLine="1606" w:firstLineChars="5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（图2：收入决算结构图）（饼状图）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 w:hAnsi="仿宋" w:eastAsia="仿宋" w:cs="仿宋"/>
          <w:b/>
          <w:bCs/>
          <w:color w:val="auto"/>
          <w:sz w:val="32"/>
          <w:szCs w:val="32"/>
          <w:highlight w:val="none"/>
          <w:lang w:eastAsia="zh-CN"/>
        </w:rPr>
      </w:pPr>
      <w:bookmarkStart w:id="21" w:name="_Toc15396605"/>
      <w:bookmarkStart w:id="22" w:name="_Toc15377207"/>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 w:hAnsi="仿宋" w:eastAsia="仿宋" w:cs="仿宋"/>
          <w:b/>
          <w:bCs/>
          <w:color w:val="auto"/>
          <w:sz w:val="32"/>
          <w:szCs w:val="32"/>
          <w:highlight w:val="none"/>
          <w:lang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 w:hAnsi="仿宋" w:eastAsia="仿宋" w:cs="仿宋"/>
          <w:b/>
          <w:bCs/>
          <w:color w:val="auto"/>
          <w:sz w:val="32"/>
          <w:szCs w:val="32"/>
          <w:highlight w:val="none"/>
          <w:lang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 w:hAnsi="仿宋" w:eastAsia="仿宋" w:cs="仿宋"/>
          <w:b/>
          <w:bCs/>
          <w:color w:val="auto"/>
          <w:sz w:val="32"/>
          <w:szCs w:val="32"/>
          <w:highlight w:val="none"/>
          <w:lang w:eastAsia="zh-CN"/>
        </w:rPr>
      </w:pPr>
    </w:p>
    <w:p>
      <w:pPr>
        <w:ind w:firstLine="1606" w:firstLineChars="500"/>
        <w:jc w:val="both"/>
        <w:rPr>
          <w:rFonts w:hint="eastAsia" w:ascii="仿宋" w:hAnsi="仿宋" w:eastAsia="仿宋" w:cs="仿宋"/>
          <w:b/>
          <w:bCs/>
          <w:color w:val="auto"/>
          <w:sz w:val="32"/>
          <w:szCs w:val="32"/>
          <w:highlight w:val="none"/>
          <w:lang w:eastAsia="zh-CN"/>
        </w:rPr>
      </w:pPr>
      <w:bookmarkStart w:id="23" w:name="_Toc26415"/>
      <w:r>
        <w:rPr>
          <w:rFonts w:hint="eastAsia" w:ascii="仿宋" w:hAnsi="仿宋" w:eastAsia="仿宋" w:cs="仿宋"/>
          <w:b/>
          <w:bCs/>
          <w:color w:val="auto"/>
          <w:sz w:val="32"/>
          <w:szCs w:val="32"/>
          <w:highlight w:val="none"/>
          <w:lang w:eastAsia="zh-CN"/>
        </w:rPr>
        <w:t>（图</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eastAsia="zh-CN"/>
        </w:rPr>
        <w:t>：收入决算结构图）（饼状图）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Style w:val="19"/>
          <w:rFonts w:hint="eastAsia" w:ascii="仿宋" w:hAnsi="仿宋" w:eastAsia="仿宋" w:cs="仿宋"/>
          <w:b/>
          <w:bCs/>
          <w:color w:val="auto"/>
          <w:highlight w:val="none"/>
        </w:rPr>
      </w:pPr>
      <w:r>
        <w:rPr>
          <w:rFonts w:hint="eastAsia" w:ascii="黑体" w:hAnsi="黑体" w:eastAsia="黑体" w:cs="Times New Roman"/>
          <w:color w:val="auto"/>
          <w:kern w:val="2"/>
          <w:sz w:val="32"/>
          <w:szCs w:val="24"/>
          <w:lang w:val="zh-CN" w:eastAsia="zh-CN" w:bidi="ar-SA"/>
        </w:rPr>
        <w:t>三、支出决算情况说明</w:t>
      </w:r>
      <w:bookmarkEnd w:id="21"/>
      <w:bookmarkEnd w:id="22"/>
      <w:bookmarkEnd w:id="23"/>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bCs/>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eastAsia="zh-CN"/>
        </w:rPr>
        <w:t>2024年度本年支出合计</w:t>
      </w:r>
      <w:r>
        <w:rPr>
          <w:rFonts w:hint="eastAsia" w:ascii="方正仿宋_GB2312" w:hAnsi="方正仿宋_GB2312" w:eastAsia="方正仿宋_GB2312" w:cs="方正仿宋_GB2312"/>
          <w:b w:val="0"/>
          <w:bCs w:val="0"/>
          <w:color w:val="auto"/>
          <w:sz w:val="32"/>
          <w:szCs w:val="32"/>
          <w:highlight w:val="none"/>
          <w:lang w:val="en-US" w:eastAsia="zh-CN"/>
        </w:rPr>
        <w:t>794.38</w:t>
      </w:r>
      <w:r>
        <w:rPr>
          <w:rFonts w:hint="eastAsia" w:ascii="方正仿宋_GB2312" w:hAnsi="方正仿宋_GB2312" w:eastAsia="方正仿宋_GB2312" w:cs="方正仿宋_GB2312"/>
          <w:b w:val="0"/>
          <w:bCs w:val="0"/>
          <w:color w:val="auto"/>
          <w:sz w:val="32"/>
          <w:szCs w:val="32"/>
          <w:highlight w:val="none"/>
          <w:lang w:eastAsia="zh-CN"/>
        </w:rPr>
        <w:t>万元，其中：基本支出</w:t>
      </w:r>
      <w:r>
        <w:rPr>
          <w:rFonts w:hint="eastAsia" w:ascii="方正仿宋_GB2312" w:hAnsi="方正仿宋_GB2312" w:eastAsia="方正仿宋_GB2312" w:cs="方正仿宋_GB2312"/>
          <w:b w:val="0"/>
          <w:bCs w:val="0"/>
          <w:color w:val="auto"/>
          <w:sz w:val="32"/>
          <w:szCs w:val="32"/>
          <w:highlight w:val="none"/>
          <w:lang w:val="en-US" w:eastAsia="zh-CN"/>
        </w:rPr>
        <w:t>657.62</w:t>
      </w:r>
      <w:r>
        <w:rPr>
          <w:rFonts w:hint="eastAsia" w:ascii="方正仿宋_GB2312" w:hAnsi="方正仿宋_GB2312" w:eastAsia="方正仿宋_GB2312" w:cs="方正仿宋_GB2312"/>
          <w:b w:val="0"/>
          <w:bCs w:val="0"/>
          <w:color w:val="auto"/>
          <w:sz w:val="32"/>
          <w:szCs w:val="32"/>
          <w:highlight w:val="none"/>
          <w:lang w:eastAsia="zh-CN"/>
        </w:rPr>
        <w:t>万元，占</w:t>
      </w:r>
      <w:r>
        <w:rPr>
          <w:rFonts w:hint="eastAsia" w:ascii="方正仿宋_GB2312" w:hAnsi="方正仿宋_GB2312" w:eastAsia="方正仿宋_GB2312" w:cs="方正仿宋_GB2312"/>
          <w:b w:val="0"/>
          <w:bCs w:val="0"/>
          <w:color w:val="auto"/>
          <w:sz w:val="32"/>
          <w:szCs w:val="32"/>
          <w:highlight w:val="none"/>
          <w:lang w:val="en-US" w:eastAsia="zh-CN"/>
        </w:rPr>
        <w:t>82.8</w:t>
      </w:r>
      <w:r>
        <w:rPr>
          <w:rFonts w:hint="eastAsia" w:ascii="方正仿宋_GB2312" w:hAnsi="方正仿宋_GB2312" w:eastAsia="方正仿宋_GB2312" w:cs="方正仿宋_GB2312"/>
          <w:b w:val="0"/>
          <w:bCs w:val="0"/>
          <w:color w:val="auto"/>
          <w:sz w:val="32"/>
          <w:szCs w:val="32"/>
          <w:highlight w:val="none"/>
          <w:lang w:eastAsia="zh-CN"/>
        </w:rPr>
        <w:t>%；项目支出</w:t>
      </w:r>
      <w:r>
        <w:rPr>
          <w:rFonts w:hint="eastAsia" w:ascii="方正仿宋_GB2312" w:hAnsi="方正仿宋_GB2312" w:eastAsia="方正仿宋_GB2312" w:cs="方正仿宋_GB2312"/>
          <w:b w:val="0"/>
          <w:bCs w:val="0"/>
          <w:color w:val="auto"/>
          <w:sz w:val="32"/>
          <w:szCs w:val="32"/>
          <w:highlight w:val="none"/>
          <w:lang w:val="en-US" w:eastAsia="zh-CN"/>
        </w:rPr>
        <w:t>136.76</w:t>
      </w:r>
      <w:r>
        <w:rPr>
          <w:rFonts w:hint="eastAsia" w:ascii="方正仿宋_GB2312" w:hAnsi="方正仿宋_GB2312" w:eastAsia="方正仿宋_GB2312" w:cs="方正仿宋_GB2312"/>
          <w:b w:val="0"/>
          <w:bCs w:val="0"/>
          <w:color w:val="auto"/>
          <w:sz w:val="32"/>
          <w:szCs w:val="32"/>
          <w:highlight w:val="none"/>
          <w:lang w:eastAsia="zh-CN"/>
        </w:rPr>
        <w:t>万元，占</w:t>
      </w:r>
      <w:r>
        <w:rPr>
          <w:rFonts w:hint="eastAsia" w:ascii="方正仿宋_GB2312" w:hAnsi="方正仿宋_GB2312" w:eastAsia="方正仿宋_GB2312" w:cs="方正仿宋_GB2312"/>
          <w:b w:val="0"/>
          <w:bCs w:val="0"/>
          <w:color w:val="auto"/>
          <w:sz w:val="32"/>
          <w:szCs w:val="32"/>
          <w:highlight w:val="none"/>
          <w:lang w:val="en-US" w:eastAsia="zh-CN"/>
        </w:rPr>
        <w:t>17.2</w:t>
      </w:r>
      <w:r>
        <w:rPr>
          <w:rFonts w:hint="eastAsia" w:ascii="方正仿宋_GB2312" w:hAnsi="方正仿宋_GB2312" w:eastAsia="方正仿宋_GB2312" w:cs="方正仿宋_GB2312"/>
          <w:b w:val="0"/>
          <w:bCs w:val="0"/>
          <w:color w:val="auto"/>
          <w:sz w:val="32"/>
          <w:szCs w:val="32"/>
          <w:highlight w:val="none"/>
          <w:lang w:eastAsia="zh-CN"/>
        </w:rPr>
        <w:t>%。</w:t>
      </w:r>
    </w:p>
    <w:p>
      <w:pPr>
        <w:ind w:firstLine="803" w:firstLineChars="25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drawing>
          <wp:anchor distT="0" distB="0" distL="114300" distR="114300" simplePos="0" relativeHeight="251666432" behindDoc="0" locked="0" layoutInCell="1" allowOverlap="1">
            <wp:simplePos x="0" y="0"/>
            <wp:positionH relativeFrom="column">
              <wp:posOffset>158115</wp:posOffset>
            </wp:positionH>
            <wp:positionV relativeFrom="paragraph">
              <wp:posOffset>84455</wp:posOffset>
            </wp:positionV>
            <wp:extent cx="5161280" cy="2618740"/>
            <wp:effectExtent l="4445" t="4445" r="15875" b="571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ind w:firstLine="803" w:firstLineChars="250"/>
        <w:rPr>
          <w:rFonts w:hint="eastAsia" w:ascii="仿宋" w:hAnsi="仿宋" w:eastAsia="仿宋" w:cs="仿宋"/>
          <w:b/>
          <w:bCs/>
          <w:color w:val="auto"/>
          <w:sz w:val="32"/>
          <w:szCs w:val="32"/>
          <w:highlight w:val="none"/>
          <w:lang w:eastAsia="zh-CN"/>
        </w:rPr>
      </w:pPr>
    </w:p>
    <w:p>
      <w:pPr>
        <w:ind w:firstLine="803" w:firstLineChars="250"/>
        <w:rPr>
          <w:rFonts w:hint="eastAsia" w:ascii="仿宋" w:hAnsi="仿宋" w:eastAsia="仿宋" w:cs="仿宋"/>
          <w:b/>
          <w:bCs/>
          <w:color w:val="auto"/>
          <w:sz w:val="32"/>
          <w:szCs w:val="32"/>
          <w:highlight w:val="none"/>
          <w:lang w:eastAsia="zh-CN"/>
        </w:rPr>
      </w:pPr>
    </w:p>
    <w:p>
      <w:pPr>
        <w:ind w:firstLine="803" w:firstLineChars="250"/>
        <w:rPr>
          <w:rFonts w:hint="eastAsia" w:ascii="仿宋" w:hAnsi="仿宋" w:eastAsia="仿宋" w:cs="仿宋"/>
          <w:b/>
          <w:bCs/>
          <w:color w:val="auto"/>
          <w:sz w:val="32"/>
          <w:szCs w:val="32"/>
          <w:highlight w:val="none"/>
          <w:lang w:eastAsia="zh-CN"/>
        </w:rPr>
      </w:pPr>
    </w:p>
    <w:p>
      <w:pPr>
        <w:ind w:firstLine="803" w:firstLineChars="250"/>
        <w:rPr>
          <w:rFonts w:hint="eastAsia" w:ascii="仿宋" w:hAnsi="仿宋" w:eastAsia="仿宋" w:cs="仿宋"/>
          <w:b/>
          <w:bCs/>
          <w:color w:val="auto"/>
          <w:sz w:val="32"/>
          <w:szCs w:val="32"/>
          <w:highlight w:val="none"/>
          <w:lang w:eastAsia="zh-CN"/>
        </w:rPr>
      </w:pPr>
    </w:p>
    <w:p>
      <w:pPr>
        <w:ind w:firstLine="1606" w:firstLineChars="500"/>
        <w:rPr>
          <w:rFonts w:hint="eastAsia" w:ascii="仿宋" w:hAnsi="仿宋" w:eastAsia="仿宋" w:cs="仿宋"/>
          <w:b/>
          <w:bCs/>
          <w:color w:val="auto"/>
          <w:sz w:val="32"/>
          <w:szCs w:val="32"/>
          <w:highlight w:val="none"/>
          <w:lang w:eastAsia="zh-CN"/>
        </w:rPr>
      </w:pPr>
    </w:p>
    <w:p>
      <w:pPr>
        <w:ind w:firstLine="1606" w:firstLineChars="500"/>
        <w:rPr>
          <w:rFonts w:hint="eastAsia" w:ascii="仿宋" w:hAnsi="仿宋" w:eastAsia="仿宋" w:cs="仿宋"/>
          <w:b/>
          <w:bCs/>
          <w:color w:val="auto"/>
          <w:sz w:val="32"/>
          <w:szCs w:val="32"/>
          <w:highlight w:val="none"/>
          <w:lang w:eastAsia="zh-CN"/>
        </w:rPr>
      </w:pPr>
    </w:p>
    <w:p>
      <w:pPr>
        <w:ind w:firstLine="1606" w:firstLineChars="5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（图3：支出决算结构图）（饼状图）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Times New Roman"/>
          <w:color w:val="auto"/>
          <w:kern w:val="2"/>
          <w:sz w:val="32"/>
          <w:szCs w:val="24"/>
          <w:lang w:val="zh-CN" w:eastAsia="zh-CN" w:bidi="ar-SA"/>
        </w:rPr>
      </w:pPr>
      <w:bookmarkStart w:id="24" w:name="_Toc15377208"/>
      <w:bookmarkStart w:id="25" w:name="_Toc15396606"/>
      <w:bookmarkStart w:id="26" w:name="_Toc7732"/>
      <w:r>
        <w:rPr>
          <w:rFonts w:hint="eastAsia" w:ascii="黑体" w:hAnsi="黑体" w:eastAsia="黑体" w:cs="Times New Roman"/>
          <w:color w:val="auto"/>
          <w:kern w:val="2"/>
          <w:sz w:val="32"/>
          <w:szCs w:val="24"/>
          <w:lang w:val="zh-CN" w:eastAsia="zh-CN" w:bidi="ar-SA"/>
        </w:rPr>
        <w:t>四、财政拨款收入支出决算总体情况说明</w:t>
      </w:r>
      <w:bookmarkEnd w:id="24"/>
      <w:bookmarkEnd w:id="25"/>
      <w:bookmarkEnd w:id="26"/>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outlineLvl w:val="9"/>
        <w:rPr>
          <w:rFonts w:hint="eastAsia" w:ascii="方正仿宋_GB2312" w:hAnsi="方正仿宋_GB2312" w:eastAsia="方正仿宋_GB2312" w:cs="方正仿宋_GB2312"/>
          <w:b w:val="0"/>
          <w:bCs w:val="0"/>
          <w:color w:val="auto"/>
          <w:sz w:val="32"/>
          <w:szCs w:val="32"/>
          <w:highlight w:val="none"/>
          <w:lang w:eastAsia="zh-CN"/>
        </w:rPr>
      </w:pPr>
      <w:r>
        <w:rPr>
          <w:rFonts w:hint="eastAsia" w:ascii="方正仿宋_GB2312" w:hAnsi="方正仿宋_GB2312" w:eastAsia="方正仿宋_GB2312" w:cs="方正仿宋_GB2312"/>
          <w:b w:val="0"/>
          <w:bCs w:val="0"/>
          <w:color w:val="auto"/>
          <w:sz w:val="32"/>
          <w:szCs w:val="32"/>
          <w:highlight w:val="none"/>
          <w:lang w:val="en-US" w:eastAsia="zh-CN"/>
        </w:rPr>
        <w:t>2024年度财政拨款收入、支出总计均为717.01万元。与2023年度相比，财政拨款收入、支出总计各增加51.64万元，增长7.2%。主要变动原因是单位职工工资与五险两金等人员经费有所增加</w:t>
      </w:r>
      <w:r>
        <w:rPr>
          <w:rFonts w:hint="eastAsia" w:ascii="方正仿宋_GB2312" w:hAnsi="方正仿宋_GB2312" w:eastAsia="方正仿宋_GB2312" w:cs="方正仿宋_GB2312"/>
          <w:b w:val="0"/>
          <w:bCs w:val="0"/>
          <w:color w:val="auto"/>
          <w:sz w:val="32"/>
          <w:szCs w:val="32"/>
          <w:highlight w:val="none"/>
          <w:lang w:eastAsia="zh-CN"/>
        </w:rPr>
        <w:t>。</w:t>
      </w:r>
    </w:p>
    <w:p>
      <w:pPr>
        <w:pStyle w:val="7"/>
        <w:rPr>
          <w:rFonts w:hint="eastAsia" w:ascii="仿宋" w:hAnsi="仿宋" w:eastAsia="仿宋" w:cs="仿宋"/>
          <w:b/>
          <w:bCs/>
          <w:lang w:eastAsia="zh-CN"/>
        </w:rPr>
      </w:pPr>
    </w:p>
    <w:p>
      <w:pPr>
        <w:pStyle w:val="7"/>
        <w:rPr>
          <w:rFonts w:hint="eastAsia" w:ascii="仿宋" w:hAnsi="仿宋" w:eastAsia="仿宋" w:cs="仿宋"/>
          <w:b/>
          <w:bCs/>
          <w:color w:val="auto"/>
          <w:sz w:val="32"/>
          <w:szCs w:val="32"/>
          <w:highlight w:val="none"/>
          <w:lang w:eastAsia="zh-CN"/>
        </w:rPr>
      </w:pPr>
      <w:r>
        <w:rPr>
          <w:rFonts w:hint="eastAsia" w:ascii="仿宋" w:hAnsi="仿宋" w:eastAsia="仿宋" w:cs="仿宋"/>
          <w:b/>
          <w:bCs/>
          <w:sz w:val="32"/>
        </w:rPr>
        <mc:AlternateContent>
          <mc:Choice Requires="wps">
            <w:drawing>
              <wp:anchor distT="0" distB="0" distL="114300" distR="114300" simplePos="0" relativeHeight="251668480" behindDoc="0" locked="0" layoutInCell="1" allowOverlap="1">
                <wp:simplePos x="0" y="0"/>
                <wp:positionH relativeFrom="column">
                  <wp:posOffset>4424680</wp:posOffset>
                </wp:positionH>
                <wp:positionV relativeFrom="paragraph">
                  <wp:posOffset>71755</wp:posOffset>
                </wp:positionV>
                <wp:extent cx="913765" cy="276225"/>
                <wp:effectExtent l="0" t="0" r="635" b="9525"/>
                <wp:wrapNone/>
                <wp:docPr id="17" name="文本框 17"/>
                <wp:cNvGraphicFramePr/>
                <a:graphic xmlns:a="http://schemas.openxmlformats.org/drawingml/2006/main">
                  <a:graphicData uri="http://schemas.microsoft.com/office/word/2010/wordprocessingShape">
                    <wps:wsp>
                      <wps:cNvSpPr txBox="1"/>
                      <wps:spPr>
                        <a:xfrm>
                          <a:off x="5700395" y="7103110"/>
                          <a:ext cx="91376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4pt;margin-top:5.65pt;height:21.75pt;width:71.95pt;z-index:251668480;mso-width-relative:page;mso-height-relative:page;" fillcolor="#FFFFFF [3201]" filled="t" stroked="f" coordsize="21600,21600" o:gfxdata="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phHbdUA&#10;AAAJAQAADwAAAAAAAAABACAAAAAiAAAAZHJzL2Rvd25yZXYueG1sUEsBAhQAFAAAAAgAh07iQJyF&#10;OLRbAgAAnAQAAA4AAAAAAAAAAQAgAAAAJAEAAGRycy9lMm9Eb2MueG1sUEsFBgAAAAAGAAYAWQEA&#10;APE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ascii="仿宋" w:hAnsi="仿宋" w:eastAsia="仿宋" w:cs="仿宋"/>
          <w:b/>
          <w:bCs/>
          <w:color w:val="auto"/>
          <w:sz w:val="32"/>
          <w:szCs w:val="32"/>
          <w:highlight w:val="none"/>
          <w:lang w:eastAsia="zh-CN"/>
        </w:rPr>
        <w:drawing>
          <wp:anchor distT="0" distB="0" distL="114300" distR="114300" simplePos="0" relativeHeight="251667456" behindDoc="0" locked="0" layoutInCell="1" allowOverlap="1">
            <wp:simplePos x="0" y="0"/>
            <wp:positionH relativeFrom="column">
              <wp:posOffset>109855</wp:posOffset>
            </wp:positionH>
            <wp:positionV relativeFrom="paragraph">
              <wp:posOffset>22860</wp:posOffset>
            </wp:positionV>
            <wp:extent cx="5256530" cy="4017645"/>
            <wp:effectExtent l="5080" t="4445" r="15240" b="16510"/>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pStyle w:val="7"/>
        <w:rPr>
          <w:rFonts w:hint="eastAsia" w:ascii="仿宋" w:hAnsi="仿宋" w:eastAsia="仿宋" w:cs="仿宋"/>
          <w:b/>
          <w:bCs/>
          <w:color w:val="auto"/>
          <w:sz w:val="32"/>
          <w:szCs w:val="32"/>
          <w:highlight w:val="none"/>
          <w:lang w:eastAsia="zh-CN"/>
        </w:rPr>
      </w:pPr>
    </w:p>
    <w:p>
      <w:pPr>
        <w:pStyle w:val="7"/>
        <w:rPr>
          <w:rFonts w:hint="eastAsia" w:ascii="仿宋" w:hAnsi="仿宋" w:eastAsia="仿宋" w:cs="仿宋"/>
          <w:b/>
          <w:bCs/>
          <w:color w:val="auto"/>
          <w:sz w:val="32"/>
          <w:szCs w:val="32"/>
          <w:highlight w:val="none"/>
          <w:lang w:eastAsia="zh-CN"/>
        </w:rPr>
      </w:pPr>
    </w:p>
    <w:p>
      <w:pPr>
        <w:pStyle w:val="7"/>
        <w:rPr>
          <w:rFonts w:hint="eastAsia" w:ascii="仿宋" w:hAnsi="仿宋" w:eastAsia="仿宋" w:cs="仿宋"/>
          <w:b/>
          <w:bCs/>
          <w:color w:val="auto"/>
          <w:sz w:val="32"/>
          <w:szCs w:val="32"/>
          <w:highlight w:val="none"/>
          <w:lang w:val="en-US" w:eastAsia="zh-CN"/>
        </w:rPr>
      </w:pPr>
    </w:p>
    <w:p>
      <w:pPr>
        <w:spacing w:line="600" w:lineRule="exact"/>
        <w:ind w:firstLine="643" w:firstLineChars="200"/>
        <w:rPr>
          <w:rFonts w:hint="eastAsia" w:ascii="仿宋" w:hAnsi="仿宋" w:eastAsia="仿宋" w:cs="仿宋"/>
          <w:b/>
          <w:bCs/>
          <w:color w:val="auto"/>
          <w:kern w:val="2"/>
          <w:sz w:val="32"/>
          <w:szCs w:val="32"/>
          <w:highlight w:val="none"/>
          <w:lang w:val="en-US" w:eastAsia="zh-CN" w:bidi="ar-SA"/>
        </w:rPr>
      </w:pPr>
    </w:p>
    <w:p>
      <w:pPr>
        <w:spacing w:line="600" w:lineRule="exact"/>
        <w:ind w:firstLine="643" w:firstLineChars="200"/>
        <w:rPr>
          <w:rFonts w:hint="eastAsia" w:ascii="仿宋" w:hAnsi="仿宋" w:eastAsia="仿宋" w:cs="仿宋"/>
          <w:b/>
          <w:bCs/>
          <w:color w:val="auto"/>
          <w:kern w:val="2"/>
          <w:sz w:val="32"/>
          <w:szCs w:val="32"/>
          <w:highlight w:val="none"/>
          <w:lang w:val="en-US" w:eastAsia="zh-CN" w:bidi="ar-SA"/>
        </w:rPr>
      </w:pPr>
    </w:p>
    <w:p>
      <w:pPr>
        <w:spacing w:line="600" w:lineRule="exact"/>
        <w:ind w:firstLine="643" w:firstLineChars="200"/>
        <w:rPr>
          <w:rFonts w:hint="eastAsia" w:ascii="仿宋" w:hAnsi="仿宋" w:eastAsia="仿宋" w:cs="仿宋"/>
          <w:b/>
          <w:bCs/>
          <w:color w:val="auto"/>
          <w:kern w:val="2"/>
          <w:sz w:val="32"/>
          <w:szCs w:val="32"/>
          <w:highlight w:val="none"/>
          <w:lang w:val="en-US" w:eastAsia="zh-CN" w:bidi="ar-SA"/>
        </w:rPr>
      </w:pPr>
    </w:p>
    <w:p>
      <w:pPr>
        <w:spacing w:line="600" w:lineRule="exact"/>
        <w:ind w:firstLine="643" w:firstLineChars="200"/>
        <w:rPr>
          <w:rFonts w:hint="eastAsia" w:ascii="仿宋" w:hAnsi="仿宋" w:eastAsia="仿宋" w:cs="仿宋"/>
          <w:b/>
          <w:bCs/>
          <w:color w:val="auto"/>
          <w:kern w:val="2"/>
          <w:sz w:val="32"/>
          <w:szCs w:val="32"/>
          <w:highlight w:val="none"/>
          <w:lang w:val="en-US" w:eastAsia="zh-CN" w:bidi="ar-SA"/>
        </w:rPr>
      </w:pPr>
    </w:p>
    <w:p>
      <w:pPr>
        <w:spacing w:line="600" w:lineRule="exact"/>
        <w:ind w:firstLine="643" w:firstLineChars="200"/>
        <w:rPr>
          <w:rFonts w:hint="eastAsia" w:ascii="仿宋" w:hAnsi="仿宋" w:eastAsia="仿宋" w:cs="仿宋"/>
          <w:b/>
          <w:bCs/>
          <w:color w:val="auto"/>
          <w:kern w:val="2"/>
          <w:sz w:val="32"/>
          <w:szCs w:val="32"/>
          <w:highlight w:val="none"/>
          <w:lang w:val="en-US" w:eastAsia="zh-CN" w:bidi="ar-SA"/>
        </w:rPr>
      </w:pPr>
    </w:p>
    <w:p>
      <w:pPr>
        <w:spacing w:line="600" w:lineRule="exact"/>
        <w:ind w:firstLine="643" w:firstLineChars="200"/>
        <w:rPr>
          <w:rFonts w:hint="eastAsia" w:ascii="仿宋" w:hAnsi="仿宋" w:eastAsia="仿宋" w:cs="仿宋"/>
          <w:b/>
          <w:bCs/>
          <w:color w:val="auto"/>
          <w:kern w:val="2"/>
          <w:sz w:val="32"/>
          <w:szCs w:val="32"/>
          <w:highlight w:val="none"/>
          <w:lang w:val="en-US" w:eastAsia="zh-CN" w:bidi="ar-SA"/>
        </w:rPr>
      </w:pPr>
    </w:p>
    <w:p>
      <w:pPr>
        <w:spacing w:line="600" w:lineRule="exact"/>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（图4：财政拨款收、支决算总计变动情况）（柱状图）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Times New Roman"/>
          <w:color w:val="auto"/>
          <w:kern w:val="2"/>
          <w:sz w:val="32"/>
          <w:szCs w:val="24"/>
          <w:lang w:val="zh-CN" w:eastAsia="zh-CN" w:bidi="ar-SA"/>
        </w:rPr>
      </w:pPr>
      <w:bookmarkStart w:id="27" w:name="_Toc1272"/>
      <w:bookmarkStart w:id="28" w:name="_Toc15396607"/>
      <w:bookmarkStart w:id="29" w:name="_Toc15377209"/>
      <w:r>
        <w:rPr>
          <w:rFonts w:hint="eastAsia" w:ascii="黑体" w:hAnsi="黑体" w:eastAsia="黑体" w:cs="Times New Roman"/>
          <w:color w:val="auto"/>
          <w:kern w:val="2"/>
          <w:sz w:val="32"/>
          <w:szCs w:val="24"/>
          <w:lang w:val="zh-CN" w:eastAsia="zh-CN" w:bidi="ar-SA"/>
        </w:rPr>
        <w:t>五、一般公共预算财政拨款支出决算情况说明</w:t>
      </w:r>
      <w:bookmarkEnd w:id="27"/>
      <w:bookmarkEnd w:id="28"/>
      <w:bookmarkEnd w:id="29"/>
    </w:p>
    <w:p>
      <w:pPr>
        <w:spacing w:line="600" w:lineRule="exact"/>
        <w:ind w:firstLine="640" w:firstLineChars="200"/>
        <w:outlineLvl w:val="2"/>
        <w:rPr>
          <w:rFonts w:hint="eastAsia" w:ascii="方正仿宋_GB2312" w:hAnsi="方正仿宋_GB2312" w:eastAsia="方正仿宋_GB2312" w:cs="方正仿宋_GB2312"/>
          <w:b w:val="0"/>
          <w:bCs w:val="0"/>
          <w:color w:val="auto"/>
          <w:sz w:val="32"/>
          <w:szCs w:val="32"/>
          <w:highlight w:val="none"/>
        </w:rPr>
      </w:pPr>
      <w:bookmarkStart w:id="30" w:name="_Toc15377210"/>
      <w:r>
        <w:rPr>
          <w:rFonts w:hint="eastAsia" w:ascii="方正仿宋_GB2312" w:hAnsi="方正仿宋_GB2312" w:eastAsia="方正仿宋_GB2312" w:cs="方正仿宋_GB2312"/>
          <w:b w:val="0"/>
          <w:bCs w:val="0"/>
          <w:color w:val="auto"/>
          <w:sz w:val="32"/>
          <w:szCs w:val="32"/>
          <w:highlight w:val="none"/>
        </w:rPr>
        <w:t>（一）一般公共预算财政拨款支出决算总体情况</w:t>
      </w:r>
      <w:bookmarkEnd w:id="30"/>
    </w:p>
    <w:p>
      <w:pPr>
        <w:spacing w:line="600" w:lineRule="exact"/>
        <w:ind w:firstLine="640"/>
        <w:rPr>
          <w:rFonts w:hint="eastAsia" w:ascii="方正仿宋_GB2312" w:hAnsi="方正仿宋_GB2312" w:eastAsia="方正仿宋_GB2312" w:cs="方正仿宋_GB2312"/>
          <w:b w:val="0"/>
          <w:bCs w:val="0"/>
          <w:color w:val="auto"/>
          <w:w w:val="90"/>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2024年度一般公共预算财政拨款支出717.01万元，占本年支出合计的90.26%。与2023年度相比，一般公共预算财政拨款支出增加51.64万元，增长7.2%。主要变动原因是</w:t>
      </w:r>
      <w:r>
        <w:rPr>
          <w:rFonts w:hint="eastAsia" w:ascii="方正仿宋_GB2312" w:hAnsi="方正仿宋_GB2312" w:eastAsia="方正仿宋_GB2312" w:cs="方正仿宋_GB2312"/>
          <w:b w:val="0"/>
          <w:bCs w:val="0"/>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173990</wp:posOffset>
            </wp:positionH>
            <wp:positionV relativeFrom="paragraph">
              <wp:posOffset>796290</wp:posOffset>
            </wp:positionV>
            <wp:extent cx="5313045" cy="2795270"/>
            <wp:effectExtent l="4445" t="4445" r="16510" b="19685"/>
            <wp:wrapTopAndBottom/>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方正仿宋_GB2312" w:hAnsi="方正仿宋_GB2312" w:eastAsia="方正仿宋_GB2312" w:cs="方正仿宋_GB2312"/>
          <w:b w:val="0"/>
          <w:bCs w:val="0"/>
          <w:color w:val="auto"/>
          <w:kern w:val="2"/>
          <w:sz w:val="32"/>
          <w:szCs w:val="32"/>
          <w:highlight w:val="none"/>
          <w:lang w:val="en-US" w:eastAsia="zh-CN" w:bidi="ar-SA"/>
        </w:rPr>
        <w:t>单位职工工资与五险两金等人员经费有所增加</w:t>
      </w:r>
      <w:r>
        <w:rPr>
          <w:rFonts w:hint="eastAsia" w:ascii="方正仿宋_GB2312" w:hAnsi="方正仿宋_GB2312" w:eastAsia="方正仿宋_GB2312" w:cs="方正仿宋_GB2312"/>
          <w:b w:val="0"/>
          <w:bCs w:val="0"/>
          <w:color w:val="auto"/>
          <w:sz w:val="32"/>
          <w:szCs w:val="32"/>
          <w:highlight w:val="none"/>
          <w:lang w:eastAsia="zh-CN"/>
        </w:rPr>
        <w:t>。</w:t>
      </w:r>
    </w:p>
    <w:p>
      <w:pPr>
        <w:spacing w:line="600" w:lineRule="exact"/>
        <w:jc w:val="both"/>
        <w:rPr>
          <w:rFonts w:hint="eastAsia" w:ascii="仿宋" w:hAnsi="仿宋" w:eastAsia="仿宋" w:cs="仿宋"/>
          <w:b w:val="0"/>
          <w:bCs w:val="0"/>
          <w:color w:val="auto"/>
          <w:w w:val="90"/>
          <w:kern w:val="2"/>
          <w:sz w:val="32"/>
          <w:szCs w:val="32"/>
          <w:highlight w:val="none"/>
          <w:lang w:val="en-US" w:eastAsia="zh-CN" w:bidi="ar-SA"/>
        </w:rPr>
      </w:pPr>
      <w:r>
        <w:rPr>
          <w:rFonts w:hint="eastAsia" w:ascii="仿宋" w:hAnsi="仿宋" w:eastAsia="仿宋" w:cs="仿宋"/>
          <w:b w:val="0"/>
          <w:bCs w:val="0"/>
          <w:sz w:val="32"/>
        </w:rPr>
        <mc:AlternateContent>
          <mc:Choice Requires="wps">
            <w:drawing>
              <wp:anchor distT="0" distB="0" distL="114300" distR="114300" simplePos="0" relativeHeight="251659264" behindDoc="0" locked="0" layoutInCell="1" allowOverlap="1">
                <wp:simplePos x="0" y="0"/>
                <wp:positionH relativeFrom="column">
                  <wp:posOffset>4314825</wp:posOffset>
                </wp:positionH>
                <wp:positionV relativeFrom="paragraph">
                  <wp:posOffset>230505</wp:posOffset>
                </wp:positionV>
                <wp:extent cx="828675" cy="333375"/>
                <wp:effectExtent l="0" t="0" r="9525" b="9525"/>
                <wp:wrapTopAndBottom/>
                <wp:docPr id="23" name="文本框 23"/>
                <wp:cNvGraphicFramePr/>
                <a:graphic xmlns:a="http://schemas.openxmlformats.org/drawingml/2006/main">
                  <a:graphicData uri="http://schemas.microsoft.com/office/word/2010/wordprocessingShape">
                    <wps:wsp>
                      <wps:cNvSpPr txBox="1"/>
                      <wps:spPr>
                        <a:xfrm>
                          <a:off x="5186045" y="3754120"/>
                          <a:ext cx="828675"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75pt;margin-top:18.15pt;height:26.25pt;width:65.25pt;mso-wrap-distance-bottom:0pt;mso-wrap-distance-top:0pt;z-index:251659264;mso-width-relative:page;mso-height-relative:page;" fillcolor="#FFFFFF [3201]" filled="t" stroked="f" coordsize="21600,21600" o:gfxdata="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RVel/VAAAA&#10;CQEAAA8AAAAAAAAAAQAgAAAAIgAAAGRycy9kb3ducmV2LnhtbFBLAQIUABQAAAAIAIdO4kC9vtnm&#10;WQIAAJwEAAAOAAAAAAAAAAEAIAAAACQBAABkcnMvZTJvRG9jLnhtbFBLBQYAAAAABgAGAFkBAADv&#10;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w10:wrap type="topAndBottom"/>
              </v:shape>
            </w:pict>
          </mc:Fallback>
        </mc:AlternateContent>
      </w:r>
      <w:r>
        <w:rPr>
          <w:rFonts w:hint="eastAsia" w:ascii="仿宋" w:hAnsi="仿宋" w:eastAsia="仿宋" w:cs="仿宋"/>
          <w:b w:val="0"/>
          <w:bCs w:val="0"/>
          <w:color w:val="auto"/>
          <w:w w:val="90"/>
          <w:kern w:val="2"/>
          <w:sz w:val="32"/>
          <w:szCs w:val="32"/>
          <w:highlight w:val="none"/>
          <w:lang w:val="en-US" w:eastAsia="zh-CN" w:bidi="ar-SA"/>
        </w:rPr>
        <w:t>（图5：一般公共预算财政拨款支出决算变动情况）（柱状图））</w:t>
      </w:r>
    </w:p>
    <w:p>
      <w:pPr>
        <w:spacing w:line="600" w:lineRule="exact"/>
        <w:ind w:firstLine="320" w:firstLineChars="100"/>
        <w:outlineLvl w:val="2"/>
        <w:rPr>
          <w:rFonts w:hint="eastAsia" w:ascii="仿宋" w:hAnsi="仿宋" w:eastAsia="仿宋" w:cs="仿宋"/>
          <w:b w:val="0"/>
          <w:bCs w:val="0"/>
          <w:color w:val="auto"/>
          <w:sz w:val="32"/>
          <w:szCs w:val="32"/>
          <w:highlight w:val="none"/>
        </w:rPr>
      </w:pPr>
      <w:bookmarkStart w:id="31" w:name="_Toc15377211"/>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二）一般公共预算财政拨款支出决算结构情况</w:t>
      </w:r>
      <w:bookmarkEnd w:id="31"/>
    </w:p>
    <w:p>
      <w:pPr>
        <w:spacing w:line="600"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一般公共预算财政拨款支出717.01万元，主要用于以下方面：教育支出526.59万元，占73.44%；社会保障和就业支出82.73万元，占11.54%；卫生健康支出29.35万元，占4.1%；住房保障支出48.02万元，占6.7%；资源勘探工业信息等支出30.33万元，占4.22%。</w:t>
      </w:r>
    </w:p>
    <w:p>
      <w:pPr>
        <w:spacing w:line="600" w:lineRule="exact"/>
        <w:rPr>
          <w:rFonts w:hint="eastAsia" w:ascii="仿宋" w:hAnsi="仿宋" w:eastAsia="仿宋" w:cs="仿宋"/>
          <w:b w:val="0"/>
          <w:bCs w:val="0"/>
          <w:color w:val="auto"/>
          <w:kern w:val="2"/>
          <w:sz w:val="32"/>
          <w:szCs w:val="32"/>
          <w:highlight w:val="none"/>
          <w:lang w:val="en-US" w:eastAsia="zh-CN" w:bidi="ar-SA"/>
        </w:rPr>
      </w:pPr>
    </w:p>
    <w:p>
      <w:pPr>
        <w:spacing w:line="600" w:lineRule="exac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drawing>
          <wp:anchor distT="0" distB="0" distL="114300" distR="114300" simplePos="0" relativeHeight="251669504" behindDoc="0" locked="0" layoutInCell="1" allowOverlap="1">
            <wp:simplePos x="0" y="0"/>
            <wp:positionH relativeFrom="column">
              <wp:posOffset>3810</wp:posOffset>
            </wp:positionH>
            <wp:positionV relativeFrom="paragraph">
              <wp:posOffset>34290</wp:posOffset>
            </wp:positionV>
            <wp:extent cx="5093970" cy="1989455"/>
            <wp:effectExtent l="5080" t="4445" r="6350" b="6350"/>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仿宋" w:hAnsi="仿宋" w:eastAsia="仿宋" w:cs="仿宋"/>
          <w:b w:val="0"/>
          <w:bCs w:val="0"/>
          <w:color w:val="auto"/>
          <w:kern w:val="2"/>
          <w:sz w:val="32"/>
          <w:szCs w:val="32"/>
          <w:highlight w:val="none"/>
          <w:lang w:val="en-US" w:eastAsia="zh-CN" w:bidi="ar-SA"/>
        </w:rPr>
        <w:t>（图6：一般公共预算财政拨款支出决算结构）（饼状图）</w:t>
      </w:r>
    </w:p>
    <w:p>
      <w:pPr>
        <w:spacing w:line="600" w:lineRule="exact"/>
        <w:ind w:firstLine="640" w:firstLineChars="200"/>
        <w:outlineLvl w:val="2"/>
        <w:rPr>
          <w:rFonts w:hint="eastAsia" w:ascii="仿宋" w:hAnsi="仿宋" w:eastAsia="仿宋" w:cs="仿宋"/>
          <w:b w:val="0"/>
          <w:bCs w:val="0"/>
          <w:color w:val="auto"/>
          <w:sz w:val="32"/>
          <w:szCs w:val="32"/>
          <w:highlight w:val="none"/>
        </w:rPr>
      </w:pPr>
      <w:bookmarkStart w:id="32" w:name="_Toc15377212"/>
      <w:r>
        <w:rPr>
          <w:rFonts w:hint="eastAsia" w:ascii="仿宋" w:hAnsi="仿宋" w:eastAsia="仿宋" w:cs="仿宋"/>
          <w:b w:val="0"/>
          <w:bCs w:val="0"/>
          <w:color w:val="auto"/>
          <w:sz w:val="32"/>
          <w:szCs w:val="32"/>
          <w:highlight w:val="none"/>
        </w:rPr>
        <w:t>（三）一般公共预算财政拨款支出决算具体情况</w:t>
      </w:r>
      <w:bookmarkEnd w:id="32"/>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bookmarkStart w:id="33" w:name="_Toc15378460"/>
      <w:bookmarkStart w:id="34" w:name="_Toc15377444"/>
      <w:bookmarkStart w:id="35" w:name="_Toc15377213"/>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2024年度一般公共预算支出决算数为717.01万元，完成预算100%。其中：</w:t>
      </w:r>
      <w:bookmarkEnd w:id="33"/>
      <w:bookmarkEnd w:id="34"/>
      <w:bookmarkEnd w:id="35"/>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1.教育支出205（类）普通教育02（款）初中教育03（项） 支出决算为526.03万元，完成预算100%。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2.教育支出205（类）普通教育02（款）其他普通教育99（项）支出决算为0.38万元，完成预算100%。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3.教育支出205（类）其他教育支出99（款）其他教育支出99（项）:支出决算为0.17万元，完成预算100%。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4.社会保障和就业支出208（类）行政事业单位养老支出05（款）事业单位离退休02（项）：支出决算为8.17万元，完成预算100%。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5.社会保障和就业208（类）行政事业单位养老支出05（款）机关事业单位基本养老保险缴费支出05（项）：支出决算为66.32万元，完成预算100%。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6.社会保障和就业208（类）行政事业单位养老支出05（款）其他行政事业单位基本养老保险缴费支出99（项）：支出决算为2.17万元，完成预算100%。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7.社会保障和就业208（类）其他社会保障和就业支出99（款）其他社会保障和就业支出99（项）：支出决算为6.07万元，完成预算100%。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8.卫生健康210（类）行政事业单位医疗11（款）事业单位医疗02（项）：支出决算为29.35万元，完成预算100%。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9.资源勘探工业信息等215（类）制造业02（款）机关服务03（项）支出决算为6.07万元，完成预算100%。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10.住房保障支出211（类）住房改革支出02（款）住房公积金01（项）：支出决算为48.02万元，完成预算100%。</w:t>
      </w:r>
    </w:p>
    <w:p>
      <w:pPr>
        <w:spacing w:line="600" w:lineRule="exact"/>
        <w:ind w:firstLine="640"/>
        <w:rPr>
          <w:rFonts w:hint="eastAsia" w:ascii="黑体" w:hAnsi="黑体" w:eastAsia="黑体" w:cs="Times New Roman"/>
          <w:color w:val="auto"/>
          <w:kern w:val="2"/>
          <w:sz w:val="32"/>
          <w:szCs w:val="24"/>
          <w:lang w:val="en-US" w:eastAsia="zh-CN" w:bidi="ar-SA"/>
        </w:rPr>
      </w:pPr>
      <w:bookmarkStart w:id="36" w:name="_Toc26660"/>
      <w:bookmarkStart w:id="37" w:name="_Toc15396608"/>
      <w:bookmarkStart w:id="38" w:name="_Toc15377214"/>
      <w:r>
        <w:rPr>
          <w:rFonts w:hint="eastAsia" w:ascii="黑体" w:hAnsi="黑体" w:eastAsia="黑体" w:cs="Times New Roman"/>
          <w:color w:val="auto"/>
          <w:kern w:val="2"/>
          <w:sz w:val="32"/>
          <w:szCs w:val="24"/>
          <w:lang w:val="en-US" w:eastAsia="zh-CN" w:bidi="ar-SA"/>
        </w:rPr>
        <w:t>六、一般公共预算财政拨款基本支出决算情况说明</w:t>
      </w:r>
      <w:bookmarkEnd w:id="36"/>
      <w:bookmarkEnd w:id="37"/>
      <w:bookmarkEnd w:id="38"/>
      <w:r>
        <w:rPr>
          <w:rFonts w:hint="eastAsia" w:ascii="黑体" w:hAnsi="黑体" w:eastAsia="黑体" w:cs="Times New Roman"/>
          <w:color w:val="auto"/>
          <w:kern w:val="2"/>
          <w:sz w:val="32"/>
          <w:szCs w:val="24"/>
          <w:lang w:val="en-US" w:eastAsia="zh-CN" w:bidi="ar-SA"/>
        </w:rPr>
        <w:tab/>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2024年度一般公共预算财政拨款基本支出657.62万元，其中：</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人员经费598.48万元，主要包括：基本工资、津贴补贴、绩效工资、机关事业单位基本养老保险缴费、 职工基本医疗保险缴费、其他社会保障缴费、住房公积金、对个人和家庭的补助。</w:t>
      </w:r>
      <w:r>
        <w:rPr>
          <w:rFonts w:hint="eastAsia" w:ascii="方正仿宋_GB2312" w:hAnsi="方正仿宋_GB2312" w:eastAsia="方正仿宋_GB2312" w:cs="方正仿宋_GB2312"/>
          <w:b w:val="0"/>
          <w:bCs w:val="0"/>
          <w:color w:val="auto"/>
          <w:kern w:val="2"/>
          <w:sz w:val="32"/>
          <w:szCs w:val="32"/>
          <w:highlight w:val="none"/>
          <w:lang w:val="en-US" w:eastAsia="zh-CN" w:bidi="ar-SA"/>
        </w:rPr>
        <w:br w:type="textWrapping"/>
      </w:r>
      <w:r>
        <w:rPr>
          <w:rFonts w:hint="eastAsia" w:ascii="方正仿宋_GB2312" w:hAnsi="方正仿宋_GB2312" w:eastAsia="方正仿宋_GB2312" w:cs="方正仿宋_GB2312"/>
          <w:b w:val="0"/>
          <w:bCs w:val="0"/>
          <w:color w:val="auto"/>
          <w:kern w:val="2"/>
          <w:sz w:val="32"/>
          <w:szCs w:val="32"/>
          <w:highlight w:val="none"/>
          <w:lang w:val="en-US" w:eastAsia="zh-CN" w:bidi="ar-SA"/>
        </w:rPr>
        <w:t>　　公用经费59.14万元，主要包括：办公费、印刷费、手续费、水费、电费、邮电费、物业管理费、差旅费、维修（护）费、会议费、培训费、劳务费、工会经费、福利费、其他交通费、其他商品和服务支出。</w:t>
      </w:r>
    </w:p>
    <w:p>
      <w:pPr>
        <w:spacing w:line="600" w:lineRule="exact"/>
        <w:ind w:firstLine="640"/>
        <w:rPr>
          <w:rFonts w:hint="eastAsia" w:ascii="黑体" w:hAnsi="黑体" w:eastAsia="黑体" w:cs="Times New Roman"/>
          <w:color w:val="auto"/>
          <w:kern w:val="2"/>
          <w:sz w:val="32"/>
          <w:szCs w:val="24"/>
          <w:lang w:val="en-US" w:eastAsia="zh-CN" w:bidi="ar-SA"/>
        </w:rPr>
      </w:pPr>
      <w:bookmarkStart w:id="39" w:name="_Toc15377215"/>
      <w:bookmarkStart w:id="40" w:name="_Toc15396609"/>
      <w:bookmarkStart w:id="41" w:name="_Toc1890"/>
      <w:r>
        <w:rPr>
          <w:rFonts w:hint="eastAsia" w:ascii="黑体" w:hAnsi="黑体" w:eastAsia="黑体" w:cs="Times New Roman"/>
          <w:color w:val="auto"/>
          <w:kern w:val="2"/>
          <w:sz w:val="32"/>
          <w:szCs w:val="24"/>
          <w:lang w:val="en-US" w:eastAsia="zh-CN" w:bidi="ar-SA"/>
        </w:rPr>
        <w:t>七、财政拨款“三公”经费支出决算情况说明</w:t>
      </w:r>
      <w:bookmarkEnd w:id="39"/>
      <w:bookmarkEnd w:id="40"/>
      <w:bookmarkEnd w:id="41"/>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bookmarkStart w:id="42" w:name="_Toc15377216"/>
      <w:r>
        <w:rPr>
          <w:rFonts w:hint="eastAsia" w:ascii="方正仿宋_GB2312" w:hAnsi="方正仿宋_GB2312" w:eastAsia="方正仿宋_GB2312" w:cs="方正仿宋_GB2312"/>
          <w:b w:val="0"/>
          <w:bCs w:val="0"/>
          <w:color w:val="auto"/>
          <w:kern w:val="2"/>
          <w:sz w:val="32"/>
          <w:szCs w:val="32"/>
          <w:highlight w:val="none"/>
          <w:lang w:val="en-US" w:eastAsia="zh-CN" w:bidi="ar-SA"/>
        </w:rPr>
        <w:t>（一）“三公”经费财政拨款支出决算总体情况说明</w:t>
      </w:r>
      <w:bookmarkEnd w:id="42"/>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2024年度“三公”经费财政拨款支出决算为0万元，完成预算100%。与上年度持平,决算数与预算数持平。</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bookmarkStart w:id="43" w:name="_Toc15377217"/>
      <w:r>
        <w:rPr>
          <w:rFonts w:hint="eastAsia" w:ascii="方正仿宋_GB2312" w:hAnsi="方正仿宋_GB2312" w:eastAsia="方正仿宋_GB2312" w:cs="方正仿宋_GB2312"/>
          <w:b w:val="0"/>
          <w:bCs w:val="0"/>
          <w:color w:val="auto"/>
          <w:kern w:val="2"/>
          <w:sz w:val="32"/>
          <w:szCs w:val="32"/>
          <w:highlight w:val="none"/>
          <w:lang w:val="en-US" w:eastAsia="zh-CN" w:bidi="ar-SA"/>
        </w:rPr>
        <w:t>（二）“三公”经费财政拨款支出决算具体情况说明</w:t>
      </w:r>
      <w:bookmarkEnd w:id="43"/>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2024年度“三公”经费财政拨款支出决算中，因公出国（境）费支出决算0万元，占100%；公务用车购置及运行维护费支出决算0万元，占100%；公务接待费支出决算0万元，占100%。具体情况如下：</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1.因公出国（境）经费支出0万元，完成预算100%。全年安排因公出国（境）团组0次，出国（境）0人。因公出国（境）支出决算比2023年增加/减少0万元，增长0%。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2.公务用车购置及运行维护费支出0万元，完成预算100%。公务用车购置及运行维护费支出决算比2023年度增加/减少0万元，增长0%。</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公务用车运行维护费支出0万元。</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3.公务接待费支出0万元，完成预算100%。公务接待费支出决算比2023年度增加0万元，增长0%。其中：</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国内公务接待支出0万元。</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外事接待支出0万元。</w:t>
      </w:r>
      <w:bookmarkStart w:id="44" w:name="_Toc15396610"/>
      <w:bookmarkStart w:id="45" w:name="_Toc15377218"/>
    </w:p>
    <w:p>
      <w:pPr>
        <w:spacing w:line="600" w:lineRule="exact"/>
        <w:ind w:firstLine="640"/>
        <w:rPr>
          <w:rFonts w:hint="eastAsia" w:ascii="黑体" w:hAnsi="黑体" w:eastAsia="黑体" w:cs="Times New Roman"/>
          <w:color w:val="auto"/>
          <w:kern w:val="2"/>
          <w:sz w:val="32"/>
          <w:szCs w:val="24"/>
          <w:lang w:val="en-US" w:eastAsia="zh-CN" w:bidi="ar-SA"/>
        </w:rPr>
      </w:pPr>
      <w:bookmarkStart w:id="46" w:name="_Toc25044"/>
      <w:r>
        <w:rPr>
          <w:rFonts w:hint="eastAsia" w:ascii="黑体" w:hAnsi="黑体" w:eastAsia="黑体" w:cs="Times New Roman"/>
          <w:color w:val="auto"/>
          <w:kern w:val="2"/>
          <w:sz w:val="32"/>
          <w:szCs w:val="24"/>
          <w:lang w:val="en-US" w:eastAsia="zh-CN" w:bidi="ar-SA"/>
        </w:rPr>
        <w:t>八、政府性基金预算支出决算情况说明</w:t>
      </w:r>
      <w:bookmarkEnd w:id="44"/>
      <w:bookmarkEnd w:id="45"/>
      <w:bookmarkEnd w:id="46"/>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2024年度政府性基金预算财政拨款支出0万元。</w:t>
      </w:r>
    </w:p>
    <w:p>
      <w:pPr>
        <w:spacing w:line="600" w:lineRule="exact"/>
        <w:ind w:firstLine="640"/>
        <w:rPr>
          <w:rFonts w:hint="eastAsia" w:ascii="黑体" w:hAnsi="黑体" w:eastAsia="黑体" w:cs="Times New Roman"/>
          <w:color w:val="auto"/>
          <w:kern w:val="2"/>
          <w:sz w:val="32"/>
          <w:szCs w:val="24"/>
          <w:lang w:val="en-US" w:eastAsia="zh-CN" w:bidi="ar-SA"/>
        </w:rPr>
      </w:pPr>
      <w:bookmarkStart w:id="47" w:name="_Toc15396611"/>
      <w:bookmarkStart w:id="48" w:name="_Toc15377219"/>
      <w:bookmarkStart w:id="49" w:name="_Toc12974"/>
      <w:r>
        <w:rPr>
          <w:rFonts w:hint="eastAsia" w:ascii="黑体" w:hAnsi="黑体" w:eastAsia="黑体" w:cs="Times New Roman"/>
          <w:color w:val="auto"/>
          <w:kern w:val="2"/>
          <w:sz w:val="32"/>
          <w:szCs w:val="24"/>
          <w:lang w:val="en-US" w:eastAsia="zh-CN" w:bidi="ar-SA"/>
        </w:rPr>
        <w:t>九、国有资本经营预算支出决算情况说明</w:t>
      </w:r>
      <w:bookmarkEnd w:id="47"/>
      <w:bookmarkEnd w:id="48"/>
      <w:bookmarkEnd w:id="49"/>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2024年度国有资本经营预算财政拨款支出0万元。</w:t>
      </w:r>
    </w:p>
    <w:p>
      <w:pPr>
        <w:spacing w:line="600" w:lineRule="exact"/>
        <w:ind w:firstLine="640"/>
        <w:rPr>
          <w:rFonts w:hint="eastAsia" w:ascii="黑体" w:hAnsi="黑体" w:eastAsia="黑体" w:cs="Times New Roman"/>
          <w:color w:val="auto"/>
          <w:kern w:val="2"/>
          <w:sz w:val="32"/>
          <w:szCs w:val="24"/>
          <w:lang w:val="en-US" w:eastAsia="zh-CN" w:bidi="ar-SA"/>
        </w:rPr>
      </w:pPr>
      <w:bookmarkStart w:id="50" w:name="_Toc17792"/>
      <w:bookmarkStart w:id="51" w:name="_Toc15396612"/>
      <w:bookmarkStart w:id="52" w:name="_Toc15377221"/>
      <w:r>
        <w:rPr>
          <w:rFonts w:hint="eastAsia" w:ascii="黑体" w:hAnsi="黑体" w:eastAsia="黑体" w:cs="Times New Roman"/>
          <w:color w:val="auto"/>
          <w:kern w:val="2"/>
          <w:sz w:val="32"/>
          <w:szCs w:val="24"/>
          <w:lang w:val="en-US" w:eastAsia="zh-CN" w:bidi="ar-SA"/>
        </w:rPr>
        <w:t>十、其他重要事项的情况说明</w:t>
      </w:r>
      <w:bookmarkEnd w:id="50"/>
      <w:bookmarkEnd w:id="51"/>
      <w:bookmarkEnd w:id="52"/>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bookmarkStart w:id="53" w:name="_Toc15377222"/>
      <w:r>
        <w:rPr>
          <w:rFonts w:hint="eastAsia" w:ascii="方正仿宋_GB2312" w:hAnsi="方正仿宋_GB2312" w:eastAsia="方正仿宋_GB2312" w:cs="方正仿宋_GB2312"/>
          <w:b w:val="0"/>
          <w:bCs w:val="0"/>
          <w:color w:val="auto"/>
          <w:kern w:val="2"/>
          <w:sz w:val="32"/>
          <w:szCs w:val="32"/>
          <w:highlight w:val="none"/>
          <w:lang w:val="en-US" w:eastAsia="zh-CN" w:bidi="ar-SA"/>
        </w:rPr>
        <w:t>（一）机关运行经费支出情况</w:t>
      </w:r>
      <w:bookmarkEnd w:id="53"/>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2024年度，遂宁市安居区三家镇大安初级中学校无机关运行经费支出与2023年度决算数持平。</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bookmarkStart w:id="54" w:name="_Toc15377223"/>
      <w:r>
        <w:rPr>
          <w:rFonts w:hint="eastAsia" w:ascii="方正仿宋_GB2312" w:hAnsi="方正仿宋_GB2312" w:eastAsia="方正仿宋_GB2312" w:cs="方正仿宋_GB2312"/>
          <w:b w:val="0"/>
          <w:bCs w:val="0"/>
          <w:color w:val="auto"/>
          <w:kern w:val="2"/>
          <w:sz w:val="32"/>
          <w:szCs w:val="32"/>
          <w:highlight w:val="none"/>
          <w:lang w:val="en-US" w:eastAsia="zh-CN" w:bidi="ar-SA"/>
        </w:rPr>
        <w:t>（二）政府采购支出情况</w:t>
      </w:r>
      <w:bookmarkEnd w:id="54"/>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2024年度，遂宁市安居区三家镇大安初级中学校政府采购支出0万元。</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bookmarkStart w:id="55" w:name="_Toc15377224"/>
      <w:r>
        <w:rPr>
          <w:rFonts w:hint="eastAsia" w:ascii="方正仿宋_GB2312" w:hAnsi="方正仿宋_GB2312" w:eastAsia="方正仿宋_GB2312" w:cs="方正仿宋_GB2312"/>
          <w:b w:val="0"/>
          <w:bCs w:val="0"/>
          <w:color w:val="auto"/>
          <w:kern w:val="2"/>
          <w:sz w:val="32"/>
          <w:szCs w:val="32"/>
          <w:highlight w:val="none"/>
          <w:lang w:val="en-US" w:eastAsia="zh-CN" w:bidi="ar-SA"/>
        </w:rPr>
        <w:t>（三）国有资产占有使用情况</w:t>
      </w:r>
      <w:bookmarkEnd w:id="55"/>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截至2024年12月31日，遂宁市安居区三家镇大安初级中学校共有车辆0辆。单价50万元以上通用设备0台（套），单价100万元以上专用设备（不含车辆）0台（套）。无国有资产占有使用情况。</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（四）预算绩效管理情况</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根据预算绩效管理要求，遂宁市安居区三家镇大安初级中学校在2024年度预算编制阶段，组织对义务教育阶段贫困学生生活补助、校舍维修、义务教育免作业本费等3个项目开展了预算事前绩效评估，对3个项目编制了绩效目标，预算执行过程中，选取3个项目开展绩效监控。绩效自评表详见第四部分附件。</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大安初中部门整体（含部门预算项目）绩效自评报告、义教贫困生生活补助、校舍维修、义务教育免作业本费等专项预算项目绩效自评报告，其中，2024年大安初中部门整体（含部门预算项目）绩效自评得分为100分，绩效自评综述严格执行相关政策，保障工资及时发放、足额发放，预算编制科学合理，减少结余资金</w:t>
      </w:r>
      <w:r>
        <w:rPr>
          <w:rFonts w:hint="eastAsia" w:ascii="方正仿宋_GB2312" w:hAnsi="方正仿宋_GB2312" w:eastAsia="方正仿宋_GB2312" w:cs="方正仿宋_GB2312"/>
          <w:b w:val="0"/>
          <w:bCs w:val="0"/>
          <w:color w:val="auto"/>
          <w:kern w:val="2"/>
          <w:sz w:val="32"/>
          <w:szCs w:val="32"/>
          <w:highlight w:val="none"/>
          <w:lang w:val="zh-CN" w:eastAsia="zh-CN" w:bidi="ar-SA"/>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广泛听取意见，认真总结分析,搜集完善各类资料。进一步深化课程改革，提高教育质量，努力改善办学条件,促进教育均衡发展。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义教贫困生生活补助专项预算项目绩效自评得分为100分，绩效自评综述加强民生资金专项管理，提高民生资金使用效益，确保专款专用，及时申报经费，保证学生作业本按时发放。</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绩效自评表详见第四部分附件。</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br w:type="page"/>
      </w:r>
    </w:p>
    <w:p>
      <w:pPr>
        <w:spacing w:line="600" w:lineRule="exact"/>
        <w:jc w:val="center"/>
        <w:outlineLvl w:val="0"/>
        <w:rPr>
          <w:rFonts w:hint="eastAsia" w:ascii="方正小标宋简体" w:hAnsi="方正小标宋简体" w:eastAsia="方正小标宋简体" w:cs="方正小标宋简体"/>
          <w:b w:val="0"/>
          <w:bCs w:val="0"/>
          <w:color w:val="auto"/>
          <w:kern w:val="44"/>
          <w:sz w:val="44"/>
          <w:szCs w:val="24"/>
          <w:lang w:val="zh-CN" w:eastAsia="zh-CN" w:bidi="ar-SA"/>
        </w:rPr>
      </w:pPr>
      <w:bookmarkStart w:id="56" w:name="_Toc19232"/>
      <w:r>
        <w:rPr>
          <w:rFonts w:hint="eastAsia" w:ascii="方正小标宋简体" w:hAnsi="方正小标宋简体" w:eastAsia="方正小标宋简体" w:cs="方正小标宋简体"/>
          <w:b w:val="0"/>
          <w:bCs w:val="0"/>
          <w:color w:val="auto"/>
          <w:kern w:val="44"/>
          <w:sz w:val="44"/>
          <w:szCs w:val="24"/>
          <w:lang w:val="zh-CN" w:eastAsia="zh-CN" w:bidi="ar-SA"/>
        </w:rPr>
        <w:t>第三部分  名词解释</w:t>
      </w:r>
      <w:bookmarkEnd w:id="56"/>
    </w:p>
    <w:p>
      <w:pPr>
        <w:spacing w:line="600" w:lineRule="exact"/>
        <w:ind w:firstLine="640"/>
        <w:rPr>
          <w:rFonts w:hint="eastAsia" w:ascii="仿宋" w:hAnsi="仿宋" w:eastAsia="仿宋" w:cs="仿宋"/>
          <w:b w:val="0"/>
          <w:bCs w:val="0"/>
          <w:color w:val="000000" w:themeColor="text1"/>
          <w:sz w:val="44"/>
          <w:szCs w:val="44"/>
          <w:highlight w:val="none"/>
          <w14:textFill>
            <w14:solidFill>
              <w14:schemeClr w14:val="tx1"/>
            </w14:solidFill>
          </w14:textFill>
        </w:rPr>
      </w:pP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2.事业收入：指事业单位开展专业业务活动及辅助活动取得的收入。如学前教育保教费收入等。</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4.其他收入：指单位取得的除上述收入以外的各项收入。主要是利息收入、捐赠收入等。 </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9.教育（205类）教育管理事务（01款）行政运行（01项）: 反映行政单位（包括实行公务员管理的事业单位）的基本支出。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10.教育（205类）教育管理事务（01款）一般行政管理事务（02项）: 反映行政单位（包括实行公务员管理的事业单位）未单独设置项级科目的其他项目支出。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11.教育（205类）教育管理事务（01款）其他教育管理事务支出（99项）: 反映除上述项目以外其他用于教育管理事务方面的支出。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12.教育（205类）普通教育（02款）学前教育（01项）: 反映各部门举办的学前教育支出。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13.教育（205类）普通教育（02款）初中教育（03项）: 反映各部门举办的小学教育支出。政府各部门对社会中介组织等举办的小学的资助，如各类捐赠、补贴等，也在本科目中反映。</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14.教育（205类）普通教育（02款）其他普通教育支出（99项）: 反映除上述项目以外其他用于普通教育方面的支出。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15.教育（205类）其他教育支出（09款）其他教育支出（99项）: 反映除上述项目以外其他教育费附加安排的支出。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16.教育（205类）其他教育支出（99款）其他教育支出（99项）: 反映除上述项目以外其他教育方面的支出。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17.社会保障和就业（208类）行政事业单位养老支出（05款）事业单位离退休（02项）: 反映机关事业单位实施事业单位离退支出。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18.社会保障和就业（208类）行政事业单位养老支出（05款）机关事业单位基本养老保险缴费支出（05项）: 反映机关事业单位实施养老保险制度由单位缴纳的基本养老保险费支出。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19.社会保障和就业（208类）行政事业单位养老支出（05款）其他行政事业单位养老支出（99项）: 反映机关事业单位实施养老保险制度其他行政事业单位养老支出支出。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20.社会保障和就业（208类）其他社会保障和就业支出（99款）其他社会保障和就业支出（99项）: 反映上述项目以外其他用用于社会保障和就业方面的支出。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22.住房保障支出（221类）住房改革支出（02款）住房公积金（01项）:反映行政事业单位按人力资源和社会保障部、财政部规定的基本工资和津贴补贴以及规定比例为职工缴纳的住房公积金。</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23.基本支出：指为保障机构正常运转、完成日常工作任务而发生的人员支出和公用支出。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24.项目支出：指在基本支出之外为完成特定行政任务和事业发展目标所发生的支出。  </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25.经营支出：指事业单位在专业业务活动及其辅助活动之外开展非独立核算经营活动发生的支出。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27.工资福利：反映单位开支的在职职工和编制外长期聘用人员的各类劳动报酬，以及为上述人员缴纳的各项社会保险费等。</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28.商品和服务：反映单位购买商品和服务的支出，不包括用于购置固定资产、战略性和应急性物资储备等资本支出。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29.对个人和家庭的补助：反映政府用于对个人和家庭的补助支出。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30.资本性支出：反映各单位安排的资本性支出。切块由发展改革部门安排的基本建设支出不在此科目反映。</w:t>
      </w:r>
    </w:p>
    <w:p>
      <w:pPr>
        <w:spacing w:line="600" w:lineRule="exact"/>
        <w:ind w:firstLine="640"/>
        <w:rPr>
          <w:rFonts w:hint="eastAsia" w:ascii="仿宋" w:hAnsi="仿宋" w:eastAsia="仿宋" w:cs="仿宋"/>
          <w:b w:val="0"/>
          <w:bCs w:val="0"/>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br w:type="page"/>
      </w:r>
      <w:bookmarkStart w:id="57" w:name="_Toc21866"/>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          </w:t>
      </w:r>
      <w:r>
        <w:rPr>
          <w:rFonts w:hint="eastAsia" w:ascii="方正小标宋简体" w:hAnsi="方正小标宋简体" w:eastAsia="方正小标宋简体" w:cs="方正小标宋简体"/>
          <w:b w:val="0"/>
          <w:bCs w:val="0"/>
          <w:color w:val="auto"/>
          <w:kern w:val="44"/>
          <w:sz w:val="44"/>
          <w:szCs w:val="24"/>
          <w:lang w:val="en-US" w:eastAsia="zh-CN" w:bidi="ar-SA"/>
        </w:rPr>
        <w:t xml:space="preserve"> </w:t>
      </w:r>
      <w:r>
        <w:rPr>
          <w:rFonts w:hint="eastAsia" w:ascii="方正小标宋简体" w:hAnsi="方正小标宋简体" w:eastAsia="方正小标宋简体" w:cs="方正小标宋简体"/>
          <w:b w:val="0"/>
          <w:bCs w:val="0"/>
          <w:color w:val="auto"/>
          <w:kern w:val="44"/>
          <w:sz w:val="44"/>
          <w:szCs w:val="24"/>
          <w:lang w:val="zh-CN" w:eastAsia="zh-CN" w:bidi="ar-SA"/>
        </w:rPr>
        <w:t>第四部分  附件</w:t>
      </w:r>
      <w:bookmarkEnd w:id="57"/>
    </w:p>
    <w:p>
      <w:pPr>
        <w:pStyle w:val="2"/>
        <w:rPr>
          <w:rFonts w:hint="eastAsia" w:ascii="仿宋" w:hAnsi="仿宋" w:eastAsia="仿宋" w:cs="仿宋"/>
          <w:b w:val="0"/>
          <w:bCs w:val="0"/>
          <w:color w:val="000000" w:themeColor="text1"/>
          <w:sz w:val="44"/>
          <w:szCs w:val="44"/>
          <w:highlight w:val="none"/>
          <w14:textFill>
            <w14:solidFill>
              <w14:schemeClr w14:val="tx1"/>
            </w14:solidFill>
          </w14:textFill>
        </w:rPr>
      </w:pPr>
    </w:p>
    <w:p>
      <w:pPr>
        <w:spacing w:line="360" w:lineRule="auto"/>
        <w:jc w:val="left"/>
        <w:outlineLvl w:val="9"/>
        <w:rPr>
          <w:rFonts w:hint="eastAsia" w:ascii="仿宋" w:hAnsi="仿宋" w:eastAsia="仿宋" w:cs="仿宋"/>
          <w:b w:val="0"/>
          <w:bCs w:val="0"/>
          <w:color w:val="000000" w:themeColor="text1"/>
          <w:sz w:val="44"/>
          <w:szCs w:val="44"/>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附件1</w:t>
      </w:r>
    </w:p>
    <w:p>
      <w:pPr>
        <w:widowControl/>
        <w:spacing w:line="360" w:lineRule="auto"/>
        <w:contextualSpacing/>
        <w:jc w:val="center"/>
        <w:outlineLvl w:val="9"/>
        <w:rPr>
          <w:rFonts w:hint="eastAsia" w:ascii="仿宋" w:hAnsi="仿宋" w:eastAsia="仿宋" w:cs="仿宋"/>
          <w:b w:val="0"/>
          <w:bCs w:val="0"/>
          <w:color w:val="000000" w:themeColor="text1"/>
          <w:kern w:val="0"/>
          <w:sz w:val="24"/>
          <w:szCs w:val="32"/>
          <w:highlight w:val="none"/>
          <w:shd w:val="clear" w:color="auto" w:fill="FFFFFF"/>
          <w14:textFill>
            <w14:solidFill>
              <w14:schemeClr w14:val="tx1"/>
            </w14:solidFill>
          </w14:textFill>
        </w:rPr>
      </w:pPr>
      <w:r>
        <w:rPr>
          <w:rFonts w:hint="eastAsia" w:ascii="仿宋" w:hAnsi="仿宋" w:eastAsia="仿宋" w:cs="仿宋"/>
          <w:b w:val="0"/>
          <w:bCs w:val="0"/>
          <w:color w:val="000000" w:themeColor="text1"/>
          <w:sz w:val="44"/>
          <w:szCs w:val="44"/>
          <w:highlight w:val="none"/>
          <w:shd w:val="clear" w:color="auto" w:fill="FFFFFF"/>
          <w14:textFill>
            <w14:solidFill>
              <w14:schemeClr w14:val="tx1"/>
            </w14:solidFill>
          </w14:textFill>
        </w:rPr>
        <w:t>部门预算绩效评价报告</w:t>
      </w:r>
    </w:p>
    <w:p>
      <w:pPr>
        <w:spacing w:line="600" w:lineRule="exact"/>
        <w:ind w:firstLine="640"/>
        <w:rPr>
          <w:rFonts w:hint="eastAsia" w:ascii="黑体" w:hAnsi="黑体" w:eastAsia="黑体" w:cs="Times New Roman"/>
          <w:color w:val="auto"/>
          <w:kern w:val="2"/>
          <w:sz w:val="32"/>
          <w:szCs w:val="24"/>
          <w:lang w:val="zh-CN" w:eastAsia="zh-CN" w:bidi="ar-SA"/>
        </w:rPr>
      </w:pPr>
      <w:bookmarkStart w:id="58" w:name="_Toc9399"/>
      <w:r>
        <w:rPr>
          <w:rFonts w:hint="eastAsia" w:ascii="黑体" w:hAnsi="黑体" w:eastAsia="黑体" w:cs="Times New Roman"/>
          <w:color w:val="auto"/>
          <w:kern w:val="2"/>
          <w:sz w:val="32"/>
          <w:szCs w:val="24"/>
          <w:lang w:val="zh-CN" w:eastAsia="zh-CN" w:bidi="ar-SA"/>
        </w:rPr>
        <w:t>一、基本情况</w:t>
      </w:r>
      <w:bookmarkEnd w:id="58"/>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（一）机构组成：</w:t>
      </w:r>
      <w:r>
        <w:rPr>
          <w:rFonts w:hint="eastAsia" w:ascii="方正仿宋_GB2312" w:hAnsi="方正仿宋_GB2312" w:eastAsia="方正仿宋_GB2312" w:cs="方正仿宋_GB2312"/>
          <w:b w:val="0"/>
          <w:bCs w:val="0"/>
          <w:color w:val="auto"/>
          <w:kern w:val="2"/>
          <w:sz w:val="32"/>
          <w:szCs w:val="32"/>
          <w:highlight w:val="none"/>
          <w:lang w:val="en-US" w:eastAsia="zh-CN" w:bidi="ar-SA"/>
        </w:rPr>
        <w:t>遂宁市安居区三家镇大安初级中学校属于公益一类事业单位，学校的主管部门为四川省遂宁市安居区教育局。</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（二）机构职能：</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1、正确贯彻执行党和国家的教育方针、政策、法规。</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2、维护学校的教学秩序，为学生创造良好的学习环境；</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3、积极稳妥地推进教育改革，按教育规律办事，不断提高教育质量；</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4、根据学校规模，设置学校管理机构，建立健全各项规章制度和岗位责任制。</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5、坚持教书育人，服务育人，环境育人方针，加强对学生的思想品德教育，使学生的德智体全面发展。</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6、抓好教师队伍建设，使每个教师都热心于教育事业；</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7、做好安全防范，保证学生的人身安全。</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（三）人员概况：</w:t>
      </w:r>
      <w:r>
        <w:rPr>
          <w:rFonts w:hint="eastAsia" w:ascii="方正仿宋_GB2312" w:hAnsi="方正仿宋_GB2312" w:eastAsia="方正仿宋_GB2312" w:cs="方正仿宋_GB2312"/>
          <w:b w:val="0"/>
          <w:bCs w:val="0"/>
          <w:color w:val="auto"/>
          <w:kern w:val="2"/>
          <w:sz w:val="32"/>
          <w:szCs w:val="32"/>
          <w:highlight w:val="none"/>
          <w:lang w:val="en-US" w:eastAsia="zh-CN" w:bidi="ar-SA"/>
        </w:rPr>
        <w:t>截至2024年末，我校现有在编教师33人,遗属3人，退休职工11人。</w:t>
      </w:r>
    </w:p>
    <w:p>
      <w:pPr>
        <w:spacing w:line="600" w:lineRule="exact"/>
        <w:ind w:firstLine="640"/>
        <w:rPr>
          <w:rFonts w:hint="eastAsia" w:ascii="黑体" w:hAnsi="黑体" w:eastAsia="黑体" w:cs="Times New Roman"/>
          <w:color w:val="auto"/>
          <w:kern w:val="2"/>
          <w:sz w:val="32"/>
          <w:szCs w:val="24"/>
          <w:lang w:val="zh-CN" w:eastAsia="zh-CN" w:bidi="ar-SA"/>
        </w:rPr>
      </w:pPr>
      <w:bookmarkStart w:id="59" w:name="_Toc27966"/>
      <w:r>
        <w:rPr>
          <w:rFonts w:hint="eastAsia" w:ascii="黑体" w:hAnsi="黑体" w:eastAsia="黑体" w:cs="Times New Roman"/>
          <w:color w:val="auto"/>
          <w:kern w:val="2"/>
          <w:sz w:val="32"/>
          <w:szCs w:val="24"/>
          <w:lang w:val="zh-CN" w:eastAsia="zh-CN" w:bidi="ar-SA"/>
        </w:rPr>
        <w:t>二、部门资金收支情况</w:t>
      </w:r>
      <w:bookmarkEnd w:id="59"/>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（一）收入情况。</w:t>
      </w: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2024年度收入总计为794.38万元。与2023年度相比，收入、支出总计各增加129.01万元，增长16.24%。主要变动原因是本年度决算中将学生课后服务费、学生伙食费纳入决算中，导致收入、支出经费均有增加。</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（二）支出情况。</w:t>
      </w:r>
      <w:r>
        <w:rPr>
          <w:rFonts w:hint="eastAsia" w:ascii="方正仿宋_GB2312" w:hAnsi="方正仿宋_GB2312" w:eastAsia="方正仿宋_GB2312" w:cs="方正仿宋_GB2312"/>
          <w:b w:val="0"/>
          <w:bCs w:val="0"/>
          <w:color w:val="auto"/>
          <w:kern w:val="2"/>
          <w:sz w:val="32"/>
          <w:szCs w:val="32"/>
          <w:highlight w:val="none"/>
          <w:lang w:val="en-US" w:eastAsia="zh-CN" w:bidi="ar-SA"/>
        </w:rPr>
        <w:t>2024年度支出总计为794.38万元。与2023年度相比，收入、支出总计各增加129.01万元，增长16.24%。主要变动原因是本年度决算中将学生课后服务费、学生伙食费纳入决算中，导致收入、支出经费均有增加。</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（三）结余分配和结转结余情况。</w:t>
      </w:r>
      <w:r>
        <w:rPr>
          <w:rFonts w:hint="eastAsia" w:ascii="方正仿宋_GB2312" w:hAnsi="方正仿宋_GB2312" w:eastAsia="方正仿宋_GB2312" w:cs="方正仿宋_GB2312"/>
          <w:b w:val="0"/>
          <w:bCs w:val="0"/>
          <w:color w:val="auto"/>
          <w:kern w:val="2"/>
          <w:sz w:val="32"/>
          <w:szCs w:val="32"/>
          <w:highlight w:val="none"/>
          <w:lang w:val="en-US" w:eastAsia="zh-CN" w:bidi="ar-SA"/>
        </w:rPr>
        <w:t>我园2024年决算报表结转结余0万元。</w:t>
      </w:r>
    </w:p>
    <w:p>
      <w:pPr>
        <w:spacing w:line="600" w:lineRule="exact"/>
        <w:ind w:firstLine="640"/>
        <w:rPr>
          <w:rFonts w:hint="eastAsia" w:ascii="黑体" w:hAnsi="黑体" w:eastAsia="黑体" w:cs="Times New Roman"/>
          <w:color w:val="auto"/>
          <w:kern w:val="2"/>
          <w:sz w:val="32"/>
          <w:szCs w:val="24"/>
          <w:lang w:val="zh-CN" w:eastAsia="zh-CN" w:bidi="ar-SA"/>
        </w:rPr>
      </w:pPr>
      <w:bookmarkStart w:id="60" w:name="_Toc11664"/>
      <w:r>
        <w:rPr>
          <w:rFonts w:hint="eastAsia" w:ascii="黑体" w:hAnsi="黑体" w:eastAsia="黑体" w:cs="Times New Roman"/>
          <w:color w:val="auto"/>
          <w:kern w:val="2"/>
          <w:sz w:val="32"/>
          <w:szCs w:val="24"/>
          <w:lang w:val="zh-CN" w:eastAsia="zh-CN" w:bidi="ar-SA"/>
        </w:rPr>
        <w:t>三、部门预算绩效分析</w:t>
      </w:r>
      <w:bookmarkEnd w:id="60"/>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（一）部门预算总体绩效分析。根据部门预算绩效评价指标体系“总体绩效”涉及二、三级指标进行逐项绩效分析并评分，依次包括履职效能、预算管理、财务管理、资产管理、采购管理等情况。</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w:t>
      </w:r>
      <w:r>
        <w:rPr>
          <w:rFonts w:hint="eastAsia" w:ascii="方正仿宋_GB2312" w:hAnsi="方正仿宋_GB2312" w:eastAsia="方正仿宋_GB2312" w:cs="方正仿宋_GB2312"/>
          <w:b w:val="0"/>
          <w:bCs w:val="0"/>
          <w:color w:val="auto"/>
          <w:kern w:val="2"/>
          <w:sz w:val="32"/>
          <w:szCs w:val="32"/>
          <w:highlight w:val="none"/>
          <w:lang w:val="zh-CN" w:eastAsia="zh-CN" w:bidi="ar-SA"/>
        </w:rPr>
        <w:t>履职效能。根据相关规定，制定绩效目标管理，规范资金使用，提升资金使用效益。严格支出控制、预算及时动态调整。我单位资金主要是人员经费、公用经费支出，学校制定的相关规章制度，对资金进行严格收支管理。</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w:t>
      </w:r>
      <w:r>
        <w:rPr>
          <w:rFonts w:hint="eastAsia" w:ascii="方正仿宋_GB2312" w:hAnsi="方正仿宋_GB2312" w:eastAsia="方正仿宋_GB2312" w:cs="方正仿宋_GB2312"/>
          <w:b w:val="0"/>
          <w:bCs w:val="0"/>
          <w:color w:val="auto"/>
          <w:kern w:val="2"/>
          <w:sz w:val="32"/>
          <w:szCs w:val="32"/>
          <w:highlight w:val="none"/>
          <w:lang w:val="zh-CN" w:eastAsia="zh-CN" w:bidi="ar-SA"/>
        </w:rPr>
        <w:t>预算管理。2024年度</w:t>
      </w:r>
      <w:r>
        <w:rPr>
          <w:rFonts w:hint="eastAsia" w:ascii="方正仿宋_GB2312" w:hAnsi="方正仿宋_GB2312" w:eastAsia="方正仿宋_GB2312" w:cs="方正仿宋_GB2312"/>
          <w:b w:val="0"/>
          <w:bCs w:val="0"/>
          <w:color w:val="auto"/>
          <w:kern w:val="2"/>
          <w:sz w:val="32"/>
          <w:szCs w:val="32"/>
          <w:highlight w:val="none"/>
          <w:lang w:val="en-US" w:eastAsia="zh-CN" w:bidi="ar-SA"/>
        </w:rPr>
        <w:t>预算</w:t>
      </w:r>
      <w:r>
        <w:rPr>
          <w:rFonts w:hint="eastAsia" w:ascii="方正仿宋_GB2312" w:hAnsi="方正仿宋_GB2312" w:eastAsia="方正仿宋_GB2312" w:cs="方正仿宋_GB2312"/>
          <w:b w:val="0"/>
          <w:bCs w:val="0"/>
          <w:color w:val="auto"/>
          <w:kern w:val="2"/>
          <w:sz w:val="32"/>
          <w:szCs w:val="32"/>
          <w:highlight w:val="none"/>
          <w:lang w:val="zh-CN" w:eastAsia="zh-CN" w:bidi="ar-SA"/>
        </w:rPr>
        <w:t>收、支总计均</w:t>
      </w:r>
      <w:r>
        <w:rPr>
          <w:rFonts w:hint="eastAsia" w:ascii="方正仿宋_GB2312" w:hAnsi="方正仿宋_GB2312" w:eastAsia="方正仿宋_GB2312" w:cs="方正仿宋_GB2312"/>
          <w:b w:val="0"/>
          <w:bCs w:val="0"/>
          <w:color w:val="auto"/>
          <w:kern w:val="2"/>
          <w:sz w:val="32"/>
          <w:szCs w:val="32"/>
          <w:highlight w:val="none"/>
          <w:lang w:val="en-US" w:eastAsia="zh-CN" w:bidi="ar-SA"/>
        </w:rPr>
        <w:t>为794.38万元。与2023年度相比，收入、支出总计各增加129.01万元，增长16.24%。主要变动原因是本年度决算中将学生课后服务费、学生伙食费纳入决算中，导致收入、支出经费均有增加。</w:t>
      </w:r>
      <w:r>
        <w:rPr>
          <w:rFonts w:hint="eastAsia" w:ascii="方正仿宋_GB2312" w:hAnsi="方正仿宋_GB2312" w:eastAsia="方正仿宋_GB2312" w:cs="方正仿宋_GB2312"/>
          <w:b w:val="0"/>
          <w:bCs w:val="0"/>
          <w:color w:val="auto"/>
          <w:kern w:val="2"/>
          <w:sz w:val="32"/>
          <w:szCs w:val="32"/>
          <w:highlight w:val="none"/>
          <w:lang w:val="zh-CN" w:eastAsia="zh-CN" w:bidi="ar-SA"/>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各项管理制度执行总体较为有效，需进一步强化，资金的使用和管理应进一步加强。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w:t>
      </w:r>
      <w:r>
        <w:rPr>
          <w:rFonts w:hint="eastAsia" w:ascii="方正仿宋_GB2312" w:hAnsi="方正仿宋_GB2312" w:eastAsia="方正仿宋_GB2312" w:cs="方正仿宋_GB2312"/>
          <w:b w:val="0"/>
          <w:bCs w:val="0"/>
          <w:color w:val="auto"/>
          <w:kern w:val="2"/>
          <w:sz w:val="32"/>
          <w:szCs w:val="32"/>
          <w:highlight w:val="none"/>
          <w:lang w:val="zh-CN" w:eastAsia="zh-CN" w:bidi="ar-SA"/>
        </w:rPr>
        <w:t>财务管理。</w:t>
      </w:r>
      <w:r>
        <w:rPr>
          <w:rFonts w:hint="eastAsia" w:ascii="方正仿宋_GB2312" w:hAnsi="方正仿宋_GB2312" w:eastAsia="方正仿宋_GB2312" w:cs="方正仿宋_GB2312"/>
          <w:b w:val="0"/>
          <w:bCs w:val="0"/>
          <w:color w:val="auto"/>
          <w:kern w:val="2"/>
          <w:sz w:val="32"/>
          <w:szCs w:val="32"/>
          <w:highlight w:val="none"/>
          <w:lang w:val="en-US" w:eastAsia="zh-CN" w:bidi="ar-SA"/>
        </w:rPr>
        <w:t>制度了完善的</w:t>
      </w:r>
      <w:r>
        <w:rPr>
          <w:rFonts w:hint="eastAsia" w:ascii="方正仿宋_GB2312" w:hAnsi="方正仿宋_GB2312" w:eastAsia="方正仿宋_GB2312" w:cs="方正仿宋_GB2312"/>
          <w:b w:val="0"/>
          <w:bCs w:val="0"/>
          <w:color w:val="auto"/>
          <w:kern w:val="2"/>
          <w:sz w:val="32"/>
          <w:szCs w:val="32"/>
          <w:highlight w:val="none"/>
          <w:lang w:val="zh-CN" w:eastAsia="zh-CN" w:bidi="ar-SA"/>
        </w:rPr>
        <w:t>财务管理制度、财务岗位设置、</w:t>
      </w:r>
      <w:r>
        <w:rPr>
          <w:rFonts w:hint="eastAsia" w:ascii="方正仿宋_GB2312" w:hAnsi="方正仿宋_GB2312" w:eastAsia="方正仿宋_GB2312" w:cs="方正仿宋_GB2312"/>
          <w:b w:val="0"/>
          <w:bCs w:val="0"/>
          <w:color w:val="auto"/>
          <w:kern w:val="2"/>
          <w:sz w:val="32"/>
          <w:szCs w:val="32"/>
          <w:highlight w:val="none"/>
          <w:lang w:val="en-US" w:eastAsia="zh-CN" w:bidi="ar-SA"/>
        </w:rPr>
        <w:t>规范了</w:t>
      </w:r>
      <w:r>
        <w:rPr>
          <w:rFonts w:hint="eastAsia" w:ascii="方正仿宋_GB2312" w:hAnsi="方正仿宋_GB2312" w:eastAsia="方正仿宋_GB2312" w:cs="方正仿宋_GB2312"/>
          <w:b w:val="0"/>
          <w:bCs w:val="0"/>
          <w:color w:val="auto"/>
          <w:kern w:val="2"/>
          <w:sz w:val="32"/>
          <w:szCs w:val="32"/>
          <w:highlight w:val="none"/>
          <w:lang w:val="zh-CN" w:eastAsia="zh-CN" w:bidi="ar-SA"/>
        </w:rPr>
        <w:t>资金使用。</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4.</w:t>
      </w:r>
      <w:r>
        <w:rPr>
          <w:rFonts w:hint="eastAsia" w:ascii="方正仿宋_GB2312" w:hAnsi="方正仿宋_GB2312" w:eastAsia="方正仿宋_GB2312" w:cs="方正仿宋_GB2312"/>
          <w:b w:val="0"/>
          <w:bCs w:val="0"/>
          <w:color w:val="auto"/>
          <w:kern w:val="2"/>
          <w:sz w:val="32"/>
          <w:szCs w:val="32"/>
          <w:highlight w:val="none"/>
          <w:lang w:val="zh-CN" w:eastAsia="zh-CN" w:bidi="ar-SA"/>
        </w:rPr>
        <w:t>资产管理。</w:t>
      </w:r>
      <w:r>
        <w:rPr>
          <w:rFonts w:hint="eastAsia" w:ascii="方正仿宋_GB2312" w:hAnsi="方正仿宋_GB2312" w:eastAsia="方正仿宋_GB2312" w:cs="方正仿宋_GB2312"/>
          <w:b w:val="0"/>
          <w:bCs w:val="0"/>
          <w:color w:val="auto"/>
          <w:kern w:val="2"/>
          <w:sz w:val="32"/>
          <w:szCs w:val="32"/>
          <w:highlight w:val="none"/>
          <w:lang w:val="en-US" w:eastAsia="zh-CN" w:bidi="ar-SA"/>
        </w:rPr>
        <w:t>建立资产管理制度，定期进行资产盘点和资产清理，总体执行较好。</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5.</w:t>
      </w:r>
      <w:r>
        <w:rPr>
          <w:rFonts w:hint="eastAsia" w:ascii="方正仿宋_GB2312" w:hAnsi="方正仿宋_GB2312" w:eastAsia="方正仿宋_GB2312" w:cs="方正仿宋_GB2312"/>
          <w:b w:val="0"/>
          <w:bCs w:val="0"/>
          <w:color w:val="auto"/>
          <w:kern w:val="2"/>
          <w:sz w:val="32"/>
          <w:szCs w:val="32"/>
          <w:highlight w:val="none"/>
          <w:lang w:val="zh-CN" w:eastAsia="zh-CN" w:bidi="ar-SA"/>
        </w:rPr>
        <w:t>采购管理。</w:t>
      </w:r>
      <w:r>
        <w:rPr>
          <w:rFonts w:hint="eastAsia" w:ascii="方正仿宋_GB2312" w:hAnsi="方正仿宋_GB2312" w:eastAsia="方正仿宋_GB2312" w:cs="方正仿宋_GB2312"/>
          <w:b w:val="0"/>
          <w:bCs w:val="0"/>
          <w:color w:val="auto"/>
          <w:kern w:val="2"/>
          <w:sz w:val="32"/>
          <w:szCs w:val="32"/>
          <w:highlight w:val="none"/>
          <w:lang w:val="en-US" w:eastAsia="zh-CN" w:bidi="ar-SA"/>
        </w:rPr>
        <w:t>建立学校采购管理制度，做好物品入库、领取台账，总体执行较好。</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（二）部门预算项目绩效分析：</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常年项目绩效分析：</w:t>
      </w:r>
      <w:r>
        <w:rPr>
          <w:rFonts w:hint="eastAsia" w:ascii="方正仿宋_GB2312" w:hAnsi="方正仿宋_GB2312" w:eastAsia="方正仿宋_GB2312" w:cs="方正仿宋_GB2312"/>
          <w:b w:val="0"/>
          <w:bCs w:val="0"/>
          <w:color w:val="auto"/>
          <w:kern w:val="2"/>
          <w:sz w:val="32"/>
          <w:szCs w:val="32"/>
          <w:highlight w:val="none"/>
          <w:lang w:val="zh-CN" w:eastAsia="zh-CN" w:bidi="ar-SA"/>
        </w:rPr>
        <w:t>该类项目总数</w:t>
      </w: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 3</w:t>
      </w:r>
      <w:r>
        <w:rPr>
          <w:rFonts w:hint="eastAsia" w:ascii="方正仿宋_GB2312" w:hAnsi="方正仿宋_GB2312" w:eastAsia="方正仿宋_GB2312" w:cs="方正仿宋_GB2312"/>
          <w:b w:val="0"/>
          <w:bCs w:val="0"/>
          <w:color w:val="auto"/>
          <w:kern w:val="2"/>
          <w:sz w:val="32"/>
          <w:szCs w:val="32"/>
          <w:highlight w:val="none"/>
          <w:lang w:val="zh-CN" w:eastAsia="zh-CN" w:bidi="ar-SA"/>
        </w:rPr>
        <w:t>个，涉及预算总金额</w:t>
      </w:r>
      <w:r>
        <w:rPr>
          <w:rFonts w:hint="eastAsia" w:ascii="方正仿宋_GB2312" w:hAnsi="方正仿宋_GB2312" w:eastAsia="方正仿宋_GB2312" w:cs="方正仿宋_GB2312"/>
          <w:b w:val="0"/>
          <w:bCs w:val="0"/>
          <w:color w:val="auto"/>
          <w:kern w:val="2"/>
          <w:sz w:val="32"/>
          <w:szCs w:val="32"/>
          <w:highlight w:val="none"/>
          <w:lang w:val="en-US" w:eastAsia="zh-CN" w:bidi="ar-SA"/>
        </w:rPr>
        <w:t>59.4</w:t>
      </w:r>
      <w:r>
        <w:rPr>
          <w:rFonts w:hint="eastAsia" w:ascii="方正仿宋_GB2312" w:hAnsi="方正仿宋_GB2312" w:eastAsia="方正仿宋_GB2312" w:cs="方正仿宋_GB2312"/>
          <w:b w:val="0"/>
          <w:bCs w:val="0"/>
          <w:color w:val="auto"/>
          <w:kern w:val="2"/>
          <w:sz w:val="32"/>
          <w:szCs w:val="32"/>
          <w:highlight w:val="none"/>
          <w:lang w:val="zh-CN" w:eastAsia="zh-CN" w:bidi="ar-SA"/>
        </w:rPr>
        <w:t>万元，1—1</w:t>
      </w:r>
      <w:r>
        <w:rPr>
          <w:rFonts w:hint="eastAsia" w:ascii="方正仿宋_GB2312" w:hAnsi="方正仿宋_GB2312" w:eastAsia="方正仿宋_GB2312" w:cs="方正仿宋_GB2312"/>
          <w:b w:val="0"/>
          <w:bCs w:val="0"/>
          <w:color w:val="auto"/>
          <w:kern w:val="2"/>
          <w:sz w:val="32"/>
          <w:szCs w:val="32"/>
          <w:highlight w:val="none"/>
          <w:lang w:val="en-US" w:eastAsia="zh-CN" w:bidi="ar-SA"/>
        </w:rPr>
        <w:t>2</w:t>
      </w:r>
      <w:r>
        <w:rPr>
          <w:rFonts w:hint="eastAsia" w:ascii="方正仿宋_GB2312" w:hAnsi="方正仿宋_GB2312" w:eastAsia="方正仿宋_GB2312" w:cs="方正仿宋_GB2312"/>
          <w:b w:val="0"/>
          <w:bCs w:val="0"/>
          <w:color w:val="auto"/>
          <w:kern w:val="2"/>
          <w:sz w:val="32"/>
          <w:szCs w:val="32"/>
          <w:highlight w:val="none"/>
          <w:lang w:val="zh-CN" w:eastAsia="zh-CN" w:bidi="ar-SA"/>
        </w:rPr>
        <w:t>月预算执行总体进度为</w:t>
      </w:r>
      <w:r>
        <w:rPr>
          <w:rFonts w:hint="eastAsia" w:ascii="方正仿宋_GB2312" w:hAnsi="方正仿宋_GB2312" w:eastAsia="方正仿宋_GB2312" w:cs="方正仿宋_GB2312"/>
          <w:b w:val="0"/>
          <w:bCs w:val="0"/>
          <w:color w:val="auto"/>
          <w:kern w:val="2"/>
          <w:sz w:val="32"/>
          <w:szCs w:val="32"/>
          <w:highlight w:val="none"/>
          <w:lang w:val="en-US" w:eastAsia="zh-CN" w:bidi="ar-SA"/>
        </w:rPr>
        <w:t>100</w:t>
      </w:r>
      <w:r>
        <w:rPr>
          <w:rFonts w:hint="eastAsia" w:ascii="方正仿宋_GB2312" w:hAnsi="方正仿宋_GB2312" w:eastAsia="方正仿宋_GB2312" w:cs="方正仿宋_GB2312"/>
          <w:b w:val="0"/>
          <w:bCs w:val="0"/>
          <w:color w:val="auto"/>
          <w:kern w:val="2"/>
          <w:sz w:val="32"/>
          <w:szCs w:val="32"/>
          <w:highlight w:val="none"/>
          <w:lang w:val="zh-CN" w:eastAsia="zh-CN" w:bidi="ar-SA"/>
        </w:rPr>
        <w:t>%。</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阶段（一次性）项目绩效分析。</w:t>
      </w:r>
      <w:r>
        <w:rPr>
          <w:rFonts w:hint="eastAsia" w:ascii="方正仿宋_GB2312" w:hAnsi="方正仿宋_GB2312" w:eastAsia="方正仿宋_GB2312" w:cs="方正仿宋_GB2312"/>
          <w:b w:val="0"/>
          <w:bCs w:val="0"/>
          <w:color w:val="auto"/>
          <w:kern w:val="2"/>
          <w:sz w:val="32"/>
          <w:szCs w:val="32"/>
          <w:highlight w:val="none"/>
          <w:lang w:val="zh-CN" w:eastAsia="zh-CN" w:bidi="ar-SA"/>
        </w:rPr>
        <w:t>该类项目总数</w:t>
      </w: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 0 </w:t>
      </w:r>
      <w:r>
        <w:rPr>
          <w:rFonts w:hint="eastAsia" w:ascii="方正仿宋_GB2312" w:hAnsi="方正仿宋_GB2312" w:eastAsia="方正仿宋_GB2312" w:cs="方正仿宋_GB2312"/>
          <w:b w:val="0"/>
          <w:bCs w:val="0"/>
          <w:color w:val="auto"/>
          <w:kern w:val="2"/>
          <w:sz w:val="32"/>
          <w:szCs w:val="32"/>
          <w:highlight w:val="none"/>
          <w:lang w:val="zh-CN" w:eastAsia="zh-CN" w:bidi="ar-SA"/>
        </w:rPr>
        <w:t>个，涉及预算总金额</w:t>
      </w: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 0 </w:t>
      </w:r>
      <w:r>
        <w:rPr>
          <w:rFonts w:hint="eastAsia" w:ascii="方正仿宋_GB2312" w:hAnsi="方正仿宋_GB2312" w:eastAsia="方正仿宋_GB2312" w:cs="方正仿宋_GB2312"/>
          <w:b w:val="0"/>
          <w:bCs w:val="0"/>
          <w:color w:val="auto"/>
          <w:kern w:val="2"/>
          <w:sz w:val="32"/>
          <w:szCs w:val="32"/>
          <w:highlight w:val="none"/>
          <w:lang w:val="zh-CN" w:eastAsia="zh-CN" w:bidi="ar-SA"/>
        </w:rPr>
        <w:t>万元，1—1</w:t>
      </w:r>
      <w:r>
        <w:rPr>
          <w:rFonts w:hint="eastAsia" w:ascii="方正仿宋_GB2312" w:hAnsi="方正仿宋_GB2312" w:eastAsia="方正仿宋_GB2312" w:cs="方正仿宋_GB2312"/>
          <w:b w:val="0"/>
          <w:bCs w:val="0"/>
          <w:color w:val="auto"/>
          <w:kern w:val="2"/>
          <w:sz w:val="32"/>
          <w:szCs w:val="32"/>
          <w:highlight w:val="none"/>
          <w:lang w:val="en-US" w:eastAsia="zh-CN" w:bidi="ar-SA"/>
        </w:rPr>
        <w:t>2</w:t>
      </w:r>
      <w:r>
        <w:rPr>
          <w:rFonts w:hint="eastAsia" w:ascii="方正仿宋_GB2312" w:hAnsi="方正仿宋_GB2312" w:eastAsia="方正仿宋_GB2312" w:cs="方正仿宋_GB2312"/>
          <w:b w:val="0"/>
          <w:bCs w:val="0"/>
          <w:color w:val="auto"/>
          <w:kern w:val="2"/>
          <w:sz w:val="32"/>
          <w:szCs w:val="32"/>
          <w:highlight w:val="none"/>
          <w:lang w:val="zh-CN" w:eastAsia="zh-CN" w:bidi="ar-SA"/>
        </w:rPr>
        <w:t>月预算执行总体进度为</w:t>
      </w: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 0</w:t>
      </w:r>
      <w:r>
        <w:rPr>
          <w:rFonts w:hint="eastAsia" w:ascii="方正仿宋_GB2312" w:hAnsi="方正仿宋_GB2312" w:eastAsia="方正仿宋_GB2312" w:cs="方正仿宋_GB2312"/>
          <w:b w:val="0"/>
          <w:bCs w:val="0"/>
          <w:color w:val="auto"/>
          <w:kern w:val="2"/>
          <w:sz w:val="32"/>
          <w:szCs w:val="32"/>
          <w:highlight w:val="none"/>
          <w:lang w:val="zh-CN" w:eastAsia="zh-CN" w:bidi="ar-SA"/>
        </w:rPr>
        <w:t>%，其中：预算结余率大于</w:t>
      </w:r>
      <w:r>
        <w:rPr>
          <w:rFonts w:hint="eastAsia" w:ascii="方正仿宋_GB2312" w:hAnsi="方正仿宋_GB2312" w:eastAsia="方正仿宋_GB2312" w:cs="方正仿宋_GB2312"/>
          <w:b w:val="0"/>
          <w:bCs w:val="0"/>
          <w:color w:val="auto"/>
          <w:kern w:val="2"/>
          <w:sz w:val="32"/>
          <w:szCs w:val="32"/>
          <w:highlight w:val="none"/>
          <w:lang w:val="en-US" w:eastAsia="zh-CN" w:bidi="ar-SA"/>
        </w:rPr>
        <w:t>10%</w:t>
      </w:r>
      <w:r>
        <w:rPr>
          <w:rFonts w:hint="eastAsia" w:ascii="方正仿宋_GB2312" w:hAnsi="方正仿宋_GB2312" w:eastAsia="方正仿宋_GB2312" w:cs="方正仿宋_GB2312"/>
          <w:b w:val="0"/>
          <w:bCs w:val="0"/>
          <w:color w:val="auto"/>
          <w:kern w:val="2"/>
          <w:sz w:val="32"/>
          <w:szCs w:val="32"/>
          <w:highlight w:val="none"/>
          <w:lang w:val="zh-CN" w:eastAsia="zh-CN" w:bidi="ar-SA"/>
        </w:rPr>
        <w:t>的项目共计</w:t>
      </w:r>
      <w:r>
        <w:rPr>
          <w:rFonts w:hint="eastAsia" w:ascii="方正仿宋_GB2312" w:hAnsi="方正仿宋_GB2312" w:eastAsia="方正仿宋_GB2312" w:cs="方正仿宋_GB2312"/>
          <w:b w:val="0"/>
          <w:bCs w:val="0"/>
          <w:color w:val="auto"/>
          <w:kern w:val="2"/>
          <w:sz w:val="32"/>
          <w:szCs w:val="32"/>
          <w:highlight w:val="none"/>
          <w:lang w:val="en-US" w:eastAsia="zh-CN" w:bidi="ar-SA"/>
        </w:rPr>
        <w:t xml:space="preserve"> 0</w:t>
      </w:r>
      <w:r>
        <w:rPr>
          <w:rFonts w:hint="eastAsia" w:ascii="方正仿宋_GB2312" w:hAnsi="方正仿宋_GB2312" w:eastAsia="方正仿宋_GB2312" w:cs="方正仿宋_GB2312"/>
          <w:b w:val="0"/>
          <w:bCs w:val="0"/>
          <w:color w:val="auto"/>
          <w:kern w:val="2"/>
          <w:sz w:val="32"/>
          <w:szCs w:val="32"/>
          <w:highlight w:val="none"/>
          <w:lang w:val="zh-CN" w:eastAsia="zh-CN" w:bidi="ar-SA"/>
        </w:rPr>
        <w:t>个。</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w:t>
      </w:r>
      <w:r>
        <w:rPr>
          <w:rFonts w:hint="eastAsia" w:ascii="方正仿宋_GB2312" w:hAnsi="方正仿宋_GB2312" w:eastAsia="方正仿宋_GB2312" w:cs="方正仿宋_GB2312"/>
          <w:b w:val="0"/>
          <w:bCs w:val="0"/>
          <w:color w:val="auto"/>
          <w:kern w:val="2"/>
          <w:sz w:val="32"/>
          <w:szCs w:val="32"/>
          <w:highlight w:val="none"/>
          <w:lang w:val="zh-CN" w:eastAsia="zh-CN" w:bidi="ar-SA"/>
        </w:rPr>
        <w:t>项目决策。围绕决策程序、目标设置、项目入库进行绩效分析。</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2.项目执行</w:t>
      </w:r>
      <w:r>
        <w:rPr>
          <w:rFonts w:hint="eastAsia" w:ascii="方正仿宋_GB2312" w:hAnsi="方正仿宋_GB2312" w:eastAsia="方正仿宋_GB2312" w:cs="方正仿宋_GB2312"/>
          <w:b w:val="0"/>
          <w:bCs w:val="0"/>
          <w:color w:val="auto"/>
          <w:kern w:val="2"/>
          <w:sz w:val="32"/>
          <w:szCs w:val="32"/>
          <w:highlight w:val="none"/>
          <w:lang w:val="zh-CN" w:eastAsia="zh-CN" w:bidi="ar-SA"/>
        </w:rPr>
        <w:t>。围绕资金执行同向、项目调整、执行结果进行绩效分析。</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3.</w:t>
      </w:r>
      <w:r>
        <w:rPr>
          <w:rFonts w:hint="eastAsia" w:ascii="方正仿宋_GB2312" w:hAnsi="方正仿宋_GB2312" w:eastAsia="方正仿宋_GB2312" w:cs="方正仿宋_GB2312"/>
          <w:b w:val="0"/>
          <w:bCs w:val="0"/>
          <w:color w:val="auto"/>
          <w:kern w:val="2"/>
          <w:sz w:val="32"/>
          <w:szCs w:val="32"/>
          <w:highlight w:val="none"/>
          <w:lang w:val="zh-CN" w:eastAsia="zh-CN" w:bidi="ar-SA"/>
        </w:rPr>
        <w:t>目标实现。围绕目标完成、目标偏离、实现效果进行绩效分析。</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（三）重点领域绩效分析。</w:t>
      </w:r>
      <w:r>
        <w:rPr>
          <w:rFonts w:hint="eastAsia" w:ascii="方正仿宋_GB2312" w:hAnsi="方正仿宋_GB2312" w:eastAsia="方正仿宋_GB2312" w:cs="方正仿宋_GB2312"/>
          <w:b w:val="0"/>
          <w:bCs w:val="0"/>
          <w:color w:val="auto"/>
          <w:kern w:val="2"/>
          <w:sz w:val="32"/>
          <w:szCs w:val="32"/>
          <w:highlight w:val="none"/>
          <w:lang w:val="en-US" w:eastAsia="zh-CN" w:bidi="ar-SA"/>
        </w:rPr>
        <w:t>无</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（四）绩效结果应用情况。</w:t>
      </w:r>
      <w:r>
        <w:rPr>
          <w:rFonts w:hint="eastAsia" w:ascii="方正仿宋_GB2312" w:hAnsi="方正仿宋_GB2312" w:eastAsia="方正仿宋_GB2312" w:cs="方正仿宋_GB2312"/>
          <w:b w:val="0"/>
          <w:bCs w:val="0"/>
          <w:color w:val="auto"/>
          <w:kern w:val="2"/>
          <w:sz w:val="32"/>
          <w:szCs w:val="32"/>
          <w:highlight w:val="none"/>
          <w:lang w:val="en-US" w:eastAsia="zh-CN" w:bidi="ar-SA"/>
        </w:rPr>
        <w:t>一是建立评价结果反馈与整改相结合的制度；二是建立评价结果与通报相结合的制度；三是建立评价结果与预算安排相结合的制度；四是建立评价结果公开制度。</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遂宁市安居区三家镇大安初级中学校中心小学校认真履职尽责，认真完成项目任务，所有项目均开展绩效评价，评价效果良好，对于财政预算资金多次接受省、市、区的检查，所有资金的支出，接受财政部门的监督管理，圆满完成2024年的目标任务。</w:t>
      </w:r>
    </w:p>
    <w:p>
      <w:pPr>
        <w:spacing w:line="600" w:lineRule="exact"/>
        <w:ind w:firstLine="640"/>
        <w:rPr>
          <w:rFonts w:hint="eastAsia" w:ascii="黑体" w:hAnsi="黑体" w:eastAsia="黑体" w:cs="Times New Roman"/>
          <w:color w:val="auto"/>
          <w:kern w:val="2"/>
          <w:sz w:val="32"/>
          <w:szCs w:val="24"/>
          <w:lang w:val="zh-CN" w:eastAsia="zh-CN" w:bidi="ar-SA"/>
        </w:rPr>
      </w:pPr>
      <w:bookmarkStart w:id="61" w:name="_Toc10069"/>
      <w:r>
        <w:rPr>
          <w:rFonts w:hint="eastAsia" w:ascii="黑体" w:hAnsi="黑体" w:eastAsia="黑体" w:cs="Times New Roman"/>
          <w:color w:val="auto"/>
          <w:kern w:val="2"/>
          <w:sz w:val="32"/>
          <w:szCs w:val="24"/>
          <w:lang w:val="zh-CN" w:eastAsia="zh-CN" w:bidi="ar-SA"/>
        </w:rPr>
        <w:t>四、评价结论及建议</w:t>
      </w:r>
      <w:bookmarkEnd w:id="61"/>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（一）评价结论。</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（二）存在问题。</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人口下降，出生率降低，同时学校收入在减少。</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（三）改进建议。</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向主管部门汇报情况，争取上级或本级资金，加快校园建设，完善教学基础设施，更新教学理念。提高学生的竞争能力，保住生源。</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zh-CN" w:eastAsia="zh-CN" w:bidi="ar-SA"/>
        </w:rPr>
      </w:pPr>
      <w:r>
        <w:rPr>
          <w:rFonts w:hint="eastAsia" w:ascii="方正仿宋_GB2312" w:hAnsi="方正仿宋_GB2312" w:eastAsia="方正仿宋_GB2312" w:cs="方正仿宋_GB2312"/>
          <w:b w:val="0"/>
          <w:bCs w:val="0"/>
          <w:color w:val="auto"/>
          <w:kern w:val="2"/>
          <w:sz w:val="32"/>
          <w:szCs w:val="32"/>
          <w:highlight w:val="none"/>
          <w:lang w:val="zh-CN" w:eastAsia="zh-CN" w:bidi="ar-SA"/>
        </w:rPr>
        <w:t>附</w:t>
      </w:r>
      <w:r>
        <w:rPr>
          <w:rFonts w:hint="eastAsia" w:ascii="方正仿宋_GB2312" w:hAnsi="方正仿宋_GB2312" w:eastAsia="方正仿宋_GB2312" w:cs="方正仿宋_GB2312"/>
          <w:b w:val="0"/>
          <w:bCs w:val="0"/>
          <w:color w:val="auto"/>
          <w:kern w:val="2"/>
          <w:sz w:val="32"/>
          <w:szCs w:val="32"/>
          <w:highlight w:val="none"/>
          <w:lang w:val="en-US" w:eastAsia="zh-CN" w:bidi="ar-SA"/>
        </w:rPr>
        <w:t>件</w:t>
      </w:r>
      <w:r>
        <w:rPr>
          <w:rFonts w:hint="eastAsia" w:ascii="方正仿宋_GB2312" w:hAnsi="方正仿宋_GB2312" w:eastAsia="方正仿宋_GB2312" w:cs="方正仿宋_GB2312"/>
          <w:b w:val="0"/>
          <w:bCs w:val="0"/>
          <w:color w:val="auto"/>
          <w:kern w:val="2"/>
          <w:sz w:val="32"/>
          <w:szCs w:val="32"/>
          <w:highlight w:val="none"/>
          <w:lang w:val="zh-CN" w:eastAsia="zh-CN" w:bidi="ar-SA"/>
        </w:rPr>
        <w:t>：</w:t>
      </w:r>
      <w:r>
        <w:rPr>
          <w:rFonts w:hint="eastAsia" w:ascii="方正仿宋_GB2312" w:hAnsi="方正仿宋_GB2312" w:eastAsia="方正仿宋_GB2312" w:cs="方正仿宋_GB2312"/>
          <w:b w:val="0"/>
          <w:bCs w:val="0"/>
          <w:color w:val="auto"/>
          <w:kern w:val="2"/>
          <w:sz w:val="32"/>
          <w:szCs w:val="32"/>
          <w:highlight w:val="none"/>
          <w:lang w:val="en-US" w:eastAsia="zh-CN" w:bidi="ar-SA"/>
        </w:rPr>
        <w:t>1.部门整体支出绩效自评表</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2.部门预算项目支出绩效自评表（2024年度）</w:t>
      </w:r>
    </w:p>
    <w:p>
      <w:pPr>
        <w:spacing w:line="600" w:lineRule="exact"/>
        <w:ind w:firstLine="640"/>
        <w:rPr>
          <w:rFonts w:hint="eastAsia" w:ascii="方正仿宋_GB2312" w:hAnsi="方正仿宋_GB2312" w:eastAsia="方正仿宋_GB2312" w:cs="方正仿宋_GB2312"/>
          <w:b w:val="0"/>
          <w:bCs w:val="0"/>
          <w:color w:val="auto"/>
          <w:kern w:val="2"/>
          <w:sz w:val="32"/>
          <w:szCs w:val="32"/>
          <w:highlight w:val="none"/>
          <w:lang w:val="en-US" w:eastAsia="zh-CN" w:bidi="ar-SA"/>
        </w:rPr>
      </w:pPr>
    </w:p>
    <w:p>
      <w:pPr>
        <w:spacing w:line="572" w:lineRule="exact"/>
        <w:jc w:val="left"/>
        <w:outlineLvl w:val="0"/>
        <w:rPr>
          <w:rFonts w:hint="eastAsia" w:ascii="仿宋" w:hAnsi="仿宋" w:eastAsia="仿宋" w:cs="仿宋"/>
          <w:b w:val="0"/>
          <w:bCs w:val="0"/>
          <w:color w:val="auto"/>
          <w:sz w:val="32"/>
          <w:szCs w:val="32"/>
          <w:highlight w:val="none"/>
        </w:rPr>
      </w:pPr>
    </w:p>
    <w:p>
      <w:pPr>
        <w:pStyle w:val="2"/>
        <w:rPr>
          <w:rFonts w:hint="eastAsia" w:ascii="仿宋" w:hAnsi="仿宋" w:eastAsia="仿宋" w:cs="仿宋"/>
          <w:b w:val="0"/>
          <w:bCs w:val="0"/>
          <w:color w:val="auto"/>
          <w:sz w:val="32"/>
          <w:szCs w:val="32"/>
          <w:highlight w:val="none"/>
        </w:rPr>
      </w:pPr>
    </w:p>
    <w:p>
      <w:pPr>
        <w:pStyle w:val="3"/>
        <w:rPr>
          <w:rFonts w:hint="eastAsia" w:ascii="仿宋" w:hAnsi="仿宋" w:eastAsia="仿宋" w:cs="仿宋"/>
          <w:b w:val="0"/>
          <w:bCs w:val="0"/>
          <w:color w:val="auto"/>
          <w:sz w:val="32"/>
          <w:szCs w:val="32"/>
          <w:highlight w:val="none"/>
        </w:rPr>
      </w:pPr>
    </w:p>
    <w:tbl>
      <w:tblPr>
        <w:tblStyle w:val="14"/>
        <w:tblW w:w="8522" w:type="dxa"/>
        <w:jc w:val="center"/>
        <w:tblLayout w:type="fixed"/>
        <w:tblCellMar>
          <w:top w:w="0" w:type="dxa"/>
          <w:left w:w="108" w:type="dxa"/>
          <w:bottom w:w="0" w:type="dxa"/>
          <w:right w:w="108" w:type="dxa"/>
        </w:tblCellMar>
      </w:tblPr>
      <w:tblGrid>
        <w:gridCol w:w="699"/>
        <w:gridCol w:w="711"/>
        <w:gridCol w:w="1125"/>
        <w:gridCol w:w="456"/>
        <w:gridCol w:w="1346"/>
        <w:gridCol w:w="3061"/>
        <w:gridCol w:w="586"/>
        <w:gridCol w:w="538"/>
      </w:tblGrid>
      <w:tr>
        <w:tblPrEx>
          <w:tblCellMar>
            <w:top w:w="0" w:type="dxa"/>
            <w:left w:w="108" w:type="dxa"/>
            <w:bottom w:w="0" w:type="dxa"/>
            <w:right w:w="108" w:type="dxa"/>
          </w:tblCellMar>
        </w:tblPrEx>
        <w:trPr>
          <w:trHeight w:val="645" w:hRule="atLeast"/>
          <w:jc w:val="center"/>
        </w:trPr>
        <w:tc>
          <w:tcPr>
            <w:tcW w:w="8522" w:type="dxa"/>
            <w:gridSpan w:val="8"/>
            <w:tcBorders>
              <w:top w:val="nil"/>
              <w:left w:val="nil"/>
              <w:bottom w:val="nil"/>
              <w:right w:val="nil"/>
            </w:tcBorders>
            <w:noWrap w:val="0"/>
            <w:vAlign w:val="center"/>
          </w:tcPr>
          <w:p>
            <w:pPr>
              <w:widowControl/>
              <w:jc w:val="center"/>
              <w:rPr>
                <w:rFonts w:hint="eastAsia" w:ascii="黑体" w:hAnsi="黑体" w:eastAsia="黑体" w:cs="宋体"/>
                <w:kern w:val="0"/>
                <w:sz w:val="24"/>
                <w:lang w:val="zh-CN"/>
              </w:rPr>
            </w:pPr>
          </w:p>
          <w:p>
            <w:pPr>
              <w:widowControl/>
              <w:jc w:val="center"/>
              <w:rPr>
                <w:rFonts w:hint="eastAsia" w:ascii="黑体" w:hAnsi="黑体" w:eastAsia="黑体" w:cs="宋体"/>
                <w:kern w:val="0"/>
                <w:sz w:val="24"/>
              </w:rPr>
            </w:pPr>
            <w:r>
              <w:rPr>
                <w:rFonts w:hint="eastAsia" w:ascii="黑体" w:hAnsi="黑体" w:eastAsia="黑体" w:cs="宋体"/>
                <w:kern w:val="0"/>
                <w:sz w:val="48"/>
                <w:szCs w:val="48"/>
                <w:lang w:val="zh-CN"/>
              </w:rPr>
              <w:br w:type="page"/>
            </w:r>
            <w:r>
              <w:rPr>
                <w:rFonts w:hint="eastAsia" w:ascii="黑体" w:hAnsi="黑体" w:eastAsia="黑体" w:cs="宋体"/>
                <w:kern w:val="0"/>
                <w:sz w:val="48"/>
                <w:szCs w:val="48"/>
                <w:lang w:val="zh-CN"/>
              </w:rPr>
              <w:br w:type="page"/>
            </w:r>
            <w:r>
              <w:rPr>
                <w:rFonts w:hint="eastAsia" w:ascii="黑体" w:hAnsi="黑体" w:eastAsia="黑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299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3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0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58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53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7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56"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p>
        </w:tc>
        <w:tc>
          <w:tcPr>
            <w:tcW w:w="30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p>
        </w:tc>
        <w:tc>
          <w:tcPr>
            <w:tcW w:w="58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p>
        </w:tc>
        <w:tc>
          <w:tcPr>
            <w:tcW w:w="53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总体绩效</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（65分）</w:t>
            </w:r>
          </w:p>
        </w:tc>
        <w:tc>
          <w:tcPr>
            <w:tcW w:w="711" w:type="dxa"/>
            <w:vMerge w:val="restart"/>
            <w:tcBorders>
              <w:top w:val="nil"/>
              <w:left w:val="single" w:color="auto" w:sz="4" w:space="0"/>
              <w:bottom w:val="nil"/>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履职效能</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（19分）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人才培养</w:t>
            </w:r>
          </w:p>
        </w:tc>
        <w:tc>
          <w:tcPr>
            <w:tcW w:w="456" w:type="dxa"/>
            <w:vMerge w:val="restart"/>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10</w:t>
            </w:r>
          </w:p>
        </w:tc>
        <w:tc>
          <w:tcPr>
            <w:tcW w:w="1346" w:type="dxa"/>
            <w:vMerge w:val="restart"/>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评价学校在人才培养、科学研究、社会服务、文化传承等核心职能方面的效果。</w:t>
            </w:r>
          </w:p>
        </w:tc>
        <w:tc>
          <w:tcPr>
            <w:tcW w:w="3061" w:type="dxa"/>
            <w:vMerge w:val="restart"/>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人才方面：完成初中教育及招送生；教学质量方面：课程建设成果，教研成果，师生满意度等；科学研究方面：教研经费的保障，教学论文的发表等。</w:t>
            </w:r>
          </w:p>
        </w:tc>
        <w:tc>
          <w:tcPr>
            <w:tcW w:w="586" w:type="dxa"/>
            <w:vMerge w:val="restart"/>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10</w:t>
            </w:r>
          </w:p>
        </w:tc>
        <w:tc>
          <w:tcPr>
            <w:tcW w:w="538" w:type="dxa"/>
            <w:vMerge w:val="restart"/>
            <w:tcBorders>
              <w:top w:val="nil"/>
              <w:left w:val="single" w:color="auto" w:sz="4" w:space="0"/>
              <w:bottom w:val="nil"/>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教学质量</w:t>
            </w:r>
          </w:p>
        </w:tc>
        <w:tc>
          <w:tcPr>
            <w:tcW w:w="45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34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306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58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p>
        </w:tc>
        <w:tc>
          <w:tcPr>
            <w:tcW w:w="538"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科学研究</w:t>
            </w:r>
          </w:p>
        </w:tc>
        <w:tc>
          <w:tcPr>
            <w:tcW w:w="45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34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306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58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p>
        </w:tc>
        <w:tc>
          <w:tcPr>
            <w:tcW w:w="538"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社会服务</w:t>
            </w:r>
          </w:p>
        </w:tc>
        <w:tc>
          <w:tcPr>
            <w:tcW w:w="45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34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306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58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p>
        </w:tc>
        <w:tc>
          <w:tcPr>
            <w:tcW w:w="538"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p>
        </w:tc>
        <w:tc>
          <w:tcPr>
            <w:tcW w:w="45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34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306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586"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p>
        </w:tc>
        <w:tc>
          <w:tcPr>
            <w:tcW w:w="538"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预算管理</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（21分）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预算编制质量</w:t>
            </w:r>
          </w:p>
        </w:tc>
        <w:tc>
          <w:tcPr>
            <w:tcW w:w="45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8</w:t>
            </w:r>
          </w:p>
        </w:tc>
        <w:tc>
          <w:tcPr>
            <w:tcW w:w="13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证明预算编制科学、精准。</w:t>
            </w:r>
          </w:p>
        </w:tc>
        <w:tc>
          <w:tcPr>
            <w:tcW w:w="306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预算编制充分征求各部门意见，经过两上两下程序，预算项目均经过事前绩效评估，与学校年度工作计划紧密相连。</w:t>
            </w:r>
          </w:p>
        </w:tc>
        <w:tc>
          <w:tcPr>
            <w:tcW w:w="58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8</w:t>
            </w:r>
          </w:p>
        </w:tc>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支出执行进度</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9</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预算执行的及时性</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全年的预算执行率数据1-6月执行率50%，1-9月执行率75%，全年执行率</w:t>
            </w:r>
            <w:r>
              <w:rPr>
                <w:rFonts w:hint="eastAsia" w:ascii="仿宋" w:hAnsi="仿宋" w:eastAsia="仿宋" w:cs="仿宋"/>
                <w:b w:val="0"/>
                <w:bCs w:val="0"/>
                <w:color w:val="auto"/>
                <w:kern w:val="0"/>
                <w:sz w:val="18"/>
                <w:szCs w:val="18"/>
                <w:highlight w:val="none"/>
                <w:lang w:val="en-US" w:eastAsia="zh-CN"/>
              </w:rPr>
              <w:t>100</w:t>
            </w:r>
            <w:r>
              <w:rPr>
                <w:rFonts w:hint="eastAsia" w:ascii="仿宋" w:hAnsi="仿宋" w:eastAsia="仿宋" w:cs="仿宋"/>
                <w:b w:val="0"/>
                <w:bCs w:val="0"/>
                <w:color w:val="auto"/>
                <w:kern w:val="0"/>
                <w:sz w:val="18"/>
                <w:szCs w:val="18"/>
                <w:highlight w:val="none"/>
              </w:rPr>
              <w:t>%）。</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9</w:t>
            </w: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预算年终结余</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8</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年终无结余</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年终无结余</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eastAsia="zh-CN"/>
              </w:rPr>
            </w:pPr>
            <w:r>
              <w:rPr>
                <w:rFonts w:hint="eastAsia" w:ascii="仿宋" w:hAnsi="仿宋" w:eastAsia="仿宋" w:cs="仿宋"/>
                <w:b w:val="0"/>
                <w:bCs w:val="0"/>
                <w:color w:val="auto"/>
                <w:kern w:val="0"/>
                <w:sz w:val="18"/>
                <w:szCs w:val="18"/>
                <w:highlight w:val="none"/>
                <w:lang w:val="en-US" w:eastAsia="zh-CN"/>
              </w:rPr>
              <w:t>8</w:t>
            </w: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严控一般性支出</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对三公经费的严控度</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“严格执行‘过紧日子’要求，202</w:t>
            </w:r>
            <w:r>
              <w:rPr>
                <w:rFonts w:hint="eastAsia" w:ascii="仿宋" w:hAnsi="仿宋" w:eastAsia="仿宋" w:cs="仿宋"/>
                <w:b w:val="0"/>
                <w:bCs w:val="0"/>
                <w:color w:val="auto"/>
                <w:kern w:val="0"/>
                <w:sz w:val="18"/>
                <w:szCs w:val="18"/>
                <w:highlight w:val="none"/>
                <w:lang w:val="en-US" w:eastAsia="zh-CN"/>
              </w:rPr>
              <w:t>4</w:t>
            </w:r>
            <w:r>
              <w:rPr>
                <w:rFonts w:hint="eastAsia" w:ascii="仿宋" w:hAnsi="仿宋" w:eastAsia="仿宋" w:cs="仿宋"/>
                <w:b w:val="0"/>
                <w:bCs w:val="0"/>
                <w:color w:val="auto"/>
                <w:kern w:val="0"/>
                <w:sz w:val="18"/>
                <w:szCs w:val="18"/>
                <w:highlight w:val="none"/>
              </w:rPr>
              <w:t>年‘三公’经费零支出。</w:t>
            </w:r>
            <w:r>
              <w:rPr>
                <w:rFonts w:hint="eastAsia" w:ascii="仿宋" w:hAnsi="仿宋" w:eastAsia="仿宋" w:cs="仿宋"/>
                <w:b w:val="0"/>
                <w:bCs w:val="0"/>
                <w:color w:val="auto"/>
                <w:kern w:val="0"/>
                <w:sz w:val="18"/>
                <w:szCs w:val="18"/>
                <w:highlight w:val="none"/>
                <w:lang w:val="en-US" w:eastAsia="zh-CN"/>
              </w:rPr>
              <w:t>与2023年持平。</w:t>
            </w:r>
            <w:r>
              <w:rPr>
                <w:rFonts w:hint="eastAsia" w:ascii="仿宋" w:hAnsi="仿宋" w:eastAsia="仿宋" w:cs="仿宋"/>
                <w:b w:val="0"/>
                <w:bCs w:val="0"/>
                <w:color w:val="auto"/>
                <w:kern w:val="0"/>
                <w:sz w:val="18"/>
                <w:szCs w:val="18"/>
                <w:highlight w:val="none"/>
              </w:rPr>
              <w:t>”</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资产管理</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（9分）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人均资产变化率</w:t>
            </w:r>
          </w:p>
        </w:tc>
        <w:tc>
          <w:tcPr>
            <w:tcW w:w="456"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1346"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反映资产配置效率。</w:t>
            </w:r>
          </w:p>
        </w:tc>
        <w:tc>
          <w:tcPr>
            <w:tcW w:w="306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rPr>
              <w:t>计算总资产 / 教职工人数，与上年对比，合理增</w:t>
            </w:r>
            <w:r>
              <w:rPr>
                <w:rFonts w:hint="eastAsia" w:ascii="仿宋" w:hAnsi="仿宋" w:eastAsia="仿宋" w:cs="仿宋"/>
                <w:b w:val="0"/>
                <w:bCs w:val="0"/>
                <w:color w:val="auto"/>
                <w:kern w:val="0"/>
                <w:sz w:val="18"/>
                <w:szCs w:val="18"/>
                <w:highlight w:val="none"/>
                <w:lang w:val="en-US" w:eastAsia="zh-CN"/>
              </w:rPr>
              <w:t>长。</w:t>
            </w:r>
          </w:p>
        </w:tc>
        <w:tc>
          <w:tcPr>
            <w:tcW w:w="586"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53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资产利用率</w:t>
            </w:r>
          </w:p>
        </w:tc>
        <w:tc>
          <w:tcPr>
            <w:tcW w:w="456" w:type="dxa"/>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1346" w:type="dxa"/>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反映资产的使用情况</w:t>
            </w:r>
          </w:p>
        </w:tc>
        <w:tc>
          <w:tcPr>
            <w:tcW w:w="3061" w:type="dxa"/>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学校对教学设备的使用情况及周期合理</w:t>
            </w:r>
          </w:p>
        </w:tc>
        <w:tc>
          <w:tcPr>
            <w:tcW w:w="586"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5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总体绩效</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（65分）</w:t>
            </w:r>
          </w:p>
        </w:tc>
        <w:tc>
          <w:tcPr>
            <w:tcW w:w="71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资产管理</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（9分）</w:t>
            </w:r>
          </w:p>
        </w:tc>
        <w:tc>
          <w:tcPr>
            <w:tcW w:w="11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资产盘活率</w:t>
            </w:r>
          </w:p>
        </w:tc>
        <w:tc>
          <w:tcPr>
            <w:tcW w:w="45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13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无闲置资产</w:t>
            </w:r>
          </w:p>
        </w:tc>
        <w:tc>
          <w:tcPr>
            <w:tcW w:w="306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无闲置资产</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采购管理</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（6分）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支持中小企业发展</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采购中专门对中小企业的扶持</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2024年在832平台支持中小企业购物达标</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53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采购执行率</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无采购</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无政府采购</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3</w:t>
            </w:r>
          </w:p>
        </w:tc>
        <w:tc>
          <w:tcPr>
            <w:tcW w:w="5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项目绩效</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（35分）</w:t>
            </w:r>
          </w:p>
        </w:tc>
        <w:tc>
          <w:tcPr>
            <w:tcW w:w="711" w:type="dxa"/>
            <w:vMerge w:val="restart"/>
            <w:tcBorders>
              <w:top w:val="nil"/>
              <w:left w:val="single" w:color="auto" w:sz="4" w:space="0"/>
              <w:bottom w:val="nil"/>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项目决策</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（12分）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决策程序</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证明项目立项规范、目标明确</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所有项目均经过</w:t>
            </w:r>
            <w:r>
              <w:rPr>
                <w:rFonts w:hint="eastAsia" w:ascii="仿宋" w:hAnsi="仿宋" w:eastAsia="仿宋" w:cs="仿宋"/>
                <w:b w:val="0"/>
                <w:bCs w:val="0"/>
                <w:color w:val="auto"/>
                <w:kern w:val="0"/>
                <w:sz w:val="18"/>
                <w:szCs w:val="18"/>
                <w:highlight w:val="none"/>
                <w:lang w:val="en-US" w:eastAsia="zh-CN"/>
              </w:rPr>
              <w:t>支部</w:t>
            </w:r>
            <w:r>
              <w:rPr>
                <w:rFonts w:hint="eastAsia" w:ascii="仿宋" w:hAnsi="仿宋" w:eastAsia="仿宋" w:cs="仿宋"/>
                <w:b w:val="0"/>
                <w:bCs w:val="0"/>
                <w:color w:val="auto"/>
                <w:kern w:val="0"/>
                <w:sz w:val="18"/>
                <w:szCs w:val="18"/>
                <w:highlight w:val="none"/>
              </w:rPr>
              <w:t>会审议</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目标设置</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证明项目立项规范、目标明确</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项目申报书均设置了清晰、量化、可衡量的绩效目标</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项目入库</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证明项目立项规范、目标明确</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项目均已纳入学校项目库管理，实行常态化申报和滚动管理</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项目执行</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（12分）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执行同向</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5</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项目资金使用与预算批复用途一致，无挪用。</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项目资金使用与预算批复用途一致，无挪用。</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5</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nil"/>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项目调整</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如需调整，是否履行了规范的内部审批和报备程序</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如需调整，</w:t>
            </w:r>
            <w:r>
              <w:rPr>
                <w:rFonts w:hint="eastAsia" w:ascii="仿宋" w:hAnsi="仿宋" w:eastAsia="仿宋" w:cs="仿宋"/>
                <w:b w:val="0"/>
                <w:bCs w:val="0"/>
                <w:color w:val="auto"/>
                <w:kern w:val="0"/>
                <w:sz w:val="18"/>
                <w:szCs w:val="18"/>
                <w:highlight w:val="none"/>
                <w:lang w:val="en-US" w:eastAsia="zh-CN"/>
              </w:rPr>
              <w:t>均</w:t>
            </w:r>
            <w:r>
              <w:rPr>
                <w:rFonts w:hint="eastAsia" w:ascii="仿宋" w:hAnsi="仿宋" w:eastAsia="仿宋" w:cs="仿宋"/>
                <w:b w:val="0"/>
                <w:bCs w:val="0"/>
                <w:color w:val="auto"/>
                <w:kern w:val="0"/>
                <w:sz w:val="18"/>
                <w:szCs w:val="18"/>
                <w:highlight w:val="none"/>
              </w:rPr>
              <w:t>履行了规范的内部审批和报备程序</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执行结果</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4</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项目执行率</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项目执行率达</w:t>
            </w:r>
            <w:r>
              <w:rPr>
                <w:rFonts w:hint="eastAsia" w:ascii="仿宋" w:hAnsi="仿宋" w:eastAsia="仿宋" w:cs="仿宋"/>
                <w:b w:val="0"/>
                <w:bCs w:val="0"/>
                <w:color w:val="auto"/>
                <w:kern w:val="0"/>
                <w:sz w:val="18"/>
                <w:szCs w:val="18"/>
                <w:highlight w:val="none"/>
                <w:lang w:val="en-US" w:eastAsia="zh-CN"/>
              </w:rPr>
              <w:t>到</w:t>
            </w:r>
            <w:r>
              <w:rPr>
                <w:rFonts w:hint="eastAsia" w:ascii="仿宋" w:hAnsi="仿宋" w:eastAsia="仿宋" w:cs="仿宋"/>
                <w:b w:val="0"/>
                <w:bCs w:val="0"/>
                <w:color w:val="auto"/>
                <w:kern w:val="0"/>
                <w:sz w:val="18"/>
                <w:szCs w:val="18"/>
                <w:highlight w:val="none"/>
              </w:rPr>
              <w:t>100%</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eastAsia="zh-CN"/>
              </w:rPr>
            </w:pPr>
            <w:r>
              <w:rPr>
                <w:rFonts w:hint="eastAsia" w:ascii="仿宋" w:hAnsi="仿宋" w:eastAsia="仿宋" w:cs="仿宋"/>
                <w:b w:val="0"/>
                <w:bCs w:val="0"/>
                <w:color w:val="auto"/>
                <w:kern w:val="0"/>
                <w:sz w:val="18"/>
                <w:szCs w:val="18"/>
                <w:highlight w:val="none"/>
                <w:lang w:val="en-US" w:eastAsia="zh-CN"/>
              </w:rPr>
              <w:t>4</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目标实现</w:t>
            </w:r>
            <w:r>
              <w:rPr>
                <w:rFonts w:hint="eastAsia" w:ascii="仿宋" w:hAnsi="仿宋" w:eastAsia="仿宋" w:cs="仿宋"/>
                <w:b w:val="0"/>
                <w:bCs w:val="0"/>
                <w:color w:val="auto"/>
                <w:kern w:val="0"/>
                <w:sz w:val="24"/>
                <w:highlight w:val="none"/>
              </w:rPr>
              <w:br w:type="textWrapping"/>
            </w:r>
            <w:r>
              <w:rPr>
                <w:rFonts w:hint="eastAsia" w:ascii="仿宋" w:hAnsi="仿宋" w:eastAsia="仿宋" w:cs="仿宋"/>
                <w:b w:val="0"/>
                <w:bCs w:val="0"/>
                <w:color w:val="auto"/>
                <w:kern w:val="0"/>
                <w:sz w:val="24"/>
                <w:highlight w:val="none"/>
              </w:rPr>
              <w:t>（11分）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目标完成</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目标完成率</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基建项目：按时完工、验收合格。设备采购项目：按时采购安装到位、设备运行良好。科研项目：</w:t>
            </w:r>
            <w:r>
              <w:rPr>
                <w:rFonts w:hint="eastAsia" w:ascii="仿宋" w:hAnsi="仿宋" w:eastAsia="仿宋" w:cs="仿宋"/>
                <w:b w:val="0"/>
                <w:bCs w:val="0"/>
                <w:color w:val="auto"/>
                <w:kern w:val="0"/>
                <w:sz w:val="18"/>
                <w:szCs w:val="18"/>
                <w:highlight w:val="none"/>
                <w:lang w:val="en-US" w:eastAsia="zh-CN"/>
              </w:rPr>
              <w:t>教师</w:t>
            </w:r>
            <w:r>
              <w:rPr>
                <w:rFonts w:hint="eastAsia" w:ascii="仿宋" w:hAnsi="仿宋" w:eastAsia="仿宋" w:cs="仿宋"/>
                <w:b w:val="0"/>
                <w:bCs w:val="0"/>
                <w:color w:val="auto"/>
                <w:kern w:val="0"/>
                <w:sz w:val="18"/>
                <w:szCs w:val="18"/>
                <w:highlight w:val="none"/>
              </w:rPr>
              <w:t>发表了论文。培训项目：完成了计划培训人次、学员满意度</w:t>
            </w:r>
            <w:r>
              <w:rPr>
                <w:rFonts w:hint="eastAsia" w:ascii="仿宋" w:hAnsi="仿宋" w:eastAsia="仿宋" w:cs="仿宋"/>
                <w:b w:val="0"/>
                <w:bCs w:val="0"/>
                <w:color w:val="auto"/>
                <w:kern w:val="0"/>
                <w:sz w:val="18"/>
                <w:szCs w:val="18"/>
                <w:highlight w:val="none"/>
                <w:lang w:eastAsia="zh-CN"/>
              </w:rPr>
              <w:t>高</w:t>
            </w:r>
            <w:r>
              <w:rPr>
                <w:rFonts w:hint="eastAsia" w:ascii="仿宋" w:hAnsi="仿宋" w:eastAsia="仿宋" w:cs="仿宋"/>
                <w:b w:val="0"/>
                <w:bCs w:val="0"/>
                <w:color w:val="auto"/>
                <w:kern w:val="0"/>
                <w:sz w:val="18"/>
                <w:szCs w:val="18"/>
                <w:highlight w:val="none"/>
              </w:rPr>
              <w:t>。</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eastAsia="zh-CN"/>
              </w:rPr>
            </w:pPr>
            <w:r>
              <w:rPr>
                <w:rFonts w:hint="eastAsia" w:ascii="仿宋" w:hAnsi="仿宋" w:eastAsia="仿宋" w:cs="仿宋"/>
                <w:b w:val="0"/>
                <w:bCs w:val="0"/>
                <w:color w:val="auto"/>
                <w:kern w:val="0"/>
                <w:sz w:val="18"/>
                <w:szCs w:val="18"/>
                <w:highlight w:val="none"/>
                <w:lang w:val="en-US" w:eastAsia="zh-CN"/>
              </w:rPr>
              <w:t>6</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目标偏离</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项目结果与预期目标有无重大偏差</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eastAsia="zh-CN"/>
              </w:rPr>
            </w:pPr>
            <w:r>
              <w:rPr>
                <w:rFonts w:hint="eastAsia" w:ascii="仿宋" w:hAnsi="仿宋" w:eastAsia="仿宋" w:cs="仿宋"/>
                <w:b w:val="0"/>
                <w:bCs w:val="0"/>
                <w:color w:val="auto"/>
                <w:kern w:val="0"/>
                <w:sz w:val="18"/>
                <w:szCs w:val="18"/>
                <w:highlight w:val="none"/>
              </w:rPr>
              <w:t>项目结果与预期目标无重大偏差</w:t>
            </w:r>
            <w:r>
              <w:rPr>
                <w:rFonts w:hint="eastAsia" w:ascii="仿宋" w:hAnsi="仿宋" w:eastAsia="仿宋" w:cs="仿宋"/>
                <w:b w:val="0"/>
                <w:bCs w:val="0"/>
                <w:color w:val="auto"/>
                <w:kern w:val="0"/>
                <w:sz w:val="18"/>
                <w:szCs w:val="18"/>
                <w:highlight w:val="none"/>
                <w:lang w:eastAsia="zh-CN"/>
              </w:rPr>
              <w:t>。</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6</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实现效果</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5</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w:t>
            </w:r>
            <w:r>
              <w:rPr>
                <w:rFonts w:hint="eastAsia" w:ascii="仿宋" w:hAnsi="仿宋" w:eastAsia="仿宋" w:cs="仿宋"/>
                <w:b w:val="0"/>
                <w:bCs w:val="0"/>
                <w:color w:val="auto"/>
                <w:kern w:val="0"/>
                <w:sz w:val="18"/>
                <w:szCs w:val="18"/>
                <w:highlight w:val="none"/>
                <w:lang w:val="en-US" w:eastAsia="zh-CN"/>
              </w:rPr>
              <w:t>是否</w:t>
            </w:r>
            <w:r>
              <w:rPr>
                <w:rFonts w:hint="eastAsia" w:ascii="仿宋" w:hAnsi="仿宋" w:eastAsia="仿宋" w:cs="仿宋"/>
                <w:b w:val="0"/>
                <w:bCs w:val="0"/>
                <w:color w:val="auto"/>
                <w:kern w:val="0"/>
                <w:sz w:val="18"/>
                <w:szCs w:val="18"/>
                <w:highlight w:val="none"/>
              </w:rPr>
              <w:t>带来的长远效益</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项目带来的长远效益。</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5</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扣分项</w:t>
            </w:r>
          </w:p>
        </w:tc>
        <w:tc>
          <w:tcPr>
            <w:tcW w:w="7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财务管理</w:t>
            </w: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财务管理制度</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学校</w:t>
            </w:r>
            <w:r>
              <w:rPr>
                <w:rFonts w:hint="eastAsia" w:ascii="仿宋" w:hAnsi="仿宋" w:eastAsia="仿宋" w:cs="仿宋"/>
                <w:b w:val="0"/>
                <w:bCs w:val="0"/>
                <w:color w:val="auto"/>
                <w:kern w:val="0"/>
                <w:sz w:val="18"/>
                <w:szCs w:val="18"/>
                <w:highlight w:val="none"/>
                <w:lang w:val="en-US" w:eastAsia="zh-CN"/>
              </w:rPr>
              <w:t>是否</w:t>
            </w:r>
            <w:r>
              <w:rPr>
                <w:rFonts w:hint="eastAsia" w:ascii="仿宋" w:hAnsi="仿宋" w:eastAsia="仿宋" w:cs="仿宋"/>
                <w:b w:val="0"/>
                <w:bCs w:val="0"/>
                <w:color w:val="auto"/>
                <w:kern w:val="0"/>
                <w:sz w:val="18"/>
                <w:szCs w:val="18"/>
                <w:highlight w:val="none"/>
              </w:rPr>
              <w:t>有健全的财务制度</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学校有健全的财务制度</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　</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财务岗位设置</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岗位设置</w:t>
            </w:r>
            <w:r>
              <w:rPr>
                <w:rFonts w:hint="eastAsia" w:ascii="仿宋" w:hAnsi="仿宋" w:eastAsia="仿宋" w:cs="仿宋"/>
                <w:b w:val="0"/>
                <w:bCs w:val="0"/>
                <w:color w:val="auto"/>
                <w:kern w:val="0"/>
                <w:sz w:val="18"/>
                <w:szCs w:val="18"/>
                <w:highlight w:val="none"/>
                <w:lang w:val="en-US" w:eastAsia="zh-CN"/>
              </w:rPr>
              <w:t>是否</w:t>
            </w:r>
            <w:r>
              <w:rPr>
                <w:rFonts w:hint="eastAsia" w:ascii="仿宋" w:hAnsi="仿宋" w:eastAsia="仿宋" w:cs="仿宋"/>
                <w:b w:val="0"/>
                <w:bCs w:val="0"/>
                <w:color w:val="auto"/>
                <w:kern w:val="0"/>
                <w:sz w:val="18"/>
                <w:szCs w:val="18"/>
                <w:highlight w:val="none"/>
              </w:rPr>
              <w:t>合理</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岗位设置合理</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　</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7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资金使用规范</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资金使用</w:t>
            </w:r>
            <w:r>
              <w:rPr>
                <w:rFonts w:hint="eastAsia" w:ascii="仿宋" w:hAnsi="仿宋" w:eastAsia="仿宋" w:cs="仿宋"/>
                <w:b w:val="0"/>
                <w:bCs w:val="0"/>
                <w:color w:val="auto"/>
                <w:kern w:val="0"/>
                <w:sz w:val="18"/>
                <w:szCs w:val="18"/>
                <w:highlight w:val="none"/>
                <w:lang w:val="en-US" w:eastAsia="zh-CN"/>
              </w:rPr>
              <w:t>是否</w:t>
            </w:r>
            <w:r>
              <w:rPr>
                <w:rFonts w:hint="eastAsia" w:ascii="仿宋" w:hAnsi="仿宋" w:eastAsia="仿宋" w:cs="仿宋"/>
                <w:b w:val="0"/>
                <w:bCs w:val="0"/>
                <w:color w:val="auto"/>
                <w:kern w:val="0"/>
                <w:sz w:val="18"/>
                <w:szCs w:val="18"/>
                <w:highlight w:val="none"/>
              </w:rPr>
              <w:t>规范</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资金使用规范</w:t>
            </w:r>
          </w:p>
        </w:tc>
        <w:tc>
          <w:tcPr>
            <w:tcW w:w="58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836"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预算绩效存在问题</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无</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无</w:t>
            </w:r>
          </w:p>
        </w:tc>
        <w:tc>
          <w:tcPr>
            <w:tcW w:w="58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val="0"/>
                <w:bCs w:val="0"/>
                <w:color w:val="auto"/>
                <w:kern w:val="0"/>
                <w:sz w:val="24"/>
                <w:highlight w:val="none"/>
              </w:rPr>
            </w:pPr>
          </w:p>
        </w:tc>
        <w:tc>
          <w:tcPr>
            <w:tcW w:w="1836"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被评价部门配合度</w:t>
            </w:r>
          </w:p>
        </w:tc>
        <w:tc>
          <w:tcPr>
            <w:tcW w:w="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w:t>
            </w:r>
          </w:p>
        </w:tc>
        <w:tc>
          <w:tcPr>
            <w:tcW w:w="134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是否配合财政部门评价</w:t>
            </w:r>
          </w:p>
        </w:tc>
        <w:tc>
          <w:tcPr>
            <w:tcW w:w="306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在财政重点绩效评价中，学校提供材料及时、配合调研。</w:t>
            </w:r>
          </w:p>
        </w:tc>
        <w:tc>
          <w:tcPr>
            <w:tcW w:w="58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　</w:t>
            </w:r>
          </w:p>
        </w:tc>
        <w:tc>
          <w:tcPr>
            <w:tcW w:w="53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639" w:hRule="atLeast"/>
          <w:jc w:val="center"/>
        </w:trPr>
        <w:tc>
          <w:tcPr>
            <w:tcW w:w="2535"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分值</w:t>
            </w:r>
          </w:p>
        </w:tc>
        <w:tc>
          <w:tcPr>
            <w:tcW w:w="45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　</w:t>
            </w:r>
          </w:p>
        </w:tc>
        <w:tc>
          <w:tcPr>
            <w:tcW w:w="134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　</w:t>
            </w:r>
          </w:p>
        </w:tc>
        <w:tc>
          <w:tcPr>
            <w:tcW w:w="3061"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b w:val="0"/>
                <w:bCs w:val="0"/>
                <w:color w:val="auto"/>
                <w:kern w:val="0"/>
                <w:sz w:val="18"/>
                <w:szCs w:val="18"/>
                <w:highlight w:val="none"/>
              </w:rPr>
            </w:pPr>
            <w:r>
              <w:rPr>
                <w:rFonts w:hint="eastAsia" w:ascii="仿宋" w:hAnsi="仿宋" w:eastAsia="仿宋" w:cs="仿宋"/>
                <w:b w:val="0"/>
                <w:bCs w:val="0"/>
                <w:color w:val="auto"/>
                <w:kern w:val="0"/>
                <w:sz w:val="18"/>
                <w:szCs w:val="18"/>
                <w:highlight w:val="none"/>
              </w:rPr>
              <w:t>　</w:t>
            </w:r>
          </w:p>
        </w:tc>
        <w:tc>
          <w:tcPr>
            <w:tcW w:w="58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100</w:t>
            </w:r>
          </w:p>
        </w:tc>
        <w:tc>
          <w:tcPr>
            <w:tcW w:w="538"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　</w:t>
            </w:r>
          </w:p>
        </w:tc>
      </w:tr>
    </w:tbl>
    <w:p>
      <w:pPr>
        <w:pStyle w:val="3"/>
        <w:rPr>
          <w:rFonts w:hint="eastAsia" w:ascii="仿宋" w:hAnsi="仿宋" w:eastAsia="仿宋" w:cs="仿宋"/>
          <w:b w:val="0"/>
          <w:bCs w:val="0"/>
          <w:color w:val="auto"/>
          <w:sz w:val="32"/>
          <w:szCs w:val="32"/>
          <w:highlight w:val="none"/>
        </w:rPr>
      </w:pPr>
    </w:p>
    <w:p>
      <w:pPr>
        <w:pStyle w:val="3"/>
        <w:rPr>
          <w:rFonts w:hint="eastAsia" w:ascii="仿宋" w:hAnsi="仿宋" w:eastAsia="仿宋" w:cs="仿宋"/>
          <w:b w:val="0"/>
          <w:bCs w:val="0"/>
          <w:color w:val="auto"/>
          <w:sz w:val="32"/>
          <w:szCs w:val="32"/>
          <w:highlight w:val="none"/>
        </w:rPr>
      </w:pPr>
    </w:p>
    <w:tbl>
      <w:tblPr>
        <w:tblStyle w:val="14"/>
        <w:tblW w:w="9812" w:type="dxa"/>
        <w:jc w:val="center"/>
        <w:tblLayout w:type="fixed"/>
        <w:tblCellMar>
          <w:top w:w="0" w:type="dxa"/>
          <w:left w:w="108" w:type="dxa"/>
          <w:bottom w:w="0" w:type="dxa"/>
          <w:right w:w="108" w:type="dxa"/>
        </w:tblCellMar>
      </w:tblPr>
      <w:tblGrid>
        <w:gridCol w:w="866"/>
        <w:gridCol w:w="712"/>
        <w:gridCol w:w="945"/>
        <w:gridCol w:w="827"/>
        <w:gridCol w:w="930"/>
        <w:gridCol w:w="1004"/>
        <w:gridCol w:w="797"/>
        <w:gridCol w:w="738"/>
        <w:gridCol w:w="930"/>
        <w:gridCol w:w="1074"/>
        <w:gridCol w:w="989"/>
      </w:tblGrid>
      <w:tr>
        <w:tblPrEx>
          <w:tblCellMar>
            <w:top w:w="0" w:type="dxa"/>
            <w:left w:w="108" w:type="dxa"/>
            <w:bottom w:w="0" w:type="dxa"/>
            <w:right w:w="108" w:type="dxa"/>
          </w:tblCellMar>
        </w:tblPrEx>
        <w:trPr>
          <w:trHeight w:val="1269" w:hRule="atLeast"/>
          <w:jc w:val="center"/>
        </w:trPr>
        <w:tc>
          <w:tcPr>
            <w:tcW w:w="866"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712"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945"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827"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930"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1004"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rPr>
            </w:pPr>
          </w:p>
          <w:p>
            <w:pPr>
              <w:pStyle w:val="2"/>
              <w:rPr>
                <w:rFonts w:hint="eastAsia" w:ascii="仿宋" w:hAnsi="仿宋" w:eastAsia="仿宋" w:cs="仿宋"/>
                <w:b w:val="0"/>
                <w:bCs w:val="0"/>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tc>
        <w:tc>
          <w:tcPr>
            <w:tcW w:w="797"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738"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rPr>
            </w:pPr>
          </w:p>
          <w:p>
            <w:pPr>
              <w:pStyle w:val="2"/>
              <w:rPr>
                <w:rFonts w:hint="eastAsia" w:ascii="仿宋" w:hAnsi="仿宋" w:eastAsia="仿宋" w:cs="仿宋"/>
                <w:b w:val="0"/>
                <w:bCs w:val="0"/>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p>
            <w:pPr>
              <w:pStyle w:val="3"/>
              <w:rPr>
                <w:rFonts w:hint="eastAsia" w:ascii="仿宋" w:hAnsi="仿宋" w:eastAsia="仿宋" w:cs="仿宋"/>
                <w:b w:val="0"/>
                <w:bCs w:val="0"/>
                <w:color w:val="auto"/>
                <w:kern w:val="0"/>
                <w:sz w:val="20"/>
                <w:szCs w:val="20"/>
                <w:highlight w:val="none"/>
              </w:rPr>
            </w:pPr>
          </w:p>
        </w:tc>
        <w:tc>
          <w:tcPr>
            <w:tcW w:w="930"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1074"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c>
          <w:tcPr>
            <w:tcW w:w="989"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0"/>
                <w:szCs w:val="20"/>
                <w:highlight w:val="none"/>
              </w:rPr>
            </w:pPr>
          </w:p>
        </w:tc>
      </w:tr>
      <w:tr>
        <w:tblPrEx>
          <w:tblCellMar>
            <w:top w:w="0" w:type="dxa"/>
            <w:left w:w="108" w:type="dxa"/>
            <w:bottom w:w="0" w:type="dxa"/>
            <w:right w:w="108" w:type="dxa"/>
          </w:tblCellMar>
        </w:tblPrEx>
        <w:trPr>
          <w:trHeight w:val="226" w:hRule="atLeast"/>
          <w:jc w:val="center"/>
        </w:trPr>
        <w:tc>
          <w:tcPr>
            <w:tcW w:w="9812"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黑体" w:hAnsi="黑体" w:eastAsia="黑体" w:cs="宋体"/>
                <w:kern w:val="0"/>
                <w:sz w:val="32"/>
                <w:szCs w:val="32"/>
              </w:rPr>
              <w:t>部门预算项目支出绩效自评表（2024年度）</w:t>
            </w:r>
          </w:p>
        </w:tc>
      </w:tr>
      <w:tr>
        <w:tblPrEx>
          <w:tblCellMar>
            <w:top w:w="0" w:type="dxa"/>
            <w:left w:w="108" w:type="dxa"/>
            <w:bottom w:w="0" w:type="dxa"/>
            <w:right w:w="108" w:type="dxa"/>
          </w:tblCellMar>
        </w:tblPrEx>
        <w:trPr>
          <w:trHeight w:val="211" w:hRule="atLeast"/>
          <w:jc w:val="center"/>
        </w:trPr>
        <w:tc>
          <w:tcPr>
            <w:tcW w:w="15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项目名称</w:t>
            </w:r>
          </w:p>
        </w:tc>
        <w:tc>
          <w:tcPr>
            <w:tcW w:w="823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51090422T000006815845-义务教育家庭经济困难学生生活补助</w:t>
            </w:r>
          </w:p>
        </w:tc>
      </w:tr>
      <w:tr>
        <w:tblPrEx>
          <w:tblCellMar>
            <w:top w:w="0" w:type="dxa"/>
            <w:left w:w="108" w:type="dxa"/>
            <w:bottom w:w="0" w:type="dxa"/>
            <w:right w:w="108" w:type="dxa"/>
          </w:tblCellMar>
        </w:tblPrEx>
        <w:trPr>
          <w:trHeight w:val="448" w:hRule="atLeast"/>
          <w:jc w:val="center"/>
        </w:trPr>
        <w:tc>
          <w:tcPr>
            <w:tcW w:w="15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主管部门</w:t>
            </w: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遂宁市安居区三家镇</w:t>
            </w:r>
            <w:r>
              <w:rPr>
                <w:rFonts w:hint="eastAsia" w:ascii="仿宋" w:hAnsi="仿宋" w:eastAsia="仿宋" w:cs="仿宋"/>
                <w:b w:val="0"/>
                <w:bCs w:val="0"/>
                <w:color w:val="auto"/>
                <w:kern w:val="0"/>
                <w:sz w:val="24"/>
                <w:highlight w:val="none"/>
                <w:lang w:eastAsia="zh-CN"/>
              </w:rPr>
              <w:t>大安初级中学校</w:t>
            </w:r>
            <w:r>
              <w:rPr>
                <w:rFonts w:hint="eastAsia" w:ascii="仿宋" w:hAnsi="仿宋" w:eastAsia="仿宋" w:cs="仿宋"/>
                <w:b w:val="0"/>
                <w:bCs w:val="0"/>
                <w:color w:val="auto"/>
                <w:kern w:val="0"/>
                <w:sz w:val="24"/>
                <w:highlight w:val="none"/>
              </w:rPr>
              <w:t>部门</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实施单位 （盖章）</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遂宁市安居区三家镇</w:t>
            </w:r>
            <w:r>
              <w:rPr>
                <w:rFonts w:hint="eastAsia" w:ascii="仿宋" w:hAnsi="仿宋" w:eastAsia="仿宋" w:cs="仿宋"/>
                <w:b w:val="0"/>
                <w:bCs w:val="0"/>
                <w:color w:val="auto"/>
                <w:kern w:val="0"/>
                <w:sz w:val="24"/>
                <w:highlight w:val="none"/>
                <w:lang w:eastAsia="zh-CN"/>
              </w:rPr>
              <w:t>大安初级中学校</w:t>
            </w:r>
          </w:p>
        </w:tc>
      </w:tr>
      <w:tr>
        <w:tblPrEx>
          <w:tblCellMar>
            <w:top w:w="0" w:type="dxa"/>
            <w:left w:w="108" w:type="dxa"/>
            <w:bottom w:w="0" w:type="dxa"/>
            <w:right w:w="108" w:type="dxa"/>
          </w:tblCellMar>
        </w:tblPrEx>
        <w:trPr>
          <w:trHeight w:val="211" w:hRule="atLeast"/>
          <w:jc w:val="center"/>
        </w:trPr>
        <w:tc>
          <w:tcPr>
            <w:tcW w:w="86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项目基本情况</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1.项目年度目标完成情况</w:t>
            </w: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项目年度目标</w:t>
            </w:r>
          </w:p>
        </w:tc>
        <w:tc>
          <w:tcPr>
            <w:tcW w:w="37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年度目标完成情况</w:t>
            </w:r>
          </w:p>
        </w:tc>
      </w:tr>
      <w:tr>
        <w:tblPrEx>
          <w:tblCellMar>
            <w:top w:w="0" w:type="dxa"/>
            <w:left w:w="108" w:type="dxa"/>
            <w:bottom w:w="0" w:type="dxa"/>
            <w:right w:w="108" w:type="dxa"/>
          </w:tblCellMar>
        </w:tblPrEx>
        <w:trPr>
          <w:trHeight w:val="459" w:hRule="atLeast"/>
          <w:jc w:val="center"/>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37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保障了学校家庭经济困难学生正常入学，减轻其家庭经济负担。</w:t>
            </w:r>
          </w:p>
        </w:tc>
      </w:tr>
      <w:tr>
        <w:tblPrEx>
          <w:tblCellMar>
            <w:top w:w="0" w:type="dxa"/>
            <w:left w:w="108" w:type="dxa"/>
            <w:bottom w:w="0" w:type="dxa"/>
            <w:right w:w="108" w:type="dxa"/>
          </w:tblCellMar>
        </w:tblPrEx>
        <w:trPr>
          <w:trHeight w:val="669" w:hRule="atLeast"/>
          <w:jc w:val="center"/>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2.项目实施内容及过程概述</w:t>
            </w:r>
          </w:p>
        </w:tc>
        <w:tc>
          <w:tcPr>
            <w:tcW w:w="823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559" w:hRule="atLeast"/>
          <w:jc w:val="center"/>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预算执行情况（10分）</w:t>
            </w: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年度预算数（万元）</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年初预算</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调整后预算数</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预算执行数</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预算执行率</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权重</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得分</w:t>
            </w:r>
          </w:p>
        </w:tc>
        <w:tc>
          <w:tcPr>
            <w:tcW w:w="9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原因</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总额</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7.48</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7.48</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w:t>
            </w:r>
          </w:p>
        </w:tc>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448"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其中：财政资金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7.48</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7.48</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448"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财政专户管理资金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单位资金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其他资金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337" w:hRule="atLeast"/>
          <w:jc w:val="center"/>
        </w:trPr>
        <w:tc>
          <w:tcPr>
            <w:tcW w:w="8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绩效指标（90分）</w:t>
            </w: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一级指标</w:t>
            </w:r>
          </w:p>
        </w:tc>
        <w:tc>
          <w:tcPr>
            <w:tcW w:w="945"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二级指标</w:t>
            </w:r>
          </w:p>
        </w:tc>
        <w:tc>
          <w:tcPr>
            <w:tcW w:w="827"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三级指标</w:t>
            </w:r>
          </w:p>
        </w:tc>
        <w:tc>
          <w:tcPr>
            <w:tcW w:w="930"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指标性质</w:t>
            </w:r>
          </w:p>
        </w:tc>
        <w:tc>
          <w:tcPr>
            <w:tcW w:w="1004"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指标值</w:t>
            </w:r>
          </w:p>
        </w:tc>
        <w:tc>
          <w:tcPr>
            <w:tcW w:w="797"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度量单位</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完成值</w:t>
            </w:r>
          </w:p>
        </w:tc>
        <w:tc>
          <w:tcPr>
            <w:tcW w:w="930"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权重</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得分</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未完成原因分析</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产出指标</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效益指标</w:t>
            </w:r>
          </w:p>
        </w:tc>
        <w:tc>
          <w:tcPr>
            <w:tcW w:w="94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0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11" w:hRule="atLeast"/>
          <w:jc w:val="center"/>
        </w:trPr>
        <w:tc>
          <w:tcPr>
            <w:tcW w:w="68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合计</w:t>
            </w:r>
          </w:p>
        </w:tc>
        <w:tc>
          <w:tcPr>
            <w:tcW w:w="9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100</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lang w:val="en-US" w:eastAsia="zh-CN"/>
              </w:rPr>
              <w:t>10</w:t>
            </w:r>
            <w:r>
              <w:rPr>
                <w:rFonts w:hint="eastAsia" w:ascii="仿宋" w:hAnsi="仿宋" w:eastAsia="仿宋" w:cs="仿宋"/>
                <w:b w:val="0"/>
                <w:bCs w:val="0"/>
                <w:color w:val="auto"/>
                <w:kern w:val="0"/>
                <w:sz w:val="24"/>
                <w:highlight w:val="none"/>
              </w:rPr>
              <w:t>0</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评价结论</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根据该项目预算执行率、 绩效目标实现指标自评得分100.00分，自评等次为：优，严格执行相关政策，按要求支付，保障资金及时、足额支付到位。切实提高扶贫成效。</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存在问题</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无</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改进措施</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无</w:t>
            </w:r>
          </w:p>
        </w:tc>
      </w:tr>
      <w:tr>
        <w:tblPrEx>
          <w:tblCellMar>
            <w:top w:w="0" w:type="dxa"/>
            <w:left w:w="108" w:type="dxa"/>
            <w:bottom w:w="0" w:type="dxa"/>
            <w:right w:w="108" w:type="dxa"/>
          </w:tblCellMar>
        </w:tblPrEx>
        <w:trPr>
          <w:trHeight w:val="211" w:hRule="atLeast"/>
          <w:jc w:val="center"/>
        </w:trPr>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color w:val="auto"/>
                <w:kern w:val="0"/>
                <w:sz w:val="24"/>
                <w:highlight w:val="none"/>
              </w:rPr>
              <w:t>项目负责人：</w:t>
            </w:r>
            <w:r>
              <w:rPr>
                <w:rFonts w:hint="eastAsia" w:ascii="仿宋" w:hAnsi="仿宋" w:eastAsia="仿宋" w:cs="仿宋"/>
                <w:b w:val="0"/>
                <w:bCs w:val="0"/>
                <w:color w:val="auto"/>
                <w:kern w:val="0"/>
                <w:sz w:val="24"/>
                <w:highlight w:val="none"/>
                <w:lang w:eastAsia="zh-CN"/>
              </w:rPr>
              <w:t>张忠宁</w:t>
            </w:r>
          </w:p>
        </w:tc>
        <w:tc>
          <w:tcPr>
            <w:tcW w:w="5532"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color w:val="auto"/>
                <w:kern w:val="0"/>
                <w:sz w:val="24"/>
                <w:highlight w:val="none"/>
              </w:rPr>
              <w:t>财务负责人：</w:t>
            </w:r>
            <w:r>
              <w:rPr>
                <w:rFonts w:hint="eastAsia" w:ascii="仿宋" w:hAnsi="仿宋" w:eastAsia="仿宋" w:cs="仿宋"/>
                <w:b w:val="0"/>
                <w:bCs w:val="0"/>
                <w:color w:val="auto"/>
                <w:kern w:val="0"/>
                <w:sz w:val="24"/>
                <w:highlight w:val="none"/>
                <w:lang w:eastAsia="zh-CN"/>
              </w:rPr>
              <w:t>卓光荣</w:t>
            </w:r>
          </w:p>
        </w:tc>
      </w:tr>
      <w:tr>
        <w:tblPrEx>
          <w:tblCellMar>
            <w:top w:w="0" w:type="dxa"/>
            <w:left w:w="108" w:type="dxa"/>
            <w:bottom w:w="0" w:type="dxa"/>
            <w:right w:w="108" w:type="dxa"/>
          </w:tblCellMar>
        </w:tblPrEx>
        <w:trPr>
          <w:trHeight w:val="337" w:hRule="atLeast"/>
          <w:jc w:val="center"/>
        </w:trPr>
        <w:tc>
          <w:tcPr>
            <w:tcW w:w="866"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945"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827"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930"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1004"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p>
            <w:pPr>
              <w:widowControl/>
              <w:jc w:val="left"/>
              <w:rPr>
                <w:rFonts w:hint="eastAsia" w:ascii="仿宋" w:hAnsi="仿宋" w:eastAsia="仿宋" w:cs="仿宋"/>
                <w:b w:val="0"/>
                <w:bCs w:val="0"/>
                <w:color w:val="auto"/>
                <w:kern w:val="0"/>
                <w:sz w:val="24"/>
                <w:highlight w:val="none"/>
              </w:rPr>
            </w:pPr>
          </w:p>
          <w:p>
            <w:pPr>
              <w:widowControl/>
              <w:jc w:val="left"/>
              <w:rPr>
                <w:rFonts w:hint="eastAsia" w:ascii="仿宋" w:hAnsi="仿宋" w:eastAsia="仿宋" w:cs="仿宋"/>
                <w:b w:val="0"/>
                <w:bCs w:val="0"/>
                <w:color w:val="auto"/>
                <w:kern w:val="0"/>
                <w:sz w:val="24"/>
                <w:highlight w:val="none"/>
              </w:rPr>
            </w:pPr>
          </w:p>
        </w:tc>
        <w:tc>
          <w:tcPr>
            <w:tcW w:w="797"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738"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930"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1074"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c>
          <w:tcPr>
            <w:tcW w:w="989" w:type="dxa"/>
            <w:tcBorders>
              <w:top w:val="nil"/>
              <w:left w:val="nil"/>
              <w:bottom w:val="nil"/>
              <w:right w:val="nil"/>
            </w:tcBorders>
            <w:shd w:val="clear" w:color="auto" w:fill="auto"/>
            <w:noWrap/>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11" w:hRule="atLeast"/>
          <w:jc w:val="center"/>
        </w:trPr>
        <w:tc>
          <w:tcPr>
            <w:tcW w:w="9812"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黑体" w:hAnsi="黑体" w:eastAsia="黑体" w:cs="宋体"/>
                <w:kern w:val="0"/>
                <w:sz w:val="32"/>
                <w:szCs w:val="32"/>
              </w:rPr>
              <w:t>部门预算项目支出绩效自评表（2024年度）</w:t>
            </w:r>
          </w:p>
        </w:tc>
      </w:tr>
      <w:tr>
        <w:tblPrEx>
          <w:tblCellMar>
            <w:top w:w="0" w:type="dxa"/>
            <w:left w:w="108" w:type="dxa"/>
            <w:bottom w:w="0" w:type="dxa"/>
            <w:right w:w="108" w:type="dxa"/>
          </w:tblCellMar>
        </w:tblPrEx>
        <w:trPr>
          <w:trHeight w:val="211" w:hRule="atLeast"/>
          <w:jc w:val="center"/>
        </w:trPr>
        <w:tc>
          <w:tcPr>
            <w:tcW w:w="15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项目名称</w:t>
            </w:r>
          </w:p>
        </w:tc>
        <w:tc>
          <w:tcPr>
            <w:tcW w:w="823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51090422T000007203223-校舍维修</w:t>
            </w:r>
          </w:p>
        </w:tc>
      </w:tr>
      <w:tr>
        <w:tblPrEx>
          <w:tblCellMar>
            <w:top w:w="0" w:type="dxa"/>
            <w:left w:w="108" w:type="dxa"/>
            <w:bottom w:w="0" w:type="dxa"/>
            <w:right w:w="108" w:type="dxa"/>
          </w:tblCellMar>
        </w:tblPrEx>
        <w:trPr>
          <w:trHeight w:val="448" w:hRule="atLeast"/>
          <w:jc w:val="center"/>
        </w:trPr>
        <w:tc>
          <w:tcPr>
            <w:tcW w:w="15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主管部门</w:t>
            </w: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遂宁市安居区三家镇</w:t>
            </w:r>
            <w:r>
              <w:rPr>
                <w:rFonts w:hint="eastAsia" w:ascii="仿宋" w:hAnsi="仿宋" w:eastAsia="仿宋" w:cs="仿宋"/>
                <w:b w:val="0"/>
                <w:bCs w:val="0"/>
                <w:color w:val="auto"/>
                <w:kern w:val="0"/>
                <w:sz w:val="24"/>
                <w:highlight w:val="none"/>
                <w:lang w:eastAsia="zh-CN"/>
              </w:rPr>
              <w:t>大安初级中学</w:t>
            </w:r>
            <w:r>
              <w:rPr>
                <w:rFonts w:hint="eastAsia" w:ascii="仿宋" w:hAnsi="仿宋" w:eastAsia="仿宋" w:cs="仿宋"/>
                <w:b w:val="0"/>
                <w:bCs w:val="0"/>
                <w:color w:val="auto"/>
                <w:kern w:val="0"/>
                <w:sz w:val="24"/>
                <w:highlight w:val="none"/>
              </w:rPr>
              <w:t>校部门</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实施单位 （盖章）</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遂宁市安居区三家镇</w:t>
            </w:r>
            <w:r>
              <w:rPr>
                <w:rFonts w:hint="eastAsia" w:ascii="仿宋" w:hAnsi="仿宋" w:eastAsia="仿宋" w:cs="仿宋"/>
                <w:b w:val="0"/>
                <w:bCs w:val="0"/>
                <w:color w:val="auto"/>
                <w:kern w:val="0"/>
                <w:sz w:val="24"/>
                <w:highlight w:val="none"/>
                <w:lang w:eastAsia="zh-CN"/>
              </w:rPr>
              <w:t>大安初级中</w:t>
            </w:r>
            <w:r>
              <w:rPr>
                <w:rFonts w:hint="eastAsia" w:ascii="仿宋" w:hAnsi="仿宋" w:eastAsia="仿宋" w:cs="仿宋"/>
                <w:b w:val="0"/>
                <w:bCs w:val="0"/>
                <w:color w:val="auto"/>
                <w:kern w:val="0"/>
                <w:sz w:val="24"/>
                <w:highlight w:val="none"/>
              </w:rPr>
              <w:t>学校</w:t>
            </w:r>
          </w:p>
        </w:tc>
      </w:tr>
      <w:tr>
        <w:tblPrEx>
          <w:tblCellMar>
            <w:top w:w="0" w:type="dxa"/>
            <w:left w:w="108" w:type="dxa"/>
            <w:bottom w:w="0" w:type="dxa"/>
            <w:right w:w="108" w:type="dxa"/>
          </w:tblCellMar>
        </w:tblPrEx>
        <w:trPr>
          <w:trHeight w:val="211" w:hRule="atLeast"/>
          <w:jc w:val="center"/>
        </w:trPr>
        <w:tc>
          <w:tcPr>
            <w:tcW w:w="86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项目基本情况</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1.项目年度目标完成情况</w:t>
            </w: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项目年度目标</w:t>
            </w:r>
          </w:p>
        </w:tc>
        <w:tc>
          <w:tcPr>
            <w:tcW w:w="37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年度目标完成情况</w:t>
            </w:r>
          </w:p>
        </w:tc>
      </w:tr>
      <w:tr>
        <w:tblPrEx>
          <w:tblCellMar>
            <w:top w:w="0" w:type="dxa"/>
            <w:left w:w="108" w:type="dxa"/>
            <w:bottom w:w="0" w:type="dxa"/>
            <w:right w:w="108" w:type="dxa"/>
          </w:tblCellMar>
        </w:tblPrEx>
        <w:trPr>
          <w:trHeight w:val="459" w:hRule="atLeast"/>
          <w:jc w:val="center"/>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37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严格执行预算，及时申请支付资金，促进学校健康发展。</w:t>
            </w:r>
          </w:p>
        </w:tc>
      </w:tr>
      <w:tr>
        <w:tblPrEx>
          <w:tblCellMar>
            <w:top w:w="0" w:type="dxa"/>
            <w:left w:w="108" w:type="dxa"/>
            <w:bottom w:w="0" w:type="dxa"/>
            <w:right w:w="108" w:type="dxa"/>
          </w:tblCellMar>
        </w:tblPrEx>
        <w:trPr>
          <w:trHeight w:val="669" w:hRule="atLeast"/>
          <w:jc w:val="center"/>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2.项目实施内容及过程概述</w:t>
            </w:r>
          </w:p>
        </w:tc>
        <w:tc>
          <w:tcPr>
            <w:tcW w:w="823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及时申报经费，促进学校健康发展。</w:t>
            </w:r>
          </w:p>
        </w:tc>
      </w:tr>
      <w:tr>
        <w:tblPrEx>
          <w:tblCellMar>
            <w:top w:w="0" w:type="dxa"/>
            <w:left w:w="108" w:type="dxa"/>
            <w:bottom w:w="0" w:type="dxa"/>
            <w:right w:w="108" w:type="dxa"/>
          </w:tblCellMar>
        </w:tblPrEx>
        <w:trPr>
          <w:trHeight w:val="559" w:hRule="atLeast"/>
          <w:jc w:val="center"/>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预算执行情况（10分）</w:t>
            </w: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年度预算数（万元）</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年初预算</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调整后预算数</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预算执行数</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预算执行率</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权重</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得分</w:t>
            </w:r>
          </w:p>
        </w:tc>
        <w:tc>
          <w:tcPr>
            <w:tcW w:w="9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原因</w:t>
            </w:r>
          </w:p>
        </w:tc>
      </w:tr>
      <w:tr>
        <w:tblPrEx>
          <w:tblCellMar>
            <w:top w:w="0" w:type="dxa"/>
            <w:left w:w="108" w:type="dxa"/>
            <w:bottom w:w="0" w:type="dxa"/>
            <w:right w:w="108" w:type="dxa"/>
          </w:tblCellMar>
        </w:tblPrEx>
        <w:trPr>
          <w:trHeight w:val="211"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总额</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51.54</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51.54</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lang w:val="en-US" w:eastAsia="zh-CN"/>
              </w:rPr>
              <w:t>100</w:t>
            </w:r>
            <w:r>
              <w:rPr>
                <w:rFonts w:hint="eastAsia" w:ascii="仿宋" w:hAnsi="仿宋" w:eastAsia="仿宋" w:cs="仿宋"/>
                <w:b w:val="0"/>
                <w:bCs w:val="0"/>
                <w:color w:val="auto"/>
                <w:kern w:val="0"/>
                <w:sz w:val="24"/>
                <w:highlight w:val="none"/>
              </w:rPr>
              <w:t>%</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w:t>
            </w:r>
          </w:p>
        </w:tc>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448"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其中：财政资金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51.54</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51.54</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lang w:val="en-US" w:eastAsia="zh-CN"/>
              </w:rPr>
              <w:t>100</w:t>
            </w:r>
            <w:r>
              <w:rPr>
                <w:rFonts w:hint="eastAsia" w:ascii="仿宋" w:hAnsi="仿宋" w:eastAsia="仿宋" w:cs="仿宋"/>
                <w:b w:val="0"/>
                <w:bCs w:val="0"/>
                <w:color w:val="auto"/>
                <w:kern w:val="0"/>
                <w:sz w:val="24"/>
                <w:highlight w:val="none"/>
              </w:rPr>
              <w:t>%</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448"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财政专户管理资金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单位资金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其他资金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337" w:hRule="atLeast"/>
          <w:jc w:val="center"/>
        </w:trPr>
        <w:tc>
          <w:tcPr>
            <w:tcW w:w="8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绩效指标（90分）</w:t>
            </w: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一级指标</w:t>
            </w:r>
          </w:p>
        </w:tc>
        <w:tc>
          <w:tcPr>
            <w:tcW w:w="945"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二级指标</w:t>
            </w:r>
          </w:p>
        </w:tc>
        <w:tc>
          <w:tcPr>
            <w:tcW w:w="827"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三级指标</w:t>
            </w:r>
          </w:p>
        </w:tc>
        <w:tc>
          <w:tcPr>
            <w:tcW w:w="930"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指标性质</w:t>
            </w:r>
          </w:p>
        </w:tc>
        <w:tc>
          <w:tcPr>
            <w:tcW w:w="1004"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指标值</w:t>
            </w:r>
          </w:p>
        </w:tc>
        <w:tc>
          <w:tcPr>
            <w:tcW w:w="797"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度量单位</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完成值</w:t>
            </w:r>
          </w:p>
        </w:tc>
        <w:tc>
          <w:tcPr>
            <w:tcW w:w="930"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权重</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得分</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未完成原因分析</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产出指标</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效益指标</w:t>
            </w:r>
          </w:p>
        </w:tc>
        <w:tc>
          <w:tcPr>
            <w:tcW w:w="94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0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11" w:hRule="atLeast"/>
          <w:jc w:val="center"/>
        </w:trPr>
        <w:tc>
          <w:tcPr>
            <w:tcW w:w="68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合计</w:t>
            </w:r>
          </w:p>
        </w:tc>
        <w:tc>
          <w:tcPr>
            <w:tcW w:w="9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100.00</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评价结论</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根据该项目预算执行率、 绩效目标实现指标自评得分100.00分，自评等次为：优，严格执行相关政策，按要求支付，保障资金及时、足额支付到位。促进学校健康发展。</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存在问题</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无</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改进措施</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无</w:t>
            </w:r>
          </w:p>
        </w:tc>
      </w:tr>
      <w:tr>
        <w:tblPrEx>
          <w:tblCellMar>
            <w:top w:w="0" w:type="dxa"/>
            <w:left w:w="108" w:type="dxa"/>
            <w:bottom w:w="0" w:type="dxa"/>
            <w:right w:w="108" w:type="dxa"/>
          </w:tblCellMar>
        </w:tblPrEx>
        <w:trPr>
          <w:trHeight w:val="211" w:hRule="atLeast"/>
          <w:jc w:val="center"/>
        </w:trPr>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color w:val="auto"/>
                <w:kern w:val="0"/>
                <w:sz w:val="24"/>
                <w:highlight w:val="none"/>
              </w:rPr>
              <w:t>项目负责人：</w:t>
            </w:r>
            <w:r>
              <w:rPr>
                <w:rFonts w:hint="eastAsia" w:ascii="仿宋" w:hAnsi="仿宋" w:eastAsia="仿宋" w:cs="仿宋"/>
                <w:b w:val="0"/>
                <w:bCs w:val="0"/>
                <w:color w:val="auto"/>
                <w:kern w:val="0"/>
                <w:sz w:val="24"/>
                <w:highlight w:val="none"/>
                <w:lang w:eastAsia="zh-CN"/>
              </w:rPr>
              <w:t>张忠宁</w:t>
            </w:r>
          </w:p>
        </w:tc>
        <w:tc>
          <w:tcPr>
            <w:tcW w:w="5532"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color w:val="auto"/>
                <w:kern w:val="0"/>
                <w:sz w:val="24"/>
                <w:highlight w:val="none"/>
              </w:rPr>
              <w:t>财务负责人：</w:t>
            </w:r>
            <w:r>
              <w:rPr>
                <w:rFonts w:hint="eastAsia" w:ascii="仿宋" w:hAnsi="仿宋" w:eastAsia="仿宋" w:cs="仿宋"/>
                <w:b w:val="0"/>
                <w:bCs w:val="0"/>
                <w:color w:val="auto"/>
                <w:kern w:val="0"/>
                <w:sz w:val="24"/>
                <w:highlight w:val="none"/>
                <w:lang w:eastAsia="zh-CN"/>
              </w:rPr>
              <w:t>卓光荣</w:t>
            </w:r>
          </w:p>
        </w:tc>
      </w:tr>
      <w:tr>
        <w:tblPrEx>
          <w:tblCellMar>
            <w:top w:w="0" w:type="dxa"/>
            <w:left w:w="108" w:type="dxa"/>
            <w:bottom w:w="0" w:type="dxa"/>
            <w:right w:w="108" w:type="dxa"/>
          </w:tblCellMar>
        </w:tblPrEx>
        <w:trPr>
          <w:trHeight w:val="211" w:hRule="atLeast"/>
          <w:jc w:val="center"/>
        </w:trPr>
        <w:tc>
          <w:tcPr>
            <w:tcW w:w="9812" w:type="dxa"/>
            <w:gridSpan w:val="11"/>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黑体" w:hAnsi="黑体" w:eastAsia="黑体" w:cs="宋体"/>
                <w:kern w:val="0"/>
                <w:sz w:val="32"/>
                <w:szCs w:val="32"/>
              </w:rPr>
              <w:t>部门预算项目支出绩效自评表（2024年度）</w:t>
            </w:r>
          </w:p>
        </w:tc>
      </w:tr>
      <w:tr>
        <w:tblPrEx>
          <w:tblCellMar>
            <w:top w:w="0" w:type="dxa"/>
            <w:left w:w="108" w:type="dxa"/>
            <w:bottom w:w="0" w:type="dxa"/>
            <w:right w:w="108" w:type="dxa"/>
          </w:tblCellMar>
        </w:tblPrEx>
        <w:trPr>
          <w:trHeight w:val="211" w:hRule="atLeast"/>
          <w:jc w:val="center"/>
        </w:trPr>
        <w:tc>
          <w:tcPr>
            <w:tcW w:w="15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项目名称</w:t>
            </w:r>
          </w:p>
        </w:tc>
        <w:tc>
          <w:tcPr>
            <w:tcW w:w="823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51090423T000009404312-城乡义务教育-免作业本费</w:t>
            </w:r>
          </w:p>
        </w:tc>
      </w:tr>
      <w:tr>
        <w:tblPrEx>
          <w:tblCellMar>
            <w:top w:w="0" w:type="dxa"/>
            <w:left w:w="108" w:type="dxa"/>
            <w:bottom w:w="0" w:type="dxa"/>
            <w:right w:w="108" w:type="dxa"/>
          </w:tblCellMar>
        </w:tblPrEx>
        <w:trPr>
          <w:trHeight w:val="448" w:hRule="atLeast"/>
          <w:jc w:val="center"/>
        </w:trPr>
        <w:tc>
          <w:tcPr>
            <w:tcW w:w="15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主管部门</w:t>
            </w: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遂宁市安居区三家镇</w:t>
            </w:r>
            <w:r>
              <w:rPr>
                <w:rFonts w:hint="eastAsia" w:ascii="仿宋" w:hAnsi="仿宋" w:eastAsia="仿宋" w:cs="仿宋"/>
                <w:b w:val="0"/>
                <w:bCs w:val="0"/>
                <w:color w:val="auto"/>
                <w:kern w:val="0"/>
                <w:sz w:val="24"/>
                <w:highlight w:val="none"/>
                <w:lang w:eastAsia="zh-CN"/>
              </w:rPr>
              <w:t>大安初级中学校</w:t>
            </w:r>
            <w:r>
              <w:rPr>
                <w:rFonts w:hint="eastAsia" w:ascii="仿宋" w:hAnsi="仿宋" w:eastAsia="仿宋" w:cs="仿宋"/>
                <w:b w:val="0"/>
                <w:bCs w:val="0"/>
                <w:color w:val="auto"/>
                <w:kern w:val="0"/>
                <w:sz w:val="24"/>
                <w:highlight w:val="none"/>
              </w:rPr>
              <w:t>部门</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实施单位 （盖章）</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遂宁市安居区三家镇</w:t>
            </w:r>
            <w:r>
              <w:rPr>
                <w:rFonts w:hint="eastAsia" w:ascii="仿宋" w:hAnsi="仿宋" w:eastAsia="仿宋" w:cs="仿宋"/>
                <w:b w:val="0"/>
                <w:bCs w:val="0"/>
                <w:color w:val="auto"/>
                <w:kern w:val="0"/>
                <w:sz w:val="24"/>
                <w:highlight w:val="none"/>
                <w:lang w:eastAsia="zh-CN"/>
              </w:rPr>
              <w:t>大安初级中学</w:t>
            </w:r>
            <w:r>
              <w:rPr>
                <w:rFonts w:hint="eastAsia" w:ascii="仿宋" w:hAnsi="仿宋" w:eastAsia="仿宋" w:cs="仿宋"/>
                <w:b w:val="0"/>
                <w:bCs w:val="0"/>
                <w:color w:val="auto"/>
                <w:kern w:val="0"/>
                <w:sz w:val="24"/>
                <w:highlight w:val="none"/>
              </w:rPr>
              <w:t>校</w:t>
            </w:r>
          </w:p>
        </w:tc>
      </w:tr>
      <w:tr>
        <w:tblPrEx>
          <w:tblCellMar>
            <w:top w:w="0" w:type="dxa"/>
            <w:left w:w="108" w:type="dxa"/>
            <w:bottom w:w="0" w:type="dxa"/>
            <w:right w:w="108" w:type="dxa"/>
          </w:tblCellMar>
        </w:tblPrEx>
        <w:trPr>
          <w:trHeight w:val="211" w:hRule="atLeast"/>
          <w:jc w:val="center"/>
        </w:trPr>
        <w:tc>
          <w:tcPr>
            <w:tcW w:w="86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项目基本情况</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1.项目年度目标完成情况</w:t>
            </w: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项目年度目标</w:t>
            </w:r>
          </w:p>
        </w:tc>
        <w:tc>
          <w:tcPr>
            <w:tcW w:w="37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年度目标完成情况</w:t>
            </w:r>
          </w:p>
        </w:tc>
      </w:tr>
      <w:tr>
        <w:tblPrEx>
          <w:tblCellMar>
            <w:top w:w="0" w:type="dxa"/>
            <w:left w:w="108" w:type="dxa"/>
            <w:bottom w:w="0" w:type="dxa"/>
            <w:right w:w="108" w:type="dxa"/>
          </w:tblCellMar>
        </w:tblPrEx>
        <w:trPr>
          <w:trHeight w:val="459" w:hRule="atLeast"/>
          <w:jc w:val="center"/>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45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37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严格执行预算，及时申请支付资金，保证学生作业本按时发放。</w:t>
            </w:r>
          </w:p>
        </w:tc>
      </w:tr>
      <w:tr>
        <w:tblPrEx>
          <w:tblCellMar>
            <w:top w:w="0" w:type="dxa"/>
            <w:left w:w="108" w:type="dxa"/>
            <w:bottom w:w="0" w:type="dxa"/>
            <w:right w:w="108" w:type="dxa"/>
          </w:tblCellMar>
        </w:tblPrEx>
        <w:trPr>
          <w:trHeight w:val="669" w:hRule="atLeast"/>
          <w:jc w:val="center"/>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2.项目实施内容及过程概述</w:t>
            </w:r>
          </w:p>
        </w:tc>
        <w:tc>
          <w:tcPr>
            <w:tcW w:w="823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及时申报经费，保证学生作业本按时发放。</w:t>
            </w:r>
          </w:p>
        </w:tc>
      </w:tr>
      <w:tr>
        <w:tblPrEx>
          <w:tblCellMar>
            <w:top w:w="0" w:type="dxa"/>
            <w:left w:w="108" w:type="dxa"/>
            <w:bottom w:w="0" w:type="dxa"/>
            <w:right w:w="108" w:type="dxa"/>
          </w:tblCellMar>
        </w:tblPrEx>
        <w:trPr>
          <w:trHeight w:val="559" w:hRule="atLeast"/>
          <w:jc w:val="center"/>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预算执行情况（10分）</w:t>
            </w: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年度预算数（万元）</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年初预算</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调整后预算数</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预算执行数</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预算执行率</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权重</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得分</w:t>
            </w:r>
          </w:p>
        </w:tc>
        <w:tc>
          <w:tcPr>
            <w:tcW w:w="9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原因</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总额</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rPr>
              <w:t>0.</w:t>
            </w:r>
            <w:r>
              <w:rPr>
                <w:rFonts w:hint="eastAsia" w:ascii="仿宋" w:hAnsi="仿宋" w:eastAsia="仿宋" w:cs="仿宋"/>
                <w:b w:val="0"/>
                <w:bCs w:val="0"/>
                <w:color w:val="auto"/>
                <w:kern w:val="0"/>
                <w:sz w:val="24"/>
                <w:highlight w:val="none"/>
                <w:lang w:val="en-US" w:eastAsia="zh-CN"/>
              </w:rPr>
              <w:t>38</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rPr>
              <w:t>0.</w:t>
            </w:r>
            <w:r>
              <w:rPr>
                <w:rFonts w:hint="eastAsia" w:ascii="仿宋" w:hAnsi="仿宋" w:eastAsia="仿宋" w:cs="仿宋"/>
                <w:b w:val="0"/>
                <w:bCs w:val="0"/>
                <w:color w:val="auto"/>
                <w:kern w:val="0"/>
                <w:sz w:val="24"/>
                <w:highlight w:val="none"/>
                <w:lang w:val="en-US" w:eastAsia="zh-CN"/>
              </w:rPr>
              <w:t>38</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w:t>
            </w:r>
          </w:p>
        </w:tc>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448"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其中：财政资金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rPr>
              <w:t>0.</w:t>
            </w:r>
            <w:r>
              <w:rPr>
                <w:rFonts w:hint="eastAsia" w:ascii="仿宋" w:hAnsi="仿宋" w:eastAsia="仿宋" w:cs="仿宋"/>
                <w:b w:val="0"/>
                <w:bCs w:val="0"/>
                <w:color w:val="auto"/>
                <w:kern w:val="0"/>
                <w:sz w:val="24"/>
                <w:highlight w:val="none"/>
                <w:lang w:val="en-US" w:eastAsia="zh-CN"/>
              </w:rPr>
              <w:t>38</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rPr>
              <w:t>0.</w:t>
            </w:r>
            <w:r>
              <w:rPr>
                <w:rFonts w:hint="eastAsia" w:ascii="仿宋" w:hAnsi="仿宋" w:eastAsia="仿宋" w:cs="仿宋"/>
                <w:b w:val="0"/>
                <w:bCs w:val="0"/>
                <w:color w:val="auto"/>
                <w:kern w:val="0"/>
                <w:sz w:val="24"/>
                <w:highlight w:val="none"/>
                <w:lang w:val="en-US" w:eastAsia="zh-CN"/>
              </w:rPr>
              <w:t>38</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448"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财政专户管理资金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单位资金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0.00%</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其他资金</w:t>
            </w:r>
          </w:p>
        </w:tc>
        <w:tc>
          <w:tcPr>
            <w:tcW w:w="94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27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w:t>
            </w: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337" w:hRule="atLeast"/>
          <w:jc w:val="center"/>
        </w:trPr>
        <w:tc>
          <w:tcPr>
            <w:tcW w:w="8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绩效指标（90分）</w:t>
            </w: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一级指标</w:t>
            </w:r>
          </w:p>
        </w:tc>
        <w:tc>
          <w:tcPr>
            <w:tcW w:w="945"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二级指标</w:t>
            </w:r>
          </w:p>
        </w:tc>
        <w:tc>
          <w:tcPr>
            <w:tcW w:w="827"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三级指标</w:t>
            </w:r>
          </w:p>
        </w:tc>
        <w:tc>
          <w:tcPr>
            <w:tcW w:w="930"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指标性质</w:t>
            </w:r>
          </w:p>
        </w:tc>
        <w:tc>
          <w:tcPr>
            <w:tcW w:w="1004"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指标值</w:t>
            </w:r>
          </w:p>
        </w:tc>
        <w:tc>
          <w:tcPr>
            <w:tcW w:w="797"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度量单位</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完成值</w:t>
            </w:r>
          </w:p>
        </w:tc>
        <w:tc>
          <w:tcPr>
            <w:tcW w:w="930"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权重</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得分</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未完成原因分析</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产出指标</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26" w:hRule="atLeast"/>
          <w:jc w:val="center"/>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auto"/>
                <w:kern w:val="0"/>
                <w:sz w:val="24"/>
                <w:highlight w:val="none"/>
              </w:rPr>
            </w:pPr>
          </w:p>
        </w:tc>
        <w:tc>
          <w:tcPr>
            <w:tcW w:w="712"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效益指标</w:t>
            </w:r>
          </w:p>
        </w:tc>
        <w:tc>
          <w:tcPr>
            <w:tcW w:w="94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0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9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7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　</w:t>
            </w:r>
          </w:p>
        </w:tc>
      </w:tr>
      <w:tr>
        <w:tblPrEx>
          <w:tblCellMar>
            <w:top w:w="0" w:type="dxa"/>
            <w:left w:w="108" w:type="dxa"/>
            <w:bottom w:w="0" w:type="dxa"/>
            <w:right w:w="108" w:type="dxa"/>
          </w:tblCellMar>
        </w:tblPrEx>
        <w:trPr>
          <w:trHeight w:val="211" w:hRule="atLeast"/>
          <w:jc w:val="center"/>
        </w:trPr>
        <w:tc>
          <w:tcPr>
            <w:tcW w:w="68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合计</w:t>
            </w:r>
          </w:p>
        </w:tc>
        <w:tc>
          <w:tcPr>
            <w:tcW w:w="9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100.00</w:t>
            </w:r>
          </w:p>
        </w:tc>
        <w:tc>
          <w:tcPr>
            <w:tcW w:w="107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100</w:t>
            </w:r>
          </w:p>
        </w:tc>
        <w:tc>
          <w:tcPr>
            <w:tcW w:w="989" w:type="dxa"/>
            <w:tcBorders>
              <w:top w:val="nil"/>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评价结论</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根据该项目预算执行率、 绩效目标实现指标自评得分100.00分，自评等次为：优，严格执行相关政策，按要求支付，保障资金及时、足额支付到位。保障学校正常运行。</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存在问题</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无</w:t>
            </w:r>
          </w:p>
        </w:tc>
      </w:tr>
      <w:tr>
        <w:tblPrEx>
          <w:tblCellMar>
            <w:top w:w="0" w:type="dxa"/>
            <w:left w:w="108" w:type="dxa"/>
            <w:bottom w:w="0" w:type="dxa"/>
            <w:right w:w="108" w:type="dxa"/>
          </w:tblCellMar>
        </w:tblPrEx>
        <w:trPr>
          <w:trHeight w:val="226" w:hRule="atLeast"/>
          <w:jc w:val="center"/>
        </w:trPr>
        <w:tc>
          <w:tcPr>
            <w:tcW w:w="86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改进措施</w:t>
            </w:r>
          </w:p>
        </w:tc>
        <w:tc>
          <w:tcPr>
            <w:tcW w:w="8946"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无</w:t>
            </w:r>
          </w:p>
        </w:tc>
      </w:tr>
      <w:tr>
        <w:tblPrEx>
          <w:tblCellMar>
            <w:top w:w="0" w:type="dxa"/>
            <w:left w:w="108" w:type="dxa"/>
            <w:bottom w:w="0" w:type="dxa"/>
            <w:right w:w="108" w:type="dxa"/>
          </w:tblCellMar>
        </w:tblPrEx>
        <w:trPr>
          <w:trHeight w:val="214" w:hRule="atLeast"/>
          <w:jc w:val="center"/>
        </w:trPr>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color w:val="auto"/>
                <w:kern w:val="0"/>
                <w:sz w:val="24"/>
                <w:highlight w:val="none"/>
              </w:rPr>
              <w:t>项目负责人：</w:t>
            </w:r>
            <w:r>
              <w:rPr>
                <w:rFonts w:hint="eastAsia" w:ascii="仿宋" w:hAnsi="仿宋" w:eastAsia="仿宋" w:cs="仿宋"/>
                <w:b w:val="0"/>
                <w:bCs w:val="0"/>
                <w:color w:val="auto"/>
                <w:kern w:val="0"/>
                <w:sz w:val="24"/>
                <w:highlight w:val="none"/>
                <w:lang w:eastAsia="zh-CN"/>
              </w:rPr>
              <w:t>张忠宁</w:t>
            </w:r>
          </w:p>
        </w:tc>
        <w:tc>
          <w:tcPr>
            <w:tcW w:w="5532"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color w:val="auto"/>
                <w:kern w:val="0"/>
                <w:sz w:val="24"/>
                <w:highlight w:val="none"/>
              </w:rPr>
              <w:t>财务负责人：</w:t>
            </w:r>
            <w:r>
              <w:rPr>
                <w:rFonts w:hint="eastAsia" w:ascii="仿宋" w:hAnsi="仿宋" w:eastAsia="仿宋" w:cs="仿宋"/>
                <w:b w:val="0"/>
                <w:bCs w:val="0"/>
                <w:color w:val="auto"/>
                <w:kern w:val="0"/>
                <w:sz w:val="24"/>
                <w:highlight w:val="none"/>
                <w:lang w:eastAsia="zh-CN"/>
              </w:rPr>
              <w:t>卓光荣</w:t>
            </w:r>
          </w:p>
        </w:tc>
      </w:tr>
    </w:tbl>
    <w:p>
      <w:pPr>
        <w:widowControl/>
        <w:jc w:val="left"/>
        <w:rPr>
          <w:rFonts w:hint="eastAsia" w:ascii="仿宋" w:hAnsi="仿宋" w:eastAsia="仿宋" w:cs="仿宋"/>
          <w:b w:val="0"/>
          <w:bCs w:val="0"/>
          <w:kern w:val="0"/>
          <w:sz w:val="32"/>
          <w:szCs w:val="32"/>
          <w:highlight w:val="none"/>
        </w:rPr>
      </w:pPr>
      <w:r>
        <w:rPr>
          <w:rFonts w:hint="eastAsia" w:ascii="仿宋" w:hAnsi="仿宋" w:eastAsia="仿宋" w:cs="仿宋"/>
          <w:b w:val="0"/>
          <w:bCs w:val="0"/>
          <w:color w:val="auto"/>
          <w:kern w:val="0"/>
          <w:sz w:val="24"/>
          <w:highlight w:val="none"/>
        </w:rPr>
        <w:br w:type="page"/>
      </w:r>
    </w:p>
    <w:p>
      <w:pPr>
        <w:widowControl/>
        <w:jc w:val="center"/>
        <w:rPr>
          <w:rFonts w:hint="eastAsia" w:ascii="黑体" w:hAnsi="黑体" w:eastAsia="黑体" w:cs="宋体"/>
          <w:kern w:val="0"/>
          <w:sz w:val="48"/>
          <w:szCs w:val="48"/>
          <w:lang w:val="zh-CN" w:eastAsia="zh-CN"/>
        </w:rPr>
      </w:pPr>
      <w:r>
        <w:rPr>
          <w:rFonts w:hint="eastAsia" w:ascii="黑体" w:hAnsi="黑体" w:eastAsia="黑体" w:cs="宋体"/>
          <w:kern w:val="0"/>
          <w:sz w:val="48"/>
          <w:szCs w:val="48"/>
          <w:lang w:val="zh-CN" w:eastAsia="zh-CN"/>
        </w:rPr>
        <w:t>第五部分 附表</w:t>
      </w:r>
      <w:bookmarkStart w:id="77" w:name="_GoBack"/>
      <w:bookmarkEnd w:id="77"/>
    </w:p>
    <w:p>
      <w:pPr>
        <w:pStyle w:val="12"/>
        <w:adjustRightInd w:val="0"/>
        <w:snapToGrid w:val="0"/>
        <w:spacing w:line="560" w:lineRule="exact"/>
        <w:jc w:val="left"/>
        <w:rPr>
          <w:rFonts w:hint="eastAsia" w:ascii="方正仿宋_GB2312" w:hAnsi="方正仿宋_GB2312" w:eastAsia="方正仿宋_GB2312" w:cs="方正仿宋_GB2312"/>
          <w:b w:val="0"/>
          <w:bCs w:val="0"/>
          <w:color w:val="auto"/>
          <w:kern w:val="2"/>
          <w:sz w:val="32"/>
          <w:szCs w:val="32"/>
          <w:highlight w:val="none"/>
          <w:lang w:val="zh-CN" w:eastAsia="zh-CN" w:bidi="ar-SA"/>
        </w:rPr>
      </w:pPr>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2" w:name="_Toc12425"/>
      <w:r>
        <w:rPr>
          <w:rFonts w:hint="eastAsia" w:ascii="方正仿宋_GB2312" w:hAnsi="方正仿宋_GB2312" w:eastAsia="方正仿宋_GB2312" w:cs="方正仿宋_GB2312"/>
          <w:b w:val="0"/>
          <w:bCs w:val="0"/>
          <w:color w:val="auto"/>
          <w:kern w:val="2"/>
          <w:sz w:val="32"/>
          <w:szCs w:val="32"/>
          <w:highlight w:val="none"/>
          <w:lang w:val="zh-CN" w:eastAsia="zh-CN" w:bidi="ar-SA"/>
        </w:rPr>
        <w:t>一、收入支出决算总表</w:t>
      </w:r>
      <w:bookmarkEnd w:id="62"/>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3" w:name="_Toc32087"/>
      <w:r>
        <w:rPr>
          <w:rFonts w:hint="eastAsia" w:ascii="方正仿宋_GB2312" w:hAnsi="方正仿宋_GB2312" w:eastAsia="方正仿宋_GB2312" w:cs="方正仿宋_GB2312"/>
          <w:b w:val="0"/>
          <w:bCs w:val="0"/>
          <w:color w:val="auto"/>
          <w:kern w:val="2"/>
          <w:sz w:val="32"/>
          <w:szCs w:val="32"/>
          <w:highlight w:val="none"/>
          <w:lang w:val="zh-CN" w:eastAsia="zh-CN" w:bidi="ar-SA"/>
        </w:rPr>
        <w:t>二、收入决算表</w:t>
      </w:r>
      <w:bookmarkEnd w:id="63"/>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4" w:name="_Toc14815"/>
      <w:r>
        <w:rPr>
          <w:rFonts w:hint="eastAsia" w:ascii="方正仿宋_GB2312" w:hAnsi="方正仿宋_GB2312" w:eastAsia="方正仿宋_GB2312" w:cs="方正仿宋_GB2312"/>
          <w:b w:val="0"/>
          <w:bCs w:val="0"/>
          <w:color w:val="auto"/>
          <w:kern w:val="2"/>
          <w:sz w:val="32"/>
          <w:szCs w:val="32"/>
          <w:highlight w:val="none"/>
          <w:lang w:val="zh-CN" w:eastAsia="zh-CN" w:bidi="ar-SA"/>
        </w:rPr>
        <w:t>三、支出决算表</w:t>
      </w:r>
      <w:bookmarkEnd w:id="64"/>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5" w:name="_Toc18138"/>
      <w:r>
        <w:rPr>
          <w:rFonts w:hint="eastAsia" w:ascii="方正仿宋_GB2312" w:hAnsi="方正仿宋_GB2312" w:eastAsia="方正仿宋_GB2312" w:cs="方正仿宋_GB2312"/>
          <w:b w:val="0"/>
          <w:bCs w:val="0"/>
          <w:color w:val="auto"/>
          <w:kern w:val="2"/>
          <w:sz w:val="32"/>
          <w:szCs w:val="32"/>
          <w:highlight w:val="none"/>
          <w:lang w:val="zh-CN" w:eastAsia="zh-CN" w:bidi="ar-SA"/>
        </w:rPr>
        <w:t>四、财政拨款收入支出决算总表</w:t>
      </w:r>
      <w:bookmarkEnd w:id="65"/>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6" w:name="_Toc5599"/>
      <w:r>
        <w:rPr>
          <w:rFonts w:hint="eastAsia" w:ascii="方正仿宋_GB2312" w:hAnsi="方正仿宋_GB2312" w:eastAsia="方正仿宋_GB2312" w:cs="方正仿宋_GB2312"/>
          <w:b w:val="0"/>
          <w:bCs w:val="0"/>
          <w:color w:val="auto"/>
          <w:kern w:val="2"/>
          <w:sz w:val="32"/>
          <w:szCs w:val="32"/>
          <w:highlight w:val="none"/>
          <w:lang w:val="zh-CN" w:eastAsia="zh-CN" w:bidi="ar-SA"/>
        </w:rPr>
        <w:t>五、财政拨款支出决算明细表</w:t>
      </w:r>
      <w:bookmarkEnd w:id="66"/>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7" w:name="_Toc19937"/>
      <w:r>
        <w:rPr>
          <w:rFonts w:hint="eastAsia" w:ascii="方正仿宋_GB2312" w:hAnsi="方正仿宋_GB2312" w:eastAsia="方正仿宋_GB2312" w:cs="方正仿宋_GB2312"/>
          <w:b w:val="0"/>
          <w:bCs w:val="0"/>
          <w:color w:val="auto"/>
          <w:kern w:val="2"/>
          <w:sz w:val="32"/>
          <w:szCs w:val="32"/>
          <w:highlight w:val="none"/>
          <w:lang w:val="zh-CN" w:eastAsia="zh-CN" w:bidi="ar-SA"/>
        </w:rPr>
        <w:t>六、一般公共预算财政拨款支出决算表</w:t>
      </w:r>
      <w:bookmarkEnd w:id="67"/>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8" w:name="_Toc25049"/>
      <w:r>
        <w:rPr>
          <w:rFonts w:hint="eastAsia" w:ascii="方正仿宋_GB2312" w:hAnsi="方正仿宋_GB2312" w:eastAsia="方正仿宋_GB2312" w:cs="方正仿宋_GB2312"/>
          <w:b w:val="0"/>
          <w:bCs w:val="0"/>
          <w:color w:val="auto"/>
          <w:kern w:val="2"/>
          <w:sz w:val="32"/>
          <w:szCs w:val="32"/>
          <w:highlight w:val="none"/>
          <w:lang w:val="zh-CN" w:eastAsia="zh-CN" w:bidi="ar-SA"/>
        </w:rPr>
        <w:t>七、一般公共预算财政拨款支出决算明细表</w:t>
      </w:r>
      <w:bookmarkEnd w:id="68"/>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69" w:name="_Toc12395"/>
      <w:r>
        <w:rPr>
          <w:rFonts w:hint="eastAsia" w:ascii="方正仿宋_GB2312" w:hAnsi="方正仿宋_GB2312" w:eastAsia="方正仿宋_GB2312" w:cs="方正仿宋_GB2312"/>
          <w:b w:val="0"/>
          <w:bCs w:val="0"/>
          <w:color w:val="auto"/>
          <w:kern w:val="2"/>
          <w:sz w:val="32"/>
          <w:szCs w:val="32"/>
          <w:highlight w:val="none"/>
          <w:lang w:val="zh-CN" w:eastAsia="zh-CN" w:bidi="ar-SA"/>
        </w:rPr>
        <w:t>八、一般公共预算财政拨款基本支出决算表</w:t>
      </w:r>
      <w:bookmarkEnd w:id="69"/>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70" w:name="_Toc10743"/>
      <w:r>
        <w:rPr>
          <w:rFonts w:hint="eastAsia" w:ascii="方正仿宋_GB2312" w:hAnsi="方正仿宋_GB2312" w:eastAsia="方正仿宋_GB2312" w:cs="方正仿宋_GB2312"/>
          <w:b w:val="0"/>
          <w:bCs w:val="0"/>
          <w:color w:val="auto"/>
          <w:kern w:val="2"/>
          <w:sz w:val="32"/>
          <w:szCs w:val="32"/>
          <w:highlight w:val="none"/>
          <w:lang w:val="zh-CN" w:eastAsia="zh-CN" w:bidi="ar-SA"/>
        </w:rPr>
        <w:t>九、一般公共预算财政拨款项目支出决算表</w:t>
      </w:r>
      <w:bookmarkEnd w:id="70"/>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71" w:name="_Toc16248"/>
      <w:r>
        <w:rPr>
          <w:rFonts w:hint="eastAsia" w:ascii="方正仿宋_GB2312" w:hAnsi="方正仿宋_GB2312" w:eastAsia="方正仿宋_GB2312" w:cs="方正仿宋_GB2312"/>
          <w:b w:val="0"/>
          <w:bCs w:val="0"/>
          <w:color w:val="auto"/>
          <w:kern w:val="2"/>
          <w:sz w:val="32"/>
          <w:szCs w:val="32"/>
          <w:highlight w:val="none"/>
          <w:lang w:val="zh-CN" w:eastAsia="zh-CN" w:bidi="ar-SA"/>
        </w:rPr>
        <w:t>十、政府性基金预算财政拨款收入支出决算表</w:t>
      </w:r>
      <w:bookmarkEnd w:id="71"/>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72" w:name="_Toc8886"/>
      <w:r>
        <w:rPr>
          <w:rFonts w:hint="eastAsia" w:ascii="方正仿宋_GB2312" w:hAnsi="方正仿宋_GB2312" w:eastAsia="方正仿宋_GB2312" w:cs="方正仿宋_GB2312"/>
          <w:b w:val="0"/>
          <w:bCs w:val="0"/>
          <w:color w:val="auto"/>
          <w:kern w:val="2"/>
          <w:sz w:val="32"/>
          <w:szCs w:val="32"/>
          <w:highlight w:val="none"/>
          <w:lang w:val="zh-CN" w:eastAsia="zh-CN" w:bidi="ar-SA"/>
        </w:rPr>
        <w:t>十一、国有资本经营预算财政拨款收入支出决算表</w:t>
      </w:r>
      <w:bookmarkEnd w:id="72"/>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73" w:name="_Toc20265"/>
      <w:r>
        <w:rPr>
          <w:rFonts w:hint="eastAsia" w:ascii="方正仿宋_GB2312" w:hAnsi="方正仿宋_GB2312" w:eastAsia="方正仿宋_GB2312" w:cs="方正仿宋_GB2312"/>
          <w:b w:val="0"/>
          <w:bCs w:val="0"/>
          <w:color w:val="auto"/>
          <w:kern w:val="2"/>
          <w:sz w:val="32"/>
          <w:szCs w:val="32"/>
          <w:highlight w:val="none"/>
          <w:lang w:val="zh-CN" w:eastAsia="zh-CN" w:bidi="ar-SA"/>
        </w:rPr>
        <w:t>十二、国有资本经营预算财政拨款支出决算表</w:t>
      </w:r>
      <w:bookmarkEnd w:id="73"/>
    </w:p>
    <w:p>
      <w:pPr>
        <w:pStyle w:val="12"/>
        <w:adjustRightInd w:val="0"/>
        <w:snapToGrid w:val="0"/>
        <w:spacing w:line="560" w:lineRule="exact"/>
        <w:ind w:left="0" w:leftChars="0" w:firstLine="0" w:firstLineChars="0"/>
        <w:jc w:val="left"/>
        <w:outlineLvl w:val="1"/>
        <w:rPr>
          <w:rFonts w:hint="eastAsia" w:ascii="方正仿宋_GB2312" w:hAnsi="方正仿宋_GB2312" w:eastAsia="方正仿宋_GB2312" w:cs="方正仿宋_GB2312"/>
          <w:b w:val="0"/>
          <w:bCs w:val="0"/>
          <w:color w:val="auto"/>
          <w:kern w:val="2"/>
          <w:sz w:val="32"/>
          <w:szCs w:val="32"/>
          <w:highlight w:val="none"/>
          <w:lang w:val="zh-CN" w:eastAsia="zh-CN" w:bidi="ar-SA"/>
        </w:rPr>
      </w:pPr>
      <w:bookmarkStart w:id="74" w:name="_Toc17150"/>
      <w:r>
        <w:rPr>
          <w:rFonts w:hint="eastAsia" w:ascii="方正仿宋_GB2312" w:hAnsi="方正仿宋_GB2312" w:eastAsia="方正仿宋_GB2312" w:cs="方正仿宋_GB2312"/>
          <w:b w:val="0"/>
          <w:bCs w:val="0"/>
          <w:color w:val="auto"/>
          <w:kern w:val="2"/>
          <w:sz w:val="32"/>
          <w:szCs w:val="32"/>
          <w:highlight w:val="none"/>
          <w:lang w:val="zh-CN" w:eastAsia="zh-CN" w:bidi="ar-SA"/>
        </w:rPr>
        <w:t>十三、财政拨款“三公”经费支出决算表</w:t>
      </w:r>
      <w:bookmarkEnd w:id="74"/>
    </w:p>
    <w:p>
      <w:pPr>
        <w:outlineLvl w:val="1"/>
        <w:rPr>
          <w:rFonts w:hint="eastAsia" w:ascii="方正仿宋_GB2312" w:hAnsi="方正仿宋_GB2312" w:eastAsia="方正仿宋_GB2312" w:cs="方正仿宋_GB2312"/>
          <w:b w:val="0"/>
          <w:bCs w:val="0"/>
          <w:color w:val="auto"/>
          <w:kern w:val="2"/>
          <w:sz w:val="32"/>
          <w:szCs w:val="32"/>
          <w:highlight w:val="none"/>
          <w:lang w:val="en-US" w:eastAsia="zh-CN" w:bidi="ar-SA"/>
        </w:rPr>
      </w:pPr>
    </w:p>
    <w:p>
      <w:pPr>
        <w:pStyle w:val="7"/>
        <w:rPr>
          <w:rFonts w:hint="eastAsia" w:ascii="仿宋" w:hAnsi="仿宋" w:eastAsia="仿宋" w:cs="仿宋"/>
          <w:b w:val="0"/>
          <w:bCs w:val="0"/>
          <w:highlight w:val="none"/>
        </w:rPr>
      </w:pPr>
    </w:p>
    <w:p>
      <w:pPr>
        <w:spacing w:line="600" w:lineRule="exact"/>
        <w:ind w:firstLine="640"/>
        <w:rPr>
          <w:rFonts w:hint="eastAsia" w:ascii="仿宋" w:hAnsi="仿宋" w:eastAsia="仿宋" w:cs="仿宋"/>
          <w:b w:val="0"/>
          <w:bCs w:val="0"/>
          <w:color w:val="FF0000"/>
          <w:kern w:val="2"/>
          <w:sz w:val="32"/>
          <w:szCs w:val="32"/>
          <w:highlight w:val="none"/>
          <w:lang w:val="en-US" w:eastAsia="zh-CN" w:bidi="ar-SA"/>
        </w:rPr>
      </w:pPr>
    </w:p>
    <w:p>
      <w:pPr>
        <w:spacing w:line="600" w:lineRule="exact"/>
        <w:ind w:firstLine="640"/>
        <w:rPr>
          <w:rFonts w:hint="eastAsia" w:ascii="仿宋" w:hAnsi="仿宋" w:eastAsia="仿宋" w:cs="仿宋"/>
          <w:b w:val="0"/>
          <w:bCs w:val="0"/>
          <w:color w:val="FF0000"/>
          <w:kern w:val="2"/>
          <w:sz w:val="32"/>
          <w:szCs w:val="32"/>
          <w:highlight w:val="none"/>
          <w:lang w:val="en-US" w:eastAsia="zh-CN" w:bidi="ar-SA"/>
        </w:rPr>
      </w:pPr>
    </w:p>
    <w:p>
      <w:pPr>
        <w:numPr>
          <w:ilvl w:val="0"/>
          <w:numId w:val="0"/>
        </w:numPr>
        <w:spacing w:line="600" w:lineRule="exact"/>
        <w:jc w:val="center"/>
        <w:outlineLvl w:val="0"/>
        <w:rPr>
          <w:rFonts w:hint="eastAsia" w:ascii="仿宋" w:hAnsi="仿宋" w:eastAsia="仿宋" w:cs="仿宋"/>
          <w:b w:val="0"/>
          <w:bCs w:val="0"/>
          <w:color w:val="auto"/>
          <w:sz w:val="44"/>
          <w:szCs w:val="44"/>
          <w:highlight w:val="none"/>
        </w:rPr>
      </w:pPr>
      <w:bookmarkStart w:id="75" w:name="_Toc15396613"/>
      <w:bookmarkStart w:id="76" w:name="_Toc15377225"/>
    </w:p>
    <w:p>
      <w:pPr>
        <w:numPr>
          <w:ilvl w:val="0"/>
          <w:numId w:val="0"/>
        </w:numPr>
        <w:spacing w:line="600" w:lineRule="exact"/>
        <w:jc w:val="center"/>
        <w:outlineLvl w:val="0"/>
        <w:rPr>
          <w:rFonts w:hint="eastAsia" w:ascii="仿宋" w:hAnsi="仿宋" w:eastAsia="仿宋" w:cs="仿宋"/>
          <w:b w:val="0"/>
          <w:bCs w:val="0"/>
          <w:color w:val="auto"/>
          <w:sz w:val="44"/>
          <w:szCs w:val="44"/>
          <w:highlight w:val="none"/>
        </w:rPr>
      </w:pPr>
    </w:p>
    <w:bookmarkEnd w:id="75"/>
    <w:bookmarkEnd w:id="76"/>
    <w:p>
      <w:pPr>
        <w:rPr>
          <w:rFonts w:hint="eastAsia" w:ascii="仿宋" w:hAnsi="仿宋" w:eastAsia="仿宋" w:cs="仿宋"/>
          <w:b w:val="0"/>
          <w:bCs w:val="0"/>
          <w:highlight w:val="none"/>
        </w:rPr>
      </w:pPr>
    </w:p>
    <w:sectPr>
      <w:footerReference r:id="rId14" w:type="first"/>
      <w:footerReference r:id="rId13" w:type="default"/>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rPr>
        <w:rFonts w:hint="default"/>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12020"/>
    <w:rsid w:val="017D31AE"/>
    <w:rsid w:val="026D6CB3"/>
    <w:rsid w:val="027D1EE5"/>
    <w:rsid w:val="03453632"/>
    <w:rsid w:val="04054368"/>
    <w:rsid w:val="04561A95"/>
    <w:rsid w:val="04963494"/>
    <w:rsid w:val="07ED2710"/>
    <w:rsid w:val="083A445D"/>
    <w:rsid w:val="08BF22FE"/>
    <w:rsid w:val="08FD6983"/>
    <w:rsid w:val="0A5172DF"/>
    <w:rsid w:val="0A5D1182"/>
    <w:rsid w:val="0B5C4536"/>
    <w:rsid w:val="0BC70343"/>
    <w:rsid w:val="0BF85ACF"/>
    <w:rsid w:val="0F2033CB"/>
    <w:rsid w:val="104D0AF0"/>
    <w:rsid w:val="114C65B8"/>
    <w:rsid w:val="121F35E7"/>
    <w:rsid w:val="14412681"/>
    <w:rsid w:val="14970822"/>
    <w:rsid w:val="14DA401C"/>
    <w:rsid w:val="15790593"/>
    <w:rsid w:val="165C0C95"/>
    <w:rsid w:val="16817BC0"/>
    <w:rsid w:val="16900824"/>
    <w:rsid w:val="16CA07EC"/>
    <w:rsid w:val="173615A7"/>
    <w:rsid w:val="18065DBD"/>
    <w:rsid w:val="182877DC"/>
    <w:rsid w:val="18480BCB"/>
    <w:rsid w:val="18E267B3"/>
    <w:rsid w:val="18F9701E"/>
    <w:rsid w:val="19884E0A"/>
    <w:rsid w:val="19B0594A"/>
    <w:rsid w:val="1A290FC0"/>
    <w:rsid w:val="1A315E34"/>
    <w:rsid w:val="1C065B53"/>
    <w:rsid w:val="1C690196"/>
    <w:rsid w:val="1E5244D0"/>
    <w:rsid w:val="1EBD0FDA"/>
    <w:rsid w:val="1F0545CF"/>
    <w:rsid w:val="1F8434CD"/>
    <w:rsid w:val="20861528"/>
    <w:rsid w:val="20996A4D"/>
    <w:rsid w:val="21EE282F"/>
    <w:rsid w:val="22975397"/>
    <w:rsid w:val="231A31E4"/>
    <w:rsid w:val="23D470C5"/>
    <w:rsid w:val="24236254"/>
    <w:rsid w:val="24C226B4"/>
    <w:rsid w:val="250A4BB6"/>
    <w:rsid w:val="252A2FCC"/>
    <w:rsid w:val="25E303EA"/>
    <w:rsid w:val="265B7AD0"/>
    <w:rsid w:val="271D1461"/>
    <w:rsid w:val="27920750"/>
    <w:rsid w:val="27A36C18"/>
    <w:rsid w:val="28924B10"/>
    <w:rsid w:val="29E263C0"/>
    <w:rsid w:val="2A64184D"/>
    <w:rsid w:val="2B1B0B54"/>
    <w:rsid w:val="2DDE12DD"/>
    <w:rsid w:val="2E6D0438"/>
    <w:rsid w:val="2EE970D8"/>
    <w:rsid w:val="2FCE276A"/>
    <w:rsid w:val="2FDF00D8"/>
    <w:rsid w:val="31B704E8"/>
    <w:rsid w:val="31E67360"/>
    <w:rsid w:val="32E34A0E"/>
    <w:rsid w:val="333453C0"/>
    <w:rsid w:val="337B7EBA"/>
    <w:rsid w:val="35E12020"/>
    <w:rsid w:val="361542CC"/>
    <w:rsid w:val="36E47102"/>
    <w:rsid w:val="36F31165"/>
    <w:rsid w:val="37D27E11"/>
    <w:rsid w:val="37F549D0"/>
    <w:rsid w:val="380924DF"/>
    <w:rsid w:val="3926059F"/>
    <w:rsid w:val="393C2657"/>
    <w:rsid w:val="3A7C167C"/>
    <w:rsid w:val="3C3D5521"/>
    <w:rsid w:val="3CDC43D6"/>
    <w:rsid w:val="3F925A59"/>
    <w:rsid w:val="413911A0"/>
    <w:rsid w:val="42157286"/>
    <w:rsid w:val="428B67D2"/>
    <w:rsid w:val="42BC7D4C"/>
    <w:rsid w:val="430869F4"/>
    <w:rsid w:val="448F177C"/>
    <w:rsid w:val="46B15D94"/>
    <w:rsid w:val="488F34AC"/>
    <w:rsid w:val="498B70B7"/>
    <w:rsid w:val="499B7076"/>
    <w:rsid w:val="4A334981"/>
    <w:rsid w:val="4AF63166"/>
    <w:rsid w:val="4B24061E"/>
    <w:rsid w:val="4BA32F15"/>
    <w:rsid w:val="4C3C64B4"/>
    <w:rsid w:val="4C3F3FEC"/>
    <w:rsid w:val="4CD53923"/>
    <w:rsid w:val="4CDB7951"/>
    <w:rsid w:val="4D336C99"/>
    <w:rsid w:val="4DEA65B2"/>
    <w:rsid w:val="4E567C40"/>
    <w:rsid w:val="4F5473E9"/>
    <w:rsid w:val="4F7B5905"/>
    <w:rsid w:val="4FB86655"/>
    <w:rsid w:val="4FE86945"/>
    <w:rsid w:val="50630D8E"/>
    <w:rsid w:val="50E97A91"/>
    <w:rsid w:val="50F001CB"/>
    <w:rsid w:val="517253F2"/>
    <w:rsid w:val="51C759D1"/>
    <w:rsid w:val="52190810"/>
    <w:rsid w:val="52460E5A"/>
    <w:rsid w:val="55F75613"/>
    <w:rsid w:val="567037CC"/>
    <w:rsid w:val="568968AB"/>
    <w:rsid w:val="56DD1B4A"/>
    <w:rsid w:val="578E2CA1"/>
    <w:rsid w:val="583B5DF7"/>
    <w:rsid w:val="583E44E8"/>
    <w:rsid w:val="58472D43"/>
    <w:rsid w:val="59D33C8E"/>
    <w:rsid w:val="5A9C175E"/>
    <w:rsid w:val="5ADC4BA7"/>
    <w:rsid w:val="5B396EC8"/>
    <w:rsid w:val="5C2C422A"/>
    <w:rsid w:val="5D5B349C"/>
    <w:rsid w:val="5E316028"/>
    <w:rsid w:val="5EA9252D"/>
    <w:rsid w:val="5F9702CA"/>
    <w:rsid w:val="5FB5754F"/>
    <w:rsid w:val="6028345A"/>
    <w:rsid w:val="60B625B9"/>
    <w:rsid w:val="6368573A"/>
    <w:rsid w:val="64015FDD"/>
    <w:rsid w:val="64231E4D"/>
    <w:rsid w:val="65036CDD"/>
    <w:rsid w:val="652F496B"/>
    <w:rsid w:val="66566714"/>
    <w:rsid w:val="66E33D71"/>
    <w:rsid w:val="68E1575D"/>
    <w:rsid w:val="6A241888"/>
    <w:rsid w:val="6B2070F1"/>
    <w:rsid w:val="6CCB0057"/>
    <w:rsid w:val="6D305B36"/>
    <w:rsid w:val="6DDA3B40"/>
    <w:rsid w:val="707E31A5"/>
    <w:rsid w:val="70E95107"/>
    <w:rsid w:val="712832BA"/>
    <w:rsid w:val="71482841"/>
    <w:rsid w:val="725367DE"/>
    <w:rsid w:val="766E41EF"/>
    <w:rsid w:val="7742300C"/>
    <w:rsid w:val="779B6EB0"/>
    <w:rsid w:val="77E34CBF"/>
    <w:rsid w:val="78B673FD"/>
    <w:rsid w:val="7A360F9D"/>
    <w:rsid w:val="7AD60E54"/>
    <w:rsid w:val="7B4B31AB"/>
    <w:rsid w:val="7B4C0B16"/>
    <w:rsid w:val="7BC02341"/>
    <w:rsid w:val="7C337B20"/>
    <w:rsid w:val="7D1868D9"/>
    <w:rsid w:val="7D1E196E"/>
    <w:rsid w:val="7D3B61D1"/>
    <w:rsid w:val="7D9060F3"/>
    <w:rsid w:val="7EFC3EE4"/>
    <w:rsid w:val="7EFD651C"/>
    <w:rsid w:val="7F756880"/>
    <w:rsid w:val="7F79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99"/>
    <w:pPr>
      <w:spacing w:beforeLines="30"/>
    </w:pPr>
    <w:rPr>
      <w:rFonts w:ascii="仿宋_GB2312" w:eastAsia="仿宋_GB2312"/>
      <w:kern w:val="0"/>
      <w:sz w:val="30"/>
    </w:rPr>
  </w:style>
  <w:style w:type="paragraph" w:styleId="8">
    <w:name w:val="toc 3"/>
    <w:basedOn w:val="1"/>
    <w:next w:val="1"/>
    <w:uiPriority w:val="0"/>
    <w:pPr>
      <w:ind w:left="840" w:leftChars="400"/>
    </w:p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paragraph" w:customStyle="1" w:styleId="1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8">
    <w:name w:val="标题 1 Char"/>
    <w:basedOn w:val="15"/>
    <w:link w:val="5"/>
    <w:qFormat/>
    <w:uiPriority w:val="9"/>
    <w:rPr>
      <w:b/>
      <w:bCs/>
      <w:kern w:val="44"/>
      <w:sz w:val="44"/>
      <w:szCs w:val="44"/>
    </w:rPr>
  </w:style>
  <w:style w:type="character" w:customStyle="1" w:styleId="19">
    <w:name w:val="标题 2 Char"/>
    <w:basedOn w:val="15"/>
    <w:link w:val="6"/>
    <w:qFormat/>
    <w:uiPriority w:val="9"/>
    <w:rPr>
      <w:rFonts w:asciiTheme="majorHAnsi" w:hAnsiTheme="majorHAnsi" w:eastAsiaTheme="majorEastAsia" w:cstheme="majorBidi"/>
      <w:b/>
      <w:bCs/>
      <w:sz w:val="32"/>
      <w:szCs w:val="32"/>
    </w:rPr>
  </w:style>
  <w:style w:type="paragraph" w:styleId="20">
    <w:name w:val="List Paragraph"/>
    <w:basedOn w:val="1"/>
    <w:qFormat/>
    <w:uiPriority w:val="34"/>
    <w:pPr>
      <w:ind w:firstLine="420" w:firstLineChars="200"/>
    </w:p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收入支出决算总计变动情况图</a:t>
            </a:r>
            <a:r>
              <a:rPr lang="en-US" altLang="zh-CN"/>
              <a:t>              </a:t>
            </a:r>
            <a:endParaRPr lang="en-US" altLang="zh-CN"/>
          </a:p>
        </c:rich>
      </c:tx>
      <c:layout>
        <c:manualLayout>
          <c:xMode val="edge"/>
          <c:yMode val="edge"/>
          <c:x val="0.318192800193283"/>
          <c:y val="0.00918273645546373"/>
        </c:manualLayout>
      </c:layout>
      <c:overlay val="0"/>
      <c:spPr>
        <a:noFill/>
        <a:ln>
          <a:noFill/>
        </a:ln>
        <a:effectLst/>
      </c:spPr>
    </c:title>
    <c:autoTitleDeleted val="0"/>
    <c:plotArea>
      <c:layout>
        <c:manualLayout>
          <c:layoutTarget val="inner"/>
          <c:xMode val="edge"/>
          <c:yMode val="edge"/>
          <c:x val="0.0594217600811565"/>
          <c:y val="0.159735488611315"/>
          <c:w val="0.936774029926452"/>
          <c:h val="0.63855988243938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665.37</c:v>
                </c:pt>
                <c:pt idx="1">
                  <c:v>665.37</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794.38</c:v>
                </c:pt>
                <c:pt idx="1">
                  <c:v>794.38</c:v>
                </c:pt>
              </c:numCache>
            </c:numRef>
          </c:val>
        </c:ser>
        <c:dLbls>
          <c:showLegendKey val="0"/>
          <c:showVal val="0"/>
          <c:showCatName val="0"/>
          <c:showSerName val="0"/>
          <c:showPercent val="0"/>
          <c:showBubbleSize val="0"/>
        </c:dLbls>
        <c:gapWidth val="246"/>
        <c:overlap val="-28"/>
        <c:axId val="527715367"/>
        <c:axId val="87263086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277153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630864"/>
        <c:crosses val="autoZero"/>
        <c:auto val="1"/>
        <c:lblAlgn val="ctr"/>
        <c:lblOffset val="100"/>
        <c:noMultiLvlLbl val="0"/>
      </c:catAx>
      <c:valAx>
        <c:axId val="8726308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7153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0.9026</c:v>
                </c:pt>
                <c:pt idx="1">
                  <c:v>0.0974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22360473544334"/>
          <c:y val="0.298555036124097"/>
          <c:w val="0.39514375453008"/>
          <c:h val="0.695070123246919"/>
        </c:manualLayout>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03346456692913"/>
                  <c:y val="-0.09967015474726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80.2</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1500984251969"/>
                  <c:y val="0.066012186865267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17.2%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项目库支出</c:v>
                </c:pt>
              </c:strCache>
            </c:strRef>
          </c:cat>
          <c:val>
            <c:numRef>
              <c:f>Sheet1!$B$2:$B$3</c:f>
              <c:numCache>
                <c:formatCode>0.00%</c:formatCode>
                <c:ptCount val="2"/>
                <c:pt idx="0">
                  <c:v>0.828</c:v>
                </c:pt>
                <c:pt idx="1">
                  <c:v>0.172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7333907480315"/>
          <c:y val="0.1784021665538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52959652089877"/>
          <c:y val="0.0096431761141759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665.37</c:v>
                </c:pt>
                <c:pt idx="1">
                  <c:v>665.37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717.01</c:v>
                </c:pt>
                <c:pt idx="1">
                  <c:v>717.01</c:v>
                </c:pt>
              </c:numCache>
            </c:numRef>
          </c:val>
        </c:ser>
        <c:dLbls>
          <c:showLegendKey val="0"/>
          <c:showVal val="1"/>
          <c:showCatName val="0"/>
          <c:showSerName val="0"/>
          <c:showPercent val="0"/>
          <c:showBubbleSize val="0"/>
        </c:dLbls>
        <c:gapWidth val="246"/>
        <c:overlap val="-28"/>
        <c:axId val="223561929"/>
        <c:axId val="672472861"/>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财政拨款收入</c:v>
                      </c:pt>
                      <c:pt idx="1">
                        <c:v>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235619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2472861"/>
        <c:crosses val="autoZero"/>
        <c:auto val="1"/>
        <c:lblAlgn val="ctr"/>
        <c:lblOffset val="100"/>
        <c:noMultiLvlLbl val="0"/>
      </c:catAx>
      <c:valAx>
        <c:axId val="67247286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5619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a:t>
            </a:r>
            <a:r>
              <a:rPr lang="en-US" altLang="zh-CN"/>
              <a:t> </a:t>
            </a:r>
            <a:r>
              <a:t>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665.37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717.01</c:v>
                </c:pt>
              </c:numCache>
            </c:numRef>
          </c:val>
        </c:ser>
        <c:dLbls>
          <c:showLegendKey val="0"/>
          <c:showVal val="1"/>
          <c:showCatName val="0"/>
          <c:showSerName val="0"/>
          <c:showPercent val="0"/>
          <c:showBubbleSize val="0"/>
        </c:dLbls>
        <c:gapWidth val="246"/>
        <c:overlap val="-28"/>
        <c:axId val="670553492"/>
        <c:axId val="11264510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705534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645100"/>
        <c:crosses val="autoZero"/>
        <c:auto val="1"/>
        <c:lblAlgn val="ctr"/>
        <c:lblOffset val="100"/>
        <c:noMultiLvlLbl val="0"/>
      </c:catAx>
      <c:valAx>
        <c:axId val="1126451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5534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1721712922265"/>
          <c:y val="0.00949667616334283"/>
        </c:manualLayout>
      </c:layout>
      <c:overlay val="0"/>
      <c:spPr>
        <a:noFill/>
        <a:ln>
          <a:noFill/>
        </a:ln>
        <a:effectLst/>
      </c:spPr>
      <c:txPr>
        <a:bodyPr rot="0" spcFirstLastPara="0" vertOverflow="ellipsis" vert="horz" wrap="square" anchor="ctr" anchorCtr="1"/>
        <a:lstStyle/>
        <a:p>
          <a:pPr>
            <a:defRPr lang="zh-CN" sz="1080" b="1" i="0" u="none" strike="noStrike" kern="1200" cap="none" spc="0" normalizeH="0" baseline="0">
              <a:solidFill>
                <a:schemeClr val="tx1"/>
              </a:solidFill>
              <a:uFill>
                <a:solidFill>
                  <a:schemeClr val="tx1"/>
                </a:solidFill>
              </a:u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33906819038051"/>
                  <c:y val="0.023741690408357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11641341203064"/>
                      <c:h val="0.190789473684211"/>
                    </c:manualLayout>
                  </c15:layout>
                </c:ext>
              </c:extLst>
            </c:dLbl>
            <c:dLbl>
              <c:idx val="1"/>
              <c:layout>
                <c:manualLayout>
                  <c:x val="-0.20984553560216"/>
                  <c:y val="0.176954732510288"/>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00213487379128"/>
                      <c:h val="0.128887559808612"/>
                    </c:manualLayout>
                  </c15:layout>
                </c:ext>
              </c:extLst>
            </c:dLbl>
            <c:dLbl>
              <c:idx val="2"/>
              <c:layout>
                <c:manualLayout>
                  <c:x val="-0.255305789275399"/>
                  <c:y val="0.20987654320987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09205073464775"/>
                      <c:h val="0.121411483253589"/>
                    </c:manualLayout>
                  </c15:layout>
                </c:ext>
              </c:extLst>
            </c:dLbl>
            <c:dLbl>
              <c:idx val="3"/>
              <c:layout>
                <c:manualLayout>
                  <c:x val="-0.299259073213613"/>
                  <c:y val="0.14878125989237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09205073464775"/>
                      <c:h val="0.129485645933014"/>
                    </c:manualLayout>
                  </c15:layout>
                </c:ext>
              </c:extLst>
            </c:dLbl>
            <c:dLbl>
              <c:idx val="4"/>
              <c:layout>
                <c:manualLayout>
                  <c:x val="0.209092050734648"/>
                  <c:y val="0.04341908362376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2678638704006"/>
                      <c:h val="0.15998803827751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社会保障和就业支出</c:v>
                </c:pt>
                <c:pt idx="2">
                  <c:v>卫生健康支出</c:v>
                </c:pt>
                <c:pt idx="3">
                  <c:v>住房保障支出</c:v>
                </c:pt>
                <c:pt idx="4">
                  <c:v>资源勘探工业信息等支出</c:v>
                </c:pt>
              </c:strCache>
            </c:strRef>
          </c:cat>
          <c:val>
            <c:numRef>
              <c:f>Sheet1!$B$2:$B$6</c:f>
              <c:numCache>
                <c:formatCode>0.00%</c:formatCode>
                <c:ptCount val="5"/>
                <c:pt idx="0">
                  <c:v>0.7344</c:v>
                </c:pt>
                <c:pt idx="1">
                  <c:v>0.1154</c:v>
                </c:pt>
                <c:pt idx="2">
                  <c:v>0.041</c:v>
                </c:pt>
                <c:pt idx="3">
                  <c:v>0.067</c:v>
                </c:pt>
                <c:pt idx="4">
                  <c:v>0.0422</c:v>
                </c:pt>
              </c:numCache>
            </c:numRef>
          </c:val>
        </c:ser>
        <c:ser>
          <c:idx val="1"/>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社会保障和就业支出</c:v>
                </c:pt>
                <c:pt idx="2">
                  <c:v>卫生健康支出</c:v>
                </c:pt>
                <c:pt idx="3">
                  <c:v>住房保障支出</c:v>
                </c:pt>
                <c:pt idx="4">
                  <c:v>资源勘探工业信息等支出</c:v>
                </c:pt>
              </c:strCache>
            </c:strRef>
          </c:cat>
          <c:val>
            <c:numRef>
              <c:f>Sheet1!$C$2:$C$6</c:f>
              <c:numCache>
                <c:formatCode>General</c:formatCode>
                <c:ptCount val="5"/>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legendEntry>
      <c:layout>
        <c:manualLayout>
          <c:xMode val="edge"/>
          <c:yMode val="edge"/>
          <c:x val="0.0773716340092374"/>
          <c:y val="0.00957548675390999"/>
          <c:w val="0.886474946628155"/>
          <c:h val="0.342513453624565"/>
        </c:manualLayout>
      </c:layout>
      <c:overlay val="1"/>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u="none" strike="noStrike" kern="1200" cap="none" spc="0" normalizeH="0">
          <a:solidFill>
            <a:schemeClr val="tx1"/>
          </a:solidFill>
          <a:uFill>
            <a:solidFill>
              <a:schemeClr val="tx1"/>
            </a:solidFill>
          </a:u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4509</Words>
  <Characters>4996</Characters>
  <Lines>0</Lines>
  <Paragraphs>0</Paragraphs>
  <TotalTime>60</TotalTime>
  <ScaleCrop>false</ScaleCrop>
  <LinksUpToDate>false</LinksUpToDate>
  <CharactersWithSpaces>5130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2025-08-19T06:12:00Z</dcterms:created>
  <dc:creator>longdechuanren</dc:creator>
  <cp:lastModifiedBy>Administrator</cp:lastModifiedBy>
  <dcterms:modified xsi:type="dcterms:W3CDTF">2025-08-28T07:09:05Z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1CCEE40EB1144C9BA20B56FCB1EBF285_11</vt:lpwstr>
  </property>
  <property fmtid="{D5CDD505-2E9C-101B-9397-08002B2CF9AE}" pid="4" name="KSOTemplateDocerSaveRecord">
    <vt:lpwstr>eyJoZGlkIjoiMmYwY2Y1YzI2MDAxNTUxMmU5OGJkZTE3ZWQwMjYyMjIiLCJ1c2VySWQiOiI2NjM0NTAwNTMifQ==</vt:lpwstr>
  </property>
</Properties>
</file>