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310F">
      <w:pPr>
        <w:spacing w:line="600" w:lineRule="exact"/>
        <w:jc w:val="left"/>
        <w:outlineLvl w:val="0"/>
        <w:rPr>
          <w:rFonts w:ascii="方正小标宋简体" w:hAnsi="宋体" w:eastAsia="方正小标宋简体"/>
          <w:szCs w:val="21"/>
        </w:rPr>
      </w:pPr>
      <w:bookmarkStart w:id="0" w:name="_Toc15306267"/>
    </w:p>
    <w:p w14:paraId="136173FE">
      <w:pPr>
        <w:pStyle w:val="9"/>
        <w:spacing w:before="93"/>
      </w:pPr>
    </w:p>
    <w:p w14:paraId="4E25F002">
      <w:pPr>
        <w:spacing w:line="600" w:lineRule="exact"/>
        <w:jc w:val="center"/>
        <w:outlineLvl w:val="0"/>
        <w:rPr>
          <w:rFonts w:ascii="方正小标宋简体" w:hAnsi="宋体" w:eastAsia="方正小标宋简体"/>
          <w:sz w:val="72"/>
          <w:szCs w:val="72"/>
        </w:rPr>
      </w:pPr>
    </w:p>
    <w:p w14:paraId="4E267961">
      <w:pPr>
        <w:spacing w:line="600" w:lineRule="exact"/>
        <w:jc w:val="center"/>
        <w:outlineLvl w:val="0"/>
        <w:rPr>
          <w:rFonts w:ascii="方正小标宋简体" w:hAnsi="宋体" w:eastAsia="方正小标宋简体"/>
          <w:sz w:val="72"/>
          <w:szCs w:val="72"/>
        </w:rPr>
      </w:pPr>
    </w:p>
    <w:p w14:paraId="49505E43">
      <w:pPr>
        <w:pStyle w:val="9"/>
        <w:suppressAutoHyphens/>
        <w:spacing w:before="0" w:beforeLines="-2147483648" w:after="140" w:line="276" w:lineRule="auto"/>
        <w:jc w:val="center"/>
        <w:rPr>
          <w:rFonts w:hint="eastAsia" w:ascii="Times New Roman" w:hAnsi="Times New Roman" w:eastAsia="方正小标宋简体" w:cs="Times New Roman"/>
          <w:kern w:val="2"/>
          <w:sz w:val="44"/>
          <w:szCs w:val="44"/>
          <w:lang w:val="en-US" w:eastAsia="zh-CN"/>
        </w:rPr>
      </w:pPr>
      <w:bookmarkStart w:id="1" w:name="_Toc15396475"/>
      <w:bookmarkStart w:id="2" w:name="_Toc15378441"/>
      <w:bookmarkStart w:id="3" w:name="_Toc15377193"/>
      <w:bookmarkStart w:id="4" w:name="_Toc15377425"/>
      <w:bookmarkStart w:id="5" w:name="_Toc15396597"/>
      <w:r>
        <w:rPr>
          <w:rFonts w:hint="eastAsia" w:ascii="Times New Roman" w:hAnsi="Times New Roman" w:eastAsia="方正小标宋简体" w:cs="Times New Roman"/>
          <w:kern w:val="2"/>
          <w:sz w:val="44"/>
          <w:szCs w:val="44"/>
        </w:rPr>
        <w:t>202</w:t>
      </w:r>
      <w:r>
        <w:rPr>
          <w:rFonts w:hint="eastAsia" w:ascii="Times New Roman" w:hAnsi="Times New Roman" w:eastAsia="方正小标宋简体" w:cs="Times New Roman"/>
          <w:kern w:val="2"/>
          <w:sz w:val="44"/>
          <w:szCs w:val="44"/>
          <w:lang w:val="en-US" w:eastAsia="zh-CN"/>
        </w:rPr>
        <w:t>4年度</w:t>
      </w:r>
      <w:bookmarkEnd w:id="1"/>
      <w:bookmarkEnd w:id="2"/>
      <w:bookmarkEnd w:id="3"/>
      <w:bookmarkEnd w:id="4"/>
      <w:bookmarkEnd w:id="5"/>
    </w:p>
    <w:p w14:paraId="6BDDF8A4">
      <w:pPr>
        <w:pStyle w:val="9"/>
        <w:suppressAutoHyphens/>
        <w:spacing w:before="93" w:beforeLines="30" w:after="0" w:line="240" w:lineRule="auto"/>
        <w:jc w:val="center"/>
        <w:rPr>
          <w:rFonts w:hint="eastAsia" w:ascii="Times New Roman" w:hAnsi="Times New Roman" w:eastAsia="方正小标宋简体" w:cs="Times New Roman"/>
          <w:kern w:val="2"/>
          <w:sz w:val="44"/>
          <w:szCs w:val="44"/>
          <w:lang w:val="en-US" w:eastAsia="zh-CN"/>
        </w:rPr>
      </w:pPr>
      <w:bookmarkStart w:id="6" w:name="_Toc15377194"/>
      <w:bookmarkStart w:id="7" w:name="_Toc15396476"/>
      <w:bookmarkStart w:id="8" w:name="_Toc15377426"/>
      <w:bookmarkStart w:id="9" w:name="_Toc15396598"/>
      <w:bookmarkStart w:id="10" w:name="_Toc15378442"/>
      <w:r>
        <w:rPr>
          <w:rFonts w:hint="eastAsia" w:ascii="Times New Roman" w:hAnsi="Times New Roman" w:eastAsia="方正小标宋简体" w:cs="Times New Roman"/>
          <w:kern w:val="2"/>
          <w:sz w:val="44"/>
          <w:szCs w:val="44"/>
        </w:rPr>
        <w:t>四川省</w:t>
      </w:r>
      <w:bookmarkEnd w:id="0"/>
      <w:bookmarkStart w:id="11" w:name="_Toc15306268"/>
      <w:r>
        <w:rPr>
          <w:rFonts w:hint="eastAsia" w:ascii="Times New Roman" w:hAnsi="Times New Roman" w:eastAsia="方正小标宋简体" w:cs="Times New Roman"/>
          <w:kern w:val="2"/>
          <w:sz w:val="44"/>
          <w:szCs w:val="44"/>
          <w:lang w:val="en-US" w:eastAsia="zh-CN"/>
        </w:rPr>
        <w:t>遂宁市安居区分水镇中心小学校</w:t>
      </w:r>
    </w:p>
    <w:p w14:paraId="07F4658C">
      <w:pPr>
        <w:pStyle w:val="9"/>
        <w:suppressAutoHyphens/>
        <w:spacing w:before="93" w:beforeLines="30" w:after="0" w:line="240" w:lineRule="auto"/>
        <w:jc w:val="center"/>
        <w:rPr>
          <w:rFonts w:hint="eastAsia" w:ascii="方正小标宋简体" w:hAnsi="宋体" w:eastAsia="方正小标宋简体"/>
          <w:kern w:val="2"/>
          <w:sz w:val="36"/>
          <w:szCs w:val="36"/>
        </w:rPr>
      </w:pPr>
      <w:r>
        <w:rPr>
          <w:rFonts w:hint="eastAsia" w:ascii="Times New Roman" w:hAnsi="Times New Roman" w:eastAsia="方正小标宋简体" w:cs="Times New Roman"/>
          <w:kern w:val="2"/>
          <w:sz w:val="44"/>
          <w:szCs w:val="44"/>
          <w:lang w:val="en-US" w:eastAsia="zh-CN"/>
        </w:rPr>
        <w:t>部门</w:t>
      </w:r>
      <w:r>
        <w:rPr>
          <w:rFonts w:hint="eastAsia" w:ascii="Times New Roman" w:hAnsi="Times New Roman" w:eastAsia="方正小标宋简体" w:cs="Times New Roman"/>
          <w:kern w:val="2"/>
          <w:sz w:val="44"/>
          <w:szCs w:val="44"/>
        </w:rPr>
        <w:t>决算</w:t>
      </w:r>
      <w:bookmarkEnd w:id="6"/>
      <w:bookmarkEnd w:id="7"/>
      <w:bookmarkEnd w:id="8"/>
      <w:bookmarkEnd w:id="9"/>
      <w:bookmarkEnd w:id="10"/>
      <w:bookmarkEnd w:id="11"/>
    </w:p>
    <w:p w14:paraId="5331D921">
      <w:pPr>
        <w:pStyle w:val="9"/>
        <w:suppressAutoHyphens/>
        <w:spacing w:before="0" w:beforeLines="-2147483648" w:after="140" w:line="276" w:lineRule="auto"/>
        <w:jc w:val="center"/>
        <w:rPr>
          <w:rFonts w:hint="eastAsia" w:ascii="方正小标宋简体" w:hAnsi="宋体" w:eastAsia="方正小标宋简体"/>
          <w:kern w:val="2"/>
          <w:sz w:val="36"/>
          <w:szCs w:val="36"/>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p w14:paraId="3B2B1BE9">
      <w:pPr>
        <w:widowControl/>
        <w:jc w:val="center"/>
        <w:rPr>
          <w:rFonts w:ascii="黑体" w:hAnsi="黑体" w:eastAsia="黑体"/>
          <w:sz w:val="48"/>
          <w:szCs w:val="48"/>
        </w:rPr>
      </w:pPr>
      <w:bookmarkStart w:id="12" w:name="_Toc15396599"/>
      <w:bookmarkStart w:id="13" w:name="_Toc15377196"/>
      <w:r>
        <w:rPr>
          <w:rFonts w:hint="eastAsia" w:ascii="黑体" w:hAnsi="黑体" w:eastAsia="黑体"/>
          <w:sz w:val="48"/>
          <w:szCs w:val="48"/>
        </w:rPr>
        <w:t>目录</w:t>
      </w:r>
    </w:p>
    <w:p w14:paraId="77C7BA47">
      <w:pPr>
        <w:widowControl/>
        <w:jc w:val="center"/>
        <w:rPr>
          <w:rFonts w:ascii="黑体" w:hAnsi="黑体" w:eastAsia="黑体"/>
          <w:sz w:val="28"/>
          <w:szCs w:val="28"/>
        </w:rPr>
      </w:pPr>
    </w:p>
    <w:p w14:paraId="2B9CF6FB">
      <w:pPr>
        <w:pStyle w:val="14"/>
        <w:keepNext w:val="0"/>
        <w:keepLines w:val="0"/>
        <w:pageBreakBefore w:val="0"/>
        <w:widowControl w:val="0"/>
        <w:tabs>
          <w:tab w:val="right" w:leader="dot" w:pos="8190"/>
          <w:tab w:val="clear" w:pos="8296"/>
        </w:tabs>
        <w:kinsoku/>
        <w:wordWrap/>
        <w:overflowPunct/>
        <w:topLinePunct w:val="0"/>
        <w:autoSpaceDE/>
        <w:autoSpaceDN/>
        <w:bidi w:val="0"/>
        <w:textAlignment w:val="auto"/>
        <w:rPr>
          <w:rFonts w:hint="eastAsia"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公开时间：2025年8月28</w:t>
      </w:r>
      <w:bookmarkStart w:id="63" w:name="_GoBack"/>
      <w:bookmarkEnd w:id="63"/>
      <w:r>
        <w:rPr>
          <w:rFonts w:hint="eastAsia" w:ascii="Times New Roman" w:hAnsi="Times New Roman" w:eastAsia="仿宋_GB2312" w:cs="Times New Roman"/>
          <w:b w:val="0"/>
          <w:bCs w:val="0"/>
          <w:kern w:val="2"/>
          <w:sz w:val="32"/>
          <w:szCs w:val="32"/>
          <w:lang w:val="en-US" w:eastAsia="zh-CN" w:bidi="ar"/>
        </w:rPr>
        <w:t>日</w:t>
      </w:r>
    </w:p>
    <w:p w14:paraId="0C1D0C9C">
      <w:pPr>
        <w:keepNext w:val="0"/>
        <w:keepLines w:val="0"/>
        <w:pageBreakBefore w:val="0"/>
        <w:widowControl w:val="0"/>
        <w:tabs>
          <w:tab w:val="right" w:leader="dot" w:pos="8190"/>
        </w:tabs>
        <w:kinsoku/>
        <w:wordWrap/>
        <w:overflowPunct/>
        <w:topLinePunct w:val="0"/>
        <w:autoSpaceDE/>
        <w:autoSpaceDN/>
        <w:bidi w:val="0"/>
        <w:textAlignment w:val="auto"/>
        <w:rPr>
          <w:sz w:val="20"/>
          <w:szCs w:val="22"/>
        </w:rPr>
      </w:pPr>
    </w:p>
    <w:p w14:paraId="192F4C80">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第一部分 部门概况</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w:t>
      </w:r>
    </w:p>
    <w:p w14:paraId="6DFA4E5C">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一、部门职责</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w:t>
      </w:r>
    </w:p>
    <w:p w14:paraId="3D5A0725">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二、机构设置</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w:t>
      </w:r>
    </w:p>
    <w:p w14:paraId="144D5D04">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第二部分 2024年度部门决算情况说明</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24513995">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一、收入支出决算总体情况说明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2ABACB05">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二、收入决算情况说明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6A2F155C">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三、支出决算情况说明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3</w:t>
      </w:r>
    </w:p>
    <w:p w14:paraId="7FC70036">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四、财政拨款收入支出决算总体情况说明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3</w:t>
      </w:r>
    </w:p>
    <w:p w14:paraId="168E913F">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五、一般公共预算财政拨款支出决算情况说明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4</w:t>
      </w:r>
    </w:p>
    <w:p w14:paraId="6D76F9D3">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六、一般公共预算财政拨款基本支出决算情况说明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7</w:t>
      </w:r>
    </w:p>
    <w:p w14:paraId="03C1064A">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七、财政拨款“三公”经费支出决算情况说明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8</w:t>
      </w:r>
    </w:p>
    <w:p w14:paraId="201630E4">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八、政府性基金预算支出决算情况说明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9</w:t>
      </w:r>
    </w:p>
    <w:p w14:paraId="50F61066">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九、国有资本经营预算支出决算情况说明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9</w:t>
      </w:r>
    </w:p>
    <w:p w14:paraId="194B340D">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十、其他重要事项的情况说明</w:t>
      </w:r>
      <w:r>
        <w:rPr>
          <w:rFonts w:hint="eastAsia" w:ascii="Times New Roman" w:hAnsi="Times New Roman" w:eastAsia="仿宋_GB2312" w:cs="Times New Roman"/>
          <w:b w:val="0"/>
          <w:bCs w:val="0"/>
          <w:kern w:val="2"/>
          <w:sz w:val="32"/>
          <w:szCs w:val="32"/>
          <w:lang w:val="en-US" w:eastAsia="zh-CN" w:bidi="ar"/>
        </w:rPr>
        <w:tab/>
      </w:r>
      <w:r>
        <w:rPr>
          <w:rFonts w:hint="eastAsia" w:eastAsia="仿宋_GB2312" w:cs="Times New Roman"/>
          <w:b w:val="0"/>
          <w:bCs w:val="0"/>
          <w:kern w:val="2"/>
          <w:sz w:val="32"/>
          <w:szCs w:val="32"/>
          <w:lang w:val="en-US" w:eastAsia="zh-CN" w:bidi="ar"/>
        </w:rPr>
        <w:t>9</w:t>
      </w:r>
    </w:p>
    <w:p w14:paraId="2D4D8798">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第三部分 名词解释</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12</w:t>
      </w:r>
    </w:p>
    <w:p w14:paraId="08660F50">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第四部分 附件</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14</w:t>
      </w:r>
    </w:p>
    <w:p w14:paraId="440A7D13">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第五部分 附表</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24</w:t>
      </w:r>
    </w:p>
    <w:p w14:paraId="02118DE9">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一、收入支出决算总表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1F50DA5F">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二、收入决算表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7AF93108">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三、支出决算表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22F0BE26">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Times New Roman"/>
          <w:b w:val="0"/>
          <w:bCs w:val="0"/>
          <w:kern w:val="2"/>
          <w:sz w:val="32"/>
          <w:szCs w:val="32"/>
          <w:lang w:val="en-US" w:eastAsia="zh-CN" w:bidi="ar"/>
        </w:rPr>
        <w:sectPr>
          <w:footerReference r:id="rId7" w:type="default"/>
          <w:pgSz w:w="11906" w:h="16838"/>
          <w:pgMar w:top="1440" w:right="1800" w:bottom="1440" w:left="1800" w:header="720" w:footer="720" w:gutter="0"/>
          <w:pgNumType w:fmt="decimal" w:start="1"/>
          <w:cols w:space="720" w:num="1"/>
          <w:docGrid w:type="lines" w:linePitch="312" w:charSpace="0"/>
        </w:sectPr>
      </w:pPr>
    </w:p>
    <w:p w14:paraId="439767CB">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四、财政拨款收入支出决算总表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0B58A9B4">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五、财政拨款支出决算明细表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18CF946B">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六、一般公共预算财政拨款支出决算表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416008E7">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七、一般公共预算财政拨款支出决算明细表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3ECB36DB">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八、一般公共预算财政拨款基本支出决算明细表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765C9BDC">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九、一般公共预算财政拨款项目支出决算表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647E01B2">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十、政府性基金预算财政拨款收入支出决算表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7C7DA951">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十一、国有资本经营预算财政拨款收入支出决算表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230D7011">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十二、国有资本经营预算财政拨款支出决算表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109DD3B8">
      <w:pPr>
        <w:pStyle w:val="15"/>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22"/>
          <w:szCs w:val="28"/>
        </w:rPr>
        <w:sectPr>
          <w:headerReference r:id="rId8" w:type="default"/>
          <w:footerReference r:id="rId9" w:type="default"/>
          <w:pgSz w:w="11906" w:h="16838"/>
          <w:pgMar w:top="1440" w:right="1800" w:bottom="1440" w:left="1800" w:header="851" w:footer="992" w:gutter="0"/>
          <w:pgNumType w:start="1"/>
          <w:cols w:space="720" w:num="1"/>
          <w:titlePg/>
          <w:docGrid w:type="lines" w:linePitch="312" w:charSpace="0"/>
        </w:sectPr>
      </w:pPr>
      <w:r>
        <w:rPr>
          <w:rFonts w:hint="eastAsia" w:ascii="Times New Roman" w:hAnsi="Times New Roman" w:eastAsia="仿宋_GB2312" w:cs="Times New Roman"/>
          <w:b w:val="0"/>
          <w:bCs w:val="0"/>
          <w:kern w:val="2"/>
          <w:sz w:val="32"/>
          <w:szCs w:val="32"/>
          <w:lang w:val="en-US" w:eastAsia="zh-CN" w:bidi="ar"/>
        </w:rPr>
        <w:t>十三、财政拨款“三公”经费支出决算表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r>
        <w:rPr>
          <w:rFonts w:hint="eastAsia" w:eastAsia="仿宋_GB2312" w:cs="Times New Roman"/>
          <w:b w:val="0"/>
          <w:bCs w:val="0"/>
          <w:kern w:val="2"/>
          <w:sz w:val="32"/>
          <w:szCs w:val="32"/>
          <w:lang w:val="en-US" w:eastAsia="zh-CN" w:bidi="ar"/>
        </w:rPr>
        <w:t>4</w:t>
      </w:r>
    </w:p>
    <w:p w14:paraId="41C12B89">
      <w:pPr>
        <w:pStyle w:val="5"/>
        <w:suppressAutoHyphens/>
        <w:jc w:val="center"/>
        <w:rPr>
          <w:rFonts w:ascii="黑体" w:eastAsia="黑体"/>
          <w:sz w:val="32"/>
          <w:szCs w:val="32"/>
        </w:rPr>
      </w:pPr>
      <w:r>
        <w:rPr>
          <w:rFonts w:hint="eastAsia" w:ascii="宋体" w:hAnsi="宋体" w:eastAsia="宋体" w:cs="宋体"/>
          <w:b/>
        </w:rPr>
        <w:t>第一部分 单位概况</w:t>
      </w:r>
      <w:bookmarkEnd w:id="12"/>
      <w:bookmarkEnd w:id="13"/>
    </w:p>
    <w:p w14:paraId="50E1F27A">
      <w:pPr>
        <w:pStyle w:val="6"/>
        <w:suppressAutoHyphens/>
        <w:rPr>
          <w:rFonts w:hint="eastAsia" w:ascii="黑体" w:hAnsi="黑体" w:eastAsia="黑体"/>
          <w:b w:val="0"/>
        </w:rPr>
      </w:pPr>
      <w:bookmarkStart w:id="14" w:name="_Toc15377197"/>
      <w:bookmarkStart w:id="15" w:name="_Toc15396600"/>
      <w:r>
        <w:rPr>
          <w:rFonts w:hint="eastAsia" w:ascii="黑体" w:hAnsi="黑体" w:eastAsia="黑体" w:cs="黑体"/>
          <w:b/>
          <w:lang w:val="en-US" w:eastAsia="zh-CN"/>
        </w:rPr>
        <w:t>一、部门职责</w:t>
      </w:r>
    </w:p>
    <w:p w14:paraId="5C5DCFF0">
      <w:pPr>
        <w:suppressAutoHyphen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遂宁市安居区分水镇中心小学校地处遂宁市安居区分水镇东平街15号，我校主要服务区域为四川省遂宁市安居区分水镇中心社区及附近区域。我校正确贯彻执行党和国家的教育方针、政策、法规；积极实施小学教育，促进小学教育发展，负责小学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679CDDC7">
      <w:pPr>
        <w:pStyle w:val="6"/>
        <w:suppressAutoHyphens/>
        <w:rPr>
          <w:rFonts w:hint="eastAsia" w:ascii="黑体" w:hAnsi="黑体" w:eastAsia="黑体" w:cs="黑体"/>
          <w:b/>
          <w:lang w:val="en-US" w:eastAsia="zh-CN"/>
        </w:rPr>
      </w:pPr>
      <w:r>
        <w:rPr>
          <w:rFonts w:hint="eastAsia" w:ascii="黑体" w:hAnsi="黑体" w:eastAsia="黑体" w:cs="黑体"/>
          <w:b/>
          <w:lang w:val="en-US" w:eastAsia="zh-CN"/>
        </w:rPr>
        <w:t>二、机构设置</w:t>
      </w:r>
    </w:p>
    <w:p w14:paraId="0B8ED08C">
      <w:pPr>
        <w:suppressAutoHyphen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本单位为事业单位1个，隶属于遂宁市安居区教体局。</w:t>
      </w:r>
    </w:p>
    <w:p w14:paraId="1CB23B14">
      <w:pPr>
        <w:suppressAutoHyphen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本单位纳入2024年度部门决算编制范围的二级预算单位机构设置</w:t>
      </w:r>
    </w:p>
    <w:bookmarkEnd w:id="14"/>
    <w:bookmarkEnd w:id="15"/>
    <w:p w14:paraId="2299267D">
      <w:pPr>
        <w:widowControl/>
        <w:jc w:val="left"/>
        <w:rPr>
          <w:rFonts w:ascii="仿宋" w:hAnsi="仿宋" w:eastAsia="仿宋"/>
          <w:kern w:val="0"/>
          <w:sz w:val="32"/>
          <w:szCs w:val="32"/>
        </w:rPr>
      </w:pPr>
      <w:r>
        <w:rPr>
          <w:rFonts w:ascii="仿宋" w:hAnsi="仿宋" w:eastAsia="仿宋"/>
          <w:sz w:val="32"/>
          <w:szCs w:val="32"/>
        </w:rPr>
        <w:br w:type="page"/>
      </w:r>
    </w:p>
    <w:p w14:paraId="3435A774">
      <w:pPr>
        <w:pStyle w:val="5"/>
        <w:suppressAutoHyphens/>
        <w:ind w:right="440"/>
      </w:pPr>
      <w:bookmarkStart w:id="16" w:name="_Toc15377204"/>
      <w:bookmarkStart w:id="17" w:name="_Toc15396602"/>
      <w:r>
        <w:rPr>
          <w:rFonts w:hint="eastAsia" w:ascii="宋体" w:hAnsi="宋体" w:eastAsia="宋体" w:cs="宋体"/>
          <w:b/>
        </w:rPr>
        <w:t>第二部分 202</w:t>
      </w:r>
      <w:r>
        <w:rPr>
          <w:rFonts w:hint="eastAsia" w:ascii="宋体" w:hAnsi="宋体" w:eastAsia="宋体" w:cs="宋体"/>
          <w:b/>
          <w:lang w:val="en-US" w:eastAsia="zh-CN"/>
        </w:rPr>
        <w:t>4</w:t>
      </w:r>
      <w:r>
        <w:rPr>
          <w:rFonts w:hint="eastAsia" w:ascii="宋体" w:hAnsi="宋体" w:eastAsia="宋体" w:cs="宋体"/>
          <w:b/>
        </w:rPr>
        <w:t>年度单位决算情况说明</w:t>
      </w:r>
      <w:bookmarkEnd w:id="16"/>
      <w:bookmarkEnd w:id="17"/>
    </w:p>
    <w:p w14:paraId="521637CB">
      <w:pPr>
        <w:pStyle w:val="28"/>
        <w:numPr>
          <w:ilvl w:val="0"/>
          <w:numId w:val="0"/>
        </w:numPr>
        <w:suppressAutoHyphens/>
        <w:spacing w:line="600" w:lineRule="exact"/>
        <w:outlineLvl w:val="1"/>
        <w:rPr>
          <w:rFonts w:hint="eastAsia" w:ascii="黑体" w:hAnsi="黑体" w:eastAsia="黑体"/>
          <w:sz w:val="32"/>
          <w:szCs w:val="32"/>
          <w:lang w:val="en-US" w:eastAsia="zh-CN"/>
        </w:rPr>
      </w:pPr>
      <w:bookmarkStart w:id="18" w:name="_Toc15377205"/>
      <w:bookmarkStart w:id="19" w:name="_Toc15396603"/>
      <w:r>
        <w:rPr>
          <w:rFonts w:hint="eastAsia" w:ascii="黑体" w:hAnsi="黑体" w:eastAsia="黑体"/>
          <w:sz w:val="32"/>
          <w:szCs w:val="32"/>
          <w:lang w:val="en-US" w:eastAsia="zh-CN"/>
        </w:rPr>
        <w:t>一、收入支出决算总体情况说明</w:t>
      </w:r>
      <w:bookmarkEnd w:id="18"/>
      <w:bookmarkEnd w:id="19"/>
    </w:p>
    <w:p w14:paraId="0F6BF7A1">
      <w:pPr>
        <w:suppressAutoHyphens/>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kern w:val="2"/>
          <w:sz w:val="32"/>
          <w:szCs w:val="32"/>
          <w:lang w:val="en-US" w:eastAsia="zh-CN" w:bidi="ar-SA"/>
        </w:rPr>
        <w:t>2024年度收入总计1078.38万元。与2023年相比，收入减少12.27万元，</w:t>
      </w:r>
      <w:r>
        <w:rPr>
          <w:rFonts w:hint="eastAsia" w:eastAsia="仿宋_GB2312" w:cs="仿宋_GB2312"/>
          <w:kern w:val="2"/>
          <w:sz w:val="32"/>
          <w:szCs w:val="32"/>
          <w:lang w:val="en-US" w:eastAsia="zh-CN" w:bidi="ar-SA"/>
        </w:rPr>
        <w:t>下降</w:t>
      </w:r>
      <w:r>
        <w:rPr>
          <w:rFonts w:hint="eastAsia" w:ascii="Times New Roman" w:hAnsi="Times New Roman" w:eastAsia="仿宋_GB2312" w:cs="仿宋_GB2312"/>
          <w:kern w:val="2"/>
          <w:sz w:val="32"/>
          <w:szCs w:val="32"/>
          <w:lang w:val="en-US" w:eastAsia="zh-CN" w:bidi="ar-SA"/>
        </w:rPr>
        <w:t>1.13%。2024年度支出总计1078.38万元。与2023年相比，支出减少12.27万元，</w:t>
      </w:r>
      <w:r>
        <w:rPr>
          <w:rFonts w:hint="eastAsia" w:eastAsia="仿宋_GB2312" w:cs="仿宋_GB2312"/>
          <w:kern w:val="2"/>
          <w:sz w:val="32"/>
          <w:szCs w:val="32"/>
          <w:lang w:val="en-US" w:eastAsia="zh-CN" w:bidi="ar-SA"/>
        </w:rPr>
        <w:t>下降</w:t>
      </w:r>
      <w:r>
        <w:rPr>
          <w:rFonts w:hint="eastAsia" w:ascii="Times New Roman" w:hAnsi="Times New Roman" w:eastAsia="仿宋_GB2312" w:cs="仿宋_GB2312"/>
          <w:kern w:val="2"/>
          <w:sz w:val="32"/>
          <w:szCs w:val="32"/>
          <w:lang w:val="en-US" w:eastAsia="zh-CN" w:bidi="ar-SA"/>
        </w:rPr>
        <w:t>1.13%。主要变动原因是本单位2024年度教职工较上年有减少。</w:t>
      </w:r>
    </w:p>
    <w:p w14:paraId="7FC1391A">
      <w:pPr>
        <w:suppressAutoHyphens/>
        <w:spacing w:line="600" w:lineRule="exact"/>
        <w:ind w:firstLine="640" w:firstLineChars="200"/>
        <w:rPr>
          <w:rFonts w:hint="eastAsia" w:ascii="仿宋" w:hAnsi="仿宋" w:eastAsia="仿宋"/>
          <w:sz w:val="32"/>
          <w:szCs w:val="32"/>
        </w:rPr>
      </w:pPr>
    </w:p>
    <w:p w14:paraId="3D609278">
      <w:pPr>
        <w:suppressAutoHyphens/>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zh-CN"/>
        </w:rPr>
        <w:pict>
          <v:shape id="_x0000_s1038" o:spid="_x0000_s1038" o:spt="75" type="#_x0000_t75" style="position:absolute;left:0pt;margin-left:-5pt;margin-top:0.75pt;height:222pt;width:419.15pt;mso-wrap-distance-bottom:0pt;mso-wrap-distance-left:9pt;mso-wrap-distance-right:9pt;mso-wrap-distance-top:0pt;z-index:251662336;mso-width-relative:page;mso-height-relative:page;" o:ole="t" filled="f" o:preferrelative="t" stroked="f" coordsize="21600,21600">
            <v:path/>
            <v:fill on="f" focussize="0,0"/>
            <v:stroke on="f"/>
            <v:imagedata r:id="rId14" o:title=""/>
            <o:lock v:ext="edit" aspectratio="t"/>
            <w10:wrap type="square"/>
          </v:shape>
          <o:OLEObject Type="Embed" ProgID="Excel.Chart.8" ShapeID="_x0000_s1038" DrawAspect="Content" ObjectID="_1468075725" r:id="rId13">
            <o:LockedField>false</o:LockedField>
          </o:OLEObject>
        </w:pict>
      </w:r>
    </w:p>
    <w:p w14:paraId="188F62BC">
      <w:pPr>
        <w:suppressAutoHyphens/>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（图1：收、支决算总计变动情况图）（柱状图）</w:t>
      </w:r>
    </w:p>
    <w:p w14:paraId="6C880017">
      <w:pPr>
        <w:spacing w:line="600" w:lineRule="exact"/>
        <w:ind w:firstLine="640" w:firstLineChars="200"/>
        <w:jc w:val="left"/>
        <w:rPr>
          <w:rFonts w:ascii="仿宋_GB2312" w:eastAsia="仿宋_GB2312"/>
          <w:sz w:val="32"/>
          <w:szCs w:val="32"/>
        </w:rPr>
      </w:pPr>
    </w:p>
    <w:p w14:paraId="1BA52223">
      <w:pPr>
        <w:pStyle w:val="28"/>
        <w:numPr>
          <w:ilvl w:val="0"/>
          <w:numId w:val="0"/>
        </w:numPr>
        <w:suppressAutoHyphens/>
        <w:spacing w:line="600" w:lineRule="exact"/>
        <w:outlineLvl w:val="1"/>
        <w:rPr>
          <w:rFonts w:hint="eastAsia" w:ascii="黑体" w:hAnsi="黑体" w:eastAsia="黑体"/>
          <w:sz w:val="32"/>
          <w:szCs w:val="32"/>
          <w:lang w:val="en-US" w:eastAsia="zh-CN"/>
        </w:rPr>
      </w:pPr>
      <w:bookmarkStart w:id="20" w:name="_Toc15377206"/>
      <w:bookmarkStart w:id="21" w:name="_Toc15396604"/>
      <w:r>
        <w:rPr>
          <w:rFonts w:hint="eastAsia" w:ascii="黑体" w:hAnsi="黑体" w:eastAsia="黑体"/>
          <w:sz w:val="32"/>
          <w:szCs w:val="32"/>
          <w:lang w:val="en-US" w:eastAsia="zh-CN"/>
        </w:rPr>
        <w:t>二、收入决算情况说明</w:t>
      </w:r>
      <w:bookmarkEnd w:id="20"/>
      <w:bookmarkEnd w:id="21"/>
    </w:p>
    <w:p w14:paraId="18B2FD4B">
      <w:pPr>
        <w:suppressAutoHyphens/>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2024年本年收入合计1078.38万元，其中：一般公共预算财政拨款收入980.86万元，占90.96%；其他收入97.51万元，占9.14%。</w:t>
      </w:r>
    </w:p>
    <w:p w14:paraId="2E67C1FD">
      <w:pPr>
        <w:suppressAutoHyphens/>
        <w:spacing w:line="600" w:lineRule="exact"/>
        <w:ind w:firstLine="640" w:firstLineChars="200"/>
        <w:rPr>
          <w:rFonts w:hint="eastAsia" w:ascii="Times New Roman" w:hAnsi="Times New Roman" w:eastAsia="仿宋_GB2312" w:cs="仿宋_GB2312"/>
          <w:kern w:val="2"/>
          <w:sz w:val="32"/>
          <w:szCs w:val="32"/>
          <w:lang w:val="en-US" w:eastAsia="zh-CN" w:bidi="ar-SA"/>
        </w:rPr>
      </w:pPr>
    </w:p>
    <w:p w14:paraId="4B15CE5D">
      <w:pPr>
        <w:spacing w:line="600" w:lineRule="exact"/>
        <w:rPr>
          <w:rFonts w:hint="eastAsia" w:ascii="仿宋" w:hAnsi="仿宋" w:eastAsia="仿宋"/>
          <w:sz w:val="32"/>
          <w:szCs w:val="32"/>
        </w:rPr>
      </w:pPr>
      <w:r>
        <w:rPr>
          <w:rFonts w:ascii="仿宋" w:hAnsi="仿宋" w:eastAsia="仿宋"/>
          <w:color w:val="000000"/>
          <w:sz w:val="32"/>
          <w:szCs w:val="32"/>
        </w:rPr>
        <w:pict>
          <v:shape id="Object 10" o:spid="_x0000_s1037" o:spt="75" type="#_x0000_t75" style="position:absolute;left:0pt;margin-left:27pt;margin-top:20.25pt;height:190.3pt;width:319pt;mso-wrap-distance-bottom:0pt;mso-wrap-distance-left:9pt;mso-wrap-distance-right:9pt;mso-wrap-distance-top:0pt;z-index:251661312;mso-width-relative:page;mso-height-relative:page;" o:ole="t" filled="f" o:preferrelative="t" stroked="f" coordsize="21600,21600">
            <v:path/>
            <v:fill on="f" focussize="0,0"/>
            <v:stroke on="f"/>
            <v:imagedata r:id="rId16" o:title=""/>
            <o:lock v:ext="edit" aspectratio="t"/>
            <w10:wrap type="square"/>
          </v:shape>
          <o:OLEObject Type="Embed" ProgID="Excel.Chart.8" ShapeID="Object 10" DrawAspect="Content" ObjectID="_1468075726" r:id="rId15">
            <o:LockedField>false</o:LockedField>
          </o:OLEObject>
        </w:pict>
      </w:r>
    </w:p>
    <w:p w14:paraId="44302A08">
      <w:pPr>
        <w:pStyle w:val="2"/>
        <w:rPr>
          <w:rFonts w:hint="eastAsia" w:ascii="仿宋" w:hAnsi="仿宋" w:eastAsia="仿宋"/>
          <w:sz w:val="32"/>
          <w:szCs w:val="32"/>
        </w:rPr>
      </w:pPr>
    </w:p>
    <w:p w14:paraId="3E8F35DD">
      <w:pPr>
        <w:pStyle w:val="3"/>
        <w:rPr>
          <w:rFonts w:hint="eastAsia" w:ascii="仿宋" w:hAnsi="仿宋" w:eastAsia="仿宋"/>
          <w:sz w:val="32"/>
          <w:szCs w:val="32"/>
        </w:rPr>
      </w:pPr>
    </w:p>
    <w:p w14:paraId="4F45203D">
      <w:pPr>
        <w:pStyle w:val="3"/>
        <w:rPr>
          <w:rFonts w:hint="eastAsia" w:ascii="仿宋" w:hAnsi="仿宋" w:eastAsia="仿宋"/>
          <w:sz w:val="32"/>
          <w:szCs w:val="32"/>
        </w:rPr>
      </w:pPr>
    </w:p>
    <w:p w14:paraId="21112503">
      <w:pPr>
        <w:pStyle w:val="3"/>
        <w:rPr>
          <w:rFonts w:hint="eastAsia" w:ascii="仿宋" w:hAnsi="仿宋" w:eastAsia="仿宋"/>
          <w:sz w:val="32"/>
          <w:szCs w:val="32"/>
        </w:rPr>
      </w:pPr>
    </w:p>
    <w:p w14:paraId="7A1A16D0">
      <w:pPr>
        <w:spacing w:line="600" w:lineRule="exact"/>
        <w:rPr>
          <w:rFonts w:hint="eastAsia" w:ascii="仿宋" w:hAnsi="仿宋" w:eastAsia="仿宋"/>
          <w:sz w:val="32"/>
          <w:szCs w:val="32"/>
        </w:rPr>
      </w:pPr>
    </w:p>
    <w:p w14:paraId="73D05247">
      <w:pPr>
        <w:suppressAutoHyphens/>
        <w:spacing w:line="600" w:lineRule="exact"/>
        <w:rPr>
          <w:rFonts w:hint="eastAsia" w:ascii="仿宋" w:hAnsi="仿宋" w:eastAsia="仿宋"/>
          <w:sz w:val="32"/>
          <w:szCs w:val="32"/>
        </w:rPr>
      </w:pPr>
    </w:p>
    <w:p w14:paraId="26F963A0">
      <w:pPr>
        <w:suppressAutoHyphens/>
        <w:spacing w:line="600" w:lineRule="exact"/>
        <w:ind w:firstLine="1280" w:firstLineChars="400"/>
        <w:rPr>
          <w:rFonts w:ascii="仿宋_GB2312" w:eastAsia="仿宋_GB2312"/>
          <w:sz w:val="32"/>
          <w:szCs w:val="32"/>
        </w:rPr>
      </w:pPr>
      <w:r>
        <w:rPr>
          <w:rFonts w:hint="eastAsia" w:ascii="仿宋" w:hAnsi="仿宋" w:eastAsia="仿宋"/>
          <w:sz w:val="32"/>
          <w:szCs w:val="32"/>
        </w:rPr>
        <w:t>（图2：收入决算结构图）（饼状图）</w:t>
      </w:r>
    </w:p>
    <w:p w14:paraId="76D6ADBB">
      <w:pPr>
        <w:pStyle w:val="28"/>
        <w:numPr>
          <w:ilvl w:val="0"/>
          <w:numId w:val="0"/>
        </w:numPr>
        <w:spacing w:line="600" w:lineRule="exact"/>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lang w:val="en-US"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14:paraId="68ECE27E">
      <w:pPr>
        <w:pStyle w:val="3"/>
        <w:suppressAutoHyphens/>
        <w:ind w:left="0" w:leftChars="0" w:firstLine="640" w:firstLineChars="200"/>
        <w:rPr>
          <w:rStyle w:val="30"/>
          <w:rFonts w:hint="eastAsia" w:ascii="黑体" w:hAnsi="黑体" w:eastAsia="黑体"/>
          <w:b w:val="0"/>
        </w:rPr>
      </w:pPr>
      <w:r>
        <w:rPr>
          <w:rFonts w:hint="eastAsia" w:ascii="Times New Roman" w:hAnsi="Times New Roman" w:eastAsia="仿宋_GB2312" w:cs="仿宋_GB2312"/>
          <w:kern w:val="2"/>
          <w:sz w:val="32"/>
          <w:szCs w:val="32"/>
          <w:lang w:val="en-US" w:eastAsia="zh-CN" w:bidi="ar-SA"/>
        </w:rPr>
        <w:t>2024年本年支出合计1078.38万元，其中：基本支出912.36万元，占84.6%；项目支出166.02万元，占15.4%；</w:t>
      </w:r>
    </w:p>
    <w:p w14:paraId="17900CC0">
      <w:pPr>
        <w:suppressAutoHyphens/>
        <w:spacing w:line="600" w:lineRule="exact"/>
        <w:ind w:firstLine="1600" w:firstLineChars="500"/>
        <w:rPr>
          <w:rFonts w:hint="eastAsia" w:ascii="仿宋" w:hAnsi="仿宋" w:eastAsia="仿宋"/>
          <w:sz w:val="32"/>
          <w:szCs w:val="32"/>
        </w:rPr>
      </w:pPr>
      <w:r>
        <w:rPr>
          <w:rFonts w:hint="eastAsia" w:ascii="仿宋" w:hAnsi="仿宋" w:eastAsia="仿宋"/>
          <w:sz w:val="32"/>
          <w:szCs w:val="32"/>
          <w:lang w:eastAsia="zh-CN"/>
        </w:rPr>
        <w:pict>
          <v:shape id="Object 11" o:spid="_x0000_s1032" o:spt="75" type="#_x0000_t75" style="position:absolute;left:0pt;margin-left:70.4pt;margin-top:18.85pt;height:196.85pt;width:301.95pt;mso-wrap-distance-bottom:0pt;mso-wrap-distance-left:9pt;mso-wrap-distance-right:9pt;mso-wrap-distance-top:0pt;z-index:251659264;mso-width-relative:page;mso-height-relative:page;" o:ole="t" filled="f" o:preferrelative="t" stroked="f" coordsize="21600,21600">
            <v:path/>
            <v:fill on="f" focussize="0,0"/>
            <v:stroke on="f"/>
            <v:imagedata r:id="rId18" o:title=""/>
            <o:lock v:ext="edit" aspectratio="t"/>
            <w10:wrap type="square"/>
          </v:shape>
          <o:OLEObject Type="Embed" ProgID="Excel.Chart.8" ShapeID="Object 11" DrawAspect="Content" ObjectID="_1468075727" r:id="rId17">
            <o:LockedField>false</o:LockedField>
          </o:OLEObject>
        </w:pict>
      </w:r>
    </w:p>
    <w:p w14:paraId="20CABE98">
      <w:pPr>
        <w:suppressAutoHyphens/>
        <w:spacing w:line="600" w:lineRule="exact"/>
        <w:ind w:firstLine="1600" w:firstLineChars="500"/>
        <w:rPr>
          <w:rFonts w:hint="eastAsia" w:ascii="仿宋" w:hAnsi="仿宋" w:eastAsia="仿宋"/>
          <w:sz w:val="32"/>
          <w:szCs w:val="32"/>
        </w:rPr>
      </w:pPr>
      <w:r>
        <w:rPr>
          <w:rFonts w:hint="eastAsia" w:ascii="仿宋" w:hAnsi="仿宋" w:eastAsia="仿宋"/>
          <w:sz w:val="32"/>
          <w:szCs w:val="32"/>
        </w:rPr>
        <w:t>（图3：支出决算结构图）（饼状图）</w:t>
      </w:r>
    </w:p>
    <w:p w14:paraId="54374CD8">
      <w:pPr>
        <w:pStyle w:val="2"/>
        <w:rPr>
          <w:rFonts w:hint="eastAsia"/>
        </w:rPr>
      </w:pPr>
      <w:bookmarkStart w:id="24" w:name="_Toc15377208"/>
      <w:bookmarkStart w:id="25" w:name="_Toc15396606"/>
    </w:p>
    <w:p w14:paraId="58DCDCD4">
      <w:pPr>
        <w:suppressAutoHyphens/>
        <w:spacing w:line="600" w:lineRule="exact"/>
        <w:outlineLvl w:val="1"/>
        <w:rPr>
          <w:rFonts w:hint="eastAsia" w:ascii="黑体" w:hAnsi="黑体" w:eastAsia="黑体"/>
          <w:sz w:val="32"/>
          <w:szCs w:val="32"/>
        </w:rPr>
      </w:pPr>
      <w:r>
        <w:rPr>
          <w:rFonts w:hint="eastAsia" w:ascii="黑体" w:hAnsi="黑体" w:eastAsia="黑体"/>
          <w:sz w:val="32"/>
          <w:szCs w:val="32"/>
        </w:rPr>
        <w:t>四、财政拨款收入支出决算总体情况说明</w:t>
      </w:r>
      <w:bookmarkEnd w:id="24"/>
      <w:bookmarkEnd w:id="25"/>
    </w:p>
    <w:p w14:paraId="4EBBBD90">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2024年度财政拨款收入总计980.86万元。与2023年相比，收入减少109.79万元，</w:t>
      </w:r>
      <w:r>
        <w:rPr>
          <w:rFonts w:hint="eastAsia" w:ascii="Times New Roman" w:eastAsia="仿宋_GB2312" w:cs="仿宋_GB2312"/>
          <w:kern w:val="2"/>
          <w:sz w:val="32"/>
          <w:szCs w:val="32"/>
          <w:lang w:val="en-US" w:eastAsia="zh-CN" w:bidi="ar-SA"/>
        </w:rPr>
        <w:t>下降</w:t>
      </w:r>
      <w:r>
        <w:rPr>
          <w:rFonts w:hint="eastAsia" w:ascii="Times New Roman" w:hAnsi="Times New Roman" w:eastAsia="仿宋_GB2312" w:cs="仿宋_GB2312"/>
          <w:kern w:val="2"/>
          <w:sz w:val="32"/>
          <w:szCs w:val="32"/>
          <w:lang w:val="en-US" w:eastAsia="zh-CN" w:bidi="ar-SA"/>
        </w:rPr>
        <w:t>10.07%。202</w:t>
      </w:r>
      <w:r>
        <w:rPr>
          <w:rFonts w:hint="eastAsia" w:ascii="Times New Roman"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年度财政拨款支出总计980.86万元。与2023年相比，支出减少109.79万元，</w:t>
      </w:r>
      <w:r>
        <w:rPr>
          <w:rFonts w:hint="eastAsia" w:ascii="Times New Roman" w:eastAsia="仿宋_GB2312" w:cs="仿宋_GB2312"/>
          <w:kern w:val="2"/>
          <w:sz w:val="32"/>
          <w:szCs w:val="32"/>
          <w:lang w:val="en-US" w:eastAsia="zh-CN" w:bidi="ar-SA"/>
        </w:rPr>
        <w:t>下降</w:t>
      </w:r>
      <w:r>
        <w:rPr>
          <w:rFonts w:hint="eastAsia" w:ascii="Times New Roman" w:hAnsi="Times New Roman" w:eastAsia="仿宋_GB2312" w:cs="仿宋_GB2312"/>
          <w:kern w:val="2"/>
          <w:sz w:val="32"/>
          <w:szCs w:val="32"/>
          <w:lang w:val="en-US" w:eastAsia="zh-CN" w:bidi="ar-SA"/>
        </w:rPr>
        <w:t>10.07%。主要变动原因是本单位2024年度教职工较上年减少较多。</w:t>
      </w:r>
    </w:p>
    <w:p w14:paraId="7B57389B">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仿宋" w:hAnsi="仿宋" w:eastAsia="仿宋"/>
          <w:color w:val="auto"/>
          <w:kern w:val="2"/>
          <w:sz w:val="32"/>
          <w:szCs w:val="24"/>
          <w:lang w:val="en-US" w:eastAsia="zh-CN"/>
        </w:rPr>
        <w:pict>
          <v:shape id="_x0000_s1039" o:spid="_x0000_s1039" o:spt="75" type="#_x0000_t75" style="position:absolute;left:0pt;margin-left:39.3pt;margin-top:9.95pt;height:242.4pt;width:347.4pt;mso-wrap-distance-bottom:0pt;mso-wrap-distance-left:9pt;mso-wrap-distance-right:9pt;mso-wrap-distance-top:0pt;z-index:251663360;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9" DrawAspect="Content" ObjectID="_1468075728" r:id="rId19">
            <o:LockedField>false</o:LockedField>
          </o:OLEObject>
        </w:pict>
      </w:r>
    </w:p>
    <w:p w14:paraId="483C0D1F">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3523E6D3">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5B0BE94C">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46B8968D">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5740C6B9">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2B22244C">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p>
    <w:p w14:paraId="772C0FD7">
      <w:pPr>
        <w:pStyle w:val="3"/>
        <w:suppressAutoHyphens/>
        <w:ind w:left="0" w:leftChars="0" w:firstLine="320" w:firstLineChars="100"/>
        <w:rPr>
          <w:rFonts w:hint="eastAsia" w:ascii="黑体" w:hAnsi="黑体" w:eastAsia="黑体"/>
          <w:sz w:val="32"/>
          <w:szCs w:val="32"/>
        </w:rPr>
      </w:pPr>
      <w:r>
        <w:rPr>
          <w:rFonts w:hint="eastAsia" w:ascii="Times New Roman" w:hAnsi="Times New Roman" w:eastAsia="仿宋_GB2312" w:cs="仿宋_GB2312"/>
          <w:kern w:val="2"/>
          <w:sz w:val="32"/>
          <w:szCs w:val="32"/>
          <w:lang w:val="en-US" w:eastAsia="zh-CN" w:bidi="ar-SA"/>
        </w:rPr>
        <w:t>（图4：财政拨款收、支决算总计变动情况）（柱状图）</w:t>
      </w:r>
      <w:bookmarkStart w:id="26" w:name="_Toc15377209"/>
      <w:bookmarkStart w:id="27" w:name="_Toc15396607"/>
    </w:p>
    <w:p w14:paraId="6B81BBFD">
      <w:pPr>
        <w:suppressAutoHyphens/>
        <w:spacing w:line="600" w:lineRule="exact"/>
        <w:outlineLvl w:val="1"/>
        <w:rPr>
          <w:rFonts w:hint="eastAsia" w:ascii="黑体" w:hAnsi="黑体" w:eastAsia="黑体"/>
          <w:sz w:val="32"/>
          <w:szCs w:val="32"/>
        </w:rPr>
      </w:pPr>
      <w:r>
        <w:rPr>
          <w:rFonts w:hint="eastAsia" w:ascii="黑体" w:hAnsi="黑体" w:eastAsia="黑体"/>
          <w:sz w:val="32"/>
          <w:szCs w:val="32"/>
        </w:rPr>
        <w:t>五、一般公共预算财政拨款支出决算情况说明</w:t>
      </w:r>
      <w:bookmarkEnd w:id="26"/>
      <w:bookmarkEnd w:id="27"/>
    </w:p>
    <w:p w14:paraId="4C9A6650">
      <w:pPr>
        <w:suppressAutoHyphens/>
        <w:spacing w:line="600" w:lineRule="exact"/>
        <w:ind w:firstLine="643" w:firstLineChars="200"/>
        <w:outlineLvl w:val="2"/>
        <w:rPr>
          <w:rFonts w:hint="eastAsia" w:ascii="仿宋" w:hAnsi="仿宋" w:eastAsia="仿宋" w:cs="仿宋"/>
          <w:b/>
          <w:sz w:val="32"/>
          <w:szCs w:val="32"/>
        </w:rPr>
      </w:pPr>
      <w:bookmarkStart w:id="28" w:name="_Toc15377210"/>
      <w:r>
        <w:rPr>
          <w:rFonts w:hint="eastAsia" w:ascii="仿宋" w:hAnsi="仿宋" w:eastAsia="仿宋" w:cs="仿宋"/>
          <w:b/>
          <w:sz w:val="32"/>
          <w:szCs w:val="32"/>
        </w:rPr>
        <w:t>（一）一般公共预算财政拨款支出决算总体情况</w:t>
      </w:r>
      <w:bookmarkEnd w:id="28"/>
    </w:p>
    <w:p w14:paraId="3B691641">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2024年一般公共预算财政拨款支出980.86万元，占本年支出合计的90.96%。与2023年相比，一般公共预算财政拨款支出减少109.79万元，</w:t>
      </w:r>
      <w:r>
        <w:rPr>
          <w:rFonts w:hint="eastAsia" w:ascii="Times New Roman" w:eastAsia="仿宋_GB2312" w:cs="仿宋_GB2312"/>
          <w:kern w:val="2"/>
          <w:sz w:val="32"/>
          <w:szCs w:val="32"/>
          <w:lang w:val="en-US" w:eastAsia="zh-CN" w:bidi="ar-SA"/>
        </w:rPr>
        <w:t>下降</w:t>
      </w:r>
      <w:r>
        <w:rPr>
          <w:rFonts w:hint="eastAsia" w:ascii="Times New Roman" w:hAnsi="Times New Roman" w:eastAsia="仿宋_GB2312" w:cs="仿宋_GB2312"/>
          <w:kern w:val="2"/>
          <w:sz w:val="32"/>
          <w:szCs w:val="32"/>
          <w:lang w:val="en-US" w:eastAsia="zh-CN" w:bidi="ar-SA"/>
        </w:rPr>
        <w:t>10.07%。主要变动原因是本单位2024年度教职工较上年减少较多。</w:t>
      </w:r>
    </w:p>
    <w:p w14:paraId="4F739797">
      <w:pPr>
        <w:spacing w:line="600" w:lineRule="exact"/>
        <w:ind w:firstLine="640" w:firstLineChars="200"/>
        <w:rPr>
          <w:rFonts w:hint="eastAsia" w:ascii="仿宋" w:hAnsi="仿宋" w:eastAsia="仿宋"/>
          <w:sz w:val="32"/>
          <w:szCs w:val="32"/>
        </w:rPr>
      </w:pPr>
      <w:bookmarkStart w:id="29" w:name="OLE_LINK2"/>
    </w:p>
    <w:p w14:paraId="672E7EDA">
      <w:pPr>
        <w:spacing w:line="600" w:lineRule="exact"/>
        <w:ind w:firstLine="640" w:firstLineChars="200"/>
        <w:rPr>
          <w:rFonts w:hint="eastAsia" w:ascii="仿宋" w:hAnsi="仿宋" w:eastAsia="仿宋"/>
          <w:sz w:val="32"/>
          <w:szCs w:val="32"/>
        </w:rPr>
      </w:pPr>
    </w:p>
    <w:p w14:paraId="3CB3D3AD">
      <w:pPr>
        <w:spacing w:line="600" w:lineRule="exact"/>
        <w:ind w:firstLine="640" w:firstLineChars="200"/>
        <w:rPr>
          <w:rFonts w:hint="eastAsia" w:ascii="仿宋" w:hAnsi="仿宋" w:eastAsia="仿宋"/>
          <w:sz w:val="32"/>
          <w:szCs w:val="32"/>
        </w:rPr>
      </w:pPr>
      <w:r>
        <w:rPr>
          <w:rFonts w:hint="eastAsia" w:ascii="仿宋" w:hAnsi="仿宋" w:eastAsia="仿宋"/>
          <w:color w:val="auto"/>
          <w:kern w:val="2"/>
          <w:sz w:val="32"/>
          <w:szCs w:val="24"/>
          <w:lang w:val="en-US" w:eastAsia="zh-CN"/>
        </w:rPr>
        <w:pict>
          <v:shape id="_x0000_s1040" o:spid="_x0000_s1040" o:spt="75" type="#_x0000_t75" style="position:absolute;left:0pt;margin-left:29.55pt;margin-top:21.7pt;height:253.2pt;width:376.2pt;mso-wrap-distance-bottom:0pt;mso-wrap-distance-left:9pt;mso-wrap-distance-right:9pt;mso-wrap-distance-top:0pt;z-index:251664384;mso-width-relative:page;mso-height-relative:page;" o:ole="t" filled="f" o:preferrelative="t" stroked="f" coordsize="21600,21600">
            <v:path/>
            <v:fill on="f" focussize="0,0"/>
            <v:stroke on="f"/>
            <v:imagedata r:id="rId22" o:title=""/>
            <o:lock v:ext="edit" aspectratio="t"/>
            <w10:wrap type="square"/>
          </v:shape>
          <o:OLEObject Type="Embed" ProgID="Excel.Chart.8" ShapeID="_x0000_s1040" DrawAspect="Content" ObjectID="_1468075729" r:id="rId21">
            <o:LockedField>false</o:LockedField>
          </o:OLEObject>
        </w:pict>
      </w:r>
    </w:p>
    <w:bookmarkEnd w:id="29"/>
    <w:p w14:paraId="3F625B8C">
      <w:pPr>
        <w:spacing w:line="600" w:lineRule="exact"/>
        <w:ind w:firstLine="640" w:firstLineChars="200"/>
        <w:rPr>
          <w:rFonts w:hint="eastAsia" w:ascii="仿宋" w:hAnsi="仿宋" w:eastAsia="仿宋"/>
          <w:sz w:val="32"/>
          <w:szCs w:val="32"/>
        </w:rPr>
      </w:pPr>
    </w:p>
    <w:p w14:paraId="660AD20C">
      <w:pPr>
        <w:spacing w:line="600" w:lineRule="exact"/>
        <w:ind w:firstLine="640" w:firstLineChars="200"/>
        <w:rPr>
          <w:rFonts w:hint="eastAsia" w:ascii="仿宋" w:hAnsi="仿宋" w:eastAsia="仿宋"/>
          <w:sz w:val="32"/>
          <w:szCs w:val="32"/>
        </w:rPr>
      </w:pPr>
    </w:p>
    <w:p w14:paraId="21E14859">
      <w:pPr>
        <w:spacing w:line="600" w:lineRule="exact"/>
        <w:ind w:firstLine="640" w:firstLineChars="200"/>
        <w:rPr>
          <w:rFonts w:hint="eastAsia" w:ascii="仿宋" w:hAnsi="仿宋" w:eastAsia="仿宋"/>
          <w:sz w:val="32"/>
          <w:szCs w:val="32"/>
        </w:rPr>
      </w:pPr>
    </w:p>
    <w:p w14:paraId="6C195D4A">
      <w:pPr>
        <w:spacing w:line="600" w:lineRule="exact"/>
        <w:ind w:firstLine="640" w:firstLineChars="200"/>
        <w:rPr>
          <w:rFonts w:hint="eastAsia" w:ascii="仿宋" w:hAnsi="仿宋" w:eastAsia="仿宋"/>
          <w:sz w:val="32"/>
          <w:szCs w:val="32"/>
        </w:rPr>
      </w:pPr>
    </w:p>
    <w:p w14:paraId="753CCFD3">
      <w:pPr>
        <w:spacing w:line="600" w:lineRule="exact"/>
        <w:rPr>
          <w:rFonts w:hint="eastAsia" w:ascii="仿宋" w:hAnsi="仿宋" w:eastAsia="仿宋"/>
          <w:sz w:val="32"/>
          <w:szCs w:val="32"/>
        </w:rPr>
      </w:pPr>
    </w:p>
    <w:p w14:paraId="559CBBE0">
      <w:pPr>
        <w:spacing w:line="600" w:lineRule="exact"/>
        <w:ind w:firstLine="640" w:firstLineChars="200"/>
        <w:rPr>
          <w:rFonts w:hint="eastAsia" w:ascii="仿宋" w:hAnsi="仿宋" w:eastAsia="仿宋"/>
          <w:sz w:val="32"/>
          <w:szCs w:val="32"/>
        </w:rPr>
      </w:pPr>
    </w:p>
    <w:p w14:paraId="6D7A9EFA">
      <w:pPr>
        <w:spacing w:line="600" w:lineRule="exact"/>
        <w:ind w:firstLine="640" w:firstLineChars="200"/>
        <w:rPr>
          <w:rFonts w:hint="eastAsia" w:ascii="仿宋" w:hAnsi="仿宋" w:eastAsia="仿宋"/>
          <w:sz w:val="32"/>
          <w:szCs w:val="32"/>
        </w:rPr>
      </w:pPr>
    </w:p>
    <w:p w14:paraId="5A1963F2">
      <w:pPr>
        <w:spacing w:line="600" w:lineRule="exact"/>
        <w:ind w:firstLine="640" w:firstLineChars="200"/>
        <w:rPr>
          <w:rFonts w:hint="eastAsia" w:ascii="仿宋" w:hAnsi="仿宋" w:eastAsia="仿宋"/>
          <w:sz w:val="32"/>
          <w:szCs w:val="32"/>
        </w:rPr>
      </w:pPr>
    </w:p>
    <w:p w14:paraId="608A9325">
      <w:pPr>
        <w:spacing w:line="600" w:lineRule="exact"/>
        <w:ind w:firstLine="640" w:firstLineChars="200"/>
        <w:rPr>
          <w:rFonts w:hint="eastAsia" w:ascii="仿宋" w:hAnsi="仿宋" w:eastAsia="仿宋"/>
          <w:sz w:val="32"/>
          <w:szCs w:val="32"/>
        </w:rPr>
      </w:pPr>
    </w:p>
    <w:p w14:paraId="46D4C75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kern w:val="2"/>
          <w:sz w:val="28"/>
          <w:szCs w:val="28"/>
          <w:lang w:val="en-US" w:eastAsia="zh-CN" w:bidi="ar-SA"/>
        </w:rPr>
        <w:t>（</w:t>
      </w:r>
      <w:r>
        <w:rPr>
          <w:rFonts w:hint="eastAsia" w:ascii="Times New Roman" w:hAnsi="Times New Roman" w:eastAsia="仿宋_GB2312" w:cs="仿宋_GB2312"/>
          <w:kern w:val="2"/>
          <w:sz w:val="28"/>
          <w:szCs w:val="28"/>
          <w:lang w:val="en-US" w:eastAsia="zh-CN" w:bidi="ar-SA"/>
        </w:rPr>
        <w:t>图5：一般公共预算财政拨款支出决算变动情况）（柱状图）</w:t>
      </w:r>
      <w:bookmarkStart w:id="30" w:name="_Toc15377211"/>
    </w:p>
    <w:p w14:paraId="4EC020BB">
      <w:pPr>
        <w:pStyle w:val="2"/>
        <w:rPr>
          <w:rFonts w:hint="eastAsia"/>
          <w:lang w:val="en-US" w:eastAsia="zh-CN"/>
        </w:rPr>
      </w:pPr>
    </w:p>
    <w:p w14:paraId="7FE41F0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eastAsia="仿宋_GB2312" w:cs="仿宋_GB2312"/>
          <w:kern w:val="2"/>
          <w:sz w:val="28"/>
          <w:szCs w:val="28"/>
          <w:lang w:val="en-US" w:eastAsia="zh-CN" w:bidi="ar-SA"/>
        </w:rPr>
        <w:tab/>
      </w:r>
      <w:r>
        <w:rPr>
          <w:rFonts w:hint="eastAsia" w:ascii="仿宋" w:hAnsi="仿宋" w:eastAsia="仿宋"/>
          <w:b/>
          <w:sz w:val="32"/>
          <w:szCs w:val="32"/>
        </w:rPr>
        <w:t>（二）一般公共预算财政拨款支出决算结构情况</w:t>
      </w:r>
      <w:bookmarkEnd w:id="30"/>
      <w:r>
        <w:rPr>
          <w:rFonts w:hint="eastAsia" w:ascii="仿宋" w:hAnsi="仿宋" w:eastAsia="仿宋"/>
          <w:b/>
          <w:sz w:val="32"/>
          <w:szCs w:val="32"/>
          <w:lang w:val="en-US" w:eastAsia="zh-CN"/>
        </w:rPr>
        <w:t xml:space="preserve">                    </w:t>
      </w:r>
      <w:r>
        <w:rPr>
          <w:rFonts w:hint="eastAsia" w:ascii="仿宋" w:hAnsi="仿宋" w:eastAsia="仿宋"/>
          <w:b/>
          <w:sz w:val="32"/>
          <w:szCs w:val="32"/>
          <w:lang w:val="en-US" w:eastAsia="zh-CN"/>
        </w:rPr>
        <w:tab/>
      </w:r>
      <w:r>
        <w:rPr>
          <w:rFonts w:hint="eastAsia" w:ascii="仿宋" w:hAnsi="仿宋" w:eastAsia="仿宋"/>
          <w:b/>
          <w:sz w:val="32"/>
          <w:szCs w:val="32"/>
          <w:lang w:val="en-US" w:eastAsia="zh-CN"/>
        </w:rPr>
        <w:tab/>
      </w:r>
      <w:r>
        <w:rPr>
          <w:rFonts w:hint="eastAsia" w:ascii="Times New Roman" w:hAnsi="Times New Roman" w:eastAsia="仿宋_GB2312" w:cs="仿宋_GB2312"/>
          <w:color w:val="auto"/>
          <w:kern w:val="2"/>
          <w:sz w:val="32"/>
          <w:szCs w:val="32"/>
          <w:lang w:val="en-US" w:eastAsia="zh-CN" w:bidi="ar-SA"/>
        </w:rPr>
        <w:t>2024年一般公共预算财政拨款支出980.86万元，主要用于以下方面: 教育支出735.67万元，占75%；社会保障和就业支出146.39万元，占14.92%；卫生健康支出34.65万元，占3.53%；住房保障支出64.14万元，占6.55%；</w:t>
      </w:r>
    </w:p>
    <w:p w14:paraId="2F4160EC">
      <w:pPr>
        <w:pStyle w:val="20"/>
        <w:rPr>
          <w:rFonts w:hint="eastAsia" w:ascii="Times New Roman" w:hAnsi="Times New Roman" w:eastAsia="仿宋_GB2312" w:cs="仿宋_GB2312"/>
          <w:b w:val="0"/>
          <w:kern w:val="2"/>
          <w:sz w:val="32"/>
          <w:szCs w:val="32"/>
          <w:lang w:val="en-US" w:eastAsia="zh-CN" w:bidi="ar-SA"/>
        </w:rPr>
      </w:pPr>
    </w:p>
    <w:p w14:paraId="69F1E497">
      <w:pPr>
        <w:pStyle w:val="20"/>
        <w:rPr>
          <w:rFonts w:hint="eastAsia" w:ascii="仿宋" w:hAnsi="仿宋" w:eastAsia="仿宋"/>
          <w:b/>
          <w:sz w:val="32"/>
          <w:szCs w:val="32"/>
        </w:rPr>
      </w:pPr>
      <w:r>
        <w:rPr>
          <w:rFonts w:hint="eastAsia" w:ascii="Times New Roman" w:hAnsi="Times New Roman" w:eastAsia="仿宋_GB2312" w:cs="仿宋_GB2312"/>
          <w:b w:val="0"/>
          <w:kern w:val="2"/>
          <w:sz w:val="32"/>
          <w:szCs w:val="32"/>
          <w:lang w:val="en-US" w:eastAsia="zh-CN" w:bidi="ar-SA"/>
        </w:rPr>
        <w:t>（图6：一般公共预算财政拨款支出决算结构）（饼状图）</w:t>
      </w:r>
      <w:r>
        <w:rPr>
          <w:rFonts w:hint="eastAsia" w:ascii="Times New Roman" w:hAnsi="Times New Roman" w:eastAsia="仿宋_GB2312" w:cs="仿宋_GB2312"/>
          <w:b w:val="0"/>
          <w:kern w:val="2"/>
          <w:sz w:val="32"/>
          <w:szCs w:val="32"/>
          <w:lang w:val="en-US" w:eastAsia="zh-CN" w:bidi="ar-SA"/>
        </w:rPr>
        <w:pict>
          <v:shape id="Object 15" o:spid="_x0000_s1033" o:spt="75" type="#_x0000_t75" style="position:absolute;left:0pt;margin-left:17.55pt;margin-top:14.5pt;height:255.15pt;width:344.85pt;mso-wrap-distance-bottom:0pt;mso-wrap-distance-left:9pt;mso-wrap-distance-right:9pt;mso-wrap-distance-top:0pt;z-index:251660288;mso-width-relative:page;mso-height-relative:page;" o:ole="t" filled="f" o:preferrelative="t" stroked="f" coordsize="21600,21600">
            <v:path/>
            <v:fill on="f" focussize="0,0"/>
            <v:stroke on="f"/>
            <v:imagedata r:id="rId24" o:title=""/>
            <o:lock v:ext="edit" aspectratio="t"/>
            <w10:wrap type="square"/>
          </v:shape>
          <o:OLEObject Type="Embed" ProgID="Excel.Chart.8" ShapeID="Object 15" DrawAspect="Content" ObjectID="_1468075730" r:id="rId23">
            <o:LockedField>false</o:LockedField>
          </o:OLEObject>
        </w:pict>
      </w:r>
      <w:bookmarkStart w:id="31" w:name="_Toc15377212"/>
    </w:p>
    <w:p w14:paraId="22ACC72A">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1"/>
    </w:p>
    <w:p w14:paraId="07C6E27B">
      <w:pPr>
        <w:spacing w:line="600" w:lineRule="exact"/>
        <w:ind w:firstLine="64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2024年一般公共预算支出决算数为980.86万元，完成预算100%。其中：</w:t>
      </w:r>
    </w:p>
    <w:p w14:paraId="4F60243F">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1.</w:t>
      </w:r>
      <w:r>
        <w:rPr>
          <w:rFonts w:hint="eastAsia" w:ascii="Times New Roman" w:hAnsi="Times New Roman" w:eastAsia="仿宋_GB2312" w:cs="仿宋_GB2312"/>
          <w:kern w:val="2"/>
          <w:sz w:val="32"/>
          <w:szCs w:val="32"/>
          <w:lang w:val="en-US" w:eastAsia="zh-CN" w:bidi="ar-SA"/>
        </w:rPr>
        <w:t>教育（</w:t>
      </w:r>
      <w:r>
        <w:rPr>
          <w:rFonts w:hint="eastAsia" w:eastAsia="仿宋_GB2312" w:cs="仿宋_GB2312"/>
          <w:kern w:val="2"/>
          <w:sz w:val="32"/>
          <w:szCs w:val="32"/>
          <w:lang w:val="en-US" w:eastAsia="zh-CN" w:bidi="ar-SA"/>
        </w:rPr>
        <w:t>205</w:t>
      </w:r>
      <w:r>
        <w:rPr>
          <w:rFonts w:hint="eastAsia" w:ascii="Times New Roman" w:hAnsi="Times New Roman" w:eastAsia="仿宋_GB2312" w:cs="仿宋_GB2312"/>
          <w:kern w:val="2"/>
          <w:sz w:val="32"/>
          <w:szCs w:val="32"/>
          <w:lang w:val="en-US" w:eastAsia="zh-CN" w:bidi="ar-SA"/>
        </w:rPr>
        <w:t>类）普通教育（</w:t>
      </w:r>
      <w:r>
        <w:rPr>
          <w:rFonts w:hint="eastAsia" w:eastAsia="仿宋_GB2312" w:cs="仿宋_GB2312"/>
          <w:kern w:val="2"/>
          <w:sz w:val="32"/>
          <w:szCs w:val="32"/>
          <w:lang w:val="en-US" w:eastAsia="zh-CN" w:bidi="ar-SA"/>
        </w:rPr>
        <w:t>02</w:t>
      </w:r>
      <w:r>
        <w:rPr>
          <w:rFonts w:hint="eastAsia" w:ascii="Times New Roman" w:hAnsi="Times New Roman" w:eastAsia="仿宋_GB2312" w:cs="仿宋_GB2312"/>
          <w:kern w:val="2"/>
          <w:sz w:val="32"/>
          <w:szCs w:val="32"/>
          <w:lang w:val="en-US" w:eastAsia="zh-CN" w:bidi="ar-SA"/>
        </w:rPr>
        <w:t>款）小学教育（</w:t>
      </w:r>
      <w:r>
        <w:rPr>
          <w:rFonts w:hint="eastAsia" w:eastAsia="仿宋_GB2312" w:cs="仿宋_GB2312"/>
          <w:kern w:val="2"/>
          <w:sz w:val="32"/>
          <w:szCs w:val="32"/>
          <w:lang w:val="en-US" w:eastAsia="zh-CN" w:bidi="ar-SA"/>
        </w:rPr>
        <w:t>02</w:t>
      </w:r>
      <w:r>
        <w:rPr>
          <w:rFonts w:hint="eastAsia" w:ascii="Times New Roman" w:hAnsi="Times New Roman" w:eastAsia="仿宋_GB2312" w:cs="仿宋_GB2312"/>
          <w:kern w:val="2"/>
          <w:sz w:val="32"/>
          <w:szCs w:val="32"/>
          <w:lang w:val="en-US" w:eastAsia="zh-CN" w:bidi="ar-SA"/>
        </w:rPr>
        <w:t>项）：支出决算为7</w:t>
      </w:r>
      <w:r>
        <w:rPr>
          <w:rFonts w:hint="eastAsia" w:eastAsia="仿宋_GB2312" w:cs="仿宋_GB2312"/>
          <w:kern w:val="2"/>
          <w:sz w:val="32"/>
          <w:szCs w:val="32"/>
          <w:lang w:val="en-US" w:eastAsia="zh-CN" w:bidi="ar-SA"/>
        </w:rPr>
        <w:t>28.02</w:t>
      </w:r>
      <w:r>
        <w:rPr>
          <w:rFonts w:hint="eastAsia" w:ascii="Times New Roman" w:hAnsi="Times New Roman" w:eastAsia="仿宋_GB2312" w:cs="仿宋_GB2312"/>
          <w:kern w:val="2"/>
          <w:sz w:val="32"/>
          <w:szCs w:val="32"/>
          <w:lang w:val="en-US" w:eastAsia="zh-CN" w:bidi="ar-SA"/>
        </w:rPr>
        <w:t>万元，完成预算100%，决算数与预算数持平。</w:t>
      </w:r>
    </w:p>
    <w:p w14:paraId="1EDED260">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2.</w:t>
      </w:r>
      <w:r>
        <w:rPr>
          <w:rFonts w:hint="eastAsia" w:ascii="Times New Roman" w:hAnsi="Times New Roman" w:eastAsia="仿宋_GB2312" w:cs="仿宋_GB2312"/>
          <w:kern w:val="2"/>
          <w:sz w:val="32"/>
          <w:szCs w:val="32"/>
          <w:lang w:val="en-US" w:eastAsia="zh-CN" w:bidi="ar-SA"/>
        </w:rPr>
        <w:t>教育（205类）普通教育（02款）其他普通教育支出（99项）支出为6.59万元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3AE35799">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3.</w:t>
      </w:r>
      <w:r>
        <w:rPr>
          <w:rFonts w:hint="eastAsia" w:ascii="Times New Roman" w:hAnsi="Times New Roman" w:eastAsia="仿宋_GB2312" w:cs="仿宋_GB2312"/>
          <w:kern w:val="2"/>
          <w:sz w:val="32"/>
          <w:szCs w:val="32"/>
          <w:lang w:val="en-US" w:eastAsia="zh-CN" w:bidi="ar-SA"/>
        </w:rPr>
        <w:t>教育（205类）其他教育支出（99款）其他教育支出（99项）支出为1.07万元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0289834A">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val="en-US" w:eastAsia="zh-CN" w:bidi="ar-SA"/>
        </w:rPr>
        <w:t>.社会保障和就业（208类）行政事业单位离退休（05款）事业单位离退休支出（02项）为46.8万元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38075309">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val="en-US" w:eastAsia="zh-CN" w:bidi="ar-SA"/>
        </w:rPr>
        <w:t>社会保障和就业（208类）行政事业单位离退休（05款）机关事业单位基本养老保险缴费支出（05项）为86.39万元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606502D6">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6.</w:t>
      </w:r>
      <w:r>
        <w:rPr>
          <w:rFonts w:hint="eastAsia" w:ascii="Times New Roman" w:hAnsi="Times New Roman" w:eastAsia="仿宋_GB2312" w:cs="仿宋_GB2312"/>
          <w:kern w:val="2"/>
          <w:sz w:val="32"/>
          <w:szCs w:val="32"/>
          <w:lang w:val="en-US" w:eastAsia="zh-CN" w:bidi="ar-SA"/>
        </w:rPr>
        <w:t>社会保障和就业（208类）行政事业单位离退休（05款）退休人员生活慰问补助（99项）为5.55万元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58B9EB67">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7.</w:t>
      </w:r>
      <w:r>
        <w:rPr>
          <w:rFonts w:hint="eastAsia" w:ascii="Times New Roman" w:hAnsi="Times New Roman" w:eastAsia="仿宋_GB2312" w:cs="仿宋_GB2312"/>
          <w:kern w:val="2"/>
          <w:sz w:val="32"/>
          <w:szCs w:val="32"/>
          <w:lang w:val="en-US" w:eastAsia="zh-CN" w:bidi="ar-SA"/>
        </w:rPr>
        <w:t>社会保障和就业（208类）其他社会保障和就业支出（99款）其他社会保障和就业支出（99项）为7.65万元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42258EA8">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8</w:t>
      </w:r>
      <w:r>
        <w:rPr>
          <w:rFonts w:hint="eastAsia" w:ascii="Times New Roman" w:hAnsi="Times New Roman" w:eastAsia="仿宋_GB2312" w:cs="仿宋_GB2312"/>
          <w:kern w:val="2"/>
          <w:sz w:val="32"/>
          <w:szCs w:val="32"/>
          <w:lang w:val="en-US" w:eastAsia="zh-CN" w:bidi="ar-SA"/>
        </w:rPr>
        <w:t>.卫生健康（</w:t>
      </w:r>
      <w:r>
        <w:rPr>
          <w:rFonts w:hint="eastAsia" w:eastAsia="仿宋_GB2312" w:cs="仿宋_GB2312"/>
          <w:kern w:val="2"/>
          <w:sz w:val="32"/>
          <w:szCs w:val="32"/>
          <w:lang w:val="en-US" w:eastAsia="zh-CN" w:bidi="ar-SA"/>
        </w:rPr>
        <w:t>210</w:t>
      </w:r>
      <w:r>
        <w:rPr>
          <w:rFonts w:hint="eastAsia" w:ascii="Times New Roman" w:hAnsi="Times New Roman" w:eastAsia="仿宋_GB2312" w:cs="仿宋_GB2312"/>
          <w:kern w:val="2"/>
          <w:sz w:val="32"/>
          <w:szCs w:val="32"/>
          <w:lang w:val="en-US" w:eastAsia="zh-CN" w:bidi="ar-SA"/>
        </w:rPr>
        <w:t>类）行政事业单位医疗（</w:t>
      </w:r>
      <w:r>
        <w:rPr>
          <w:rFonts w:hint="eastAsia" w:eastAsia="仿宋_GB2312" w:cs="仿宋_GB2312"/>
          <w:kern w:val="2"/>
          <w:sz w:val="32"/>
          <w:szCs w:val="32"/>
          <w:lang w:val="en-US" w:eastAsia="zh-CN" w:bidi="ar-SA"/>
        </w:rPr>
        <w:t>11</w:t>
      </w:r>
      <w:r>
        <w:rPr>
          <w:rFonts w:hint="eastAsia" w:ascii="Times New Roman" w:hAnsi="Times New Roman" w:eastAsia="仿宋_GB2312" w:cs="仿宋_GB2312"/>
          <w:kern w:val="2"/>
          <w:sz w:val="32"/>
          <w:szCs w:val="32"/>
          <w:lang w:val="en-US" w:eastAsia="zh-CN" w:bidi="ar-SA"/>
        </w:rPr>
        <w:t>款）事业单位医疗（</w:t>
      </w:r>
      <w:r>
        <w:rPr>
          <w:rFonts w:hint="eastAsia" w:eastAsia="仿宋_GB2312" w:cs="仿宋_GB2312"/>
          <w:kern w:val="2"/>
          <w:sz w:val="32"/>
          <w:szCs w:val="32"/>
          <w:lang w:val="en-US" w:eastAsia="zh-CN" w:bidi="ar-SA"/>
        </w:rPr>
        <w:t>02</w:t>
      </w:r>
      <w:r>
        <w:rPr>
          <w:rFonts w:hint="eastAsia" w:ascii="Times New Roman" w:hAnsi="Times New Roman" w:eastAsia="仿宋_GB2312" w:cs="仿宋_GB2312"/>
          <w:kern w:val="2"/>
          <w:sz w:val="32"/>
          <w:szCs w:val="32"/>
          <w:lang w:val="en-US" w:eastAsia="zh-CN" w:bidi="ar-SA"/>
        </w:rPr>
        <w:t>项）支出决算为34.65万元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06333563">
      <w:pPr>
        <w:numPr>
          <w:ilvl w:val="0"/>
          <w:numId w:val="0"/>
        </w:num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eastAsia="仿宋_GB2312" w:cs="仿宋_GB2312"/>
          <w:kern w:val="2"/>
          <w:sz w:val="32"/>
          <w:szCs w:val="32"/>
          <w:lang w:val="en-US" w:eastAsia="zh-CN" w:bidi="ar-SA"/>
        </w:rPr>
        <w:t>9</w:t>
      </w:r>
      <w:r>
        <w:rPr>
          <w:rFonts w:hint="eastAsia" w:ascii="Times New Roman" w:hAnsi="Times New Roman" w:eastAsia="仿宋_GB2312" w:cs="仿宋_GB2312"/>
          <w:kern w:val="2"/>
          <w:sz w:val="32"/>
          <w:szCs w:val="32"/>
          <w:lang w:val="en-US" w:eastAsia="zh-CN" w:bidi="ar-SA"/>
        </w:rPr>
        <w:t>.住房保障（</w:t>
      </w:r>
      <w:r>
        <w:rPr>
          <w:rFonts w:hint="eastAsia" w:eastAsia="仿宋_GB2312" w:cs="仿宋_GB2312"/>
          <w:kern w:val="2"/>
          <w:sz w:val="32"/>
          <w:szCs w:val="32"/>
          <w:lang w:val="en-US" w:eastAsia="zh-CN" w:bidi="ar-SA"/>
        </w:rPr>
        <w:t>221</w:t>
      </w:r>
      <w:r>
        <w:rPr>
          <w:rFonts w:hint="eastAsia" w:ascii="Times New Roman" w:hAnsi="Times New Roman" w:eastAsia="仿宋_GB2312" w:cs="仿宋_GB2312"/>
          <w:kern w:val="2"/>
          <w:sz w:val="32"/>
          <w:szCs w:val="32"/>
          <w:lang w:val="en-US" w:eastAsia="zh-CN" w:bidi="ar-SA"/>
        </w:rPr>
        <w:t>类）住房改革（</w:t>
      </w:r>
      <w:r>
        <w:rPr>
          <w:rFonts w:hint="eastAsia" w:eastAsia="仿宋_GB2312" w:cs="仿宋_GB2312"/>
          <w:kern w:val="2"/>
          <w:sz w:val="32"/>
          <w:szCs w:val="32"/>
          <w:lang w:val="en-US" w:eastAsia="zh-CN" w:bidi="ar-SA"/>
        </w:rPr>
        <w:t>02</w:t>
      </w:r>
      <w:r>
        <w:rPr>
          <w:rFonts w:hint="eastAsia" w:ascii="Times New Roman" w:hAnsi="Times New Roman" w:eastAsia="仿宋_GB2312" w:cs="仿宋_GB2312"/>
          <w:kern w:val="2"/>
          <w:sz w:val="32"/>
          <w:szCs w:val="32"/>
          <w:lang w:val="en-US" w:eastAsia="zh-CN" w:bidi="ar-SA"/>
        </w:rPr>
        <w:t>款）住房公积金（</w:t>
      </w:r>
      <w:r>
        <w:rPr>
          <w:rFonts w:hint="eastAsia" w:eastAsia="仿宋_GB2312" w:cs="仿宋_GB2312"/>
          <w:kern w:val="2"/>
          <w:sz w:val="32"/>
          <w:szCs w:val="32"/>
          <w:lang w:val="en-US" w:eastAsia="zh-CN" w:bidi="ar-SA"/>
        </w:rPr>
        <w:t>01</w:t>
      </w:r>
      <w:r>
        <w:rPr>
          <w:rFonts w:hint="eastAsia" w:ascii="Times New Roman" w:hAnsi="Times New Roman" w:eastAsia="仿宋_GB2312" w:cs="仿宋_GB2312"/>
          <w:kern w:val="2"/>
          <w:sz w:val="32"/>
          <w:szCs w:val="32"/>
          <w:lang w:val="en-US" w:eastAsia="zh-CN" w:bidi="ar-SA"/>
        </w:rPr>
        <w:t>项）支出决算为64.14万元</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完成预算100%，决算数与预算数持平。</w:t>
      </w:r>
    </w:p>
    <w:p w14:paraId="09DF262A">
      <w:pPr>
        <w:tabs>
          <w:tab w:val="right" w:pos="8306"/>
        </w:tabs>
        <w:spacing w:line="600" w:lineRule="exact"/>
        <w:outlineLvl w:val="1"/>
        <w:rPr>
          <w:rStyle w:val="30"/>
        </w:rPr>
      </w:pPr>
      <w:bookmarkStart w:id="32" w:name="_Toc15396608"/>
      <w:bookmarkStart w:id="3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2"/>
      <w:bookmarkEnd w:id="33"/>
      <w:r>
        <w:rPr>
          <w:rStyle w:val="30"/>
          <w:rFonts w:ascii="黑体" w:hAnsi="黑体" w:eastAsia="黑体"/>
          <w:b w:val="0"/>
        </w:rPr>
        <w:tab/>
      </w:r>
    </w:p>
    <w:p w14:paraId="2DCE6E2D">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bookmarkStart w:id="34" w:name="_Toc15396609"/>
      <w:bookmarkStart w:id="35" w:name="_Toc15377215"/>
      <w:r>
        <w:rPr>
          <w:rFonts w:hint="eastAsia" w:ascii="Times New Roman" w:hAnsi="Times New Roman" w:eastAsia="仿宋_GB2312" w:cs="仿宋_GB2312"/>
          <w:kern w:val="2"/>
          <w:sz w:val="32"/>
          <w:szCs w:val="32"/>
          <w:lang w:val="en-US" w:eastAsia="zh-CN" w:bidi="ar-SA"/>
        </w:rPr>
        <w:t>2024年一般公共预算财政拨款基本支出818.85万元，其中：</w:t>
      </w:r>
    </w:p>
    <w:p w14:paraId="214DAF43">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人员经费788.67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71F73DF">
      <w:pPr>
        <w:pStyle w:val="3"/>
        <w:suppressAutoHyphens/>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用经费26.18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CE86F3E">
      <w:pPr>
        <w:spacing w:line="600" w:lineRule="exact"/>
        <w:outlineLvl w:val="1"/>
        <w:rPr>
          <w:rStyle w:val="30"/>
          <w:rFonts w:ascii="黑体" w:hAnsi="黑体" w:eastAsia="黑体"/>
          <w:b w:val="0"/>
        </w:rPr>
      </w:pPr>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4"/>
      <w:bookmarkEnd w:id="35"/>
    </w:p>
    <w:p w14:paraId="3A14318F">
      <w:pPr>
        <w:spacing w:line="600" w:lineRule="exact"/>
        <w:ind w:firstLine="640"/>
        <w:outlineLvl w:val="2"/>
        <w:rPr>
          <w:rFonts w:ascii="仿宋" w:hAnsi="仿宋" w:eastAsia="仿宋"/>
          <w:b/>
          <w:sz w:val="32"/>
          <w:szCs w:val="32"/>
        </w:rPr>
      </w:pPr>
      <w:bookmarkStart w:id="36" w:name="_Toc15377216"/>
      <w:bookmarkStart w:id="37" w:name="_Toc15396610"/>
      <w:bookmarkStart w:id="38" w:name="_Toc15377218"/>
      <w:r>
        <w:rPr>
          <w:rFonts w:hint="eastAsia" w:ascii="仿宋" w:hAnsi="仿宋" w:eastAsia="仿宋"/>
          <w:b/>
          <w:sz w:val="32"/>
          <w:szCs w:val="32"/>
        </w:rPr>
        <w:t>（一）“三公”经费财政拨款支出决算总体情况说明</w:t>
      </w:r>
      <w:bookmarkEnd w:id="36"/>
    </w:p>
    <w:p w14:paraId="09A35FBE">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eastAsia" w:ascii="仿宋" w:hAnsi="仿宋" w:eastAsia="仿宋"/>
          <w:sz w:val="32"/>
          <w:szCs w:val="32"/>
        </w:rPr>
      </w:pPr>
      <w:bookmarkStart w:id="39" w:name="_Toc15377217"/>
      <w:r>
        <w:rPr>
          <w:rFonts w:hint="eastAsia" w:ascii="Times New Roman" w:hAnsi="Times New Roman" w:eastAsia="仿宋_GB2312" w:cs="仿宋_GB2312"/>
          <w:kern w:val="2"/>
          <w:sz w:val="32"/>
          <w:szCs w:val="32"/>
          <w:lang w:val="en-US" w:eastAsia="zh-CN" w:bidi="ar-SA"/>
        </w:rPr>
        <w:t>2024年度“三公”经费财政拨款支出决算为0万元，完成预算100%，与上年度持平,决算数与预算数持平。</w:t>
      </w:r>
    </w:p>
    <w:p w14:paraId="7830BE6B">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578FBD41">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default" w:ascii="仿宋" w:hAnsi="仿宋" w:eastAsia="仿宋"/>
          <w:sz w:val="32"/>
          <w:szCs w:val="32"/>
          <w:lang w:val="en-US" w:eastAsia="zh-CN"/>
        </w:rPr>
      </w:pPr>
      <w:r>
        <w:rPr>
          <w:rFonts w:hint="eastAsia" w:ascii="Times New Roman" w:hAnsi="Times New Roman" w:eastAsia="仿宋_GB2312" w:cs="仿宋_GB2312"/>
          <w:kern w:val="2"/>
          <w:sz w:val="32"/>
          <w:szCs w:val="32"/>
          <w:lang w:val="en-US" w:eastAsia="zh-CN" w:bidi="ar-SA"/>
        </w:rPr>
        <w:t>2024年“三公”经费财政拨款支出决算中，因公出国（境）费支出决算0万元，占0%；公务用车购置及运行维护费支出决算0万元，占0%；公务接待费支出决算0万元，占0%。具体情况如下：</w:t>
      </w:r>
    </w:p>
    <w:p w14:paraId="2FD409A7">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1.因公出国（境）经费支出0万元，完成预算100%。全年安排因公出国（境）团组0次，出国（境）0人。因公出国（境）支出决算比2023年增加0万元，增长0%。</w:t>
      </w:r>
    </w:p>
    <w:p w14:paraId="10557BE0">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2.公务用车购置及运行维护费支出0万元,完成预算100%。公务用车购置及运行维护费支出决算比2023年度增加0万元，增长0%。</w:t>
      </w:r>
    </w:p>
    <w:p w14:paraId="763A54E2">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5EA2202F">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公务用车运行维护费支出0万元。</w:t>
      </w:r>
    </w:p>
    <w:p w14:paraId="06D2EA86">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3.公务接待费支出0万元，完成预算100%。公务接待费支出决算与2023年度持平。其中：</w:t>
      </w:r>
    </w:p>
    <w:p w14:paraId="4D3674B0">
      <w:pPr>
        <w:keepNext w:val="0"/>
        <w:keepLines w:val="0"/>
        <w:widowControl w:val="0"/>
        <w:suppressLineNumbers w:val="0"/>
        <w:suppressAutoHyphens/>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国内公务接待支出0万元。国内公务接待0批次，0人次（不包括陪同人员），共计支出0万元。</w:t>
      </w:r>
      <w:r>
        <w:rPr>
          <w:rFonts w:hint="eastAsia" w:ascii="Times New Roman" w:hAnsi="Times New Roman" w:eastAsia="仿宋_GB2312" w:cs="仿宋_GB2312"/>
          <w:kern w:val="2"/>
          <w:sz w:val="32"/>
          <w:szCs w:val="32"/>
          <w:lang w:val="en-US" w:eastAsia="zh-CN" w:bidi="ar-SA"/>
        </w:rPr>
        <w:br w:type="textWrapping"/>
      </w:r>
      <w:r>
        <w:rPr>
          <w:rFonts w:hint="eastAsia" w:ascii="Times New Roman" w:hAnsi="Times New Roman" w:eastAsia="仿宋_GB2312" w:cs="仿宋_GB2312"/>
          <w:kern w:val="2"/>
          <w:sz w:val="32"/>
          <w:szCs w:val="32"/>
          <w:lang w:val="en-US" w:eastAsia="zh-CN" w:bidi="ar-SA"/>
        </w:rPr>
        <w:t xml:space="preserve">   外事接待支出0万元。外事接待0批次，0人次（不包括陪同人员），共计支出0万元。</w:t>
      </w:r>
    </w:p>
    <w:p w14:paraId="41199CFD">
      <w:pPr>
        <w:spacing w:line="600" w:lineRule="exact"/>
        <w:outlineLvl w:val="1"/>
        <w:rPr>
          <w:rStyle w:val="30"/>
          <w:rFonts w:ascii="黑体" w:hAnsi="黑体" w:eastAsia="黑体"/>
          <w:color w:val="auto"/>
        </w:rPr>
      </w:pPr>
      <w:r>
        <w:rPr>
          <w:rFonts w:hint="eastAsia" w:ascii="黑体" w:eastAsia="黑体"/>
          <w:color w:val="auto"/>
          <w:sz w:val="32"/>
          <w:szCs w:val="32"/>
        </w:rPr>
        <w:t>八、</w:t>
      </w:r>
      <w:r>
        <w:rPr>
          <w:rStyle w:val="30"/>
          <w:rFonts w:hint="eastAsia" w:ascii="黑体" w:hAnsi="黑体" w:eastAsia="黑体"/>
          <w:b w:val="0"/>
          <w:color w:val="auto"/>
        </w:rPr>
        <w:t>政府性基金预算支出决算情况说明</w:t>
      </w:r>
      <w:bookmarkEnd w:id="37"/>
      <w:bookmarkEnd w:id="38"/>
    </w:p>
    <w:p w14:paraId="3CDCDB83">
      <w:pPr>
        <w:spacing w:line="60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lang w:val="en-US" w:eastAsia="zh-CN" w:bidi="ar-SA"/>
        </w:rPr>
        <w:t>2024年度政府性基金预算财政拨款支出0万元。</w:t>
      </w:r>
    </w:p>
    <w:p w14:paraId="48904D69">
      <w:pPr>
        <w:numPr>
          <w:ilvl w:val="0"/>
          <w:numId w:val="0"/>
        </w:numPr>
        <w:spacing w:line="600" w:lineRule="exact"/>
        <w:outlineLvl w:val="1"/>
        <w:rPr>
          <w:rStyle w:val="30"/>
          <w:rFonts w:ascii="黑体" w:hAnsi="黑体" w:eastAsia="黑体"/>
          <w:b w:val="0"/>
          <w:color w:val="auto"/>
        </w:rPr>
      </w:pPr>
      <w:bookmarkStart w:id="40" w:name="_Toc15377219"/>
      <w:bookmarkStart w:id="41" w:name="_Toc15396611"/>
      <w:r>
        <w:rPr>
          <w:rStyle w:val="30"/>
          <w:rFonts w:hint="eastAsia" w:ascii="黑体" w:hAnsi="黑体" w:eastAsia="黑体"/>
          <w:b w:val="0"/>
          <w:color w:val="auto"/>
          <w:lang w:val="en-US" w:eastAsia="zh-CN"/>
        </w:rPr>
        <w:t>九、</w:t>
      </w:r>
      <w:r>
        <w:rPr>
          <w:rStyle w:val="30"/>
          <w:rFonts w:hint="eastAsia" w:ascii="黑体" w:hAnsi="黑体" w:eastAsia="黑体"/>
          <w:b w:val="0"/>
          <w:color w:val="auto"/>
        </w:rPr>
        <w:t>国有资本经营预算支出决算情况说明</w:t>
      </w:r>
      <w:bookmarkEnd w:id="40"/>
      <w:bookmarkEnd w:id="41"/>
    </w:p>
    <w:p w14:paraId="2715D88B">
      <w:pPr>
        <w:spacing w:line="600" w:lineRule="exact"/>
        <w:ind w:firstLine="640" w:firstLineChars="200"/>
        <w:rPr>
          <w:rFonts w:ascii="方正小标宋简体" w:hAnsi="方正小标宋简体" w:eastAsia="方正小标宋简体" w:cs="方正小标宋简体"/>
          <w:color w:val="auto"/>
          <w:sz w:val="44"/>
          <w:szCs w:val="44"/>
        </w:rPr>
      </w:pPr>
      <w:r>
        <w:rPr>
          <w:rFonts w:hint="eastAsia" w:ascii="Times New Roman" w:hAnsi="Times New Roman" w:eastAsia="仿宋_GB2312" w:cs="仿宋_GB2312"/>
          <w:color w:val="auto"/>
          <w:kern w:val="2"/>
          <w:sz w:val="32"/>
          <w:szCs w:val="32"/>
          <w:lang w:val="en-US" w:eastAsia="zh-CN" w:bidi="ar-SA"/>
        </w:rPr>
        <w:t>2024年度国有资本经营预算财政拨款支出0万元。</w:t>
      </w:r>
    </w:p>
    <w:p w14:paraId="4B6D46C6">
      <w:pPr>
        <w:numPr>
          <w:ilvl w:val="0"/>
          <w:numId w:val="0"/>
        </w:numPr>
        <w:spacing w:line="600" w:lineRule="exact"/>
        <w:outlineLvl w:val="1"/>
        <w:rPr>
          <w:rStyle w:val="30"/>
          <w:rFonts w:ascii="黑体" w:hAnsi="黑体" w:eastAsia="黑体"/>
          <w:b w:val="0"/>
          <w:color w:val="auto"/>
        </w:rPr>
      </w:pPr>
      <w:bookmarkStart w:id="42" w:name="_Toc15377221"/>
      <w:bookmarkStart w:id="43" w:name="_Toc15396612"/>
      <w:r>
        <w:rPr>
          <w:rStyle w:val="30"/>
          <w:rFonts w:hint="eastAsia" w:ascii="黑体" w:hAnsi="黑体" w:eastAsia="黑体"/>
          <w:b w:val="0"/>
          <w:color w:val="auto"/>
          <w:lang w:val="en-US" w:eastAsia="zh-CN"/>
        </w:rPr>
        <w:t>十、</w:t>
      </w:r>
      <w:r>
        <w:rPr>
          <w:rStyle w:val="30"/>
          <w:rFonts w:hint="eastAsia" w:ascii="黑体" w:hAnsi="黑体" w:eastAsia="黑体"/>
          <w:b w:val="0"/>
          <w:color w:val="auto"/>
        </w:rPr>
        <w:t>其他重要事项的情况说明</w:t>
      </w:r>
      <w:bookmarkEnd w:id="42"/>
      <w:bookmarkEnd w:id="43"/>
    </w:p>
    <w:p w14:paraId="2F1740E0">
      <w:pPr>
        <w:autoSpaceDE w:val="0"/>
        <w:autoSpaceDN w:val="0"/>
        <w:adjustRightInd w:val="0"/>
        <w:spacing w:line="600" w:lineRule="exact"/>
        <w:ind w:firstLine="643" w:firstLineChars="200"/>
        <w:jc w:val="left"/>
        <w:rPr>
          <w:rFonts w:hint="eastAsia" w:ascii="仿宋" w:hAnsi="仿宋" w:eastAsia="仿宋"/>
          <w:b/>
          <w:color w:val="auto"/>
          <w:sz w:val="32"/>
          <w:szCs w:val="32"/>
        </w:rPr>
      </w:pPr>
      <w:r>
        <w:rPr>
          <w:rFonts w:hint="eastAsia" w:ascii="仿宋" w:hAnsi="仿宋" w:eastAsia="仿宋"/>
          <w:b/>
          <w:color w:val="auto"/>
          <w:sz w:val="32"/>
          <w:szCs w:val="32"/>
        </w:rPr>
        <w:t>（一）机关运行经费支出情况</w:t>
      </w:r>
    </w:p>
    <w:p w14:paraId="31B20667">
      <w:pPr>
        <w:spacing w:line="600" w:lineRule="exact"/>
        <w:ind w:firstLine="640" w:firstLineChars="200"/>
        <w:rPr>
          <w:rFonts w:hint="eastAsia" w:ascii="仿宋" w:hAnsi="仿宋" w:eastAsia="仿宋"/>
          <w:b/>
          <w:color w:val="auto"/>
          <w:sz w:val="32"/>
          <w:szCs w:val="32"/>
        </w:rPr>
      </w:pPr>
      <w:r>
        <w:rPr>
          <w:rFonts w:hint="eastAsia" w:ascii="Times New Roman" w:hAnsi="Times New Roman" w:eastAsia="仿宋_GB2312" w:cs="仿宋_GB2312"/>
          <w:color w:val="auto"/>
          <w:kern w:val="2"/>
          <w:sz w:val="32"/>
          <w:szCs w:val="32"/>
          <w:lang w:val="en-US" w:eastAsia="zh-CN" w:bidi="ar-SA"/>
        </w:rPr>
        <w:t>2024年，遂宁市安居区分水镇中心小学校机关运行经费支出0万元。与2023年度决算数持平。</w:t>
      </w:r>
    </w:p>
    <w:p w14:paraId="5185A56D">
      <w:pPr>
        <w:autoSpaceDE w:val="0"/>
        <w:autoSpaceDN w:val="0"/>
        <w:adjustRightInd w:val="0"/>
        <w:spacing w:line="600" w:lineRule="exact"/>
        <w:ind w:firstLine="643" w:firstLineChars="200"/>
        <w:jc w:val="left"/>
        <w:rPr>
          <w:rFonts w:hint="eastAsia" w:ascii="仿宋" w:hAnsi="仿宋" w:eastAsia="仿宋"/>
          <w:b/>
          <w:color w:val="auto"/>
          <w:sz w:val="32"/>
          <w:szCs w:val="32"/>
        </w:rPr>
      </w:pPr>
      <w:r>
        <w:rPr>
          <w:rFonts w:hint="eastAsia" w:ascii="仿宋" w:hAnsi="仿宋" w:eastAsia="仿宋"/>
          <w:b/>
          <w:color w:val="auto"/>
          <w:sz w:val="32"/>
          <w:szCs w:val="32"/>
        </w:rPr>
        <w:t>（二）政府采购支出情况</w:t>
      </w:r>
    </w:p>
    <w:p w14:paraId="6CB865A2">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度，遂宁市安居区分水镇中心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C3115B2">
      <w:pPr>
        <w:autoSpaceDE w:val="0"/>
        <w:autoSpaceDN w:val="0"/>
        <w:adjustRightInd w:val="0"/>
        <w:spacing w:line="600" w:lineRule="exact"/>
        <w:ind w:firstLine="643" w:firstLineChars="200"/>
        <w:jc w:val="left"/>
        <w:rPr>
          <w:rFonts w:hint="eastAsia" w:ascii="仿宋" w:hAnsi="仿宋" w:eastAsia="仿宋"/>
          <w:b/>
          <w:color w:val="auto"/>
          <w:sz w:val="32"/>
          <w:szCs w:val="32"/>
        </w:rPr>
      </w:pPr>
      <w:r>
        <w:rPr>
          <w:rFonts w:hint="eastAsia" w:ascii="仿宋" w:hAnsi="仿宋" w:eastAsia="仿宋"/>
          <w:b/>
          <w:color w:val="auto"/>
          <w:sz w:val="32"/>
          <w:szCs w:val="32"/>
        </w:rPr>
        <w:t>（三）国有资产占有使用情况</w:t>
      </w:r>
    </w:p>
    <w:p w14:paraId="1BBFD3D4">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截至2024年12月31日，遂宁市安居区分水镇中心小学校共有车辆0辆，其中：主要领导干部用车0辆、机要通信用车0辆、应急保障用车0辆、其他用车0辆。单价100万元以上设备（不含车辆）0台（套）。</w:t>
      </w:r>
    </w:p>
    <w:p w14:paraId="181F98EA">
      <w:pPr>
        <w:suppressAutoHyphens/>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lang w:val="en-US" w:eastAsia="zh-CN"/>
        </w:rPr>
        <w:t>四</w:t>
      </w:r>
      <w:r>
        <w:rPr>
          <w:rFonts w:hint="eastAsia" w:ascii="仿宋" w:hAnsi="仿宋" w:eastAsia="仿宋"/>
          <w:b/>
          <w:sz w:val="32"/>
          <w:szCs w:val="32"/>
          <w:lang w:eastAsia="zh-CN"/>
        </w:rPr>
        <w:t>）</w:t>
      </w:r>
      <w:r>
        <w:rPr>
          <w:rFonts w:hint="eastAsia" w:ascii="仿宋" w:hAnsi="仿宋" w:eastAsia="仿宋"/>
          <w:b/>
          <w:sz w:val="32"/>
          <w:szCs w:val="32"/>
        </w:rPr>
        <w:t>预算绩效管理情况</w:t>
      </w:r>
    </w:p>
    <w:p w14:paraId="2C295E02">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rPr>
      </w:pPr>
      <w:bookmarkStart w:id="44" w:name="_Toc15377225"/>
      <w:bookmarkStart w:id="45" w:name="_Toc15396613"/>
      <w:r>
        <w:rPr>
          <w:rFonts w:hint="eastAsia" w:ascii="仿宋_GB2312" w:hAnsi="仿宋_GB2312" w:eastAsia="仿宋_GB2312" w:cs="仿宋_GB2312"/>
          <w:color w:val="auto"/>
          <w:sz w:val="32"/>
          <w:szCs w:val="32"/>
        </w:rPr>
        <w:t>根据预算绩效管理要求，本单位在2024年度预算编制阶段，组织对义教贫困生生活补助、校舍维修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义务教育免作业本费等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w:t>
      </w:r>
    </w:p>
    <w:p w14:paraId="161AA696">
      <w:pPr>
        <w:suppressAutoHyphen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组织对2024年度一般公共预算、政府性基金预算、国有资本经营预算、社会保险基金预算以及资本资产、债券资金等全面开展绩效自评，形成2024年</w:t>
      </w:r>
      <w:r>
        <w:rPr>
          <w:rFonts w:hint="eastAsia" w:ascii="仿宋_GB2312" w:hAnsi="仿宋_GB2312" w:eastAsia="仿宋_GB2312" w:cs="仿宋_GB2312"/>
          <w:color w:val="auto"/>
          <w:sz w:val="32"/>
          <w:szCs w:val="32"/>
          <w:lang w:val="en-US" w:eastAsia="zh-CN"/>
        </w:rPr>
        <w:t>分水</w:t>
      </w:r>
      <w:r>
        <w:rPr>
          <w:rFonts w:hint="eastAsia" w:ascii="仿宋_GB2312" w:hAnsi="仿宋_GB2312" w:eastAsia="仿宋_GB2312" w:cs="仿宋_GB2312"/>
          <w:color w:val="auto"/>
          <w:sz w:val="32"/>
          <w:szCs w:val="32"/>
        </w:rPr>
        <w:t>小学部门整体（含部门预算项目）绩效自评报告、义教贫困生生活补助、校舍维修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义务教育免作业本费等专项预算项目绩效自评报告，其中，2024年</w:t>
      </w:r>
      <w:r>
        <w:rPr>
          <w:rFonts w:hint="eastAsia" w:ascii="仿宋_GB2312" w:hAnsi="仿宋_GB2312" w:eastAsia="仿宋_GB2312" w:cs="仿宋_GB2312"/>
          <w:color w:val="auto"/>
          <w:sz w:val="32"/>
          <w:szCs w:val="32"/>
          <w:lang w:val="en-US" w:eastAsia="zh-CN"/>
        </w:rPr>
        <w:t>分水</w:t>
      </w:r>
      <w:r>
        <w:rPr>
          <w:rFonts w:hint="eastAsia" w:ascii="仿宋_GB2312" w:hAnsi="仿宋_GB2312" w:eastAsia="仿宋_GB2312" w:cs="仿宋_GB2312"/>
          <w:color w:val="auto"/>
          <w:sz w:val="32"/>
          <w:szCs w:val="32"/>
        </w:rPr>
        <w:t>小学部门整体（含部门预算项目）绩效自评得分为100分，绩效自评综述严格执行相关政策，保障工资及时发放、足额发放，预算编制科学合理，减少结余资金，广泛听取意见，认真总结分析,搜集完善各类资料。进一步深化课程改</w:t>
      </w:r>
      <w:r>
        <w:rPr>
          <w:rFonts w:hint="eastAsia" w:ascii="仿宋_GB2312" w:hAnsi="仿宋_GB2312" w:eastAsia="仿宋_GB2312" w:cs="仿宋_GB2312"/>
          <w:sz w:val="32"/>
          <w:szCs w:val="32"/>
        </w:rPr>
        <w:t>革，提高教育质量，努力改善办学条件,促进教育均衡发展。义教贫困生生活补助预算项目绩效自评得分为100分，绩效自评综述加强民生资金专项管理，提高民生资金使用效益，确保专款专用，按程序及时兑现给学生（或监护人）。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14:paraId="35D40766">
      <w:pPr>
        <w:suppressAutoHyphen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绩效自评表详见第四部分附件。</w:t>
      </w:r>
    </w:p>
    <w:p w14:paraId="727AE8A0">
      <w:pPr>
        <w:suppressAutoHyphens/>
        <w:spacing w:line="580" w:lineRule="exact"/>
        <w:ind w:firstLine="640" w:firstLineChars="200"/>
        <w:rPr>
          <w:rFonts w:hint="eastAsia" w:ascii="仿宋_GB2312" w:hAnsi="仿宋_GB2312" w:eastAsia="仿宋_GB2312" w:cs="仿宋_GB2312"/>
          <w:sz w:val="32"/>
          <w:szCs w:val="32"/>
        </w:rPr>
      </w:pPr>
    </w:p>
    <w:p w14:paraId="45DA04B3">
      <w:pPr>
        <w:suppressAutoHyphens/>
        <w:spacing w:line="580" w:lineRule="exact"/>
        <w:ind w:firstLine="640" w:firstLineChars="200"/>
        <w:rPr>
          <w:rFonts w:hint="eastAsia" w:ascii="仿宋_GB2312" w:hAnsi="仿宋_GB2312" w:eastAsia="仿宋_GB2312" w:cs="仿宋_GB2312"/>
          <w:sz w:val="32"/>
          <w:szCs w:val="32"/>
        </w:rPr>
      </w:pPr>
    </w:p>
    <w:p w14:paraId="288894D2">
      <w:pPr>
        <w:numPr>
          <w:ilvl w:val="0"/>
          <w:numId w:val="0"/>
        </w:numPr>
        <w:spacing w:line="600" w:lineRule="exact"/>
        <w:ind w:firstLine="320" w:firstLineChars="100"/>
        <w:jc w:val="both"/>
        <w:outlineLvl w:val="0"/>
        <w:rPr>
          <w:rFonts w:hint="eastAsia" w:ascii="仿宋_GB2312" w:eastAsia="仿宋_GB2312"/>
          <w:sz w:val="32"/>
          <w:szCs w:val="32"/>
        </w:rPr>
      </w:pPr>
    </w:p>
    <w:p w14:paraId="09E22359">
      <w:pPr>
        <w:pStyle w:val="2"/>
        <w:rPr>
          <w:rFonts w:hint="eastAsia" w:ascii="仿宋_GB2312" w:eastAsia="仿宋_GB2312"/>
          <w:sz w:val="32"/>
          <w:szCs w:val="32"/>
        </w:rPr>
      </w:pPr>
    </w:p>
    <w:p w14:paraId="5D79BE15">
      <w:pPr>
        <w:pStyle w:val="3"/>
        <w:rPr>
          <w:rFonts w:hint="eastAsia" w:ascii="仿宋_GB2312" w:eastAsia="仿宋_GB2312"/>
          <w:sz w:val="32"/>
          <w:szCs w:val="32"/>
        </w:rPr>
      </w:pPr>
    </w:p>
    <w:p w14:paraId="607E53C0">
      <w:pPr>
        <w:pStyle w:val="3"/>
        <w:rPr>
          <w:rFonts w:hint="eastAsia" w:ascii="仿宋_GB2312" w:eastAsia="仿宋_GB2312"/>
          <w:sz w:val="32"/>
          <w:szCs w:val="32"/>
        </w:rPr>
      </w:pPr>
    </w:p>
    <w:p w14:paraId="6D230234">
      <w:pPr>
        <w:pStyle w:val="3"/>
        <w:rPr>
          <w:rFonts w:hint="eastAsia" w:ascii="仿宋_GB2312" w:eastAsia="仿宋_GB2312"/>
          <w:sz w:val="32"/>
          <w:szCs w:val="32"/>
        </w:rPr>
      </w:pPr>
    </w:p>
    <w:p w14:paraId="0C66368C">
      <w:pPr>
        <w:pStyle w:val="3"/>
        <w:rPr>
          <w:rFonts w:hint="eastAsia" w:ascii="仿宋_GB2312" w:eastAsia="仿宋_GB2312"/>
          <w:sz w:val="32"/>
          <w:szCs w:val="32"/>
        </w:rPr>
      </w:pPr>
    </w:p>
    <w:p w14:paraId="40E5F5FF">
      <w:pPr>
        <w:numPr>
          <w:ilvl w:val="0"/>
          <w:numId w:val="0"/>
        </w:numPr>
        <w:spacing w:line="600" w:lineRule="exact"/>
        <w:jc w:val="both"/>
        <w:outlineLvl w:val="0"/>
        <w:rPr>
          <w:rFonts w:hint="eastAsia" w:ascii="仿宋_GB2312" w:eastAsia="仿宋_GB2312"/>
          <w:sz w:val="32"/>
          <w:szCs w:val="32"/>
        </w:rPr>
      </w:pPr>
    </w:p>
    <w:p w14:paraId="0998DCA6">
      <w:pPr>
        <w:numPr>
          <w:ilvl w:val="0"/>
          <w:numId w:val="0"/>
        </w:numPr>
        <w:spacing w:line="600" w:lineRule="exact"/>
        <w:ind w:firstLine="442" w:firstLineChars="100"/>
        <w:jc w:val="center"/>
        <w:outlineLvl w:val="0"/>
        <w:rPr>
          <w:rFonts w:hint="eastAsia" w:asciiTheme="majorEastAsia" w:hAnsiTheme="majorEastAsia" w:eastAsiaTheme="majorEastAsia" w:cstheme="majorEastAsia"/>
          <w:b/>
          <w:bCs/>
          <w:kern w:val="44"/>
          <w:sz w:val="44"/>
          <w:szCs w:val="44"/>
          <w:lang w:val="en-US" w:eastAsia="zh-CN" w:bidi="ar-SA"/>
        </w:rPr>
      </w:pPr>
      <w:r>
        <w:rPr>
          <w:rFonts w:hint="eastAsia" w:asciiTheme="majorEastAsia" w:hAnsiTheme="majorEastAsia" w:eastAsiaTheme="majorEastAsia" w:cstheme="majorEastAsia"/>
          <w:b/>
          <w:bCs/>
          <w:sz w:val="44"/>
          <w:szCs w:val="44"/>
          <w:lang w:val="en-US" w:eastAsia="zh-CN"/>
        </w:rPr>
        <w:t xml:space="preserve">第三部分 </w:t>
      </w:r>
      <w:r>
        <w:rPr>
          <w:rFonts w:hint="eastAsia" w:asciiTheme="majorEastAsia" w:hAnsiTheme="majorEastAsia" w:eastAsiaTheme="majorEastAsia" w:cstheme="majorEastAsia"/>
          <w:b/>
          <w:bCs/>
          <w:kern w:val="44"/>
          <w:sz w:val="44"/>
          <w:szCs w:val="44"/>
          <w:lang w:val="en-US" w:eastAsia="zh-CN" w:bidi="ar-SA"/>
        </w:rPr>
        <w:t>名词解释</w:t>
      </w:r>
      <w:bookmarkEnd w:id="44"/>
      <w:bookmarkEnd w:id="45"/>
    </w:p>
    <w:p w14:paraId="7AF6A0D7">
      <w:pPr>
        <w:pStyle w:val="27"/>
        <w:keepNext w:val="0"/>
        <w:keepLines w:val="0"/>
        <w:pageBreakBefore w:val="0"/>
        <w:widowControl w:val="0"/>
        <w:kinsoku/>
        <w:wordWrap/>
        <w:overflowPunct/>
        <w:topLinePunct w:val="0"/>
        <w:autoSpaceDE w:val="0"/>
        <w:autoSpaceDN w:val="0"/>
        <w:bidi w:val="0"/>
        <w:adjustRightInd w:val="0"/>
        <w:snapToGrid/>
        <w:spacing w:before="313" w:beforeLines="100"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80449F8">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教育（</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普通教育</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小学教育02</w:t>
      </w:r>
      <w:r>
        <w:rPr>
          <w:rFonts w:hint="eastAsia" w:ascii="仿宋_GB2312" w:eastAsia="仿宋_GB2312"/>
          <w:color w:val="auto"/>
          <w:sz w:val="32"/>
          <w:szCs w:val="32"/>
        </w:rPr>
        <w:t>（项）：指指各部门举办的学前教育支出。。</w:t>
      </w:r>
    </w:p>
    <w:p w14:paraId="31DA1E55">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教育（</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类）普通教育（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款）其他普通教育支出（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项）：指除上述项目以外其他用于普通教育方面的支出。</w:t>
      </w:r>
    </w:p>
    <w:p w14:paraId="4EFC4FFB">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.教育（</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类）其他教育支出（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款）其他教育支出（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项）：指除上述项目以外其他教育支出。</w:t>
      </w:r>
    </w:p>
    <w:p w14:paraId="3018D67E">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s="仿宋_GB2312"/>
          <w:color w:val="auto"/>
          <w:kern w:val="0"/>
          <w:sz w:val="32"/>
          <w:szCs w:val="32"/>
          <w:lang w:val="en-US" w:eastAsia="zh-CN" w:bidi="ar"/>
        </w:rPr>
        <w:t>5</w:t>
      </w:r>
      <w:r>
        <w:rPr>
          <w:rFonts w:hint="eastAsia" w:ascii="仿宋_GB2312" w:hAnsi="Calibri" w:eastAsia="仿宋_GB2312" w:cs="仿宋_GB2312"/>
          <w:color w:val="auto"/>
          <w:kern w:val="0"/>
          <w:sz w:val="32"/>
          <w:szCs w:val="32"/>
          <w:lang w:val="en-US" w:eastAsia="zh-CN" w:bidi="ar"/>
        </w:rPr>
        <w:t>.</w:t>
      </w:r>
      <w:bookmarkStart w:id="46" w:name="_Hlk175569651"/>
      <w:r>
        <w:rPr>
          <w:rFonts w:hint="eastAsia" w:ascii="仿宋_GB2312" w:hAnsi="Calibri" w:eastAsia="仿宋_GB2312" w:cs="仿宋_GB2312"/>
          <w:color w:val="auto"/>
          <w:kern w:val="0"/>
          <w:sz w:val="32"/>
          <w:szCs w:val="32"/>
          <w:lang w:val="en-US" w:eastAsia="zh-CN" w:bidi="ar"/>
        </w:rPr>
        <w:t>社会保障和就业（208类）行政事业单位养老支出（05款）事业单位离退休（02项）</w:t>
      </w:r>
      <w:bookmarkEnd w:id="46"/>
      <w:r>
        <w:rPr>
          <w:rFonts w:hint="eastAsia" w:ascii="仿宋_GB2312" w:hAnsi="Calibri" w:eastAsia="仿宋_GB2312" w:cs="仿宋_GB2312"/>
          <w:color w:val="auto"/>
          <w:kern w:val="0"/>
          <w:sz w:val="32"/>
          <w:szCs w:val="32"/>
          <w:lang w:val="en-US" w:eastAsia="zh-CN" w:bidi="ar"/>
        </w:rPr>
        <w:t>: 反映机关事业单位实施事业单位离退支出。</w:t>
      </w:r>
    </w:p>
    <w:p w14:paraId="686B899D">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6.社会保障和就业（208类）行政事业单位养老（05款）机关事业单位基本养老保险缴费支出（05项）：指机关事业单位实施养老保险制度由单位缴纳的基本养老保险费支出。</w:t>
      </w:r>
    </w:p>
    <w:p w14:paraId="72252ADF">
      <w:pPr>
        <w:pStyle w:val="27"/>
        <w:spacing w:line="560" w:lineRule="exact"/>
        <w:ind w:firstLine="640" w:firstLineChars="200"/>
        <w:rPr>
          <w:rFonts w:hint="eastAsia" w:ascii="仿宋_GB2312" w:hAnsi="Calibri"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7</w:t>
      </w:r>
      <w:r>
        <w:rPr>
          <w:rFonts w:hint="eastAsia" w:ascii="仿宋_GB2312" w:hAnsi="Calibri" w:eastAsia="仿宋_GB2312" w:cs="仿宋_GB2312"/>
          <w:color w:val="auto"/>
          <w:kern w:val="0"/>
          <w:sz w:val="32"/>
          <w:szCs w:val="32"/>
          <w:lang w:val="en-US" w:eastAsia="zh-CN" w:bidi="ar"/>
        </w:rPr>
        <w:t>.社会保障和就业（208类）行政事业单位养老支出（05款）其他行政事业单位养老支出（99项）: 反映机关事业单位实施养老保险制度其他行政事业单位养老支出支出。</w:t>
      </w:r>
    </w:p>
    <w:p w14:paraId="1D7B4EAC">
      <w:pPr>
        <w:pStyle w:val="27"/>
        <w:spacing w:line="560" w:lineRule="exact"/>
        <w:ind w:firstLine="640" w:firstLineChars="200"/>
        <w:rPr>
          <w:rFonts w:hint="eastAsia" w:ascii="仿宋_GB2312" w:hAnsi="Calibri"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8</w:t>
      </w:r>
      <w:r>
        <w:rPr>
          <w:rFonts w:hint="eastAsia" w:ascii="仿宋_GB2312" w:hAnsi="Calibri" w:eastAsia="仿宋_GB2312" w:cs="仿宋_GB2312"/>
          <w:color w:val="auto"/>
          <w:kern w:val="0"/>
          <w:sz w:val="32"/>
          <w:szCs w:val="32"/>
          <w:lang w:val="en-US" w:eastAsia="zh-CN" w:bidi="ar"/>
        </w:rPr>
        <w:t>.社会保障和就业（208类）其他社会保障和就业支出（99款）其他社会保障和就业支出（99项）: 反映上述项目以外其他用用于社会保障和就业方面的支出。</w:t>
      </w:r>
    </w:p>
    <w:p w14:paraId="33956247">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9.卫生健康（210类）公共卫生（11款）突发公共卫生事件应急处理（02项）：指用于突发公共卫生事件应急处理的支出。</w:t>
      </w:r>
    </w:p>
    <w:p w14:paraId="48E78562">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10.住房保障（221类）住房改革支出（02款）住房公积金（01项）：指行政事业单位按人力资源和社会保障部、财政部规定的基本工资和津贴补贴以及规定比例为职工缴纳的住房公积金。</w:t>
      </w:r>
    </w:p>
    <w:p w14:paraId="5A73FAF5">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11.基本支出：指为保障机构正常运转、完成日常工作任务而发生的人员支出和公用支出。</w:t>
      </w:r>
    </w:p>
    <w:p w14:paraId="142A99CD">
      <w:pPr>
        <w:pStyle w:val="27"/>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12.项目支出：指在基本支出之外为完成特定行政任务和事业发展目标所发生的支出。 </w:t>
      </w:r>
    </w:p>
    <w:p w14:paraId="280EFA79">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660B67">
      <w:pPr>
        <w:numPr>
          <w:ilvl w:val="0"/>
          <w:numId w:val="0"/>
        </w:numPr>
        <w:spacing w:line="600" w:lineRule="exact"/>
        <w:ind w:firstLine="320" w:firstLineChars="100"/>
        <w:jc w:val="center"/>
        <w:outlineLvl w:val="0"/>
        <w:rPr>
          <w:rFonts w:hint="eastAsia" w:asciiTheme="majorEastAsia" w:hAnsiTheme="majorEastAsia" w:eastAsiaTheme="majorEastAsia" w:cstheme="majorEastAsia"/>
          <w:b/>
          <w:bCs/>
          <w:sz w:val="44"/>
          <w:szCs w:val="44"/>
          <w:lang w:val="en-US" w:eastAsia="zh-CN"/>
        </w:rPr>
      </w:pPr>
      <w:bookmarkStart w:id="47" w:name="_Toc15377226"/>
      <w:r>
        <w:rPr>
          <w:rFonts w:ascii="仿宋_GB2312" w:eastAsia="仿宋_GB2312"/>
          <w:color w:val="auto"/>
          <w:sz w:val="32"/>
          <w:szCs w:val="32"/>
        </w:rPr>
        <w:br w:type="page"/>
      </w:r>
      <w:bookmarkStart w:id="48" w:name="_Toc15396614"/>
      <w:r>
        <w:rPr>
          <w:rFonts w:hint="eastAsia" w:asciiTheme="majorEastAsia" w:hAnsiTheme="majorEastAsia" w:eastAsiaTheme="majorEastAsia" w:cstheme="majorEastAsia"/>
          <w:b/>
          <w:bCs/>
          <w:sz w:val="44"/>
          <w:szCs w:val="44"/>
          <w:lang w:val="en-US" w:eastAsia="zh-CN"/>
        </w:rPr>
        <w:t>第四部分 附件</w:t>
      </w:r>
      <w:bookmarkEnd w:id="48"/>
    </w:p>
    <w:p w14:paraId="72BED352">
      <w:pPr>
        <w:spacing w:line="572" w:lineRule="exact"/>
        <w:jc w:val="left"/>
        <w:outlineLvl w:val="0"/>
        <w:rPr>
          <w:rFonts w:hint="eastAsia" w:ascii="黑体" w:hAnsi="黑体" w:eastAsia="黑体" w:cs="黑体"/>
          <w:sz w:val="32"/>
          <w:szCs w:val="32"/>
        </w:rPr>
      </w:pPr>
    </w:p>
    <w:p w14:paraId="52D8CCA2">
      <w:pPr>
        <w:widowControl/>
        <w:suppressAutoHyphens/>
        <w:spacing w:line="578" w:lineRule="exact"/>
        <w:contextualSpacing/>
        <w:jc w:val="center"/>
        <w:rPr>
          <w:rFonts w:hint="eastAsia" w:ascii="Times New Roman" w:hAnsi="Times New Roman" w:eastAsia="方正小标宋简体"/>
          <w:bCs/>
          <w:sz w:val="44"/>
          <w:szCs w:val="44"/>
          <w:shd w:val="clear" w:color="auto" w:fill="FFFFFF"/>
        </w:rPr>
      </w:pPr>
      <w:r>
        <w:rPr>
          <w:rFonts w:hint="eastAsia" w:ascii="Times New Roman" w:hAnsi="Times New Roman" w:eastAsia="方正小标宋简体"/>
          <w:bCs/>
          <w:sz w:val="44"/>
          <w:szCs w:val="44"/>
          <w:shd w:val="clear" w:color="auto" w:fill="FFFFFF"/>
        </w:rPr>
        <w:t>部门预算绩效评价报告</w:t>
      </w:r>
    </w:p>
    <w:p w14:paraId="320D3787">
      <w:pPr>
        <w:pStyle w:val="2"/>
        <w:rPr>
          <w:rFonts w:hint="eastAsia"/>
        </w:rPr>
      </w:pPr>
    </w:p>
    <w:p w14:paraId="6388B40F">
      <w:pPr>
        <w:widowControl/>
        <w:suppressAutoHyphens/>
        <w:adjustRightInd w:val="0"/>
        <w:snapToGrid w:val="0"/>
        <w:spacing w:line="578" w:lineRule="exact"/>
        <w:ind w:firstLine="640" w:firstLineChars="200"/>
        <w:contextualSpacing/>
        <w:jc w:val="left"/>
        <w:rPr>
          <w:rFonts w:hint="eastAsia" w:ascii="Calibri" w:hAnsi="Calibri" w:eastAsia="黑体"/>
          <w:color w:val="000000"/>
          <w:kern w:val="0"/>
          <w:sz w:val="32"/>
          <w:szCs w:val="32"/>
          <w:shd w:val="clear" w:color="auto" w:fill="FFFFFF"/>
          <w:lang w:val="zh-CN"/>
        </w:rPr>
      </w:pPr>
      <w:r>
        <w:rPr>
          <w:rFonts w:hint="eastAsia" w:ascii="Calibri" w:hAnsi="Calibri" w:eastAsia="黑体"/>
          <w:color w:val="000000"/>
          <w:kern w:val="0"/>
          <w:sz w:val="32"/>
          <w:szCs w:val="32"/>
          <w:shd w:val="clear" w:color="auto" w:fill="FFFFFF"/>
          <w:lang w:val="zh-CN"/>
        </w:rPr>
        <w:t>一、基本情况</w:t>
      </w:r>
    </w:p>
    <w:p w14:paraId="081673D1">
      <w:pPr>
        <w:spacing w:line="572" w:lineRule="exact"/>
        <w:ind w:firstLine="643" w:firstLineChars="200"/>
        <w:jc w:val="left"/>
        <w:outlineLvl w:val="0"/>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（一）机构组成：</w:t>
      </w:r>
      <w:r>
        <w:rPr>
          <w:rFonts w:hint="eastAsia" w:ascii="仿宋_GB2312" w:hAnsi="仿宋_GB2312" w:eastAsia="仿宋_GB2312" w:cs="仿宋_GB2312"/>
          <w:sz w:val="32"/>
          <w:szCs w:val="32"/>
        </w:rPr>
        <w:t>遂宁市安居区</w:t>
      </w:r>
      <w:r>
        <w:rPr>
          <w:rFonts w:hint="eastAsia" w:ascii="仿宋_GB2312" w:hAnsi="仿宋_GB2312" w:eastAsia="仿宋_GB2312" w:cs="仿宋_GB2312"/>
          <w:sz w:val="32"/>
          <w:szCs w:val="32"/>
          <w:lang w:val="en-US" w:eastAsia="zh-CN"/>
        </w:rPr>
        <w:t>分水</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小学校属于公益二类事业单位，学校的主管部门为四川省遂宁市安居区教育局。</w:t>
      </w:r>
    </w:p>
    <w:p w14:paraId="2E6053C0">
      <w:pPr>
        <w:spacing w:line="572" w:lineRule="exact"/>
        <w:ind w:firstLine="643" w:firstLineChars="200"/>
        <w:jc w:val="left"/>
        <w:outlineLvl w:val="0"/>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（二）机构职能：</w:t>
      </w:r>
    </w:p>
    <w:p w14:paraId="20F1B7F6">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1、正确贯彻执行党和国家的教育方针、政策、法规。</w:t>
      </w:r>
    </w:p>
    <w:p w14:paraId="4EB5F5E3">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2、维护学校的教学秩序，为学生创造良好的学习环境；</w:t>
      </w:r>
    </w:p>
    <w:p w14:paraId="2F035732">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3、积极稳妥地推进教育改革，按教育规律办事，不断提高教育质量；</w:t>
      </w:r>
    </w:p>
    <w:p w14:paraId="15B85D22">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4、根据学校规模，设置学校管理机构，建立健全各项规章制度和岗位责任制。</w:t>
      </w:r>
    </w:p>
    <w:p w14:paraId="71D93345">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5、坚持教书育人，服务育人，环境育人方针，加强对学生的思想品德教育，使学生的德智体全面发展。</w:t>
      </w:r>
    </w:p>
    <w:p w14:paraId="50B7107F">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6、抓好教师队伍建设，使每个教师都热心于教育事业；</w:t>
      </w:r>
    </w:p>
    <w:p w14:paraId="279A1B8E">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7、做好安全防范，保证学生的人身安全。</w:t>
      </w:r>
    </w:p>
    <w:p w14:paraId="4A684EA8">
      <w:pPr>
        <w:spacing w:line="572" w:lineRule="exact"/>
        <w:ind w:firstLine="643" w:firstLineChars="200"/>
        <w:jc w:val="left"/>
        <w:outlineLvl w:val="0"/>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（三）人员概况：</w:t>
      </w:r>
      <w:r>
        <w:rPr>
          <w:rFonts w:hint="eastAsia" w:ascii="仿宋_GB2312" w:hAnsi="仿宋_GB2312" w:eastAsia="仿宋_GB2312" w:cs="仿宋_GB2312"/>
          <w:sz w:val="32"/>
          <w:szCs w:val="32"/>
        </w:rPr>
        <w:t>截至2024年末，我校现有在编教师</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人，遗属</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人，退休教师</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人。</w:t>
      </w:r>
    </w:p>
    <w:p w14:paraId="14BCEAD2">
      <w:pPr>
        <w:widowControl/>
        <w:suppressAutoHyphens/>
        <w:adjustRightInd w:val="0"/>
        <w:snapToGrid w:val="0"/>
        <w:spacing w:line="578" w:lineRule="exact"/>
        <w:ind w:firstLine="640" w:firstLineChars="200"/>
        <w:contextualSpacing/>
        <w:jc w:val="left"/>
        <w:rPr>
          <w:rFonts w:hint="eastAsia" w:ascii="Calibri" w:hAnsi="Calibri" w:eastAsia="黑体"/>
          <w:color w:val="000000"/>
          <w:kern w:val="0"/>
          <w:sz w:val="32"/>
          <w:szCs w:val="32"/>
          <w:shd w:val="clear" w:color="auto" w:fill="FFFFFF"/>
          <w:lang w:val="zh-CN"/>
        </w:rPr>
      </w:pPr>
      <w:r>
        <w:rPr>
          <w:rFonts w:hint="eastAsia" w:ascii="Calibri" w:hAnsi="Calibri" w:eastAsia="黑体"/>
          <w:color w:val="000000"/>
          <w:kern w:val="0"/>
          <w:sz w:val="32"/>
          <w:szCs w:val="32"/>
          <w:shd w:val="clear" w:color="auto" w:fill="FFFFFF"/>
          <w:lang w:val="zh-CN"/>
        </w:rPr>
        <w:t>二、部门资金收支情况</w:t>
      </w:r>
    </w:p>
    <w:p w14:paraId="4FAB842D">
      <w:pPr>
        <w:spacing w:line="572" w:lineRule="exact"/>
        <w:ind w:firstLine="643" w:firstLineChars="200"/>
        <w:jc w:val="left"/>
        <w:outlineLvl w:val="0"/>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（一）收入情况。</w:t>
      </w:r>
      <w:r>
        <w:rPr>
          <w:rFonts w:hint="eastAsia" w:ascii="仿宋_GB2312" w:hAnsi="仿宋_GB2312" w:eastAsia="仿宋_GB2312" w:cs="仿宋_GB2312"/>
          <w:sz w:val="32"/>
          <w:szCs w:val="32"/>
        </w:rPr>
        <w:t>2024年度收入总计1078.38万元。与2023年相比，收入减少12.27万元，</w:t>
      </w:r>
      <w:r>
        <w:rPr>
          <w:rFonts w:hint="eastAsia" w:ascii="仿宋_GB2312" w:hAnsi="仿宋_GB2312" w:eastAsia="仿宋_GB2312" w:cs="仿宋_GB2312"/>
          <w:sz w:val="32"/>
          <w:szCs w:val="32"/>
          <w:lang w:val="en-US" w:eastAsia="zh-CN"/>
        </w:rPr>
        <w:t>下降</w:t>
      </w:r>
      <w:r>
        <w:rPr>
          <w:rFonts w:hint="eastAsia" w:ascii="仿宋_GB2312" w:hAnsi="仿宋_GB2312" w:eastAsia="仿宋_GB2312" w:cs="仿宋_GB2312"/>
          <w:sz w:val="32"/>
          <w:szCs w:val="32"/>
        </w:rPr>
        <w:t>1.13%。2024年度支出总计1078.38万元。与2023年相比，支出减少12.27万元，</w:t>
      </w:r>
      <w:r>
        <w:rPr>
          <w:rFonts w:hint="eastAsia" w:ascii="仿宋_GB2312" w:hAnsi="仿宋_GB2312" w:eastAsia="仿宋_GB2312" w:cs="仿宋_GB2312"/>
          <w:sz w:val="32"/>
          <w:szCs w:val="32"/>
          <w:lang w:val="en-US" w:eastAsia="zh-CN"/>
        </w:rPr>
        <w:t>下降</w:t>
      </w:r>
      <w:r>
        <w:rPr>
          <w:rFonts w:hint="eastAsia" w:ascii="仿宋_GB2312" w:hAnsi="仿宋_GB2312" w:eastAsia="仿宋_GB2312" w:cs="仿宋_GB2312"/>
          <w:sz w:val="32"/>
          <w:szCs w:val="32"/>
        </w:rPr>
        <w:t>1.13%。主要变动原因是本单位2024年度教职工较上年有减少。</w:t>
      </w:r>
    </w:p>
    <w:p w14:paraId="0F3CB1F3">
      <w:pPr>
        <w:spacing w:line="572" w:lineRule="exact"/>
        <w:ind w:left="319" w:leftChars="152" w:firstLine="0" w:firstLineChars="0"/>
        <w:jc w:val="left"/>
        <w:outlineLvl w:val="0"/>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（二）支出情况。</w:t>
      </w:r>
    </w:p>
    <w:p w14:paraId="0782BEC3">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2024年本年支出合计1078.38万元，其中：基本支出912.36万元，占84.6%；项目支出166.02万元，占15.4%；</w:t>
      </w:r>
    </w:p>
    <w:p w14:paraId="0FC8F140">
      <w:pPr>
        <w:numPr>
          <w:ilvl w:val="0"/>
          <w:numId w:val="1"/>
        </w:numPr>
        <w:spacing w:line="572" w:lineRule="exact"/>
        <w:ind w:firstLine="321" w:firstLineChars="100"/>
        <w:jc w:val="left"/>
        <w:outlineLvl w:val="0"/>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结余分配和结转结余情况。</w:t>
      </w:r>
    </w:p>
    <w:p w14:paraId="127946AF">
      <w:pPr>
        <w:numPr>
          <w:ilvl w:val="0"/>
          <w:numId w:val="0"/>
        </w:num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2024年决算报表结转结余0万元。</w:t>
      </w:r>
    </w:p>
    <w:p w14:paraId="10B27ECC">
      <w:pPr>
        <w:widowControl/>
        <w:suppressAutoHyphens/>
        <w:adjustRightInd w:val="0"/>
        <w:snapToGrid w:val="0"/>
        <w:spacing w:line="578" w:lineRule="exact"/>
        <w:ind w:firstLine="640" w:firstLineChars="200"/>
        <w:contextualSpacing/>
        <w:jc w:val="left"/>
        <w:rPr>
          <w:rFonts w:hint="eastAsia" w:ascii="Calibri" w:hAnsi="Calibri" w:eastAsia="黑体"/>
          <w:color w:val="000000"/>
          <w:kern w:val="0"/>
          <w:sz w:val="32"/>
          <w:szCs w:val="32"/>
          <w:shd w:val="clear" w:color="auto" w:fill="FFFFFF"/>
          <w:lang w:val="zh-CN"/>
        </w:rPr>
      </w:pPr>
      <w:r>
        <w:rPr>
          <w:rFonts w:hint="eastAsia" w:ascii="Calibri" w:hAnsi="Calibri" w:eastAsia="黑体"/>
          <w:color w:val="000000"/>
          <w:kern w:val="0"/>
          <w:sz w:val="32"/>
          <w:szCs w:val="32"/>
          <w:shd w:val="clear" w:color="auto" w:fill="FFFFFF"/>
          <w:lang w:val="zh-CN"/>
        </w:rPr>
        <w:t>三、部门预算绩效分析</w:t>
      </w:r>
    </w:p>
    <w:p w14:paraId="30C5AB8C">
      <w:pPr>
        <w:spacing w:line="572" w:lineRule="exact"/>
        <w:ind w:firstLine="643" w:firstLineChars="200"/>
        <w:jc w:val="left"/>
        <w:outlineLvl w:val="0"/>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（一）部门预算总体绩效分析。</w:t>
      </w:r>
    </w:p>
    <w:p w14:paraId="638483B5">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根据部门预算绩效评价指标体系“总体绩效”涉及二、三级指标进行逐项绩效分析并评分，依次包括履职效能、预算管理、财务管理、资产管理、采购管理等情况。</w:t>
      </w:r>
    </w:p>
    <w:p w14:paraId="73AB998D">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1.履职效能。</w:t>
      </w:r>
      <w:r>
        <w:rPr>
          <w:rFonts w:hint="eastAsia" w:ascii="仿宋_GB2312" w:hAnsi="仿宋_GB2312" w:eastAsia="仿宋_GB2312" w:cs="仿宋_GB2312"/>
          <w:sz w:val="32"/>
          <w:szCs w:val="32"/>
        </w:rPr>
        <w:t>根据相关规定，制定绩效目标管理，规范资金使用，提升资金使用效益。严格支出控制、预算及时动态调整。我单位资金主要是人员经费、公用经费支出，学校制定的相关规章制度，对资金进行严格收支管理。</w:t>
      </w:r>
    </w:p>
    <w:p w14:paraId="7DBB832A">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2.预算管理。</w:t>
      </w:r>
      <w:r>
        <w:rPr>
          <w:rFonts w:hint="eastAsia" w:ascii="仿宋_GB2312" w:hAnsi="仿宋_GB2312" w:eastAsia="仿宋_GB2312" w:cs="仿宋_GB2312"/>
          <w:sz w:val="32"/>
          <w:szCs w:val="32"/>
        </w:rPr>
        <w:t>2024年度预算收、支总计均为1078.38万元。与2023年度相比，收、支均减少12.27万元，</w:t>
      </w:r>
      <w:r>
        <w:rPr>
          <w:rFonts w:hint="eastAsia" w:ascii="仿宋_GB2312" w:hAnsi="仿宋_GB2312" w:eastAsia="仿宋_GB2312" w:cs="仿宋_GB2312"/>
          <w:sz w:val="32"/>
          <w:szCs w:val="32"/>
          <w:lang w:val="en-US" w:eastAsia="zh-CN"/>
        </w:rPr>
        <w:t>下降</w:t>
      </w:r>
      <w:r>
        <w:rPr>
          <w:rFonts w:hint="eastAsia" w:ascii="仿宋_GB2312" w:hAnsi="仿宋_GB2312" w:eastAsia="仿宋_GB2312" w:cs="仿宋_GB2312"/>
          <w:sz w:val="32"/>
          <w:szCs w:val="32"/>
        </w:rPr>
        <w:t>1.13%，主要变动原因是本单位2024年度教职工较上年有减少。各项管理制度执行总体较为有效，需进一步强化，资金的使用和管理应进一步加强。</w:t>
      </w:r>
    </w:p>
    <w:p w14:paraId="6D70E0C9">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3.财务管理。</w:t>
      </w:r>
      <w:r>
        <w:rPr>
          <w:rFonts w:hint="eastAsia" w:ascii="仿宋_GB2312" w:hAnsi="仿宋_GB2312" w:eastAsia="仿宋_GB2312" w:cs="仿宋_GB2312"/>
          <w:sz w:val="32"/>
          <w:szCs w:val="32"/>
        </w:rPr>
        <w:t>制度了完善的财务管理制度、财务岗位设置、规范了资金使用。</w:t>
      </w:r>
    </w:p>
    <w:p w14:paraId="2AE15C7E">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4.资产管理。</w:t>
      </w:r>
      <w:r>
        <w:rPr>
          <w:rFonts w:hint="eastAsia" w:ascii="仿宋_GB2312" w:hAnsi="仿宋_GB2312" w:eastAsia="仿宋_GB2312" w:cs="仿宋_GB2312"/>
          <w:sz w:val="32"/>
          <w:szCs w:val="32"/>
        </w:rPr>
        <w:t>建立资产管理制度，定期进行资产盘点和资产清理，总体执行较好。</w:t>
      </w:r>
    </w:p>
    <w:p w14:paraId="5049918A">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5.采购管理。</w:t>
      </w:r>
      <w:r>
        <w:rPr>
          <w:rFonts w:hint="eastAsia" w:ascii="仿宋_GB2312" w:hAnsi="仿宋_GB2312" w:eastAsia="仿宋_GB2312" w:cs="仿宋_GB2312"/>
          <w:sz w:val="32"/>
          <w:szCs w:val="32"/>
        </w:rPr>
        <w:t>建立学校采购管理制度，做好物品入库、领取台账，总体执行较好。</w:t>
      </w:r>
    </w:p>
    <w:p w14:paraId="6875A811">
      <w:pPr>
        <w:widowControl/>
        <w:suppressAutoHyphens/>
        <w:adjustRightInd w:val="0"/>
        <w:snapToGrid w:val="0"/>
        <w:spacing w:line="578" w:lineRule="exact"/>
        <w:ind w:firstLine="643" w:firstLineChars="200"/>
        <w:contextualSpacing/>
        <w:jc w:val="left"/>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（二）部门预算项目绩效分析：</w:t>
      </w:r>
    </w:p>
    <w:p w14:paraId="758C8AC5">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常年项目绩效分析：该类项目总数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个，涉及预算总金额</w:t>
      </w:r>
      <w:r>
        <w:rPr>
          <w:rFonts w:hint="eastAsia" w:ascii="仿宋_GB2312" w:hAnsi="仿宋_GB2312" w:eastAsia="仿宋_GB2312" w:cs="仿宋_GB2312"/>
          <w:sz w:val="32"/>
          <w:szCs w:val="32"/>
          <w:lang w:val="en-US" w:eastAsia="zh-CN"/>
        </w:rPr>
        <w:t>166.01</w:t>
      </w:r>
      <w:r>
        <w:rPr>
          <w:rFonts w:hint="eastAsia" w:ascii="仿宋_GB2312" w:hAnsi="仿宋_GB2312" w:eastAsia="仿宋_GB2312" w:cs="仿宋_GB2312"/>
          <w:sz w:val="32"/>
          <w:szCs w:val="32"/>
        </w:rPr>
        <w:t>万元，1—12月预算执行总体进度为100%。</w:t>
      </w:r>
    </w:p>
    <w:p w14:paraId="3F0C77BE">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阶段（一次性）项目绩效分析。该类项目总数 0 个，涉及预算总金额 0 万元，1—12月预算执行总体进度为 0%，其中：预算结余率大于10%的项目共计 0个。</w:t>
      </w:r>
    </w:p>
    <w:p w14:paraId="46F09BAE">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1.项目决策。</w:t>
      </w:r>
      <w:r>
        <w:rPr>
          <w:rFonts w:hint="eastAsia" w:ascii="仿宋_GB2312" w:hAnsi="仿宋_GB2312" w:eastAsia="仿宋_GB2312" w:cs="仿宋_GB2312"/>
          <w:sz w:val="32"/>
          <w:szCs w:val="32"/>
        </w:rPr>
        <w:t>围绕决策程序、目标设置、项目入库进行绩效分析。</w:t>
      </w:r>
    </w:p>
    <w:p w14:paraId="56A24B7B">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2.项目执行。</w:t>
      </w:r>
      <w:r>
        <w:rPr>
          <w:rFonts w:hint="eastAsia" w:ascii="仿宋_GB2312" w:hAnsi="仿宋_GB2312" w:eastAsia="仿宋_GB2312" w:cs="仿宋_GB2312"/>
          <w:sz w:val="32"/>
          <w:szCs w:val="32"/>
        </w:rPr>
        <w:t>围绕资金执行同向、项目调整、执行结果进行绩效分析。</w:t>
      </w:r>
    </w:p>
    <w:p w14:paraId="06CAD36B">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3.目标实现。</w:t>
      </w:r>
      <w:r>
        <w:rPr>
          <w:rFonts w:hint="eastAsia" w:ascii="仿宋_GB2312" w:hAnsi="仿宋_GB2312" w:eastAsia="仿宋_GB2312" w:cs="仿宋_GB2312"/>
          <w:sz w:val="32"/>
          <w:szCs w:val="32"/>
        </w:rPr>
        <w:t>围绕目标完成、目标偏离、实现效果进行绩效分析。</w:t>
      </w:r>
    </w:p>
    <w:p w14:paraId="7FF1DCC1">
      <w:pPr>
        <w:spacing w:line="572" w:lineRule="exact"/>
        <w:ind w:firstLine="643" w:firstLineChars="200"/>
        <w:jc w:val="left"/>
        <w:outlineLvl w:val="0"/>
        <w:rPr>
          <w:rFonts w:hint="eastAsia" w:ascii="仿宋_GB2312" w:hAnsi="仿宋_GB2312" w:eastAsia="仿宋_GB2312" w:cs="仿宋_GB2312"/>
          <w:sz w:val="32"/>
          <w:szCs w:val="32"/>
        </w:rPr>
      </w:pPr>
      <w:r>
        <w:rPr>
          <w:rFonts w:hint="eastAsia" w:ascii="Times New Roman" w:hAnsi="Times New Roman" w:eastAsia="楷体_GB2312"/>
          <w:b/>
          <w:bCs/>
          <w:color w:val="000000"/>
          <w:kern w:val="0"/>
          <w:sz w:val="32"/>
          <w:szCs w:val="32"/>
          <w:shd w:val="clear" w:color="auto" w:fill="FFFFFF"/>
          <w:lang w:val="zh-CN"/>
        </w:rPr>
        <w:t>（三）重点领域绩效分析。</w:t>
      </w:r>
      <w:r>
        <w:rPr>
          <w:rFonts w:hint="eastAsia" w:ascii="仿宋_GB2312" w:hAnsi="仿宋_GB2312" w:eastAsia="仿宋_GB2312" w:cs="仿宋_GB2312"/>
          <w:sz w:val="32"/>
          <w:szCs w:val="32"/>
        </w:rPr>
        <w:t>无</w:t>
      </w:r>
    </w:p>
    <w:p w14:paraId="4044D0C5">
      <w:pPr>
        <w:spacing w:line="572" w:lineRule="exact"/>
        <w:ind w:firstLine="643" w:firstLineChars="200"/>
        <w:jc w:val="left"/>
        <w:outlineLvl w:val="0"/>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（四）绩效结果应用情况。</w:t>
      </w:r>
    </w:p>
    <w:p w14:paraId="43156906">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一是建立评价结果反馈与整改相结合的制度；二是建立评价结果与通报相结合的制度；三是建立评价结果与预算安排相结合的制度；四是建立评价结果公开制度。</w:t>
      </w:r>
    </w:p>
    <w:p w14:paraId="4F271DDD">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遂宁市安居区</w:t>
      </w:r>
      <w:r>
        <w:rPr>
          <w:rFonts w:hint="eastAsia" w:ascii="仿宋_GB2312" w:hAnsi="仿宋_GB2312" w:eastAsia="仿宋_GB2312" w:cs="仿宋_GB2312"/>
          <w:sz w:val="32"/>
          <w:szCs w:val="32"/>
          <w:lang w:val="en-US" w:eastAsia="zh-CN"/>
        </w:rPr>
        <w:t>分水</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小学校认真履职尽责，认真完成项目任务，所有项目均开展绩效评价，评价效果良好，对于财政预算资金多次接受省、市、区的检查，所有资金的支出，接受财政部门的监督管理，圆满完成2024年的目标任务。</w:t>
      </w:r>
    </w:p>
    <w:p w14:paraId="612FFA05">
      <w:pPr>
        <w:widowControl/>
        <w:suppressAutoHyphens/>
        <w:adjustRightInd w:val="0"/>
        <w:snapToGrid w:val="0"/>
        <w:spacing w:line="578" w:lineRule="exact"/>
        <w:ind w:firstLine="640" w:firstLineChars="200"/>
        <w:contextualSpacing/>
        <w:jc w:val="left"/>
        <w:rPr>
          <w:rFonts w:hint="eastAsia" w:ascii="Calibri" w:hAnsi="Calibri" w:eastAsia="黑体"/>
          <w:color w:val="000000"/>
          <w:kern w:val="0"/>
          <w:sz w:val="32"/>
          <w:szCs w:val="32"/>
          <w:shd w:val="clear" w:color="auto" w:fill="FFFFFF"/>
          <w:lang w:val="zh-CN"/>
        </w:rPr>
      </w:pPr>
      <w:r>
        <w:rPr>
          <w:rFonts w:hint="eastAsia" w:ascii="Calibri" w:hAnsi="Calibri" w:eastAsia="黑体"/>
          <w:color w:val="000000"/>
          <w:kern w:val="0"/>
          <w:sz w:val="32"/>
          <w:szCs w:val="32"/>
          <w:shd w:val="clear" w:color="auto" w:fill="FFFFFF"/>
          <w:lang w:val="zh-CN"/>
        </w:rPr>
        <w:t>四、评价结论及建议</w:t>
      </w:r>
    </w:p>
    <w:p w14:paraId="21370C41">
      <w:pPr>
        <w:widowControl/>
        <w:suppressAutoHyphens/>
        <w:adjustRightInd w:val="0"/>
        <w:snapToGrid w:val="0"/>
        <w:spacing w:line="578" w:lineRule="exact"/>
        <w:ind w:firstLine="643" w:firstLineChars="200"/>
        <w:contextualSpacing/>
        <w:jc w:val="left"/>
        <w:rPr>
          <w:rFonts w:hint="eastAsia" w:ascii="Calibri" w:hAnsi="Calibri" w:eastAsia="黑体"/>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（一）评价结论。</w:t>
      </w:r>
    </w:p>
    <w:p w14:paraId="7A7EF690">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4BEABE76">
      <w:pPr>
        <w:widowControl/>
        <w:suppressAutoHyphens/>
        <w:adjustRightInd w:val="0"/>
        <w:snapToGrid w:val="0"/>
        <w:spacing w:line="578" w:lineRule="exact"/>
        <w:ind w:firstLine="643" w:firstLineChars="200"/>
        <w:contextualSpacing/>
        <w:jc w:val="left"/>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（二）存在问题。</w:t>
      </w:r>
    </w:p>
    <w:p w14:paraId="4D25A7B5">
      <w:pPr>
        <w:spacing w:line="572"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人口下降，出生率降低，同时学校收入在减少。</w:t>
      </w:r>
    </w:p>
    <w:p w14:paraId="14FF0FC7">
      <w:pPr>
        <w:widowControl/>
        <w:suppressAutoHyphens/>
        <w:adjustRightInd w:val="0"/>
        <w:snapToGrid w:val="0"/>
        <w:spacing w:line="578" w:lineRule="exact"/>
        <w:ind w:firstLine="643" w:firstLineChars="200"/>
        <w:contextualSpacing/>
        <w:jc w:val="left"/>
        <w:rPr>
          <w:rFonts w:hint="eastAsia"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（三）改进建议。</w:t>
      </w:r>
    </w:p>
    <w:p w14:paraId="19D6B817">
      <w:pPr>
        <w:widowControl/>
        <w:suppressAutoHyphens/>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向主管部门汇报情况，争取上级或本级资金，加快校园建设，完善教学基础设施，更新教学理念。提高学生的竞争能力，保住生源。</w:t>
      </w:r>
    </w:p>
    <w:p w14:paraId="69BC74A8">
      <w:pPr>
        <w:pStyle w:val="3"/>
        <w:keepNext w:val="0"/>
        <w:keepLines w:val="0"/>
        <w:pageBreakBefore w:val="0"/>
        <w:widowControl w:val="0"/>
        <w:suppressAutoHyphens/>
        <w:kinsoku/>
        <w:wordWrap/>
        <w:overflowPunct/>
        <w:topLinePunct w:val="0"/>
        <w:autoSpaceDE/>
        <w:autoSpaceDN/>
        <w:bidi w:val="0"/>
        <w:adjustRightInd/>
        <w:snapToGrid/>
        <w:spacing w:before="469" w:beforeLines="150" w:line="560" w:lineRule="exact"/>
        <w:ind w:left="0" w:leftChars="0" w:firstLine="640"/>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附</w:t>
      </w:r>
      <w:r>
        <w:rPr>
          <w:rFonts w:hint="eastAsia" w:ascii="Times New Roman" w:eastAsia="仿宋_GB2312" w:cs="Times New Roman"/>
          <w:kern w:val="2"/>
          <w:sz w:val="32"/>
          <w:szCs w:val="32"/>
          <w:lang w:val="en-US" w:eastAsia="zh-CN" w:bidi="ar"/>
        </w:rPr>
        <w:t>表</w:t>
      </w:r>
      <w:r>
        <w:rPr>
          <w:rFonts w:hint="eastAsia" w:ascii="Times New Roman" w:hAnsi="Times New Roman" w:eastAsia="仿宋_GB2312" w:cs="Times New Roman"/>
          <w:kern w:val="2"/>
          <w:sz w:val="32"/>
          <w:szCs w:val="32"/>
          <w:lang w:val="en-US" w:eastAsia="zh-CN" w:bidi="ar"/>
        </w:rPr>
        <w:t>：1.部门整体支出绩效自评表</w:t>
      </w:r>
    </w:p>
    <w:p w14:paraId="4E0F4A02">
      <w:pPr>
        <w:pStyle w:val="3"/>
        <w:numPr>
          <w:ilvl w:val="0"/>
          <w:numId w:val="2"/>
        </w:numPr>
        <w:suppressAutoHyphens/>
        <w:spacing w:line="560" w:lineRule="exact"/>
        <w:ind w:left="0" w:leftChars="0" w:firstLine="1600" w:firstLineChars="5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部门预算项目支出绩效自评表（2024年度）</w:t>
      </w:r>
    </w:p>
    <w:p w14:paraId="2BE05D0E">
      <w:pPr>
        <w:pStyle w:val="3"/>
        <w:widowControl w:val="0"/>
        <w:numPr>
          <w:ilvl w:val="0"/>
          <w:numId w:val="0"/>
        </w:numPr>
        <w:suppressAutoHyphens/>
        <w:spacing w:after="120" w:line="560" w:lineRule="exact"/>
        <w:jc w:val="both"/>
        <w:rPr>
          <w:rFonts w:hint="eastAsia" w:ascii="Times New Roman" w:hAnsi="Times New Roman" w:eastAsia="仿宋_GB2312" w:cs="Times New Roman"/>
          <w:kern w:val="2"/>
          <w:sz w:val="32"/>
          <w:szCs w:val="32"/>
          <w:lang w:val="en-US" w:eastAsia="zh-CN" w:bidi="ar"/>
        </w:rPr>
      </w:pPr>
    </w:p>
    <w:p w14:paraId="22A5A0FC">
      <w:pPr>
        <w:pStyle w:val="3"/>
        <w:widowControl w:val="0"/>
        <w:numPr>
          <w:ilvl w:val="0"/>
          <w:numId w:val="0"/>
        </w:numPr>
        <w:suppressAutoHyphens/>
        <w:spacing w:after="120" w:line="560" w:lineRule="exact"/>
        <w:jc w:val="both"/>
        <w:rPr>
          <w:rFonts w:hint="eastAsia" w:ascii="Times New Roman" w:hAnsi="Times New Roman" w:eastAsia="仿宋_GB2312" w:cs="Times New Roman"/>
          <w:kern w:val="2"/>
          <w:sz w:val="32"/>
          <w:szCs w:val="32"/>
          <w:lang w:val="en-US" w:eastAsia="zh-CN" w:bidi="ar"/>
        </w:rPr>
      </w:pPr>
    </w:p>
    <w:p w14:paraId="23689146">
      <w:pPr>
        <w:pStyle w:val="3"/>
        <w:widowControl w:val="0"/>
        <w:numPr>
          <w:ilvl w:val="0"/>
          <w:numId w:val="0"/>
        </w:numPr>
        <w:suppressAutoHyphens/>
        <w:spacing w:after="120" w:line="560" w:lineRule="exact"/>
        <w:jc w:val="both"/>
        <w:rPr>
          <w:rFonts w:hint="eastAsia" w:ascii="Times New Roman" w:hAnsi="Times New Roman" w:eastAsia="仿宋_GB2312" w:cs="Times New Roman"/>
          <w:kern w:val="2"/>
          <w:sz w:val="32"/>
          <w:szCs w:val="32"/>
          <w:lang w:val="en-US" w:eastAsia="zh-CN" w:bidi="ar"/>
        </w:rPr>
      </w:pPr>
    </w:p>
    <w:p w14:paraId="3FA3F263">
      <w:pPr>
        <w:pStyle w:val="3"/>
        <w:widowControl w:val="0"/>
        <w:numPr>
          <w:ilvl w:val="0"/>
          <w:numId w:val="0"/>
        </w:numPr>
        <w:suppressAutoHyphens/>
        <w:spacing w:after="120" w:line="560" w:lineRule="exact"/>
        <w:jc w:val="both"/>
        <w:rPr>
          <w:rFonts w:hint="eastAsia" w:ascii="Times New Roman" w:hAnsi="Times New Roman" w:eastAsia="仿宋_GB2312" w:cs="Times New Roman"/>
          <w:kern w:val="2"/>
          <w:sz w:val="32"/>
          <w:szCs w:val="32"/>
          <w:lang w:val="en-US" w:eastAsia="zh-CN" w:bidi="ar"/>
        </w:rPr>
      </w:pPr>
    </w:p>
    <w:tbl>
      <w:tblPr>
        <w:tblStyle w:val="16"/>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06F6E3DE">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noWrap w:val="0"/>
            <w:vAlign w:val="center"/>
          </w:tcPr>
          <w:p w14:paraId="1FF51DBD">
            <w:pPr>
              <w:suppressAutoHyphens/>
              <w:jc w:val="left"/>
              <w:rPr>
                <w:rFonts w:hint="default" w:ascii="黑体" w:hAnsi="黑体" w:eastAsia="黑体" w:cs="黑体"/>
                <w:kern w:val="0"/>
                <w:sz w:val="32"/>
                <w:szCs w:val="32"/>
                <w:shd w:val="clear" w:color="auto" w:fill="FFFFFF"/>
                <w:lang w:val="en-US" w:eastAsia="zh-CN"/>
              </w:rPr>
            </w:pPr>
            <w:bookmarkStart w:id="49" w:name="_Toc15396618"/>
            <w:r>
              <w:rPr>
                <w:rFonts w:hint="eastAsia" w:ascii="黑体" w:hAnsi="黑体" w:eastAsia="黑体" w:cs="黑体"/>
                <w:kern w:val="0"/>
                <w:sz w:val="32"/>
                <w:szCs w:val="32"/>
                <w:shd w:val="clear" w:color="auto" w:fill="FFFFFF"/>
                <w:lang w:val="en-US" w:eastAsia="zh-CN"/>
              </w:rPr>
              <w:t>附表：1</w:t>
            </w:r>
          </w:p>
          <w:p w14:paraId="16AA133E">
            <w:pPr>
              <w:jc w:val="center"/>
              <w:rPr>
                <w:rFonts w:ascii="方正小标宋简体" w:hAnsi="方正小标宋简体" w:eastAsia="方正小标宋简体" w:cs="宋体"/>
                <w:kern w:val="0"/>
                <w:sz w:val="48"/>
                <w:szCs w:val="48"/>
              </w:rPr>
            </w:pPr>
            <w:r>
              <w:rPr>
                <w:rFonts w:hint="eastAsia" w:ascii="黑体" w:hAnsi="黑体" w:eastAsia="黑体" w:cs="黑体"/>
                <w:kern w:val="0"/>
                <w:sz w:val="32"/>
                <w:szCs w:val="32"/>
                <w:shd w:val="clear" w:color="auto" w:fill="FFFFFF"/>
                <w:lang w:val="zh-CN"/>
              </w:rPr>
              <w:br w:type="page"/>
            </w:r>
            <w:r>
              <w:rPr>
                <w:rFonts w:hint="eastAsia" w:ascii="黑体" w:hAnsi="黑体" w:eastAsia="黑体" w:cs="黑体"/>
                <w:kern w:val="0"/>
                <w:sz w:val="32"/>
                <w:szCs w:val="32"/>
                <w:shd w:val="clear" w:color="auto" w:fill="FFFFFF"/>
                <w:lang w:val="zh-CN"/>
              </w:rPr>
              <w:br w:type="page"/>
            </w:r>
            <w:r>
              <w:rPr>
                <w:rFonts w:hint="eastAsia" w:ascii="黑体" w:hAnsi="黑体" w:eastAsia="黑体" w:cs="黑体"/>
                <w:kern w:val="0"/>
                <w:sz w:val="48"/>
                <w:szCs w:val="48"/>
              </w:rPr>
              <w:t>部门整体支出绩效自评表</w:t>
            </w:r>
          </w:p>
        </w:tc>
      </w:tr>
      <w:tr w14:paraId="7D3093DF">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noWrap w:val="0"/>
            <w:vAlign w:val="center"/>
          </w:tcPr>
          <w:p w14:paraId="2F4C050C">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noWrap w:val="0"/>
            <w:vAlign w:val="center"/>
          </w:tcPr>
          <w:p w14:paraId="20F86724">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noWrap w:val="0"/>
            <w:vAlign w:val="center"/>
          </w:tcPr>
          <w:p w14:paraId="5E5433CA">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noWrap w:val="0"/>
            <w:vAlign w:val="center"/>
          </w:tcPr>
          <w:p w14:paraId="1007C492">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noWrap w:val="0"/>
            <w:vAlign w:val="center"/>
          </w:tcPr>
          <w:p w14:paraId="0CF1F31D">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2B9D912C">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noWrap w:val="0"/>
            <w:vAlign w:val="center"/>
          </w:tcPr>
          <w:p w14:paraId="7D47809B">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noWrap w:val="0"/>
            <w:vAlign w:val="center"/>
          </w:tcPr>
          <w:p w14:paraId="33DE089B">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noWrap w:val="0"/>
            <w:vAlign w:val="center"/>
          </w:tcPr>
          <w:p w14:paraId="36FB6459">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noWrap w:val="0"/>
            <w:vAlign w:val="center"/>
          </w:tcPr>
          <w:p w14:paraId="79332C69">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14:paraId="6F099B8B">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noWrap w:val="0"/>
            <w:vAlign w:val="center"/>
          </w:tcPr>
          <w:p w14:paraId="6B699DAF">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noWrap w:val="0"/>
            <w:vAlign w:val="center"/>
          </w:tcPr>
          <w:p w14:paraId="0096A21B">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noWrap w:val="0"/>
            <w:vAlign w:val="center"/>
          </w:tcPr>
          <w:p w14:paraId="296C7B19">
            <w:pPr>
              <w:widowControl/>
              <w:jc w:val="left"/>
              <w:rPr>
                <w:rFonts w:ascii="黑体" w:hAnsi="黑体" w:eastAsia="黑体" w:cs="宋体"/>
                <w:kern w:val="0"/>
                <w:sz w:val="24"/>
              </w:rPr>
            </w:pPr>
          </w:p>
        </w:tc>
      </w:tr>
      <w:tr w14:paraId="3EE79875">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7D02E62E">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noWrap w:val="0"/>
            <w:vAlign w:val="center"/>
          </w:tcPr>
          <w:p w14:paraId="7942E51E">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noWrap w:val="0"/>
            <w:vAlign w:val="center"/>
          </w:tcPr>
          <w:p w14:paraId="5FA08A2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noWrap w:val="0"/>
            <w:vAlign w:val="center"/>
          </w:tcPr>
          <w:p w14:paraId="7029D9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noWrap w:val="0"/>
            <w:vAlign w:val="center"/>
          </w:tcPr>
          <w:p w14:paraId="0C6BCFA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noWrap w:val="0"/>
            <w:vAlign w:val="center"/>
          </w:tcPr>
          <w:p w14:paraId="319C783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noWrap w:val="0"/>
            <w:vAlign w:val="center"/>
          </w:tcPr>
          <w:p w14:paraId="28CF11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noWrap w:val="0"/>
            <w:vAlign w:val="center"/>
          </w:tcPr>
          <w:p w14:paraId="715DD1B2">
            <w:pPr>
              <w:widowControl/>
              <w:jc w:val="center"/>
              <w:rPr>
                <w:rFonts w:hint="eastAsia" w:ascii="宋体" w:hAnsi="宋体" w:cs="宋体"/>
                <w:kern w:val="0"/>
                <w:sz w:val="24"/>
              </w:rPr>
            </w:pPr>
            <w:r>
              <w:rPr>
                <w:rFonts w:hint="eastAsia" w:ascii="宋体" w:hAnsi="宋体" w:cs="宋体"/>
                <w:kern w:val="0"/>
                <w:sz w:val="24"/>
              </w:rPr>
              <w:t>　</w:t>
            </w:r>
          </w:p>
        </w:tc>
      </w:tr>
      <w:tr w14:paraId="138B491F">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569298B9">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6402035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7883C4E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noWrap w:val="0"/>
            <w:vAlign w:val="center"/>
          </w:tcPr>
          <w:p w14:paraId="2916B948">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7A0EE909">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5D284FF5">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1BE484F1">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5F8C5C21">
            <w:pPr>
              <w:widowControl/>
              <w:jc w:val="left"/>
              <w:rPr>
                <w:rFonts w:ascii="宋体" w:hAnsi="宋体" w:cs="宋体"/>
                <w:kern w:val="0"/>
                <w:sz w:val="24"/>
              </w:rPr>
            </w:pPr>
          </w:p>
        </w:tc>
      </w:tr>
      <w:tr w14:paraId="46FC2B6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59BD3A6">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1C135AB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7669272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noWrap w:val="0"/>
            <w:vAlign w:val="center"/>
          </w:tcPr>
          <w:p w14:paraId="022B5C1F">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1B20F467">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221EA670">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02C36362">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1F901B97">
            <w:pPr>
              <w:widowControl/>
              <w:jc w:val="left"/>
              <w:rPr>
                <w:rFonts w:ascii="宋体" w:hAnsi="宋体" w:cs="宋体"/>
                <w:kern w:val="0"/>
                <w:sz w:val="24"/>
              </w:rPr>
            </w:pPr>
          </w:p>
        </w:tc>
      </w:tr>
      <w:tr w14:paraId="067D99BA">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1EE21D11">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2192D682">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03F3542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noWrap w:val="0"/>
            <w:vAlign w:val="center"/>
          </w:tcPr>
          <w:p w14:paraId="66727F21">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25477C8D">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1491095A">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1B761968">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4312A9CA">
            <w:pPr>
              <w:widowControl/>
              <w:jc w:val="left"/>
              <w:rPr>
                <w:rFonts w:ascii="宋体" w:hAnsi="宋体" w:cs="宋体"/>
                <w:kern w:val="0"/>
                <w:sz w:val="24"/>
              </w:rPr>
            </w:pPr>
          </w:p>
        </w:tc>
      </w:tr>
      <w:tr w14:paraId="4E784519">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10CA76F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0DBEEA9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075D2A9C">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noWrap w:val="0"/>
            <w:vAlign w:val="center"/>
          </w:tcPr>
          <w:p w14:paraId="17D2A40A">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5933119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5EC7EDBE">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351A7CE6">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1A2D4845">
            <w:pPr>
              <w:widowControl/>
              <w:jc w:val="left"/>
              <w:rPr>
                <w:rFonts w:ascii="宋体" w:hAnsi="宋体" w:cs="宋体"/>
                <w:kern w:val="0"/>
                <w:sz w:val="24"/>
              </w:rPr>
            </w:pPr>
          </w:p>
        </w:tc>
      </w:tr>
      <w:tr w14:paraId="3C1EB35A">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2B36F4EC">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3A65641A">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noWrap w:val="0"/>
            <w:vAlign w:val="center"/>
          </w:tcPr>
          <w:p w14:paraId="5ABB69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noWrap w:val="0"/>
            <w:vAlign w:val="center"/>
          </w:tcPr>
          <w:p w14:paraId="36B8E3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noWrap w:val="0"/>
            <w:vAlign w:val="center"/>
          </w:tcPr>
          <w:p w14:paraId="6CE8C7F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noWrap w:val="0"/>
            <w:vAlign w:val="center"/>
          </w:tcPr>
          <w:p w14:paraId="0D178A8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noWrap w:val="0"/>
            <w:vAlign w:val="center"/>
          </w:tcPr>
          <w:p w14:paraId="301255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noWrap w:val="0"/>
            <w:vAlign w:val="center"/>
          </w:tcPr>
          <w:p w14:paraId="6EDD6B0B">
            <w:pPr>
              <w:widowControl/>
              <w:jc w:val="center"/>
              <w:rPr>
                <w:rFonts w:hint="eastAsia" w:ascii="宋体" w:hAnsi="宋体" w:cs="宋体"/>
                <w:kern w:val="0"/>
                <w:sz w:val="24"/>
              </w:rPr>
            </w:pPr>
            <w:r>
              <w:rPr>
                <w:rFonts w:hint="eastAsia" w:ascii="宋体" w:hAnsi="宋体" w:cs="宋体"/>
                <w:kern w:val="0"/>
                <w:sz w:val="24"/>
              </w:rPr>
              <w:t>　</w:t>
            </w:r>
          </w:p>
        </w:tc>
      </w:tr>
      <w:tr w14:paraId="2B06ACA4">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063CD1C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FECB83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B3C75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noWrap w:val="0"/>
            <w:vAlign w:val="center"/>
          </w:tcPr>
          <w:p w14:paraId="5EC162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noWrap w:val="0"/>
            <w:vAlign w:val="center"/>
          </w:tcPr>
          <w:p w14:paraId="28D7DF7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noWrap w:val="0"/>
            <w:vAlign w:val="center"/>
          </w:tcPr>
          <w:p w14:paraId="4DB881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1A6FE3C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6EEECD0E">
            <w:pPr>
              <w:widowControl/>
              <w:jc w:val="left"/>
              <w:rPr>
                <w:rFonts w:ascii="宋体" w:hAnsi="宋体" w:cs="宋体"/>
                <w:kern w:val="0"/>
                <w:sz w:val="24"/>
              </w:rPr>
            </w:pPr>
          </w:p>
        </w:tc>
      </w:tr>
      <w:tr w14:paraId="188B7F24">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63BDC376">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7FCF4CF9">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74121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noWrap w:val="0"/>
            <w:vAlign w:val="center"/>
          </w:tcPr>
          <w:p w14:paraId="6DB0A2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noWrap w:val="0"/>
            <w:vAlign w:val="center"/>
          </w:tcPr>
          <w:p w14:paraId="3A9A99C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noWrap w:val="0"/>
            <w:vAlign w:val="center"/>
          </w:tcPr>
          <w:p w14:paraId="6DB5238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noWrap w:val="0"/>
            <w:vAlign w:val="center"/>
          </w:tcPr>
          <w:p w14:paraId="3E7045EC">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7C148BB7">
            <w:pPr>
              <w:widowControl/>
              <w:jc w:val="left"/>
              <w:rPr>
                <w:rFonts w:ascii="宋体" w:hAnsi="宋体" w:cs="宋体"/>
                <w:kern w:val="0"/>
                <w:sz w:val="24"/>
              </w:rPr>
            </w:pPr>
          </w:p>
        </w:tc>
      </w:tr>
      <w:tr w14:paraId="37CE9FB9">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61B9E850">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794670B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0F2FF8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noWrap w:val="0"/>
            <w:vAlign w:val="center"/>
          </w:tcPr>
          <w:p w14:paraId="6B3F8D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3B2743F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noWrap w:val="0"/>
            <w:vAlign w:val="center"/>
          </w:tcPr>
          <w:p w14:paraId="169C3C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18738A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2A72D3D6">
            <w:pPr>
              <w:widowControl/>
              <w:jc w:val="left"/>
              <w:rPr>
                <w:rFonts w:ascii="宋体" w:hAnsi="宋体" w:cs="宋体"/>
                <w:kern w:val="0"/>
                <w:sz w:val="24"/>
              </w:rPr>
            </w:pPr>
          </w:p>
        </w:tc>
      </w:tr>
      <w:tr w14:paraId="2A0BBA72">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5B597D4B">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noWrap w:val="0"/>
            <w:vAlign w:val="center"/>
          </w:tcPr>
          <w:p w14:paraId="41AEC8A8">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7FA6DD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noWrap w:val="0"/>
            <w:vAlign w:val="center"/>
          </w:tcPr>
          <w:p w14:paraId="14F43E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noWrap w:val="0"/>
            <w:vAlign w:val="center"/>
          </w:tcPr>
          <w:p w14:paraId="647298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noWrap w:val="0"/>
            <w:vAlign w:val="center"/>
          </w:tcPr>
          <w:p w14:paraId="607A2BEC">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noWrap w:val="0"/>
            <w:vAlign w:val="center"/>
          </w:tcPr>
          <w:p w14:paraId="7B1BB9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noWrap w:val="0"/>
            <w:vAlign w:val="center"/>
          </w:tcPr>
          <w:p w14:paraId="08371CE6">
            <w:pPr>
              <w:widowControl/>
              <w:jc w:val="center"/>
              <w:rPr>
                <w:rFonts w:hint="eastAsia" w:ascii="宋体" w:hAnsi="宋体" w:cs="宋体"/>
                <w:kern w:val="0"/>
                <w:sz w:val="24"/>
              </w:rPr>
            </w:pPr>
            <w:r>
              <w:rPr>
                <w:rFonts w:hint="eastAsia" w:ascii="宋体" w:hAnsi="宋体" w:cs="宋体"/>
                <w:kern w:val="0"/>
                <w:sz w:val="24"/>
              </w:rPr>
              <w:t>　</w:t>
            </w:r>
          </w:p>
        </w:tc>
      </w:tr>
      <w:tr w14:paraId="40B386DD">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2C6FCC4B">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noWrap w:val="0"/>
            <w:vAlign w:val="center"/>
          </w:tcPr>
          <w:p w14:paraId="158858A0">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noWrap w:val="0"/>
            <w:vAlign w:val="center"/>
          </w:tcPr>
          <w:p w14:paraId="3CA29F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noWrap w:val="0"/>
            <w:vAlign w:val="center"/>
          </w:tcPr>
          <w:p w14:paraId="61CC1F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noWrap w:val="0"/>
            <w:vAlign w:val="center"/>
          </w:tcPr>
          <w:p w14:paraId="53331FA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noWrap w:val="0"/>
            <w:vAlign w:val="center"/>
          </w:tcPr>
          <w:p w14:paraId="23D1CAD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noWrap w:val="0"/>
            <w:vAlign w:val="center"/>
          </w:tcPr>
          <w:p w14:paraId="62C1BC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noWrap w:val="0"/>
            <w:vAlign w:val="center"/>
          </w:tcPr>
          <w:p w14:paraId="55C58900">
            <w:pPr>
              <w:widowControl/>
              <w:jc w:val="left"/>
              <w:rPr>
                <w:rFonts w:ascii="宋体" w:hAnsi="宋体" w:cs="宋体"/>
                <w:kern w:val="0"/>
                <w:sz w:val="24"/>
              </w:rPr>
            </w:pPr>
          </w:p>
        </w:tc>
      </w:tr>
      <w:tr w14:paraId="7DDFC5B6">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0F9C9255">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noWrap w:val="0"/>
            <w:vAlign w:val="center"/>
          </w:tcPr>
          <w:p w14:paraId="24FB7154">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noWrap w:val="0"/>
            <w:vAlign w:val="center"/>
          </w:tcPr>
          <w:p w14:paraId="40083F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noWrap w:val="0"/>
            <w:vAlign w:val="center"/>
          </w:tcPr>
          <w:p w14:paraId="6B5A13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noWrap w:val="0"/>
            <w:vAlign w:val="center"/>
          </w:tcPr>
          <w:p w14:paraId="76A83DB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noWrap w:val="0"/>
            <w:vAlign w:val="center"/>
          </w:tcPr>
          <w:p w14:paraId="77130F2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noWrap w:val="0"/>
            <w:vAlign w:val="center"/>
          </w:tcPr>
          <w:p w14:paraId="2FAF9E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noWrap w:val="0"/>
            <w:vAlign w:val="center"/>
          </w:tcPr>
          <w:p w14:paraId="3ABD0130">
            <w:pPr>
              <w:widowControl/>
              <w:jc w:val="center"/>
              <w:rPr>
                <w:rFonts w:hint="eastAsia" w:ascii="宋体" w:hAnsi="宋体" w:cs="宋体"/>
                <w:kern w:val="0"/>
                <w:sz w:val="24"/>
              </w:rPr>
            </w:pPr>
            <w:r>
              <w:rPr>
                <w:rFonts w:hint="eastAsia" w:ascii="宋体" w:hAnsi="宋体" w:cs="宋体"/>
                <w:kern w:val="0"/>
                <w:sz w:val="24"/>
              </w:rPr>
              <w:t>　</w:t>
            </w:r>
          </w:p>
        </w:tc>
      </w:tr>
      <w:tr w14:paraId="307A5F1A">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0295214E">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noWrap w:val="0"/>
            <w:vAlign w:val="center"/>
          </w:tcPr>
          <w:p w14:paraId="2A17F2AA">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noWrap w:val="0"/>
            <w:vAlign w:val="center"/>
          </w:tcPr>
          <w:p w14:paraId="0509EB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noWrap w:val="0"/>
            <w:vAlign w:val="center"/>
          </w:tcPr>
          <w:p w14:paraId="0E4BAA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noWrap w:val="0"/>
            <w:vAlign w:val="center"/>
          </w:tcPr>
          <w:p w14:paraId="7CEF80F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noWrap w:val="0"/>
            <w:vAlign w:val="center"/>
          </w:tcPr>
          <w:p w14:paraId="46FF31B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noWrap w:val="0"/>
            <w:vAlign w:val="center"/>
          </w:tcPr>
          <w:p w14:paraId="2BA3CF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noWrap w:val="0"/>
            <w:vAlign w:val="center"/>
          </w:tcPr>
          <w:p w14:paraId="5D871FC2">
            <w:pPr>
              <w:widowControl/>
              <w:jc w:val="center"/>
              <w:rPr>
                <w:rFonts w:hint="eastAsia" w:ascii="宋体" w:hAnsi="宋体" w:cs="宋体"/>
                <w:kern w:val="0"/>
                <w:sz w:val="24"/>
              </w:rPr>
            </w:pPr>
            <w:r>
              <w:rPr>
                <w:rFonts w:hint="eastAsia" w:ascii="宋体" w:hAnsi="宋体" w:cs="宋体"/>
                <w:kern w:val="0"/>
                <w:sz w:val="24"/>
              </w:rPr>
              <w:t>　</w:t>
            </w:r>
          </w:p>
        </w:tc>
      </w:tr>
      <w:tr w14:paraId="23D1D9E2">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5EA14B7A">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746C944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496BFA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noWrap w:val="0"/>
            <w:vAlign w:val="center"/>
          </w:tcPr>
          <w:p w14:paraId="0FFB67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noWrap w:val="0"/>
            <w:vAlign w:val="center"/>
          </w:tcPr>
          <w:p w14:paraId="5DA26EB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noWrap w:val="0"/>
            <w:vAlign w:val="center"/>
          </w:tcPr>
          <w:p w14:paraId="3720558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noWrap w:val="0"/>
            <w:vAlign w:val="center"/>
          </w:tcPr>
          <w:p w14:paraId="256610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noWrap w:val="0"/>
            <w:vAlign w:val="center"/>
          </w:tcPr>
          <w:p w14:paraId="32A5C08F">
            <w:pPr>
              <w:widowControl/>
              <w:jc w:val="left"/>
              <w:rPr>
                <w:rFonts w:ascii="宋体" w:hAnsi="宋体" w:cs="宋体"/>
                <w:kern w:val="0"/>
                <w:sz w:val="24"/>
              </w:rPr>
            </w:pPr>
          </w:p>
        </w:tc>
      </w:tr>
      <w:tr w14:paraId="03B7DCAD">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noWrap w:val="0"/>
            <w:vAlign w:val="center"/>
          </w:tcPr>
          <w:p w14:paraId="67911749">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noWrap w:val="0"/>
            <w:vAlign w:val="center"/>
          </w:tcPr>
          <w:p w14:paraId="04BDFEF4">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noWrap w:val="0"/>
            <w:vAlign w:val="center"/>
          </w:tcPr>
          <w:p w14:paraId="0929B7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noWrap w:val="0"/>
            <w:vAlign w:val="center"/>
          </w:tcPr>
          <w:p w14:paraId="255DD8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77653FD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3A0014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noWrap w:val="0"/>
            <w:vAlign w:val="center"/>
          </w:tcPr>
          <w:p w14:paraId="73DA89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5782DBD7">
            <w:pPr>
              <w:widowControl/>
              <w:jc w:val="center"/>
              <w:rPr>
                <w:rFonts w:hint="eastAsia" w:ascii="宋体" w:hAnsi="宋体" w:cs="宋体"/>
                <w:kern w:val="0"/>
                <w:sz w:val="24"/>
              </w:rPr>
            </w:pPr>
            <w:r>
              <w:rPr>
                <w:rFonts w:hint="eastAsia" w:ascii="宋体" w:hAnsi="宋体" w:cs="宋体"/>
                <w:kern w:val="0"/>
                <w:sz w:val="24"/>
              </w:rPr>
              <w:t>　</w:t>
            </w:r>
          </w:p>
        </w:tc>
      </w:tr>
      <w:tr w14:paraId="5A1D3545">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0C3127A1">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587B08F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320BB4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noWrap w:val="0"/>
            <w:vAlign w:val="center"/>
          </w:tcPr>
          <w:p w14:paraId="185E16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5A3207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456829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noWrap w:val="0"/>
            <w:vAlign w:val="center"/>
          </w:tcPr>
          <w:p w14:paraId="32B4B1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36CC72BD">
            <w:pPr>
              <w:widowControl/>
              <w:jc w:val="center"/>
              <w:rPr>
                <w:rFonts w:hint="eastAsia" w:ascii="宋体" w:hAnsi="宋体" w:cs="宋体"/>
                <w:kern w:val="0"/>
                <w:sz w:val="24"/>
              </w:rPr>
            </w:pPr>
            <w:r>
              <w:rPr>
                <w:rFonts w:hint="eastAsia" w:ascii="宋体" w:hAnsi="宋体" w:cs="宋体"/>
                <w:kern w:val="0"/>
                <w:sz w:val="24"/>
              </w:rPr>
              <w:t>　</w:t>
            </w:r>
          </w:p>
        </w:tc>
      </w:tr>
      <w:tr w14:paraId="3DBD365D">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7F76B54A">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1226BA3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C9F69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noWrap w:val="0"/>
            <w:vAlign w:val="center"/>
          </w:tcPr>
          <w:p w14:paraId="704FE4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4377C0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650166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noWrap w:val="0"/>
            <w:vAlign w:val="center"/>
          </w:tcPr>
          <w:p w14:paraId="02D59F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69663014">
            <w:pPr>
              <w:widowControl/>
              <w:jc w:val="center"/>
              <w:rPr>
                <w:rFonts w:hint="eastAsia" w:ascii="宋体" w:hAnsi="宋体" w:cs="宋体"/>
                <w:kern w:val="0"/>
                <w:sz w:val="24"/>
              </w:rPr>
            </w:pPr>
            <w:r>
              <w:rPr>
                <w:rFonts w:hint="eastAsia" w:ascii="宋体" w:hAnsi="宋体" w:cs="宋体"/>
                <w:kern w:val="0"/>
                <w:sz w:val="24"/>
              </w:rPr>
              <w:t>　</w:t>
            </w:r>
          </w:p>
        </w:tc>
      </w:tr>
      <w:tr w14:paraId="026E92F6">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09FC3973">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noWrap w:val="0"/>
            <w:vAlign w:val="center"/>
          </w:tcPr>
          <w:p w14:paraId="25CE2032">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noWrap w:val="0"/>
            <w:vAlign w:val="center"/>
          </w:tcPr>
          <w:p w14:paraId="2ADDC9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noWrap w:val="0"/>
            <w:vAlign w:val="center"/>
          </w:tcPr>
          <w:p w14:paraId="687CE2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noWrap w:val="0"/>
            <w:vAlign w:val="center"/>
          </w:tcPr>
          <w:p w14:paraId="6A01B7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noWrap w:val="0"/>
            <w:vAlign w:val="center"/>
          </w:tcPr>
          <w:p w14:paraId="0A5AA8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noWrap w:val="0"/>
            <w:vAlign w:val="center"/>
          </w:tcPr>
          <w:p w14:paraId="72E3F0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noWrap w:val="0"/>
            <w:vAlign w:val="center"/>
          </w:tcPr>
          <w:p w14:paraId="1F4A93C1">
            <w:pPr>
              <w:widowControl/>
              <w:jc w:val="center"/>
              <w:rPr>
                <w:rFonts w:hint="eastAsia" w:ascii="宋体" w:hAnsi="宋体" w:cs="宋体"/>
                <w:kern w:val="0"/>
                <w:sz w:val="24"/>
              </w:rPr>
            </w:pPr>
            <w:r>
              <w:rPr>
                <w:rFonts w:hint="eastAsia" w:ascii="宋体" w:hAnsi="宋体" w:cs="宋体"/>
                <w:kern w:val="0"/>
                <w:sz w:val="24"/>
              </w:rPr>
              <w:t>　</w:t>
            </w:r>
          </w:p>
        </w:tc>
      </w:tr>
      <w:tr w14:paraId="3791F89E">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5968B03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noWrap w:val="0"/>
            <w:vAlign w:val="center"/>
          </w:tcPr>
          <w:p w14:paraId="67C30D08">
            <w:pPr>
              <w:widowControl/>
              <w:jc w:val="left"/>
              <w:rPr>
                <w:rFonts w:ascii="宋体" w:hAnsi="宋体" w:cs="宋体"/>
                <w:b/>
                <w:bCs/>
                <w:kern w:val="0"/>
                <w:sz w:val="24"/>
              </w:rPr>
            </w:pPr>
          </w:p>
        </w:tc>
        <w:tc>
          <w:tcPr>
            <w:tcW w:w="681" w:type="pct"/>
            <w:tcBorders>
              <w:top w:val="nil"/>
              <w:left w:val="nil"/>
              <w:bottom w:val="nil"/>
              <w:right w:val="single" w:color="auto" w:sz="4" w:space="0"/>
            </w:tcBorders>
            <w:noWrap w:val="0"/>
            <w:vAlign w:val="center"/>
          </w:tcPr>
          <w:p w14:paraId="500E2C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noWrap w:val="0"/>
            <w:vAlign w:val="center"/>
          </w:tcPr>
          <w:p w14:paraId="035811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04E2EA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noWrap w:val="0"/>
            <w:vAlign w:val="center"/>
          </w:tcPr>
          <w:p w14:paraId="1F72F7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noWrap w:val="0"/>
            <w:vAlign w:val="center"/>
          </w:tcPr>
          <w:p w14:paraId="37ED11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noWrap w:val="0"/>
            <w:vAlign w:val="center"/>
          </w:tcPr>
          <w:p w14:paraId="6F2B7FAB">
            <w:pPr>
              <w:widowControl/>
              <w:jc w:val="center"/>
              <w:rPr>
                <w:rFonts w:hint="eastAsia" w:ascii="宋体" w:hAnsi="宋体" w:cs="宋体"/>
                <w:kern w:val="0"/>
                <w:sz w:val="24"/>
              </w:rPr>
            </w:pPr>
            <w:r>
              <w:rPr>
                <w:rFonts w:hint="eastAsia" w:ascii="宋体" w:hAnsi="宋体" w:cs="宋体"/>
                <w:kern w:val="0"/>
                <w:sz w:val="24"/>
              </w:rPr>
              <w:t>　</w:t>
            </w:r>
          </w:p>
        </w:tc>
      </w:tr>
      <w:tr w14:paraId="00544C10">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5EDC7DFD">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noWrap w:val="0"/>
            <w:vAlign w:val="center"/>
          </w:tcPr>
          <w:p w14:paraId="09DED9F3">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noWrap w:val="0"/>
            <w:vAlign w:val="center"/>
          </w:tcPr>
          <w:p w14:paraId="01C7A6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noWrap w:val="0"/>
            <w:vAlign w:val="center"/>
          </w:tcPr>
          <w:p w14:paraId="58E0E7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4921B7A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noWrap w:val="0"/>
            <w:vAlign w:val="center"/>
          </w:tcPr>
          <w:p w14:paraId="1D1335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noWrap w:val="0"/>
            <w:vAlign w:val="center"/>
          </w:tcPr>
          <w:p w14:paraId="0B7EB4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noWrap w:val="0"/>
            <w:vAlign w:val="center"/>
          </w:tcPr>
          <w:p w14:paraId="3EC5247A">
            <w:pPr>
              <w:widowControl/>
              <w:jc w:val="center"/>
              <w:rPr>
                <w:rFonts w:hint="eastAsia" w:ascii="宋体" w:hAnsi="宋体" w:cs="宋体"/>
                <w:kern w:val="0"/>
                <w:sz w:val="24"/>
              </w:rPr>
            </w:pPr>
            <w:r>
              <w:rPr>
                <w:rFonts w:hint="eastAsia" w:ascii="宋体" w:hAnsi="宋体" w:cs="宋体"/>
                <w:kern w:val="0"/>
                <w:sz w:val="24"/>
              </w:rPr>
              <w:t>　</w:t>
            </w:r>
          </w:p>
        </w:tc>
      </w:tr>
      <w:tr w14:paraId="3D2C97F7">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73ACB39B">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noWrap w:val="0"/>
            <w:vAlign w:val="center"/>
          </w:tcPr>
          <w:p w14:paraId="7E1AB460">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noWrap w:val="0"/>
            <w:vAlign w:val="center"/>
          </w:tcPr>
          <w:p w14:paraId="246F2E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noWrap w:val="0"/>
            <w:vAlign w:val="center"/>
          </w:tcPr>
          <w:p w14:paraId="7E68F5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608596A7">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noWrap w:val="0"/>
            <w:vAlign w:val="center"/>
          </w:tcPr>
          <w:p w14:paraId="070C06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6CB4CD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noWrap w:val="0"/>
            <w:vAlign w:val="center"/>
          </w:tcPr>
          <w:p w14:paraId="5D1A5AB0">
            <w:pPr>
              <w:widowControl/>
              <w:jc w:val="center"/>
              <w:rPr>
                <w:rFonts w:hint="eastAsia" w:ascii="宋体" w:hAnsi="宋体" w:cs="宋体"/>
                <w:kern w:val="0"/>
                <w:sz w:val="24"/>
              </w:rPr>
            </w:pPr>
            <w:r>
              <w:rPr>
                <w:rFonts w:hint="eastAsia" w:ascii="宋体" w:hAnsi="宋体" w:cs="宋体"/>
                <w:kern w:val="0"/>
                <w:sz w:val="24"/>
              </w:rPr>
              <w:t>　</w:t>
            </w:r>
          </w:p>
        </w:tc>
      </w:tr>
      <w:tr w14:paraId="3DD3A92C">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7C7DE42A">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noWrap w:val="0"/>
            <w:vAlign w:val="center"/>
          </w:tcPr>
          <w:p w14:paraId="38F588C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1549AF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noWrap w:val="0"/>
            <w:vAlign w:val="center"/>
          </w:tcPr>
          <w:p w14:paraId="27E62A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49978E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noWrap w:val="0"/>
            <w:vAlign w:val="center"/>
          </w:tcPr>
          <w:p w14:paraId="06EE083C">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noWrap w:val="0"/>
            <w:vAlign w:val="center"/>
          </w:tcPr>
          <w:p w14:paraId="0BB731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noWrap w:val="0"/>
            <w:vAlign w:val="center"/>
          </w:tcPr>
          <w:p w14:paraId="1D1D0CD9">
            <w:pPr>
              <w:widowControl/>
              <w:jc w:val="center"/>
              <w:rPr>
                <w:rFonts w:hint="eastAsia" w:ascii="宋体" w:hAnsi="宋体" w:cs="宋体"/>
                <w:kern w:val="0"/>
                <w:sz w:val="24"/>
              </w:rPr>
            </w:pPr>
            <w:r>
              <w:rPr>
                <w:rFonts w:hint="eastAsia" w:ascii="宋体" w:hAnsi="宋体" w:cs="宋体"/>
                <w:kern w:val="0"/>
                <w:sz w:val="24"/>
              </w:rPr>
              <w:t>　</w:t>
            </w:r>
          </w:p>
        </w:tc>
      </w:tr>
      <w:tr w14:paraId="54ABDE76">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0506A174">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noWrap w:val="0"/>
            <w:vAlign w:val="center"/>
          </w:tcPr>
          <w:p w14:paraId="311B38C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142343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noWrap w:val="0"/>
            <w:vAlign w:val="center"/>
          </w:tcPr>
          <w:p w14:paraId="1B6878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noWrap w:val="0"/>
            <w:vAlign w:val="center"/>
          </w:tcPr>
          <w:p w14:paraId="6E78BC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noWrap w:val="0"/>
            <w:vAlign w:val="center"/>
          </w:tcPr>
          <w:p w14:paraId="423AD9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noWrap w:val="0"/>
            <w:vAlign w:val="center"/>
          </w:tcPr>
          <w:p w14:paraId="30B9C3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noWrap w:val="0"/>
            <w:vAlign w:val="center"/>
          </w:tcPr>
          <w:p w14:paraId="2841D3F4">
            <w:pPr>
              <w:widowControl/>
              <w:jc w:val="center"/>
              <w:rPr>
                <w:rFonts w:hint="eastAsia" w:ascii="宋体" w:hAnsi="宋体" w:cs="宋体"/>
                <w:kern w:val="0"/>
                <w:sz w:val="24"/>
              </w:rPr>
            </w:pPr>
            <w:r>
              <w:rPr>
                <w:rFonts w:hint="eastAsia" w:ascii="宋体" w:hAnsi="宋体" w:cs="宋体"/>
                <w:kern w:val="0"/>
                <w:sz w:val="24"/>
              </w:rPr>
              <w:t>　</w:t>
            </w:r>
          </w:p>
        </w:tc>
      </w:tr>
      <w:tr w14:paraId="20E417F5">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14946F3B">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noWrap w:val="0"/>
            <w:vAlign w:val="center"/>
          </w:tcPr>
          <w:p w14:paraId="1D6B0E50">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noWrap w:val="0"/>
            <w:vAlign w:val="center"/>
          </w:tcPr>
          <w:p w14:paraId="09B675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noWrap w:val="0"/>
            <w:vAlign w:val="center"/>
          </w:tcPr>
          <w:p w14:paraId="5224DC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48F8C3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noWrap w:val="0"/>
            <w:vAlign w:val="center"/>
          </w:tcPr>
          <w:p w14:paraId="3B0CC2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noWrap w:val="0"/>
            <w:vAlign w:val="center"/>
          </w:tcPr>
          <w:p w14:paraId="3ABE2B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3FED4881">
            <w:pPr>
              <w:widowControl/>
              <w:jc w:val="center"/>
              <w:rPr>
                <w:rFonts w:hint="eastAsia" w:ascii="宋体" w:hAnsi="宋体" w:cs="宋体"/>
                <w:kern w:val="0"/>
                <w:sz w:val="24"/>
              </w:rPr>
            </w:pPr>
            <w:r>
              <w:rPr>
                <w:rFonts w:hint="eastAsia" w:ascii="宋体" w:hAnsi="宋体" w:cs="宋体"/>
                <w:kern w:val="0"/>
                <w:sz w:val="24"/>
              </w:rPr>
              <w:t>　</w:t>
            </w:r>
          </w:p>
        </w:tc>
      </w:tr>
      <w:tr w14:paraId="0792DEA9">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3A7E48C1">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3487501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42F098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noWrap w:val="0"/>
            <w:vAlign w:val="center"/>
          </w:tcPr>
          <w:p w14:paraId="3F1E5F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36AD22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noWrap w:val="0"/>
            <w:vAlign w:val="center"/>
          </w:tcPr>
          <w:p w14:paraId="1C6674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noWrap w:val="0"/>
            <w:vAlign w:val="center"/>
          </w:tcPr>
          <w:p w14:paraId="0AFDB8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5A2AEDE2">
            <w:pPr>
              <w:widowControl/>
              <w:jc w:val="center"/>
              <w:rPr>
                <w:rFonts w:hint="eastAsia" w:ascii="宋体" w:hAnsi="宋体" w:cs="宋体"/>
                <w:kern w:val="0"/>
                <w:sz w:val="24"/>
              </w:rPr>
            </w:pPr>
            <w:r>
              <w:rPr>
                <w:rFonts w:hint="eastAsia" w:ascii="宋体" w:hAnsi="宋体" w:cs="宋体"/>
                <w:kern w:val="0"/>
                <w:sz w:val="24"/>
              </w:rPr>
              <w:t>　</w:t>
            </w:r>
          </w:p>
        </w:tc>
      </w:tr>
      <w:tr w14:paraId="49D93125">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4B3C8062">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6CF826C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149A4F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noWrap w:val="0"/>
            <w:vAlign w:val="center"/>
          </w:tcPr>
          <w:p w14:paraId="7EF79D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4F0CFD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noWrap w:val="0"/>
            <w:vAlign w:val="center"/>
          </w:tcPr>
          <w:p w14:paraId="6FFCDC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noWrap w:val="0"/>
            <w:vAlign w:val="center"/>
          </w:tcPr>
          <w:p w14:paraId="2194B779">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noWrap w:val="0"/>
            <w:vAlign w:val="center"/>
          </w:tcPr>
          <w:p w14:paraId="566FD0AB">
            <w:pPr>
              <w:widowControl/>
              <w:jc w:val="center"/>
              <w:rPr>
                <w:rFonts w:hint="eastAsia" w:ascii="宋体" w:hAnsi="宋体" w:cs="宋体"/>
                <w:kern w:val="0"/>
                <w:sz w:val="24"/>
              </w:rPr>
            </w:pPr>
            <w:r>
              <w:rPr>
                <w:rFonts w:hint="eastAsia" w:ascii="宋体" w:hAnsi="宋体" w:cs="宋体"/>
                <w:kern w:val="0"/>
                <w:sz w:val="24"/>
              </w:rPr>
              <w:t>　</w:t>
            </w:r>
          </w:p>
        </w:tc>
      </w:tr>
      <w:tr w14:paraId="49205649">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19981A78">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noWrap w:val="0"/>
            <w:vAlign w:val="center"/>
          </w:tcPr>
          <w:p w14:paraId="2F43CB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noWrap w:val="0"/>
            <w:vAlign w:val="center"/>
          </w:tcPr>
          <w:p w14:paraId="73BEE5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6F72D2AB">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noWrap w:val="0"/>
            <w:vAlign w:val="center"/>
          </w:tcPr>
          <w:p w14:paraId="7D5726AD">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noWrap w:val="0"/>
            <w:vAlign w:val="center"/>
          </w:tcPr>
          <w:p w14:paraId="14B070CE">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noWrap w:val="0"/>
            <w:vAlign w:val="center"/>
          </w:tcPr>
          <w:p w14:paraId="35655DD8">
            <w:pPr>
              <w:widowControl/>
              <w:jc w:val="center"/>
              <w:rPr>
                <w:rFonts w:hint="eastAsia" w:ascii="宋体" w:hAnsi="宋体" w:cs="宋体"/>
                <w:kern w:val="0"/>
                <w:sz w:val="24"/>
              </w:rPr>
            </w:pPr>
            <w:r>
              <w:rPr>
                <w:rFonts w:hint="eastAsia" w:ascii="宋体" w:hAnsi="宋体" w:cs="宋体"/>
                <w:kern w:val="0"/>
                <w:sz w:val="24"/>
              </w:rPr>
              <w:t>　</w:t>
            </w:r>
          </w:p>
        </w:tc>
      </w:tr>
      <w:tr w14:paraId="015078DA">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362A6B3E">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noWrap w:val="0"/>
            <w:vAlign w:val="center"/>
          </w:tcPr>
          <w:p w14:paraId="4D446B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noWrap w:val="0"/>
            <w:vAlign w:val="center"/>
          </w:tcPr>
          <w:p w14:paraId="39CE48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7F2E257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noWrap w:val="0"/>
            <w:vAlign w:val="center"/>
          </w:tcPr>
          <w:p w14:paraId="583D61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noWrap w:val="0"/>
            <w:vAlign w:val="center"/>
          </w:tcPr>
          <w:p w14:paraId="382818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28540CA2">
            <w:pPr>
              <w:widowControl/>
              <w:jc w:val="center"/>
              <w:rPr>
                <w:rFonts w:hint="eastAsia" w:ascii="宋体" w:hAnsi="宋体" w:cs="宋体"/>
                <w:kern w:val="0"/>
                <w:sz w:val="24"/>
              </w:rPr>
            </w:pPr>
            <w:r>
              <w:rPr>
                <w:rFonts w:hint="eastAsia" w:ascii="宋体" w:hAnsi="宋体" w:cs="宋体"/>
                <w:kern w:val="0"/>
                <w:sz w:val="24"/>
              </w:rPr>
              <w:t>　</w:t>
            </w:r>
          </w:p>
        </w:tc>
      </w:tr>
      <w:tr w14:paraId="408A8EBB">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noWrap/>
            <w:vAlign w:val="center"/>
          </w:tcPr>
          <w:p w14:paraId="2C8E63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noWrap/>
            <w:vAlign w:val="center"/>
          </w:tcPr>
          <w:p w14:paraId="03D113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noWrap/>
            <w:vAlign w:val="center"/>
          </w:tcPr>
          <w:p w14:paraId="4FCB45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noWrap/>
            <w:vAlign w:val="center"/>
          </w:tcPr>
          <w:p w14:paraId="6CA543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noWrap/>
            <w:vAlign w:val="center"/>
          </w:tcPr>
          <w:p w14:paraId="46E79E4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335" w:type="pct"/>
            <w:tcBorders>
              <w:top w:val="nil"/>
              <w:left w:val="nil"/>
              <w:bottom w:val="single" w:color="auto" w:sz="4" w:space="0"/>
              <w:right w:val="single" w:color="auto" w:sz="4" w:space="0"/>
            </w:tcBorders>
            <w:noWrap/>
            <w:vAlign w:val="center"/>
          </w:tcPr>
          <w:p w14:paraId="26E0D7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68FB37FC">
      <w:pPr>
        <w:pStyle w:val="9"/>
        <w:spacing w:before="93"/>
        <w:rPr>
          <w:rFonts w:hAnsi="Calibri" w:cs="仿宋"/>
          <w:sz w:val="32"/>
          <w:szCs w:val="32"/>
        </w:rPr>
      </w:pPr>
    </w:p>
    <w:p w14:paraId="68FA3115">
      <w:pPr>
        <w:pStyle w:val="9"/>
        <w:spacing w:before="93"/>
        <w:rPr>
          <w:rFonts w:hAnsi="Calibri" w:cs="仿宋"/>
          <w:sz w:val="32"/>
          <w:szCs w:val="32"/>
        </w:rPr>
      </w:pPr>
    </w:p>
    <w:p w14:paraId="3544377E">
      <w:pPr>
        <w:pStyle w:val="9"/>
        <w:spacing w:before="93"/>
        <w:rPr>
          <w:rFonts w:hAnsi="Calibri" w:cs="仿宋"/>
          <w:sz w:val="32"/>
          <w:szCs w:val="32"/>
        </w:rPr>
      </w:pPr>
    </w:p>
    <w:p w14:paraId="349CCE98">
      <w:pPr>
        <w:pStyle w:val="9"/>
        <w:spacing w:before="93"/>
        <w:rPr>
          <w:rFonts w:hAnsi="Calibri" w:cs="仿宋"/>
          <w:sz w:val="32"/>
          <w:szCs w:val="32"/>
        </w:rPr>
      </w:pPr>
    </w:p>
    <w:p w14:paraId="69693D51">
      <w:pPr>
        <w:pStyle w:val="9"/>
        <w:spacing w:before="93"/>
        <w:rPr>
          <w:rFonts w:hAnsi="Calibri" w:cs="仿宋"/>
          <w:sz w:val="32"/>
          <w:szCs w:val="32"/>
        </w:rPr>
      </w:pPr>
    </w:p>
    <w:p w14:paraId="014BE81F">
      <w:pPr>
        <w:pStyle w:val="9"/>
        <w:spacing w:before="93"/>
        <w:rPr>
          <w:rFonts w:hAnsi="Calibri" w:cs="仿宋"/>
          <w:sz w:val="32"/>
          <w:szCs w:val="32"/>
        </w:rPr>
      </w:pPr>
    </w:p>
    <w:p w14:paraId="57F04FAF">
      <w:pPr>
        <w:pStyle w:val="9"/>
        <w:spacing w:before="93"/>
        <w:rPr>
          <w:rFonts w:hAnsi="Calibri" w:cs="仿宋"/>
          <w:sz w:val="32"/>
          <w:szCs w:val="32"/>
        </w:rPr>
      </w:pPr>
    </w:p>
    <w:p w14:paraId="7610C581">
      <w:pPr>
        <w:pStyle w:val="9"/>
        <w:spacing w:before="93"/>
        <w:rPr>
          <w:rFonts w:hAnsi="Calibri" w:cs="仿宋"/>
          <w:sz w:val="32"/>
          <w:szCs w:val="32"/>
        </w:rPr>
      </w:pPr>
    </w:p>
    <w:p w14:paraId="04F32E72">
      <w:pPr>
        <w:pStyle w:val="9"/>
        <w:spacing w:before="93"/>
        <w:rPr>
          <w:rFonts w:hAnsi="Calibri" w:cs="仿宋"/>
          <w:sz w:val="32"/>
          <w:szCs w:val="32"/>
        </w:rPr>
      </w:pPr>
    </w:p>
    <w:p w14:paraId="006E6E97">
      <w:pPr>
        <w:pStyle w:val="9"/>
        <w:spacing w:before="93"/>
        <w:rPr>
          <w:rFonts w:hAnsi="Calibri" w:cs="仿宋"/>
          <w:sz w:val="32"/>
          <w:szCs w:val="32"/>
        </w:rPr>
      </w:pPr>
    </w:p>
    <w:p w14:paraId="0DDCC2B9">
      <w:pPr>
        <w:pStyle w:val="9"/>
        <w:spacing w:before="93"/>
        <w:rPr>
          <w:rFonts w:hAnsi="Calibri" w:cs="仿宋"/>
          <w:sz w:val="32"/>
          <w:szCs w:val="32"/>
        </w:rPr>
      </w:pPr>
    </w:p>
    <w:p w14:paraId="15730614">
      <w:pPr>
        <w:suppressAutoHyphens/>
        <w:jc w:val="left"/>
        <w:rPr>
          <w:rFonts w:hint="default"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附表：2</w:t>
      </w:r>
    </w:p>
    <w:tbl>
      <w:tblPr>
        <w:tblStyle w:val="16"/>
        <w:tblW w:w="92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1"/>
        <w:gridCol w:w="1047"/>
        <w:gridCol w:w="1343"/>
        <w:gridCol w:w="460"/>
        <w:gridCol w:w="766"/>
        <w:gridCol w:w="470"/>
        <w:gridCol w:w="846"/>
        <w:gridCol w:w="486"/>
        <w:gridCol w:w="486"/>
        <w:gridCol w:w="1685"/>
      </w:tblGrid>
      <w:tr w14:paraId="11BA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37B3D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37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F8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F4DF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21EE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5B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1DD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846" w:type="dxa"/>
            <w:tcBorders>
              <w:top w:val="nil"/>
              <w:left w:val="nil"/>
              <w:bottom w:val="nil"/>
              <w:right w:val="nil"/>
            </w:tcBorders>
            <w:shd w:val="clear" w:color="auto" w:fill="auto"/>
            <w:vAlign w:val="center"/>
          </w:tcPr>
          <w:p w14:paraId="7449E6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D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14:paraId="421B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2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3F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EE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1B2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B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773B">
            <w:pPr>
              <w:rPr>
                <w:rFonts w:hint="eastAsia" w:ascii="宋体" w:hAnsi="宋体" w:eastAsia="宋体" w:cs="宋体"/>
                <w:i w:val="0"/>
                <w:iCs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B4BC">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E6E9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保障了学校家庭经济困难学生正常入学，减轻其家庭经济负担。</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2CA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214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51E7">
            <w:pP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0EDD2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加强民生资金专项管理，提高民生资金使用效益，确保专款专用，按程序及时兑现给学生（或监护人），及时报送资助政策落实情况及相关资料。</w:t>
            </w:r>
          </w:p>
        </w:tc>
      </w:tr>
      <w:tr w14:paraId="5067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5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8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6F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0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A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4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59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2812">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8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D1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8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0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EECD">
            <w:pPr>
              <w:jc w:val="center"/>
              <w:rPr>
                <w:rFonts w:hint="eastAsia" w:ascii="宋体" w:hAnsi="宋体" w:eastAsia="宋体" w:cs="宋体"/>
                <w:i w:val="0"/>
                <w:iCs w:val="0"/>
                <w:color w:val="000000"/>
                <w:sz w:val="18"/>
                <w:szCs w:val="18"/>
                <w:u w:val="none"/>
              </w:rPr>
            </w:pP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877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C3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E151">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2E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A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D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D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729D">
            <w:pPr>
              <w:rPr>
                <w:rFonts w:hint="eastAsia" w:ascii="黑体" w:hAnsi="黑体" w:eastAsia="黑体" w:cs="黑体"/>
                <w:i/>
                <w:iCs/>
                <w:color w:val="000000"/>
                <w:sz w:val="18"/>
                <w:szCs w:val="18"/>
                <w:u w:val="none"/>
              </w:rPr>
            </w:pPr>
          </w:p>
        </w:tc>
      </w:tr>
      <w:tr w14:paraId="37D0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37DB">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0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D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14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6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4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45AB">
            <w:pPr>
              <w:rPr>
                <w:rFonts w:hint="eastAsia" w:ascii="黑体" w:hAnsi="黑体" w:eastAsia="黑体" w:cs="黑体"/>
                <w:i/>
                <w:iCs/>
                <w:color w:val="000000"/>
                <w:sz w:val="18"/>
                <w:szCs w:val="18"/>
                <w:u w:val="none"/>
              </w:rPr>
            </w:pPr>
          </w:p>
        </w:tc>
      </w:tr>
      <w:tr w14:paraId="2F0F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85BA">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D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DF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8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F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C863">
            <w:pPr>
              <w:rPr>
                <w:rFonts w:hint="eastAsia" w:ascii="黑体" w:hAnsi="黑体" w:eastAsia="黑体" w:cs="黑体"/>
                <w:i/>
                <w:iCs/>
                <w:color w:val="000000"/>
                <w:sz w:val="18"/>
                <w:szCs w:val="18"/>
                <w:u w:val="none"/>
              </w:rPr>
            </w:pPr>
          </w:p>
        </w:tc>
      </w:tr>
      <w:tr w14:paraId="64AA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5F49">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FAC3">
            <w:pPr>
              <w:jc w:val="center"/>
              <w:rPr>
                <w:rFonts w:hint="eastAsia" w:ascii="微软雅黑" w:hAnsi="微软雅黑" w:eastAsia="微软雅黑" w:cs="微软雅黑"/>
                <w:i/>
                <w:iCs/>
                <w:color w:val="000000"/>
                <w:sz w:val="16"/>
                <w:szCs w:val="16"/>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1D0">
            <w:pPr>
              <w:jc w:val="center"/>
              <w:rPr>
                <w:rFonts w:hint="eastAsia" w:ascii="微软雅黑" w:hAnsi="微软雅黑" w:eastAsia="微软雅黑" w:cs="微软雅黑"/>
                <w:i/>
                <w:iCs/>
                <w:color w:val="000000"/>
                <w:sz w:val="16"/>
                <w:szCs w:val="16"/>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F73E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711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80B7">
            <w:pPr>
              <w:rPr>
                <w:rFonts w:hint="eastAsia" w:ascii="黑体" w:hAnsi="黑体" w:eastAsia="黑体" w:cs="黑体"/>
                <w:i/>
                <w:iCs/>
                <w:color w:val="000000"/>
                <w:sz w:val="18"/>
                <w:szCs w:val="18"/>
                <w:u w:val="none"/>
              </w:rPr>
            </w:pPr>
          </w:p>
        </w:tc>
      </w:tr>
      <w:tr w14:paraId="40DA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DE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4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9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A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A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9C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5EAA">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0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产出指标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67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00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审核贫困学生情况</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C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5D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6E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A1D0">
            <w:pPr>
              <w:keepNext w:val="0"/>
              <w:keepLines w:val="0"/>
              <w:widowControl/>
              <w:suppressLineNumbers w:val="0"/>
              <w:jc w:val="center"/>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51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FC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4B1">
            <w:pPr>
              <w:jc w:val="center"/>
              <w:rPr>
                <w:rFonts w:hint="eastAsia" w:ascii="微软雅黑" w:hAnsi="微软雅黑" w:eastAsia="微软雅黑" w:cs="微软雅黑"/>
                <w:i/>
                <w:iCs/>
                <w:color w:val="000000"/>
                <w:sz w:val="16"/>
                <w:szCs w:val="16"/>
                <w:u w:val="none"/>
              </w:rPr>
            </w:pPr>
          </w:p>
        </w:tc>
      </w:tr>
      <w:tr w14:paraId="671A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D6D0">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49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4A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41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及时支付资金</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B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15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FD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7FD6">
            <w:pPr>
              <w:keepNext w:val="0"/>
              <w:keepLines w:val="0"/>
              <w:widowControl/>
              <w:suppressLineNumbers w:val="0"/>
              <w:jc w:val="center"/>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2C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D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B4F">
            <w:pPr>
              <w:jc w:val="center"/>
              <w:rPr>
                <w:rFonts w:hint="eastAsia" w:ascii="微软雅黑" w:hAnsi="微软雅黑" w:eastAsia="微软雅黑" w:cs="微软雅黑"/>
                <w:i/>
                <w:iCs/>
                <w:color w:val="000000"/>
                <w:sz w:val="16"/>
                <w:szCs w:val="16"/>
                <w:u w:val="none"/>
              </w:rPr>
            </w:pPr>
          </w:p>
        </w:tc>
      </w:tr>
      <w:tr w14:paraId="4513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8935">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62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0D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A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社会及学生满意率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5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4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3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7E6">
            <w:pPr>
              <w:keepNext w:val="0"/>
              <w:keepLines w:val="0"/>
              <w:widowControl/>
              <w:suppressLineNumbers w:val="0"/>
              <w:jc w:val="center"/>
              <w:textAlignment w:val="center"/>
              <w:rPr>
                <w:rFonts w:hint="eastAsia" w:ascii="微软雅黑" w:hAnsi="微软雅黑" w:eastAsia="微软雅黑" w:cs="微软雅黑"/>
                <w:i/>
                <w:iCs/>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7F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EB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EC6">
            <w:pPr>
              <w:jc w:val="center"/>
              <w:rPr>
                <w:rFonts w:hint="eastAsia" w:ascii="微软雅黑" w:hAnsi="微软雅黑" w:eastAsia="微软雅黑" w:cs="微软雅黑"/>
                <w:i/>
                <w:iCs/>
                <w:color w:val="000000"/>
                <w:sz w:val="16"/>
                <w:szCs w:val="16"/>
                <w:u w:val="none"/>
              </w:rPr>
            </w:pPr>
          </w:p>
        </w:tc>
      </w:tr>
      <w:tr w14:paraId="473E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067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85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6228">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FBC8">
            <w:pPr>
              <w:rPr>
                <w:rFonts w:hint="eastAsia" w:ascii="宋体" w:hAnsi="宋体" w:eastAsia="宋体" w:cs="宋体"/>
                <w:i w:val="0"/>
                <w:iCs w:val="0"/>
                <w:color w:val="000000"/>
                <w:sz w:val="18"/>
                <w:szCs w:val="18"/>
                <w:u w:val="none"/>
              </w:rPr>
            </w:pPr>
          </w:p>
        </w:tc>
      </w:tr>
      <w:tr w14:paraId="2B34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77DF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14:paraId="5EDC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F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9E5D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91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57B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2A69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E4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001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47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A8F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财务负责人：蔡景春</w:t>
            </w:r>
          </w:p>
        </w:tc>
      </w:tr>
      <w:tr w14:paraId="473B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D51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55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F4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C89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14:paraId="2C4D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038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06E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846" w:type="dxa"/>
            <w:tcBorders>
              <w:top w:val="nil"/>
              <w:left w:val="nil"/>
              <w:bottom w:val="nil"/>
              <w:right w:val="nil"/>
            </w:tcBorders>
            <w:shd w:val="clear" w:color="auto" w:fill="auto"/>
            <w:vAlign w:val="center"/>
          </w:tcPr>
          <w:p w14:paraId="4484BE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B3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14:paraId="1A9A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B0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3E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9E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EBB1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C5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BD90">
            <w:pPr>
              <w:rPr>
                <w:rFonts w:hint="eastAsia" w:ascii="宋体" w:hAnsi="宋体" w:eastAsia="宋体" w:cs="宋体"/>
                <w:i w:val="0"/>
                <w:iCs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23A4">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A5C1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促进学校健康发展，提高预算编制质量，严格执行预算，减少结余资金。</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631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CF6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7693">
            <w:pP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F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037F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严格执行预算，及时申请支付资金，促进学校健康发展。</w:t>
            </w:r>
          </w:p>
        </w:tc>
      </w:tr>
      <w:tr w14:paraId="4960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00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C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87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6F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4161">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4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2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5F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7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D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F08">
            <w:pPr>
              <w:jc w:val="center"/>
              <w:rPr>
                <w:rFonts w:hint="eastAsia" w:ascii="宋体" w:hAnsi="宋体" w:eastAsia="宋体" w:cs="宋体"/>
                <w:i w:val="0"/>
                <w:iCs w:val="0"/>
                <w:color w:val="000000"/>
                <w:sz w:val="18"/>
                <w:szCs w:val="18"/>
                <w:u w:val="none"/>
              </w:rPr>
            </w:pP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4E8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3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5403">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2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6E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9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B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18BA">
            <w:pPr>
              <w:rPr>
                <w:rFonts w:hint="eastAsia" w:ascii="黑体" w:hAnsi="黑体" w:eastAsia="黑体" w:cs="黑体"/>
                <w:i/>
                <w:iCs/>
                <w:color w:val="000000"/>
                <w:sz w:val="18"/>
                <w:szCs w:val="18"/>
                <w:u w:val="none"/>
              </w:rPr>
            </w:pPr>
          </w:p>
        </w:tc>
      </w:tr>
      <w:tr w14:paraId="5F7C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1DCC">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E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E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D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2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1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E378">
            <w:pPr>
              <w:rPr>
                <w:rFonts w:hint="eastAsia" w:ascii="黑体" w:hAnsi="黑体" w:eastAsia="黑体" w:cs="黑体"/>
                <w:i/>
                <w:iCs/>
                <w:color w:val="000000"/>
                <w:sz w:val="18"/>
                <w:szCs w:val="18"/>
                <w:u w:val="none"/>
              </w:rPr>
            </w:pPr>
          </w:p>
        </w:tc>
      </w:tr>
      <w:tr w14:paraId="5713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249A">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0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0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4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A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F6C5">
            <w:pPr>
              <w:rPr>
                <w:rFonts w:hint="eastAsia" w:ascii="黑体" w:hAnsi="黑体" w:eastAsia="黑体" w:cs="黑体"/>
                <w:i/>
                <w:iCs/>
                <w:color w:val="000000"/>
                <w:sz w:val="18"/>
                <w:szCs w:val="18"/>
                <w:u w:val="none"/>
              </w:rPr>
            </w:pPr>
          </w:p>
        </w:tc>
      </w:tr>
      <w:tr w14:paraId="5DCF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67E8">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763">
            <w:pPr>
              <w:jc w:val="center"/>
              <w:rPr>
                <w:rFonts w:hint="eastAsia" w:ascii="微软雅黑" w:hAnsi="微软雅黑" w:eastAsia="微软雅黑" w:cs="微软雅黑"/>
                <w:i/>
                <w:iCs/>
                <w:color w:val="000000"/>
                <w:sz w:val="16"/>
                <w:szCs w:val="16"/>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D1AF">
            <w:pPr>
              <w:jc w:val="center"/>
              <w:rPr>
                <w:rFonts w:hint="eastAsia" w:ascii="微软雅黑" w:hAnsi="微软雅黑" w:eastAsia="微软雅黑" w:cs="微软雅黑"/>
                <w:i/>
                <w:iCs/>
                <w:color w:val="000000"/>
                <w:sz w:val="16"/>
                <w:szCs w:val="16"/>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BBA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79B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F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2B3D">
            <w:pPr>
              <w:rPr>
                <w:rFonts w:hint="eastAsia" w:ascii="黑体" w:hAnsi="黑体" w:eastAsia="黑体" w:cs="黑体"/>
                <w:i/>
                <w:iCs/>
                <w:color w:val="000000"/>
                <w:sz w:val="18"/>
                <w:szCs w:val="18"/>
                <w:u w:val="none"/>
              </w:rPr>
            </w:pPr>
          </w:p>
        </w:tc>
      </w:tr>
      <w:tr w14:paraId="2B16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60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2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9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0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2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0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9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8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0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8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293E">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1B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产出指标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DC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B7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项目全部落实到位</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BD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D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B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F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DA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A22">
            <w:pPr>
              <w:jc w:val="center"/>
              <w:rPr>
                <w:rFonts w:hint="eastAsia" w:ascii="微软雅黑" w:hAnsi="微软雅黑" w:eastAsia="微软雅黑" w:cs="微软雅黑"/>
                <w:i/>
                <w:iCs/>
                <w:color w:val="000000"/>
                <w:sz w:val="16"/>
                <w:szCs w:val="16"/>
                <w:u w:val="none"/>
              </w:rPr>
            </w:pPr>
          </w:p>
        </w:tc>
      </w:tr>
      <w:tr w14:paraId="3704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B2D2">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F5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5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9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及时支付资金</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A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24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0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78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7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518">
            <w:pPr>
              <w:jc w:val="center"/>
              <w:rPr>
                <w:rFonts w:hint="eastAsia" w:ascii="微软雅黑" w:hAnsi="微软雅黑" w:eastAsia="微软雅黑" w:cs="微软雅黑"/>
                <w:i/>
                <w:iCs/>
                <w:color w:val="000000"/>
                <w:sz w:val="16"/>
                <w:szCs w:val="16"/>
                <w:u w:val="none"/>
              </w:rPr>
            </w:pPr>
          </w:p>
        </w:tc>
      </w:tr>
      <w:tr w14:paraId="1B7F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EB85">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CB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38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0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社会及学生满意率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3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D7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C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C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5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34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2755">
            <w:pPr>
              <w:jc w:val="center"/>
              <w:rPr>
                <w:rFonts w:hint="eastAsia" w:ascii="微软雅黑" w:hAnsi="微软雅黑" w:eastAsia="微软雅黑" w:cs="微软雅黑"/>
                <w:i/>
                <w:iCs/>
                <w:color w:val="000000"/>
                <w:sz w:val="16"/>
                <w:szCs w:val="16"/>
                <w:u w:val="none"/>
              </w:rPr>
            </w:pPr>
          </w:p>
        </w:tc>
      </w:tr>
      <w:tr w14:paraId="2C7C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E6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F538">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2E1D">
            <w:pPr>
              <w:rPr>
                <w:rFonts w:hint="eastAsia" w:ascii="宋体" w:hAnsi="宋体" w:eastAsia="宋体" w:cs="宋体"/>
                <w:i w:val="0"/>
                <w:iCs w:val="0"/>
                <w:color w:val="000000"/>
                <w:sz w:val="18"/>
                <w:szCs w:val="18"/>
                <w:u w:val="none"/>
              </w:rPr>
            </w:pPr>
          </w:p>
        </w:tc>
      </w:tr>
      <w:tr w14:paraId="25E4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9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E6AB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46F7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A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21D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69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2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57E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7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4A5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47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78F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财务负责人：蔡景春</w:t>
            </w:r>
          </w:p>
        </w:tc>
      </w:tr>
      <w:tr w14:paraId="7DB0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9539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1A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90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595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4930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0F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5D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遂宁市安居区分水镇中心小学校部门</w:t>
            </w:r>
          </w:p>
        </w:tc>
        <w:tc>
          <w:tcPr>
            <w:tcW w:w="846" w:type="dxa"/>
            <w:tcBorders>
              <w:top w:val="nil"/>
              <w:left w:val="nil"/>
              <w:bottom w:val="nil"/>
              <w:right w:val="nil"/>
            </w:tcBorders>
            <w:shd w:val="clear" w:color="auto" w:fill="auto"/>
            <w:vAlign w:val="center"/>
          </w:tcPr>
          <w:p w14:paraId="45E92B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38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遂宁市安居区分水镇中心小学校</w:t>
            </w:r>
          </w:p>
        </w:tc>
      </w:tr>
      <w:tr w14:paraId="593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47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3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A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A3C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05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B865">
            <w:pPr>
              <w:rPr>
                <w:rFonts w:hint="eastAsia" w:ascii="宋体" w:hAnsi="宋体" w:eastAsia="宋体" w:cs="宋体"/>
                <w:i w:val="0"/>
                <w:iCs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EEA5">
            <w:pPr>
              <w:rPr>
                <w:rFonts w:hint="eastAsia" w:ascii="宋体" w:hAnsi="宋体" w:eastAsia="宋体" w:cs="宋体"/>
                <w:i w:val="0"/>
                <w:iCs w:val="0"/>
                <w:color w:val="000000"/>
                <w:sz w:val="18"/>
                <w:szCs w:val="18"/>
                <w:u w:val="none"/>
              </w:rPr>
            </w:pPr>
          </w:p>
        </w:tc>
        <w:tc>
          <w:tcPr>
            <w:tcW w:w="4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FA24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保障学校正常运转，提高预算编制质量，严格执行预算，减少结余资金。</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614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11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56B6">
            <w:pP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F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50382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及时申报经费，保证学生作业本按时发放。</w:t>
            </w:r>
          </w:p>
        </w:tc>
      </w:tr>
      <w:tr w14:paraId="7671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F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B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0B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C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06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B861">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2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07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B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7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43E3">
            <w:pPr>
              <w:jc w:val="center"/>
              <w:rPr>
                <w:rFonts w:hint="eastAsia" w:ascii="宋体" w:hAnsi="宋体" w:eastAsia="宋体" w:cs="宋体"/>
                <w:i w:val="0"/>
                <w:iCs w:val="0"/>
                <w:color w:val="000000"/>
                <w:sz w:val="18"/>
                <w:szCs w:val="18"/>
                <w:u w:val="none"/>
              </w:rPr>
            </w:pP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2E9A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6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C0DE">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D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8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FF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9D91">
            <w:pPr>
              <w:rPr>
                <w:rFonts w:hint="eastAsia" w:ascii="黑体" w:hAnsi="黑体" w:eastAsia="黑体" w:cs="黑体"/>
                <w:i/>
                <w:iCs/>
                <w:color w:val="000000"/>
                <w:sz w:val="18"/>
                <w:szCs w:val="18"/>
                <w:u w:val="none"/>
              </w:rPr>
            </w:pPr>
          </w:p>
        </w:tc>
      </w:tr>
      <w:tr w14:paraId="554F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1EFD">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E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4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AC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5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F636">
            <w:pPr>
              <w:rPr>
                <w:rFonts w:hint="eastAsia" w:ascii="黑体" w:hAnsi="黑体" w:eastAsia="黑体" w:cs="黑体"/>
                <w:i/>
                <w:iCs/>
                <w:color w:val="000000"/>
                <w:sz w:val="18"/>
                <w:szCs w:val="18"/>
                <w:u w:val="none"/>
              </w:rPr>
            </w:pPr>
          </w:p>
        </w:tc>
      </w:tr>
      <w:tr w14:paraId="1EB7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6656">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FE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E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4827">
            <w:pPr>
              <w:rPr>
                <w:rFonts w:hint="eastAsia" w:ascii="黑体" w:hAnsi="黑体" w:eastAsia="黑体" w:cs="黑体"/>
                <w:i/>
                <w:iCs/>
                <w:color w:val="000000"/>
                <w:sz w:val="18"/>
                <w:szCs w:val="18"/>
                <w:u w:val="none"/>
              </w:rPr>
            </w:pPr>
          </w:p>
        </w:tc>
      </w:tr>
      <w:tr w14:paraId="531D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7E49">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B3F">
            <w:pPr>
              <w:jc w:val="center"/>
              <w:rPr>
                <w:rFonts w:hint="eastAsia" w:ascii="微软雅黑" w:hAnsi="微软雅黑" w:eastAsia="微软雅黑" w:cs="微软雅黑"/>
                <w:i/>
                <w:iCs/>
                <w:color w:val="000000"/>
                <w:sz w:val="16"/>
                <w:szCs w:val="16"/>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4C8">
            <w:pPr>
              <w:jc w:val="center"/>
              <w:rPr>
                <w:rFonts w:hint="eastAsia" w:ascii="微软雅黑" w:hAnsi="微软雅黑" w:eastAsia="微软雅黑" w:cs="微软雅黑"/>
                <w:i/>
                <w:iCs/>
                <w:color w:val="000000"/>
                <w:sz w:val="16"/>
                <w:szCs w:val="16"/>
                <w:u w:val="none"/>
              </w:rPr>
            </w:pPr>
          </w:p>
        </w:tc>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3EA5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B86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E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58A1">
            <w:pPr>
              <w:rPr>
                <w:rFonts w:hint="eastAsia" w:ascii="黑体" w:hAnsi="黑体" w:eastAsia="黑体" w:cs="黑体"/>
                <w:i/>
                <w:iCs/>
                <w:color w:val="000000"/>
                <w:sz w:val="18"/>
                <w:szCs w:val="18"/>
                <w:u w:val="none"/>
              </w:rPr>
            </w:pPr>
          </w:p>
        </w:tc>
      </w:tr>
      <w:tr w14:paraId="2AAC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D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1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A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A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0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CC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23E0">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D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产出指标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0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数量指标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A3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足额定制作业本</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D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6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4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80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B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679">
            <w:pPr>
              <w:jc w:val="center"/>
              <w:rPr>
                <w:rFonts w:hint="eastAsia" w:ascii="微软雅黑" w:hAnsi="微软雅黑" w:eastAsia="微软雅黑" w:cs="微软雅黑"/>
                <w:i/>
                <w:iCs/>
                <w:color w:val="000000"/>
                <w:sz w:val="16"/>
                <w:szCs w:val="16"/>
                <w:u w:val="none"/>
              </w:rPr>
            </w:pPr>
          </w:p>
        </w:tc>
      </w:tr>
      <w:tr w14:paraId="3B2D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AC3D">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DC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2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社会效益指标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AE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及时支付资金</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C9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85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E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05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8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F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DE29">
            <w:pPr>
              <w:jc w:val="center"/>
              <w:rPr>
                <w:rFonts w:hint="eastAsia" w:ascii="微软雅黑" w:hAnsi="微软雅黑" w:eastAsia="微软雅黑" w:cs="微软雅黑"/>
                <w:i/>
                <w:iCs/>
                <w:color w:val="000000"/>
                <w:sz w:val="16"/>
                <w:szCs w:val="16"/>
                <w:u w:val="none"/>
              </w:rPr>
            </w:pPr>
          </w:p>
        </w:tc>
      </w:tr>
      <w:tr w14:paraId="7836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9022">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C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6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服务对象满意度</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4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学生满意率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3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5F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F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C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F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B8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9298">
            <w:pPr>
              <w:jc w:val="center"/>
              <w:rPr>
                <w:rFonts w:hint="eastAsia" w:ascii="微软雅黑" w:hAnsi="微软雅黑" w:eastAsia="微软雅黑" w:cs="微软雅黑"/>
                <w:i/>
                <w:iCs/>
                <w:color w:val="000000"/>
                <w:sz w:val="16"/>
                <w:szCs w:val="16"/>
                <w:u w:val="none"/>
              </w:rPr>
            </w:pPr>
          </w:p>
        </w:tc>
      </w:tr>
      <w:tr w14:paraId="2A01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785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81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B3D">
            <w:pPr>
              <w:rPr>
                <w:rFonts w:hint="eastAsia" w:ascii="宋体" w:hAnsi="宋体" w:eastAsia="宋体" w:cs="宋体"/>
                <w:i w:val="0"/>
                <w:iCs w:val="0"/>
                <w:color w:val="000000"/>
                <w:sz w:val="18"/>
                <w:szCs w:val="18"/>
                <w:u w:val="none"/>
              </w:rPr>
            </w:pPr>
          </w:p>
        </w:tc>
      </w:tr>
      <w:tr w14:paraId="18DD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31B6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5576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2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3C7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4C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16DD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6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C6D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项目负责人：周璞</w:t>
            </w:r>
          </w:p>
        </w:tc>
        <w:tc>
          <w:tcPr>
            <w:tcW w:w="47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C5A8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财务负责人：蔡景春</w:t>
            </w:r>
          </w:p>
        </w:tc>
      </w:tr>
    </w:tbl>
    <w:p w14:paraId="72B18E38">
      <w:pPr>
        <w:widowControl/>
        <w:suppressAutoHyphens/>
        <w:jc w:val="center"/>
        <w:rPr>
          <w:rFonts w:hint="eastAsia" w:ascii="黑体" w:hAnsi="黑体" w:eastAsia="黑体"/>
          <w:sz w:val="44"/>
          <w:szCs w:val="44"/>
        </w:rPr>
      </w:pPr>
      <w:r>
        <w:rPr>
          <w:rFonts w:hint="eastAsia" w:ascii="黑体" w:hAnsi="黑体" w:eastAsia="黑体"/>
          <w:sz w:val="44"/>
          <w:szCs w:val="44"/>
        </w:rPr>
        <w:t>第五部分 附表</w:t>
      </w:r>
      <w:bookmarkEnd w:id="47"/>
      <w:bookmarkEnd w:id="49"/>
      <w:bookmarkStart w:id="50" w:name="_Toc15396619"/>
    </w:p>
    <w:p w14:paraId="03C5F5C6">
      <w:pPr>
        <w:spacing w:line="572" w:lineRule="exact"/>
        <w:ind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一、收入支出决算总表</w:t>
      </w:r>
      <w:bookmarkEnd w:id="50"/>
    </w:p>
    <w:p w14:paraId="4053F48E">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1" w:name="_Toc15396620"/>
      <w:r>
        <w:rPr>
          <w:rFonts w:hint="eastAsia" w:ascii="仿宋_GB2312" w:hAnsi="仿宋_GB2312" w:eastAsia="仿宋_GB2312" w:cs="仿宋_GB2312"/>
          <w:sz w:val="32"/>
          <w:szCs w:val="32"/>
          <w:lang w:val="en-US" w:eastAsia="zh-CN"/>
        </w:rPr>
        <w:t>二、收入决算表</w:t>
      </w:r>
      <w:bookmarkEnd w:id="51"/>
    </w:p>
    <w:p w14:paraId="37BE0AB1">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2" w:name="_Toc15396621"/>
      <w:r>
        <w:rPr>
          <w:rFonts w:hint="eastAsia" w:ascii="仿宋_GB2312" w:hAnsi="仿宋_GB2312" w:eastAsia="仿宋_GB2312" w:cs="仿宋_GB2312"/>
          <w:sz w:val="32"/>
          <w:szCs w:val="32"/>
          <w:lang w:val="en-US" w:eastAsia="zh-CN"/>
        </w:rPr>
        <w:t>三、支出决算表</w:t>
      </w:r>
      <w:bookmarkEnd w:id="52"/>
    </w:p>
    <w:p w14:paraId="50F64FD9">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3" w:name="_Toc15396622"/>
      <w:r>
        <w:rPr>
          <w:rFonts w:hint="eastAsia" w:ascii="仿宋_GB2312" w:hAnsi="仿宋_GB2312" w:eastAsia="仿宋_GB2312" w:cs="仿宋_GB2312"/>
          <w:sz w:val="32"/>
          <w:szCs w:val="32"/>
          <w:lang w:val="en-US" w:eastAsia="zh-CN"/>
        </w:rPr>
        <w:t>四、财政拨款收入支出决算总表</w:t>
      </w:r>
      <w:bookmarkEnd w:id="53"/>
    </w:p>
    <w:p w14:paraId="45259C47">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4" w:name="_Toc15396623"/>
      <w:r>
        <w:rPr>
          <w:rFonts w:hint="eastAsia" w:ascii="仿宋_GB2312" w:hAnsi="仿宋_GB2312" w:eastAsia="仿宋_GB2312" w:cs="仿宋_GB2312"/>
          <w:sz w:val="32"/>
          <w:szCs w:val="32"/>
          <w:lang w:val="en-US" w:eastAsia="zh-CN"/>
        </w:rPr>
        <w:t>五、财政拨款支出决算明细表</w:t>
      </w:r>
      <w:bookmarkEnd w:id="54"/>
      <w:bookmarkStart w:id="55" w:name="_Toc15396624"/>
    </w:p>
    <w:p w14:paraId="1513D7C1">
      <w:pPr>
        <w:spacing w:line="572" w:lineRule="exact"/>
        <w:ind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六、一般公共预算财政拨款支出决算表</w:t>
      </w:r>
      <w:bookmarkEnd w:id="55"/>
    </w:p>
    <w:p w14:paraId="4087D16B">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6" w:name="_Toc15396625"/>
      <w:r>
        <w:rPr>
          <w:rFonts w:hint="eastAsia" w:ascii="仿宋_GB2312" w:hAnsi="仿宋_GB2312" w:eastAsia="仿宋_GB2312" w:cs="仿宋_GB2312"/>
          <w:sz w:val="32"/>
          <w:szCs w:val="32"/>
          <w:lang w:val="en-US" w:eastAsia="zh-CN"/>
        </w:rPr>
        <w:t>七、一般公共预算财政拨款支出决算明细表</w:t>
      </w:r>
      <w:bookmarkEnd w:id="56"/>
    </w:p>
    <w:p w14:paraId="1D4CE38F">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7" w:name="_Toc15396626"/>
      <w:r>
        <w:rPr>
          <w:rFonts w:hint="eastAsia" w:ascii="仿宋_GB2312" w:hAnsi="仿宋_GB2312" w:eastAsia="仿宋_GB2312" w:cs="仿宋_GB2312"/>
          <w:sz w:val="32"/>
          <w:szCs w:val="32"/>
          <w:lang w:val="en-US" w:eastAsia="zh-CN"/>
        </w:rPr>
        <w:t>八、一般公共预算财政拨款基本支出决算表</w:t>
      </w:r>
      <w:bookmarkEnd w:id="57"/>
    </w:p>
    <w:p w14:paraId="4538F598">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8" w:name="_Toc15396627"/>
      <w:r>
        <w:rPr>
          <w:rFonts w:hint="eastAsia" w:ascii="仿宋_GB2312" w:hAnsi="仿宋_GB2312" w:eastAsia="仿宋_GB2312" w:cs="仿宋_GB2312"/>
          <w:sz w:val="32"/>
          <w:szCs w:val="32"/>
          <w:lang w:val="en-US" w:eastAsia="zh-CN"/>
        </w:rPr>
        <w:t>九、一般公共预算财政拨款项目支出决算表</w:t>
      </w:r>
      <w:bookmarkEnd w:id="58"/>
    </w:p>
    <w:p w14:paraId="480CBE07">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59" w:name="_Toc15396628"/>
      <w:r>
        <w:rPr>
          <w:rFonts w:hint="eastAsia" w:ascii="仿宋_GB2312" w:hAnsi="仿宋_GB2312" w:eastAsia="仿宋_GB2312" w:cs="仿宋_GB2312"/>
          <w:sz w:val="32"/>
          <w:szCs w:val="32"/>
          <w:lang w:val="en-US" w:eastAsia="zh-CN"/>
        </w:rPr>
        <w:t>十、</w:t>
      </w:r>
      <w:bookmarkEnd w:id="59"/>
      <w:r>
        <w:rPr>
          <w:rFonts w:hint="eastAsia" w:ascii="仿宋_GB2312" w:hAnsi="仿宋_GB2312" w:eastAsia="仿宋_GB2312" w:cs="仿宋_GB2312"/>
          <w:sz w:val="32"/>
          <w:szCs w:val="32"/>
          <w:lang w:val="en-US" w:eastAsia="zh-CN"/>
        </w:rPr>
        <w:t>政府性基金预算财政拨款收入支出决算表</w:t>
      </w:r>
    </w:p>
    <w:p w14:paraId="5516BCB6">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60" w:name="_Toc15396629"/>
      <w:r>
        <w:rPr>
          <w:rFonts w:hint="eastAsia" w:ascii="仿宋_GB2312" w:hAnsi="仿宋_GB2312" w:eastAsia="仿宋_GB2312" w:cs="仿宋_GB2312"/>
          <w:sz w:val="32"/>
          <w:szCs w:val="32"/>
          <w:lang w:val="en-US" w:eastAsia="zh-CN"/>
        </w:rPr>
        <w:t>十一、</w:t>
      </w:r>
      <w:bookmarkEnd w:id="60"/>
      <w:r>
        <w:rPr>
          <w:rFonts w:hint="eastAsia" w:ascii="仿宋_GB2312" w:hAnsi="仿宋_GB2312" w:eastAsia="仿宋_GB2312" w:cs="仿宋_GB2312"/>
          <w:sz w:val="32"/>
          <w:szCs w:val="32"/>
          <w:lang w:val="en-US" w:eastAsia="zh-CN"/>
        </w:rPr>
        <w:t>国有资本经营预算财政拨款收入支出决算表</w:t>
      </w:r>
    </w:p>
    <w:p w14:paraId="766FB45F">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61" w:name="_Toc15396630"/>
      <w:r>
        <w:rPr>
          <w:rFonts w:hint="eastAsia" w:ascii="仿宋_GB2312" w:hAnsi="仿宋_GB2312" w:eastAsia="仿宋_GB2312" w:cs="仿宋_GB2312"/>
          <w:sz w:val="32"/>
          <w:szCs w:val="32"/>
          <w:lang w:val="en-US" w:eastAsia="zh-CN"/>
        </w:rPr>
        <w:t>十二、</w:t>
      </w:r>
      <w:bookmarkEnd w:id="61"/>
      <w:r>
        <w:rPr>
          <w:rFonts w:hint="eastAsia" w:ascii="仿宋_GB2312" w:hAnsi="仿宋_GB2312" w:eastAsia="仿宋_GB2312" w:cs="仿宋_GB2312"/>
          <w:sz w:val="32"/>
          <w:szCs w:val="32"/>
          <w:lang w:val="en-US" w:eastAsia="zh-CN"/>
        </w:rPr>
        <w:t>国有资本经营预算财政拨款支出决算表</w:t>
      </w:r>
    </w:p>
    <w:p w14:paraId="3A58EAC8">
      <w:pPr>
        <w:spacing w:line="572" w:lineRule="exact"/>
        <w:ind w:firstLine="640" w:firstLineChars="200"/>
        <w:jc w:val="left"/>
        <w:outlineLvl w:val="0"/>
        <w:rPr>
          <w:rFonts w:hint="eastAsia" w:ascii="仿宋_GB2312" w:hAnsi="仿宋_GB2312" w:eastAsia="仿宋_GB2312" w:cs="仿宋_GB2312"/>
          <w:sz w:val="32"/>
          <w:szCs w:val="32"/>
          <w:lang w:val="en-US" w:eastAsia="zh-CN"/>
        </w:rPr>
      </w:pPr>
      <w:bookmarkStart w:id="62" w:name="_Toc15396631"/>
      <w:r>
        <w:rPr>
          <w:rFonts w:hint="eastAsia" w:ascii="仿宋_GB2312" w:hAnsi="仿宋_GB2312" w:eastAsia="仿宋_GB2312" w:cs="仿宋_GB2312"/>
          <w:sz w:val="32"/>
          <w:szCs w:val="32"/>
          <w:lang w:val="en-US" w:eastAsia="zh-CN"/>
        </w:rPr>
        <w:t>十三、</w:t>
      </w:r>
      <w:bookmarkEnd w:id="62"/>
      <w:r>
        <w:rPr>
          <w:rFonts w:hint="eastAsia" w:ascii="仿宋_GB2312" w:hAnsi="仿宋_GB2312" w:eastAsia="仿宋_GB2312" w:cs="仿宋_GB2312"/>
          <w:sz w:val="32"/>
          <w:szCs w:val="32"/>
          <w:lang w:val="en-US" w:eastAsia="zh-CN"/>
        </w:rPr>
        <w:t>财政拨款“三公”经费支出决算表</w:t>
      </w:r>
    </w:p>
    <w:sectPr>
      <w:footerReference r:id="rId11" w:type="first"/>
      <w:footerReference r:id="rId10"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B97E63-2B86-42AB-A381-496B772C89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3DEE51-064B-4EFE-B8C9-B96CF729DA0F}"/>
  </w:font>
  <w:font w:name="Cambria">
    <w:panose1 w:val="02040503050406030204"/>
    <w:charset w:val="00"/>
    <w:family w:val="roman"/>
    <w:pitch w:val="default"/>
    <w:sig w:usb0="E00006FF" w:usb1="420024FF" w:usb2="02000000" w:usb3="00000000" w:csb0="2000019F" w:csb1="00000000"/>
    <w:embedRegular r:id="rId3" w:fontKey="{6B68ACF0-00D1-4609-993D-A5EF48FC3021}"/>
  </w:font>
  <w:font w:name="仿宋_GB2312">
    <w:panose1 w:val="02010609030101010101"/>
    <w:charset w:val="86"/>
    <w:family w:val="auto"/>
    <w:pitch w:val="default"/>
    <w:sig w:usb0="00000001" w:usb1="080E0000" w:usb2="00000000" w:usb3="00000000" w:csb0="00040000" w:csb1="00000000"/>
    <w:embedRegular r:id="rId4" w:fontKey="{695E8990-87D0-4D20-A16A-640C9D0CCCE5}"/>
  </w:font>
  <w:font w:name="仿宋">
    <w:panose1 w:val="02010609060101010101"/>
    <w:charset w:val="86"/>
    <w:family w:val="modern"/>
    <w:pitch w:val="default"/>
    <w:sig w:usb0="800002BF" w:usb1="38CF7CFA" w:usb2="00000016" w:usb3="00000000" w:csb0="00040001" w:csb1="00000000"/>
    <w:embedRegular r:id="rId5" w:fontKey="{79ACEF31-925B-4D1C-B8CF-7C5A067B577C}"/>
  </w:font>
  <w:font w:name="方正小标宋简体">
    <w:panose1 w:val="02010600010101010101"/>
    <w:charset w:val="86"/>
    <w:family w:val="script"/>
    <w:pitch w:val="default"/>
    <w:sig w:usb0="00000001" w:usb1="080E0000" w:usb2="00000000" w:usb3="00000000" w:csb0="00040000" w:csb1="00000000"/>
    <w:embedRegular r:id="rId6" w:fontKey="{77497D04-33EE-4280-A815-52551945B18A}"/>
  </w:font>
  <w:font w:name="楷体_GB2312">
    <w:panose1 w:val="02010609030101010101"/>
    <w:charset w:val="86"/>
    <w:family w:val="auto"/>
    <w:pitch w:val="default"/>
    <w:sig w:usb0="00000001" w:usb1="080E0000" w:usb2="00000000" w:usb3="00000000" w:csb0="00040000" w:csb1="00000000"/>
    <w:embedRegular r:id="rId7" w:fontKey="{103BF95A-85F9-4C17-88DC-A5A215136233}"/>
  </w:font>
  <w:font w:name="微软雅黑">
    <w:panose1 w:val="020B0503020204020204"/>
    <w:charset w:val="86"/>
    <w:family w:val="auto"/>
    <w:pitch w:val="default"/>
    <w:sig w:usb0="80000287" w:usb1="2ACF3C50" w:usb2="00000016" w:usb3="00000000" w:csb0="0004001F" w:csb1="00000000"/>
    <w:embedRegular r:id="rId8" w:fontKey="{734C4E9F-B2D6-4542-8FC2-4F1DD037C1A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D43D">
    <w:pPr>
      <w:pStyle w:val="12"/>
      <w:jc w:val="center"/>
    </w:pPr>
  </w:p>
  <w:p w14:paraId="7C8BF50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36A1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D73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55A8">
    <w:pPr>
      <w:pStyle w:val="12"/>
      <w:jc w:val="center"/>
    </w:pPr>
  </w:p>
  <w:p w14:paraId="3CA084F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7822">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750"/>
                          </w:sdtPr>
                          <w:sdtContent>
                            <w:p w14:paraId="6A6517A6">
                              <w:pPr>
                                <w:pStyle w:val="12"/>
                                <w:jc w:val="center"/>
                              </w:pPr>
                              <w:r>
                                <w:fldChar w:fldCharType="begin"/>
                              </w:r>
                              <w:r>
                                <w:instrText xml:space="preserve">PAGE   \* MERGEFORMAT</w:instrText>
                              </w:r>
                              <w:r>
                                <w:fldChar w:fldCharType="separate"/>
                              </w:r>
                              <w:r>
                                <w:rPr>
                                  <w:lang w:val="zh-CN"/>
                                </w:rPr>
                                <w:t>15</w:t>
                              </w:r>
                              <w:r>
                                <w:fldChar w:fldCharType="end"/>
                              </w:r>
                            </w:p>
                          </w:sdtContent>
                        </w:sdt>
                        <w:p w14:paraId="0D91E2F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0750"/>
                    </w:sdtPr>
                    <w:sdtContent>
                      <w:p w14:paraId="6A6517A6">
                        <w:pPr>
                          <w:pStyle w:val="12"/>
                          <w:jc w:val="center"/>
                        </w:pPr>
                        <w:r>
                          <w:fldChar w:fldCharType="begin"/>
                        </w:r>
                        <w:r>
                          <w:instrText xml:space="preserve">PAGE   \* MERGEFORMAT</w:instrText>
                        </w:r>
                        <w:r>
                          <w:fldChar w:fldCharType="separate"/>
                        </w:r>
                        <w:r>
                          <w:rPr>
                            <w:lang w:val="zh-CN"/>
                          </w:rPr>
                          <w:t>15</w:t>
                        </w:r>
                        <w:r>
                          <w:fldChar w:fldCharType="end"/>
                        </w:r>
                      </w:p>
                    </w:sdtContent>
                  </w:sdt>
                  <w:p w14:paraId="0D91E2FB">
                    <w:pPr>
                      <w:pStyle w:val="2"/>
                    </w:pPr>
                  </w:p>
                </w:txbxContent>
              </v:textbox>
            </v:shape>
          </w:pict>
        </mc:Fallback>
      </mc:AlternateContent>
    </w:r>
  </w:p>
  <w:p w14:paraId="5CB2369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D5A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1A3D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81A3D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184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B78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ED8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1E196"/>
    <w:multiLevelType w:val="singleLevel"/>
    <w:tmpl w:val="6171E196"/>
    <w:lvl w:ilvl="0" w:tentative="0">
      <w:start w:val="3"/>
      <w:numFmt w:val="chineseCounting"/>
      <w:suff w:val="nothing"/>
      <w:lvlText w:val="（%1）"/>
      <w:lvlJc w:val="left"/>
      <w:rPr>
        <w:rFonts w:hint="eastAsia"/>
      </w:rPr>
    </w:lvl>
  </w:abstractNum>
  <w:abstractNum w:abstractNumId="1">
    <w:nsid w:val="7048FA6D"/>
    <w:multiLevelType w:val="singleLevel"/>
    <w:tmpl w:val="7048FA6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2BDF"/>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88D"/>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27C0"/>
    <w:rsid w:val="01672B41"/>
    <w:rsid w:val="01EA636A"/>
    <w:rsid w:val="021E44BA"/>
    <w:rsid w:val="0288005D"/>
    <w:rsid w:val="02C646E1"/>
    <w:rsid w:val="03DC2831"/>
    <w:rsid w:val="03DD6186"/>
    <w:rsid w:val="0442248D"/>
    <w:rsid w:val="048A42E2"/>
    <w:rsid w:val="052F2A11"/>
    <w:rsid w:val="05761DD9"/>
    <w:rsid w:val="0664493D"/>
    <w:rsid w:val="06817440"/>
    <w:rsid w:val="07464042"/>
    <w:rsid w:val="081B5E94"/>
    <w:rsid w:val="091268D2"/>
    <w:rsid w:val="0A2032A3"/>
    <w:rsid w:val="0A4D58DB"/>
    <w:rsid w:val="0AD32091"/>
    <w:rsid w:val="0B8A37D8"/>
    <w:rsid w:val="0B9E444D"/>
    <w:rsid w:val="0C6A07D3"/>
    <w:rsid w:val="0C931AD8"/>
    <w:rsid w:val="0CA912FB"/>
    <w:rsid w:val="0D860802"/>
    <w:rsid w:val="0EBB474D"/>
    <w:rsid w:val="0F566DED"/>
    <w:rsid w:val="0F5FFB2F"/>
    <w:rsid w:val="0FA933C0"/>
    <w:rsid w:val="0FC03DC2"/>
    <w:rsid w:val="0FFFCF60"/>
    <w:rsid w:val="104C369D"/>
    <w:rsid w:val="10C055FF"/>
    <w:rsid w:val="10DD3941"/>
    <w:rsid w:val="118107EC"/>
    <w:rsid w:val="11A00946"/>
    <w:rsid w:val="11DD6519"/>
    <w:rsid w:val="13444CE1"/>
    <w:rsid w:val="13EE1CEA"/>
    <w:rsid w:val="15D45685"/>
    <w:rsid w:val="16BB723D"/>
    <w:rsid w:val="17045CF5"/>
    <w:rsid w:val="17F866B4"/>
    <w:rsid w:val="18015F3F"/>
    <w:rsid w:val="188E6361"/>
    <w:rsid w:val="18B74DA0"/>
    <w:rsid w:val="191F64A1"/>
    <w:rsid w:val="19433422"/>
    <w:rsid w:val="19C92351"/>
    <w:rsid w:val="19D76D7C"/>
    <w:rsid w:val="1A057D8D"/>
    <w:rsid w:val="1A7F5449"/>
    <w:rsid w:val="1B3609F4"/>
    <w:rsid w:val="1B481CDF"/>
    <w:rsid w:val="1B9969DF"/>
    <w:rsid w:val="1BE063BC"/>
    <w:rsid w:val="1BE8440E"/>
    <w:rsid w:val="1BF43C15"/>
    <w:rsid w:val="1D155CEE"/>
    <w:rsid w:val="1DAC0C4B"/>
    <w:rsid w:val="1E162569"/>
    <w:rsid w:val="1E8A260F"/>
    <w:rsid w:val="1F536EA5"/>
    <w:rsid w:val="1F9C19BF"/>
    <w:rsid w:val="1FDBBF84"/>
    <w:rsid w:val="20F57F95"/>
    <w:rsid w:val="21420020"/>
    <w:rsid w:val="22211DCF"/>
    <w:rsid w:val="2234120F"/>
    <w:rsid w:val="22D24A4D"/>
    <w:rsid w:val="23721DF1"/>
    <w:rsid w:val="240371BF"/>
    <w:rsid w:val="25205366"/>
    <w:rsid w:val="25476E87"/>
    <w:rsid w:val="25711CC6"/>
    <w:rsid w:val="25C741E6"/>
    <w:rsid w:val="25CB28DB"/>
    <w:rsid w:val="25DE67A2"/>
    <w:rsid w:val="263F16B0"/>
    <w:rsid w:val="266F0A68"/>
    <w:rsid w:val="26C24390"/>
    <w:rsid w:val="276F80C0"/>
    <w:rsid w:val="277F7A22"/>
    <w:rsid w:val="27842671"/>
    <w:rsid w:val="285632DA"/>
    <w:rsid w:val="28BB61E6"/>
    <w:rsid w:val="28BC1F5F"/>
    <w:rsid w:val="2908648D"/>
    <w:rsid w:val="290C07F0"/>
    <w:rsid w:val="29FD04D3"/>
    <w:rsid w:val="2A5306A1"/>
    <w:rsid w:val="2AA25464"/>
    <w:rsid w:val="2ABB0720"/>
    <w:rsid w:val="2ABE7A3E"/>
    <w:rsid w:val="2AFF09B6"/>
    <w:rsid w:val="2BF262F4"/>
    <w:rsid w:val="2BF85F34"/>
    <w:rsid w:val="2C2E71C1"/>
    <w:rsid w:val="2CA234A8"/>
    <w:rsid w:val="2D2C5816"/>
    <w:rsid w:val="2D91352C"/>
    <w:rsid w:val="2E0028ED"/>
    <w:rsid w:val="2E3031D3"/>
    <w:rsid w:val="2EAF6BF3"/>
    <w:rsid w:val="2EC94A3A"/>
    <w:rsid w:val="2EFA178C"/>
    <w:rsid w:val="2EFDF86C"/>
    <w:rsid w:val="2EFF6701"/>
    <w:rsid w:val="2F9D17E1"/>
    <w:rsid w:val="303B71EF"/>
    <w:rsid w:val="30B46D73"/>
    <w:rsid w:val="30DF4D2C"/>
    <w:rsid w:val="30FD3114"/>
    <w:rsid w:val="319F7F4E"/>
    <w:rsid w:val="320358CC"/>
    <w:rsid w:val="32943604"/>
    <w:rsid w:val="33024A12"/>
    <w:rsid w:val="3558300F"/>
    <w:rsid w:val="356A28F1"/>
    <w:rsid w:val="357C035A"/>
    <w:rsid w:val="35C943A9"/>
    <w:rsid w:val="368E000D"/>
    <w:rsid w:val="369938DF"/>
    <w:rsid w:val="369E4A52"/>
    <w:rsid w:val="3810197F"/>
    <w:rsid w:val="383D272C"/>
    <w:rsid w:val="38D267FA"/>
    <w:rsid w:val="39972358"/>
    <w:rsid w:val="39AE70AB"/>
    <w:rsid w:val="39D013C6"/>
    <w:rsid w:val="3A2B484E"/>
    <w:rsid w:val="3A4DCE41"/>
    <w:rsid w:val="3A981121"/>
    <w:rsid w:val="3AC23BAE"/>
    <w:rsid w:val="3B293484"/>
    <w:rsid w:val="3BCB56FA"/>
    <w:rsid w:val="3C0C0783"/>
    <w:rsid w:val="3C240DEC"/>
    <w:rsid w:val="3CB12907"/>
    <w:rsid w:val="3CB44FCF"/>
    <w:rsid w:val="3D7F1595"/>
    <w:rsid w:val="3DDF6489"/>
    <w:rsid w:val="3E0E4BB3"/>
    <w:rsid w:val="3E32588A"/>
    <w:rsid w:val="3E637826"/>
    <w:rsid w:val="3EE7C2F4"/>
    <w:rsid w:val="3F371B56"/>
    <w:rsid w:val="3F724CCD"/>
    <w:rsid w:val="3F792ED8"/>
    <w:rsid w:val="3F9F3A96"/>
    <w:rsid w:val="3FECA4B2"/>
    <w:rsid w:val="3FF58C48"/>
    <w:rsid w:val="40856B03"/>
    <w:rsid w:val="41166258"/>
    <w:rsid w:val="41752563"/>
    <w:rsid w:val="41A179C6"/>
    <w:rsid w:val="42FF6694"/>
    <w:rsid w:val="430D71E7"/>
    <w:rsid w:val="437B05F4"/>
    <w:rsid w:val="451C5E07"/>
    <w:rsid w:val="4565330A"/>
    <w:rsid w:val="45D94679"/>
    <w:rsid w:val="46081EE8"/>
    <w:rsid w:val="47E40289"/>
    <w:rsid w:val="48191516"/>
    <w:rsid w:val="482F7BFF"/>
    <w:rsid w:val="48BF60AB"/>
    <w:rsid w:val="48F21359"/>
    <w:rsid w:val="493C27E9"/>
    <w:rsid w:val="496F39ED"/>
    <w:rsid w:val="49FF41D3"/>
    <w:rsid w:val="4AF76666"/>
    <w:rsid w:val="4BBF1667"/>
    <w:rsid w:val="4BE068DB"/>
    <w:rsid w:val="4BF6002B"/>
    <w:rsid w:val="4BF76C86"/>
    <w:rsid w:val="4BFFC6BE"/>
    <w:rsid w:val="4C0D46FC"/>
    <w:rsid w:val="4CF907DC"/>
    <w:rsid w:val="4D1D44CA"/>
    <w:rsid w:val="4D1F46E6"/>
    <w:rsid w:val="4ECE2238"/>
    <w:rsid w:val="4F1162B1"/>
    <w:rsid w:val="50C3263F"/>
    <w:rsid w:val="51002483"/>
    <w:rsid w:val="51DB4B86"/>
    <w:rsid w:val="51F64DB0"/>
    <w:rsid w:val="52CD0741"/>
    <w:rsid w:val="531941ED"/>
    <w:rsid w:val="53226CDE"/>
    <w:rsid w:val="53DE7084"/>
    <w:rsid w:val="54071A30"/>
    <w:rsid w:val="54B73456"/>
    <w:rsid w:val="55333C3E"/>
    <w:rsid w:val="5661367A"/>
    <w:rsid w:val="56F42740"/>
    <w:rsid w:val="57390153"/>
    <w:rsid w:val="576B029A"/>
    <w:rsid w:val="580139FC"/>
    <w:rsid w:val="58382B00"/>
    <w:rsid w:val="59150B42"/>
    <w:rsid w:val="598109AD"/>
    <w:rsid w:val="5BE425EB"/>
    <w:rsid w:val="5DCF1811"/>
    <w:rsid w:val="5DD021B6"/>
    <w:rsid w:val="5E3E6996"/>
    <w:rsid w:val="5EF64B7B"/>
    <w:rsid w:val="5F5024DD"/>
    <w:rsid w:val="5F67802D"/>
    <w:rsid w:val="5F7DC4F2"/>
    <w:rsid w:val="5FB36814"/>
    <w:rsid w:val="5FBB8E56"/>
    <w:rsid w:val="5FFB5535"/>
    <w:rsid w:val="60D36CFD"/>
    <w:rsid w:val="60F35DC0"/>
    <w:rsid w:val="62341ED2"/>
    <w:rsid w:val="623B654F"/>
    <w:rsid w:val="624A1CBA"/>
    <w:rsid w:val="62C4682B"/>
    <w:rsid w:val="63601707"/>
    <w:rsid w:val="642941C0"/>
    <w:rsid w:val="64AC28AC"/>
    <w:rsid w:val="64CA39A1"/>
    <w:rsid w:val="64D836A1"/>
    <w:rsid w:val="65856C59"/>
    <w:rsid w:val="6623094C"/>
    <w:rsid w:val="66771A5D"/>
    <w:rsid w:val="66F618F4"/>
    <w:rsid w:val="69630ADE"/>
    <w:rsid w:val="69BD5F13"/>
    <w:rsid w:val="69FB0B4B"/>
    <w:rsid w:val="6BEB1F0C"/>
    <w:rsid w:val="6BFFE1FB"/>
    <w:rsid w:val="6C07239D"/>
    <w:rsid w:val="6C38624A"/>
    <w:rsid w:val="6C4A05C8"/>
    <w:rsid w:val="6D3B1A89"/>
    <w:rsid w:val="6DB7D8A3"/>
    <w:rsid w:val="6DC24C93"/>
    <w:rsid w:val="6E2C3B63"/>
    <w:rsid w:val="6EC78701"/>
    <w:rsid w:val="6EE449F0"/>
    <w:rsid w:val="6F5778B8"/>
    <w:rsid w:val="6F7A5481"/>
    <w:rsid w:val="6FFE07A9"/>
    <w:rsid w:val="70695446"/>
    <w:rsid w:val="70A00DEB"/>
    <w:rsid w:val="718B3849"/>
    <w:rsid w:val="71B37676"/>
    <w:rsid w:val="71BF4EC2"/>
    <w:rsid w:val="726C4C3E"/>
    <w:rsid w:val="72734D90"/>
    <w:rsid w:val="72834520"/>
    <w:rsid w:val="72D336FA"/>
    <w:rsid w:val="72D97AF9"/>
    <w:rsid w:val="73E75B71"/>
    <w:rsid w:val="7412278C"/>
    <w:rsid w:val="7440091B"/>
    <w:rsid w:val="74895648"/>
    <w:rsid w:val="75DDCDA9"/>
    <w:rsid w:val="75FF44B1"/>
    <w:rsid w:val="775D3592"/>
    <w:rsid w:val="77670518"/>
    <w:rsid w:val="777FA627"/>
    <w:rsid w:val="77CE2776"/>
    <w:rsid w:val="77DF1B5F"/>
    <w:rsid w:val="77EF2D9D"/>
    <w:rsid w:val="78191BAF"/>
    <w:rsid w:val="79355A99"/>
    <w:rsid w:val="79E7B28D"/>
    <w:rsid w:val="7ACFF0C2"/>
    <w:rsid w:val="7AD77854"/>
    <w:rsid w:val="7AFB9108"/>
    <w:rsid w:val="7BD5340C"/>
    <w:rsid w:val="7BFB19D2"/>
    <w:rsid w:val="7BFD1750"/>
    <w:rsid w:val="7BFDAA1B"/>
    <w:rsid w:val="7C807125"/>
    <w:rsid w:val="7CAB7890"/>
    <w:rsid w:val="7CDF9A82"/>
    <w:rsid w:val="7CFFA1BD"/>
    <w:rsid w:val="7D0C7F34"/>
    <w:rsid w:val="7D2E3F7A"/>
    <w:rsid w:val="7DC501C1"/>
    <w:rsid w:val="7DED9490"/>
    <w:rsid w:val="7DFF4872"/>
    <w:rsid w:val="7E1F3E64"/>
    <w:rsid w:val="7E6416AA"/>
    <w:rsid w:val="7E7487E6"/>
    <w:rsid w:val="7E7C2A54"/>
    <w:rsid w:val="7EEEFD72"/>
    <w:rsid w:val="7F084409"/>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8"/>
    <customShpInfo spid="_x0000_s1037"/>
    <customShpInfo spid="_x0000_s1032"/>
    <customShpInfo spid="_x0000_s1039"/>
    <customShpInfo spid="_x0000_s104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5552</Words>
  <Characters>6169</Characters>
  <Lines>54</Lines>
  <Paragraphs>15</Paragraphs>
  <TotalTime>12</TotalTime>
  <ScaleCrop>false</ScaleCrop>
  <LinksUpToDate>false</LinksUpToDate>
  <CharactersWithSpaces>6241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飘雪的夏天</cp:lastModifiedBy>
  <cp:lastPrinted>2023-08-03T02:35:00Z</cp:lastPrinted>
  <dcterms:modified xsi:type="dcterms:W3CDTF">2025-08-27T06:47:04Z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4E49B8E98FAC4AADAEDC809E332135F2_12</vt:lpwstr>
  </property>
  <property fmtid="{D5CDD505-2E9C-101B-9397-08002B2CF9AE}" pid="4" name="KSOTemplateDocerSaveRecord">
    <vt:lpwstr>eyJoZGlkIjoiMDgwYjZlODQ2NzI2ZTVkZWExZjA0MTFmYjg1OGU5ZWIiLCJ1c2VySWQiOiI2NzQ0NDcxNDkifQ==</vt:lpwstr>
  </property>
</Properties>
</file>