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77425"/>
      <w:bookmarkStart w:id="1" w:name="_Toc15396597"/>
      <w:bookmarkStart w:id="2" w:name="_Toc15378441"/>
      <w:bookmarkStart w:id="3" w:name="_Toc15396475"/>
      <w:bookmarkStart w:id="4" w:name="_Toc15377193"/>
      <w:bookmarkStart w:id="5"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ind w:firstLine="0" w:firstLineChars="0"/>
        <w:jc w:val="center"/>
        <w:rPr>
          <w:rFonts w:hint="eastAsia" w:ascii="方正小标宋简体" w:hAnsi="方正小标宋简体" w:eastAsia="方正小标宋简体" w:cs="方正小标宋简体"/>
          <w:sz w:val="72"/>
          <w:szCs w:val="72"/>
        </w:rPr>
      </w:pPr>
      <w:bookmarkStart w:id="6" w:name="_Toc20482"/>
      <w:bookmarkStart w:id="7" w:name="_Toc11699"/>
      <w:bookmarkStart w:id="8" w:name="_Toc3002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bookmarkEnd w:id="6"/>
      <w:bookmarkEnd w:id="7"/>
      <w:bookmarkEnd w:id="8"/>
      <w:bookmarkStart w:id="9" w:name="_Toc11755"/>
      <w:bookmarkStart w:id="10" w:name="_Toc18952"/>
      <w:bookmarkStart w:id="11" w:name="_Toc6499"/>
      <w:bookmarkStart w:id="12" w:name="_Toc15378442"/>
      <w:bookmarkStart w:id="13" w:name="_Toc15396476"/>
      <w:bookmarkStart w:id="14" w:name="_Toc15377426"/>
      <w:bookmarkStart w:id="15" w:name="_Toc15396598"/>
      <w:bookmarkStart w:id="16" w:name="_Toc15377194"/>
    </w:p>
    <w:p>
      <w:pPr>
        <w:ind w:firstLine="0" w:firstLineChars="0"/>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w:t>
      </w:r>
      <w:bookmarkEnd w:id="5"/>
      <w:bookmarkStart w:id="17" w:name="_Toc15306268"/>
      <w:r>
        <w:rPr>
          <w:rFonts w:hint="eastAsia" w:ascii="方正小标宋简体" w:hAnsi="方正小标宋简体" w:eastAsia="方正小标宋简体" w:cs="方正小标宋简体"/>
          <w:sz w:val="72"/>
          <w:szCs w:val="72"/>
        </w:rPr>
        <w:t>遂宁市安居区</w:t>
      </w:r>
      <w:bookmarkEnd w:id="9"/>
      <w:bookmarkEnd w:id="10"/>
      <w:bookmarkEnd w:id="11"/>
    </w:p>
    <w:p>
      <w:pPr>
        <w:ind w:firstLine="0" w:firstLineChars="0"/>
        <w:jc w:val="center"/>
        <w:rPr>
          <w:rFonts w:ascii="方正小标宋简体" w:hAnsi="方正小标宋简体" w:eastAsia="方正小标宋简体" w:cs="方正小标宋简体"/>
          <w:sz w:val="72"/>
          <w:szCs w:val="72"/>
        </w:rPr>
      </w:pPr>
      <w:bookmarkStart w:id="18" w:name="_Toc15947"/>
      <w:bookmarkStart w:id="19" w:name="_Toc1000"/>
      <w:bookmarkStart w:id="20" w:name="_Toc20375"/>
      <w:r>
        <w:rPr>
          <w:rFonts w:hint="eastAsia" w:ascii="方正小标宋简体" w:hAnsi="方正小标宋简体" w:eastAsia="方正小标宋简体" w:cs="方正小标宋简体"/>
          <w:sz w:val="72"/>
          <w:szCs w:val="72"/>
          <w:lang w:eastAsia="zh-CN"/>
        </w:rPr>
        <w:t>乡村振兴</w:t>
      </w:r>
      <w:r>
        <w:rPr>
          <w:rFonts w:hint="eastAsia" w:ascii="方正小标宋简体" w:hAnsi="方正小标宋简体" w:eastAsia="方正小标宋简体" w:cs="方正小标宋简体"/>
          <w:sz w:val="72"/>
          <w:szCs w:val="72"/>
        </w:rPr>
        <w:t>局部门决算</w:t>
      </w:r>
      <w:bookmarkEnd w:id="12"/>
      <w:bookmarkEnd w:id="13"/>
      <w:bookmarkEnd w:id="14"/>
      <w:bookmarkEnd w:id="15"/>
      <w:bookmarkEnd w:id="16"/>
      <w:bookmarkEnd w:id="17"/>
      <w:bookmarkEnd w:id="18"/>
      <w:bookmarkEnd w:id="19"/>
      <w:bookmarkEnd w:id="20"/>
    </w:p>
    <w:p>
      <w:pPr>
        <w:widowControl/>
        <w:spacing w:line="440" w:lineRule="exact"/>
        <w:ind w:firstLine="720"/>
        <w:jc w:val="left"/>
        <w:rPr>
          <w:rFonts w:ascii="仿宋" w:hAnsi="仿宋" w:eastAsia="仿宋"/>
          <w:b/>
          <w:sz w:val="24"/>
        </w:rPr>
      </w:pPr>
      <w:r>
        <w:rPr>
          <w:rFonts w:ascii="方正小标宋简体" w:hAnsi="宋体" w:eastAsia="方正小标宋简体"/>
          <w:sz w:val="36"/>
          <w:szCs w:val="36"/>
        </w:rPr>
        <w:br w:type="page"/>
      </w:r>
      <w:bookmarkStart w:id="21" w:name="_Toc15396599"/>
      <w:bookmarkStart w:id="22" w:name="_Toc15377196"/>
    </w:p>
    <w:p>
      <w:pPr>
        <w:ind w:firstLine="0" w:firstLineChars="0"/>
        <w:jc w:val="center"/>
        <w:rPr>
          <w:rFonts w:ascii="黑体" w:hAnsi="黑体" w:eastAsia="黑体" w:cs="黑体"/>
          <w:sz w:val="48"/>
          <w:szCs w:val="48"/>
        </w:rPr>
      </w:pPr>
      <w:r>
        <w:rPr>
          <w:rFonts w:hint="eastAsia" w:ascii="黑体" w:hAnsi="黑体" w:eastAsia="黑体" w:cs="黑体"/>
          <w:sz w:val="48"/>
          <w:szCs w:val="48"/>
        </w:rPr>
        <w:t>目</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录</w:t>
      </w:r>
    </w:p>
    <w:p>
      <w:pPr>
        <w:pStyle w:val="4"/>
        <w:ind w:left="0" w:leftChars="0" w:firstLine="0" w:firstLineChars="0"/>
        <w:jc w:val="center"/>
        <w:rPr>
          <w:rFonts w:hint="default" w:ascii="Times New Roman" w:hAnsi="Times New Roman" w:eastAsia="仿宋_GB2312" w:cs="Times New Roman"/>
          <w:bCs/>
          <w:kern w:val="2"/>
          <w:sz w:val="32"/>
          <w:szCs w:val="32"/>
          <w:lang w:val="en-US" w:eastAsia="zh-CN" w:bidi="ar-SA"/>
        </w:rPr>
      </w:pPr>
      <w:bookmarkStart w:id="23" w:name="_Toc11558"/>
      <w:r>
        <w:rPr>
          <w:rFonts w:hint="default" w:ascii="Times New Roman" w:hAnsi="Times New Roman" w:eastAsia="仿宋_GB2312" w:cs="Times New Roman"/>
          <w:lang w:eastAsia="zh-CN"/>
        </w:rPr>
        <w:t>公开时间：</w:t>
      </w:r>
      <w:r>
        <w:rPr>
          <w:rFonts w:hint="default" w:ascii="Times New Roman" w:hAnsi="Times New Roman" w:eastAsia="仿宋_GB2312" w:cs="Times New Roman"/>
          <w:lang w:val="en-US" w:eastAsia="zh-CN"/>
        </w:rPr>
        <w:t>202</w:t>
      </w:r>
      <w:r>
        <w:rPr>
          <w:rFonts w:hint="eastAsia" w:ascii="Times New Roman" w:hAnsi="Times New Roman" w:eastAsia="仿宋_GB2312" w:cs="Times New Roman"/>
          <w:lang w:val="en-US" w:eastAsia="zh-CN"/>
        </w:rPr>
        <w:t>5</w:t>
      </w:r>
      <w:r>
        <w:rPr>
          <w:rFonts w:hint="default" w:ascii="Times New Roman" w:hAnsi="Times New Roman" w:eastAsia="仿宋_GB2312" w:cs="Times New Roman"/>
          <w:lang w:val="en-US" w:eastAsia="zh-CN"/>
        </w:rPr>
        <w:t>年8月</w:t>
      </w:r>
      <w:r>
        <w:rPr>
          <w:rFonts w:hint="eastAsia" w:ascii="Times New Roman" w:hAnsi="Times New Roman" w:eastAsia="仿宋_GB2312" w:cs="Times New Roman"/>
          <w:lang w:val="en-US" w:eastAsia="zh-CN"/>
        </w:rPr>
        <w:t>29</w:t>
      </w:r>
      <w:r>
        <w:rPr>
          <w:rFonts w:hint="default" w:ascii="Times New Roman" w:hAnsi="Times New Roman" w:eastAsia="仿宋_GB2312" w:cs="Times New Roman"/>
          <w:lang w:val="en-US" w:eastAsia="zh-CN"/>
        </w:rPr>
        <w:t>日</w:t>
      </w:r>
      <w:bookmarkEnd w:id="23"/>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TOC \o "1-2" \h \u </w:instrText>
      </w:r>
      <w:r>
        <w:rPr>
          <w:rFonts w:hint="default" w:ascii="Times New Roman" w:hAnsi="Times New Roman" w:eastAsia="仿宋_GB2312" w:cs="Times New Roman"/>
        </w:rPr>
        <w:fldChar w:fldCharType="separate"/>
      </w:r>
    </w:p>
    <w:p>
      <w:pPr>
        <w:pStyle w:val="17"/>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_Toc16789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第一部分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bCs w:val="0"/>
          <w:sz w:val="28"/>
          <w:szCs w:val="28"/>
        </w:rPr>
        <w:t>部门概况</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_Toc16789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_Toc17880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eastAsia="zh-CN"/>
        </w:rPr>
        <w:t>部门职责</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_Toc17880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_Toc17421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二、机构设置</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_Toc17421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7"/>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_Toc31071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第二部分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年度部门决算情况说明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_Toc31071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_Toc5830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一、收入支出决算总体情况说明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_Toc5830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_Toc24303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二、收入决算情况说明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_Toc24303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_Toc23561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三、支出决算情况说明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_Toc23561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_Toc32746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四、财政拨款收入支出决算总体情况说明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_Toc32746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_Toc12015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五、一般公共预算财政拨款支出决算情况说明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_Toc12015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_Toc15720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六、一般公共预算财政拨款基本支出决算情况说明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_Toc15720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10</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_Toc25161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七、“三公”经费财政拨款支出决算情况说明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_Toc25161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_Toc588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八、政府性基金预算支出决算情况说明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_Toc588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_Toc3843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九、国有资本经营预算支出决算情况说明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_Toc3843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_Toc31814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十、其他重要事项的情况说明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_Toc31814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12</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7"/>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_Toc13427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第三部分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名词解释</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_Toc13427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14</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7"/>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_Toc7548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第四部分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附件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_Toc7548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7"/>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_Toc21119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第五部分</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附表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_Toc21119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_Toc29638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highlight w:val="none"/>
        </w:rPr>
        <w:t>一、收</w:t>
      </w:r>
      <w:r>
        <w:rPr>
          <w:rFonts w:hint="default" w:ascii="Times New Roman" w:hAnsi="Times New Roman" w:eastAsia="仿宋_GB2312" w:cs="Times New Roman"/>
          <w:bCs w:val="0"/>
          <w:sz w:val="28"/>
          <w:szCs w:val="28"/>
          <w:highlight w:val="none"/>
        </w:rPr>
        <w:t>入支出决算总表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_Toc29638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_Toc25212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highlight w:val="none"/>
        </w:rPr>
        <w:t>二、收</w:t>
      </w:r>
      <w:r>
        <w:rPr>
          <w:rFonts w:hint="default" w:ascii="Times New Roman" w:hAnsi="Times New Roman" w:eastAsia="仿宋_GB2312" w:cs="Times New Roman"/>
          <w:bCs w:val="0"/>
          <w:sz w:val="28"/>
          <w:szCs w:val="28"/>
          <w:highlight w:val="none"/>
        </w:rPr>
        <w:t>入决算表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_Toc25212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_Toc18093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三、</w:t>
      </w:r>
      <w:r>
        <w:rPr>
          <w:rFonts w:hint="default" w:ascii="Times New Roman" w:hAnsi="Times New Roman" w:eastAsia="仿宋_GB2312" w:cs="Times New Roman"/>
          <w:sz w:val="28"/>
          <w:szCs w:val="28"/>
          <w:highlight w:val="none"/>
        </w:rPr>
        <w:t>支</w:t>
      </w:r>
      <w:r>
        <w:rPr>
          <w:rFonts w:hint="default" w:ascii="Times New Roman" w:hAnsi="Times New Roman" w:eastAsia="仿宋_GB2312" w:cs="Times New Roman"/>
          <w:bCs w:val="0"/>
          <w:sz w:val="28"/>
          <w:szCs w:val="28"/>
          <w:highlight w:val="none"/>
        </w:rPr>
        <w:t>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_Toc18093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_Toc20814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四、</w:t>
      </w:r>
      <w:r>
        <w:rPr>
          <w:rFonts w:hint="default" w:ascii="Times New Roman" w:hAnsi="Times New Roman" w:eastAsia="仿宋_GB2312" w:cs="Times New Roman"/>
          <w:sz w:val="28"/>
          <w:szCs w:val="28"/>
          <w:highlight w:val="none"/>
        </w:rPr>
        <w:t>财</w:t>
      </w:r>
      <w:r>
        <w:rPr>
          <w:rFonts w:hint="default" w:ascii="Times New Roman" w:hAnsi="Times New Roman" w:eastAsia="仿宋_GB2312" w:cs="Times New Roman"/>
          <w:bCs w:val="0"/>
          <w:sz w:val="28"/>
          <w:szCs w:val="28"/>
          <w:highlight w:val="none"/>
        </w:rPr>
        <w:t>政拨款收入支出决算总表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_Toc20814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_Toc29505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五、</w:t>
      </w:r>
      <w:r>
        <w:rPr>
          <w:rFonts w:hint="default" w:ascii="Times New Roman" w:hAnsi="Times New Roman" w:eastAsia="仿宋_GB2312" w:cs="Times New Roman"/>
          <w:sz w:val="28"/>
          <w:szCs w:val="28"/>
          <w:highlight w:val="none"/>
        </w:rPr>
        <w:t>财</w:t>
      </w:r>
      <w:r>
        <w:rPr>
          <w:rFonts w:hint="default" w:ascii="Times New Roman" w:hAnsi="Times New Roman" w:eastAsia="仿宋_GB2312" w:cs="Times New Roman"/>
          <w:bCs w:val="0"/>
          <w:sz w:val="28"/>
          <w:szCs w:val="28"/>
          <w:highlight w:val="none"/>
        </w:rPr>
        <w:t>政拨款支出决算明细表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_Toc29505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_Toc20884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六、</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_Toc20884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_Toc3333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七、</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般公共预算财政拨款支出决算明细表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_Toc3333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_Toc11934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八、</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般公共预算财政拨款基本支出决算表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_Toc11934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_Toc2176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九、</w:t>
      </w:r>
      <w:r>
        <w:rPr>
          <w:rFonts w:hint="default" w:ascii="Times New Roman" w:hAnsi="Times New Roman" w:eastAsia="仿宋_GB2312" w:cs="Times New Roman"/>
          <w:sz w:val="28"/>
          <w:szCs w:val="28"/>
          <w:highlight w:val="none"/>
        </w:rPr>
        <w:t>一</w:t>
      </w:r>
      <w:r>
        <w:rPr>
          <w:rFonts w:hint="default" w:ascii="Times New Roman" w:hAnsi="Times New Roman" w:eastAsia="仿宋_GB2312" w:cs="Times New Roman"/>
          <w:bCs w:val="0"/>
          <w:sz w:val="28"/>
          <w:szCs w:val="28"/>
          <w:highlight w:val="none"/>
        </w:rPr>
        <w:t>般公共预算财政拨款项目支出决算表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_Toc2176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_Toc20359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w:t>
      </w:r>
      <w:r>
        <w:rPr>
          <w:rFonts w:hint="default" w:ascii="Times New Roman" w:hAnsi="Times New Roman" w:eastAsia="仿宋_GB2312" w:cs="Times New Roman"/>
          <w:sz w:val="28"/>
          <w:szCs w:val="28"/>
          <w:highlight w:val="none"/>
        </w:rPr>
        <w:t>政</w:t>
      </w:r>
      <w:r>
        <w:rPr>
          <w:rFonts w:hint="default" w:ascii="Times New Roman" w:hAnsi="Times New Roman" w:eastAsia="仿宋_GB2312" w:cs="Times New Roman"/>
          <w:bCs w:val="0"/>
          <w:sz w:val="28"/>
          <w:szCs w:val="28"/>
          <w:highlight w:val="none"/>
        </w:rPr>
        <w:t>府性基金预算财政拨款收入支出决算表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_Toc20359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_Toc2658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十一、</w:t>
      </w:r>
      <w:r>
        <w:rPr>
          <w:rFonts w:hint="default" w:ascii="Times New Roman" w:hAnsi="Times New Roman" w:eastAsia="仿宋_GB2312" w:cs="Times New Roman"/>
          <w:sz w:val="28"/>
          <w:szCs w:val="28"/>
          <w:highlight w:val="none"/>
        </w:rPr>
        <w:t>国</w:t>
      </w:r>
      <w:r>
        <w:rPr>
          <w:rFonts w:hint="default" w:ascii="Times New Roman" w:hAnsi="Times New Roman" w:eastAsia="仿宋_GB2312" w:cs="Times New Roman"/>
          <w:bCs w:val="0"/>
          <w:sz w:val="28"/>
          <w:szCs w:val="28"/>
          <w:highlight w:val="none"/>
        </w:rPr>
        <w:t>有资本经营预算</w:t>
      </w:r>
      <w:r>
        <w:rPr>
          <w:rFonts w:hint="default" w:ascii="Times New Roman" w:hAnsi="Times New Roman" w:eastAsia="仿宋_GB2312" w:cs="Times New Roman"/>
          <w:bCs w:val="0"/>
          <w:sz w:val="28"/>
          <w:szCs w:val="28"/>
          <w:highlight w:val="none"/>
          <w:lang w:eastAsia="zh-CN"/>
        </w:rPr>
        <w:t>财政拨款收入</w:t>
      </w:r>
      <w:r>
        <w:rPr>
          <w:rFonts w:hint="default" w:ascii="Times New Roman" w:hAnsi="Times New Roman" w:eastAsia="仿宋_GB2312" w:cs="Times New Roman"/>
          <w:bCs w:val="0"/>
          <w:sz w:val="28"/>
          <w:szCs w:val="28"/>
          <w:highlight w:val="none"/>
        </w:rPr>
        <w:t>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_Toc2658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_Toc16432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十二、</w:t>
      </w:r>
      <w:r>
        <w:rPr>
          <w:rFonts w:hint="default" w:ascii="Times New Roman" w:hAnsi="Times New Roman" w:eastAsia="仿宋_GB2312" w:cs="Times New Roman"/>
          <w:bCs w:val="0"/>
          <w:sz w:val="28"/>
          <w:szCs w:val="28"/>
          <w:highlight w:val="none"/>
          <w:lang w:eastAsia="zh-CN"/>
        </w:rPr>
        <w:t>国有资本经营预算财政拨款支出决算表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_Toc16432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9"/>
        <w:tabs>
          <w:tab w:val="right" w:leader="dot" w:pos="8306"/>
          <w:tab w:val="clear" w:pos="8296"/>
        </w:tabs>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HYPERLINK \l _Toc26900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bCs w:val="0"/>
          <w:sz w:val="28"/>
          <w:szCs w:val="28"/>
          <w:highlight w:val="none"/>
        </w:rPr>
        <w:t>十三、</w:t>
      </w:r>
      <w:r>
        <w:rPr>
          <w:rFonts w:hint="default" w:ascii="Times New Roman" w:hAnsi="Times New Roman" w:eastAsia="仿宋_GB2312" w:cs="Times New Roman"/>
          <w:bCs w:val="0"/>
          <w:sz w:val="28"/>
          <w:szCs w:val="28"/>
          <w:highlight w:val="none"/>
          <w:lang w:eastAsia="zh-CN"/>
        </w:rPr>
        <w:t>财政拨款“三公”经费支出决算表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PAGEREF _Toc26900 \h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16</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fldChar w:fldCharType="end"/>
      </w:r>
    </w:p>
    <w:p>
      <w:pPr>
        <w:pStyle w:val="17"/>
        <w:tabs>
          <w:tab w:val="right" w:leader="dot" w:pos="8306"/>
          <w:tab w:val="clear" w:pos="8296"/>
        </w:tabs>
        <w:ind w:left="0" w:leftChars="0" w:firstLine="560" w:firstLineChars="0"/>
        <w:rPr>
          <w:rFonts w:hint="eastAsia" w:eastAsia="黑体" w:asciiTheme="majorHAnsi" w:hAnsiTheme="majorHAnsi" w:cstheme="majorBidi"/>
          <w:b/>
          <w:bCs/>
          <w:sz w:val="32"/>
          <w:szCs w:val="32"/>
        </w:rPr>
      </w:pPr>
      <w:r>
        <w:rPr>
          <w:rFonts w:hint="default" w:ascii="Times New Roman" w:hAnsi="Times New Roman" w:eastAsia="仿宋_GB2312" w:cs="Times New Roman"/>
        </w:rPr>
        <w:fldChar w:fldCharType="end"/>
      </w:r>
    </w:p>
    <w:p>
      <w:pPr>
        <w:pStyle w:val="4"/>
        <w:ind w:left="0" w:leftChars="0" w:firstLine="0" w:firstLineChars="0"/>
      </w:pPr>
    </w:p>
    <w:p>
      <w:pPr>
        <w:ind w:firstLine="640"/>
        <w:rPr>
          <w:rFonts w:ascii="黑体" w:hAnsi="黑体" w:eastAsia="黑体"/>
        </w:rPr>
      </w:pPr>
      <w:r>
        <w:rPr>
          <w:rFonts w:hint="eastAsia" w:ascii="黑体" w:hAnsi="黑体" w:eastAsia="黑体"/>
        </w:rPr>
        <w:br w:type="page"/>
      </w:r>
    </w:p>
    <w:p>
      <w:pPr>
        <w:pStyle w:val="3"/>
        <w:ind w:firstLine="880"/>
        <w:jc w:val="center"/>
        <w:rPr>
          <w:rFonts w:ascii="黑体" w:hAnsi="黑体" w:eastAsia="黑体"/>
          <w:bCs w:val="0"/>
        </w:rPr>
      </w:pPr>
      <w:bookmarkStart w:id="24" w:name="_Toc16789"/>
      <w:r>
        <w:rPr>
          <w:rFonts w:hint="eastAsia" w:ascii="黑体" w:hAnsi="黑体" w:eastAsia="黑体"/>
          <w:b w:val="0"/>
        </w:rPr>
        <w:t>第一部分</w:t>
      </w:r>
      <w:r>
        <w:rPr>
          <w:rFonts w:hint="eastAsia" w:ascii="黑体" w:hAnsi="黑体" w:eastAsia="黑体"/>
          <w:b w:val="0"/>
          <w:lang w:val="en-US" w:eastAsia="zh-CN"/>
        </w:rPr>
        <w:t xml:space="preserve"> </w:t>
      </w:r>
      <w:r>
        <w:rPr>
          <w:rStyle w:val="32"/>
          <w:rFonts w:hint="eastAsia" w:ascii="黑体" w:hAnsi="黑体" w:eastAsia="黑体"/>
          <w:b w:val="0"/>
          <w:bCs w:val="0"/>
        </w:rPr>
        <w:t>部门概况</w:t>
      </w:r>
      <w:bookmarkEnd w:id="21"/>
      <w:bookmarkEnd w:id="22"/>
      <w:bookmarkEnd w:id="24"/>
    </w:p>
    <w:p>
      <w:pPr>
        <w:pStyle w:val="4"/>
        <w:spacing w:line="560" w:lineRule="exact"/>
        <w:ind w:firstLine="640"/>
        <w:rPr>
          <w:rFonts w:hint="eastAsia" w:eastAsia="黑体"/>
          <w:lang w:eastAsia="zh-CN"/>
        </w:rPr>
      </w:pPr>
      <w:bookmarkStart w:id="25" w:name="_Toc15396600"/>
      <w:bookmarkStart w:id="26" w:name="_Toc15377197"/>
      <w:bookmarkStart w:id="27" w:name="_Toc17880"/>
      <w:r>
        <w:rPr>
          <w:rFonts w:hint="eastAsia"/>
        </w:rPr>
        <w:t>一、</w:t>
      </w:r>
      <w:bookmarkEnd w:id="25"/>
      <w:bookmarkEnd w:id="26"/>
      <w:r>
        <w:rPr>
          <w:rFonts w:hint="eastAsia"/>
          <w:lang w:eastAsia="zh-CN"/>
        </w:rPr>
        <w:t>部门职责</w:t>
      </w:r>
      <w:bookmarkEnd w:id="27"/>
    </w:p>
    <w:p>
      <w:pPr>
        <w:spacing w:line="560" w:lineRule="exact"/>
        <w:ind w:firstLine="640"/>
        <w:rPr>
          <w:bCs/>
          <w:szCs w:val="32"/>
        </w:rPr>
      </w:pPr>
      <w:bookmarkStart w:id="28" w:name="_Toc15377199"/>
      <w:bookmarkStart w:id="29" w:name="_Toc15378446"/>
      <w:r>
        <w:rPr>
          <w:bCs/>
          <w:szCs w:val="32"/>
        </w:rPr>
        <w:t>区</w:t>
      </w:r>
      <w:r>
        <w:rPr>
          <w:rFonts w:hint="eastAsia"/>
          <w:bCs/>
          <w:szCs w:val="32"/>
          <w:lang w:eastAsia="zh-CN"/>
        </w:rPr>
        <w:t>乡村振兴</w:t>
      </w:r>
      <w:r>
        <w:rPr>
          <w:bCs/>
          <w:szCs w:val="32"/>
        </w:rPr>
        <w:t>局基本职能主要为：</w:t>
      </w:r>
    </w:p>
    <w:bookmarkEnd w:id="28"/>
    <w:bookmarkEnd w:id="29"/>
    <w:p>
      <w:pPr>
        <w:spacing w:line="560" w:lineRule="exact"/>
        <w:ind w:firstLine="640"/>
        <w:rPr>
          <w:rFonts w:hint="eastAsia"/>
          <w:bCs/>
          <w:szCs w:val="32"/>
          <w:lang w:eastAsia="zh-CN"/>
        </w:rPr>
      </w:pPr>
      <w:bookmarkStart w:id="30" w:name="_Toc15377200"/>
      <w:bookmarkStart w:id="31" w:name="_Toc17421"/>
      <w:bookmarkStart w:id="32" w:name="_Toc15396601"/>
      <w:r>
        <w:rPr>
          <w:rFonts w:hint="eastAsia"/>
          <w:bCs/>
          <w:szCs w:val="32"/>
          <w:lang w:eastAsia="zh-CN"/>
        </w:rPr>
        <w:t>（</w:t>
      </w:r>
      <w:r>
        <w:rPr>
          <w:rFonts w:hint="eastAsia"/>
          <w:bCs/>
          <w:szCs w:val="32"/>
          <w:lang w:val="en-US" w:eastAsia="zh-CN"/>
        </w:rPr>
        <w:t>一</w:t>
      </w:r>
      <w:r>
        <w:rPr>
          <w:rFonts w:hint="eastAsia"/>
          <w:bCs/>
          <w:szCs w:val="32"/>
          <w:lang w:eastAsia="zh-CN"/>
        </w:rPr>
        <w:t>）切实巩固脱贫攻坚成果</w:t>
      </w:r>
    </w:p>
    <w:p>
      <w:pPr>
        <w:spacing w:line="560" w:lineRule="exact"/>
        <w:ind w:firstLine="640"/>
        <w:rPr>
          <w:rFonts w:hint="eastAsia"/>
          <w:bCs/>
          <w:szCs w:val="32"/>
        </w:rPr>
      </w:pPr>
      <w:r>
        <w:rPr>
          <w:rFonts w:hint="eastAsia"/>
          <w:bCs/>
          <w:szCs w:val="32"/>
          <w:lang w:val="en-US" w:eastAsia="zh-CN"/>
        </w:rPr>
        <w:t>1.</w:t>
      </w:r>
      <w:r>
        <w:rPr>
          <w:rFonts w:hint="eastAsia"/>
          <w:bCs/>
          <w:szCs w:val="32"/>
        </w:rPr>
        <w:t>负责统筹巩固拓展脱贫攻坚成果面上工作推动落实；</w:t>
      </w:r>
    </w:p>
    <w:p>
      <w:pPr>
        <w:spacing w:line="560" w:lineRule="exact"/>
        <w:ind w:firstLine="640"/>
        <w:rPr>
          <w:rFonts w:hint="eastAsia"/>
          <w:bCs/>
          <w:szCs w:val="32"/>
        </w:rPr>
      </w:pPr>
      <w:r>
        <w:rPr>
          <w:rFonts w:hint="eastAsia"/>
          <w:bCs/>
          <w:szCs w:val="32"/>
          <w:lang w:val="en-US" w:eastAsia="zh-CN"/>
        </w:rPr>
        <w:t>2.</w:t>
      </w:r>
      <w:r>
        <w:rPr>
          <w:rFonts w:hint="eastAsia"/>
          <w:bCs/>
          <w:szCs w:val="32"/>
        </w:rPr>
        <w:t>负责完善防止返贫监测帮扶机制，负责防返贫监测大数据平台和信息系统的维护和共享机制建立；</w:t>
      </w:r>
    </w:p>
    <w:p>
      <w:pPr>
        <w:spacing w:line="560" w:lineRule="exact"/>
        <w:ind w:firstLine="640"/>
        <w:rPr>
          <w:rFonts w:hint="eastAsia"/>
          <w:bCs/>
          <w:szCs w:val="32"/>
        </w:rPr>
      </w:pPr>
      <w:r>
        <w:rPr>
          <w:rFonts w:hint="eastAsia"/>
          <w:bCs/>
          <w:szCs w:val="32"/>
          <w:lang w:val="en-US" w:eastAsia="zh-CN"/>
        </w:rPr>
        <w:t>3.</w:t>
      </w:r>
      <w:r>
        <w:rPr>
          <w:rFonts w:hint="eastAsia"/>
          <w:bCs/>
          <w:szCs w:val="32"/>
        </w:rPr>
        <w:t>负责指导、推进乡村振兴重点帮扶村工作；</w:t>
      </w:r>
    </w:p>
    <w:p>
      <w:pPr>
        <w:spacing w:line="560" w:lineRule="exact"/>
        <w:ind w:firstLine="640"/>
        <w:rPr>
          <w:rFonts w:hint="eastAsia"/>
          <w:bCs/>
          <w:szCs w:val="32"/>
        </w:rPr>
      </w:pPr>
      <w:r>
        <w:rPr>
          <w:rFonts w:hint="eastAsia"/>
          <w:bCs/>
          <w:szCs w:val="32"/>
          <w:lang w:val="en-US" w:eastAsia="zh-CN"/>
        </w:rPr>
        <w:t>4.</w:t>
      </w:r>
      <w:r>
        <w:rPr>
          <w:rFonts w:hint="eastAsia"/>
          <w:bCs/>
          <w:szCs w:val="32"/>
        </w:rPr>
        <w:t>负责指导全区衔接推进乡村振兴补助资金分配、项目管理、监督检</w:t>
      </w:r>
      <w:r>
        <w:rPr>
          <w:rFonts w:hint="eastAsia"/>
          <w:bCs/>
          <w:szCs w:val="32"/>
          <w:lang w:eastAsia="zh-CN"/>
        </w:rPr>
        <w:t>查，</w:t>
      </w:r>
      <w:r>
        <w:rPr>
          <w:rFonts w:hint="eastAsia"/>
          <w:bCs/>
          <w:szCs w:val="32"/>
        </w:rPr>
        <w:t>配合抓好帮扶产业、脱贫人口稳岗就业、基本医疗保障、住房安全、教育保障、饮水安全等“两不愁三保障”相关工作，联系产业振兴、科技巩固脱贫成果、专项监督有效衔接、兜底保障巩固脱贫成果等相关工作；</w:t>
      </w:r>
    </w:p>
    <w:p>
      <w:pPr>
        <w:spacing w:line="560" w:lineRule="exact"/>
        <w:ind w:firstLine="640"/>
        <w:rPr>
          <w:rFonts w:hint="eastAsia"/>
          <w:bCs/>
          <w:szCs w:val="32"/>
        </w:rPr>
      </w:pPr>
      <w:r>
        <w:rPr>
          <w:rFonts w:hint="eastAsia"/>
          <w:bCs/>
          <w:szCs w:val="32"/>
          <w:lang w:val="en-US" w:eastAsia="zh-CN"/>
        </w:rPr>
        <w:t>5.</w:t>
      </w:r>
      <w:r>
        <w:rPr>
          <w:rFonts w:hint="eastAsia"/>
          <w:bCs/>
          <w:szCs w:val="32"/>
        </w:rPr>
        <w:t>协助抓好易地扶贫搬迁安置后续扶持相关工作；</w:t>
      </w:r>
    </w:p>
    <w:p>
      <w:pPr>
        <w:spacing w:line="560" w:lineRule="exact"/>
        <w:ind w:firstLine="640"/>
        <w:rPr>
          <w:rFonts w:hint="eastAsia"/>
          <w:bCs/>
          <w:szCs w:val="32"/>
        </w:rPr>
      </w:pPr>
      <w:r>
        <w:rPr>
          <w:rFonts w:hint="eastAsia"/>
          <w:bCs/>
          <w:szCs w:val="32"/>
          <w:lang w:val="en-US" w:eastAsia="zh-CN"/>
        </w:rPr>
        <w:t>6.</w:t>
      </w:r>
      <w:r>
        <w:rPr>
          <w:rFonts w:hint="eastAsia"/>
          <w:bCs/>
          <w:szCs w:val="32"/>
        </w:rPr>
        <w:t>统筹抓好驻村帮扶、对口帮扶、社会力量帮扶工作，推动实施“万企兴万村”行动，负责动员民营企业、社会组织和社会各界人士参与帮扶工作；</w:t>
      </w:r>
    </w:p>
    <w:p>
      <w:pPr>
        <w:spacing w:line="560" w:lineRule="exact"/>
        <w:ind w:firstLine="640"/>
        <w:rPr>
          <w:rFonts w:hint="eastAsia"/>
          <w:bCs/>
          <w:szCs w:val="32"/>
        </w:rPr>
      </w:pPr>
      <w:r>
        <w:rPr>
          <w:rFonts w:hint="eastAsia"/>
          <w:bCs/>
          <w:szCs w:val="32"/>
          <w:lang w:val="en-US" w:eastAsia="zh-CN"/>
        </w:rPr>
        <w:t>7.</w:t>
      </w:r>
      <w:r>
        <w:rPr>
          <w:rFonts w:hint="eastAsia"/>
          <w:bCs/>
          <w:szCs w:val="32"/>
        </w:rPr>
        <w:t>负责消费帮扶、脱贫人口小额信贷等具体工作</w:t>
      </w:r>
      <w:r>
        <w:rPr>
          <w:rFonts w:hint="eastAsia"/>
          <w:bCs/>
          <w:szCs w:val="32"/>
          <w:lang w:eastAsia="zh-CN"/>
        </w:rPr>
        <w:t>，</w:t>
      </w:r>
      <w:r>
        <w:rPr>
          <w:rFonts w:hint="eastAsia"/>
          <w:bCs/>
          <w:szCs w:val="32"/>
        </w:rPr>
        <w:t>指导扶贫基金会工作。</w:t>
      </w:r>
    </w:p>
    <w:p>
      <w:pPr>
        <w:spacing w:line="560" w:lineRule="exact"/>
        <w:ind w:firstLine="640"/>
        <w:rPr>
          <w:rFonts w:hint="eastAsia"/>
          <w:bCs/>
          <w:szCs w:val="32"/>
          <w:lang w:eastAsia="zh-CN"/>
        </w:rPr>
      </w:pPr>
      <w:r>
        <w:rPr>
          <w:rFonts w:hint="eastAsia"/>
          <w:bCs/>
          <w:szCs w:val="32"/>
        </w:rPr>
        <w:t>（</w:t>
      </w:r>
      <w:r>
        <w:rPr>
          <w:rFonts w:hint="eastAsia"/>
          <w:bCs/>
          <w:szCs w:val="32"/>
          <w:lang w:eastAsia="zh-CN"/>
        </w:rPr>
        <w:t>二</w:t>
      </w:r>
      <w:r>
        <w:rPr>
          <w:rFonts w:hint="eastAsia"/>
          <w:bCs/>
          <w:szCs w:val="32"/>
        </w:rPr>
        <w:t>）</w:t>
      </w:r>
      <w:r>
        <w:rPr>
          <w:rFonts w:hint="eastAsia"/>
          <w:bCs/>
          <w:szCs w:val="32"/>
          <w:lang w:eastAsia="zh-CN"/>
        </w:rPr>
        <w:t>全面推动美丽乡村建设</w:t>
      </w:r>
    </w:p>
    <w:p>
      <w:pPr>
        <w:spacing w:line="560" w:lineRule="exact"/>
        <w:ind w:firstLine="640"/>
        <w:rPr>
          <w:rFonts w:hint="eastAsia"/>
          <w:bCs/>
          <w:szCs w:val="32"/>
          <w:lang w:eastAsia="zh-CN"/>
        </w:rPr>
      </w:pPr>
      <w:r>
        <w:rPr>
          <w:rFonts w:hint="eastAsia"/>
          <w:bCs/>
          <w:szCs w:val="32"/>
          <w:lang w:val="en-US" w:eastAsia="zh-CN"/>
        </w:rPr>
        <w:t>8.</w:t>
      </w:r>
      <w:r>
        <w:rPr>
          <w:rFonts w:hint="eastAsia"/>
          <w:bCs/>
          <w:szCs w:val="32"/>
        </w:rPr>
        <w:t>协调推进乡村基础设施建设</w:t>
      </w:r>
      <w:r>
        <w:rPr>
          <w:rFonts w:hint="eastAsia"/>
          <w:bCs/>
          <w:szCs w:val="32"/>
          <w:lang w:eastAsia="zh-CN"/>
        </w:rPr>
        <w:t>，</w:t>
      </w:r>
      <w:r>
        <w:rPr>
          <w:rFonts w:hint="eastAsia"/>
          <w:bCs/>
          <w:szCs w:val="32"/>
        </w:rPr>
        <w:t>统筹推进乡村建设行动</w:t>
      </w:r>
      <w:r>
        <w:rPr>
          <w:rFonts w:hint="eastAsia"/>
          <w:bCs/>
          <w:szCs w:val="32"/>
          <w:lang w:eastAsia="zh-CN"/>
        </w:rPr>
        <w:t>；</w:t>
      </w:r>
    </w:p>
    <w:p>
      <w:pPr>
        <w:spacing w:line="560" w:lineRule="exact"/>
        <w:ind w:firstLine="640"/>
        <w:rPr>
          <w:rFonts w:hint="eastAsia"/>
          <w:bCs/>
          <w:szCs w:val="32"/>
        </w:rPr>
      </w:pPr>
      <w:r>
        <w:rPr>
          <w:rFonts w:hint="eastAsia"/>
          <w:bCs/>
          <w:szCs w:val="32"/>
          <w:lang w:val="en-US" w:eastAsia="zh-CN"/>
        </w:rPr>
        <w:t>9.</w:t>
      </w:r>
      <w:r>
        <w:rPr>
          <w:rFonts w:hint="eastAsia"/>
          <w:bCs/>
          <w:szCs w:val="32"/>
        </w:rPr>
        <w:t>牵头负责美丽乡村全面振兴对标竞进工作</w:t>
      </w:r>
      <w:r>
        <w:rPr>
          <w:rFonts w:hint="eastAsia"/>
          <w:bCs/>
          <w:szCs w:val="32"/>
          <w:lang w:eastAsia="zh-CN"/>
        </w:rPr>
        <w:t>，</w:t>
      </w:r>
      <w:r>
        <w:rPr>
          <w:rFonts w:hint="eastAsia"/>
          <w:bCs/>
          <w:szCs w:val="32"/>
        </w:rPr>
        <w:t>专项债券、重大投资等相关工作；</w:t>
      </w:r>
    </w:p>
    <w:p>
      <w:pPr>
        <w:spacing w:line="560" w:lineRule="exact"/>
        <w:ind w:firstLine="640"/>
        <w:rPr>
          <w:rFonts w:hint="eastAsia"/>
          <w:bCs/>
          <w:szCs w:val="32"/>
        </w:rPr>
      </w:pPr>
      <w:r>
        <w:rPr>
          <w:rFonts w:hint="eastAsia"/>
          <w:bCs/>
          <w:szCs w:val="32"/>
          <w:lang w:val="en-US" w:eastAsia="zh-CN"/>
        </w:rPr>
        <w:t>10.</w:t>
      </w:r>
      <w:r>
        <w:rPr>
          <w:rFonts w:hint="eastAsia"/>
          <w:bCs/>
          <w:szCs w:val="32"/>
        </w:rPr>
        <w:t>具体负责抓好“美丽遂宁·宜居乡村”精品村建</w:t>
      </w:r>
      <w:r>
        <w:rPr>
          <w:rFonts w:hint="eastAsia"/>
          <w:bCs/>
          <w:szCs w:val="32"/>
          <w:lang w:eastAsia="zh-CN"/>
        </w:rPr>
        <w:t>设</w:t>
      </w:r>
      <w:r>
        <w:rPr>
          <w:rFonts w:hint="eastAsia"/>
          <w:bCs/>
          <w:szCs w:val="32"/>
        </w:rPr>
        <w:t>；</w:t>
      </w:r>
    </w:p>
    <w:p>
      <w:pPr>
        <w:spacing w:line="560" w:lineRule="exact"/>
        <w:ind w:firstLine="640"/>
        <w:rPr>
          <w:rFonts w:hint="eastAsia"/>
          <w:bCs/>
          <w:szCs w:val="32"/>
        </w:rPr>
      </w:pPr>
      <w:r>
        <w:rPr>
          <w:rFonts w:hint="eastAsia"/>
          <w:bCs/>
          <w:szCs w:val="32"/>
          <w:lang w:val="en-US" w:eastAsia="zh-CN"/>
        </w:rPr>
        <w:t>11.</w:t>
      </w:r>
      <w:r>
        <w:rPr>
          <w:rFonts w:hint="eastAsia"/>
          <w:bCs/>
          <w:szCs w:val="32"/>
        </w:rPr>
        <w:t>具体负责扶贫项目资产认定、监督和管理工作。</w:t>
      </w:r>
    </w:p>
    <w:p>
      <w:pPr>
        <w:spacing w:line="560" w:lineRule="exact"/>
        <w:ind w:firstLine="640"/>
        <w:rPr>
          <w:rFonts w:hint="eastAsia"/>
          <w:bCs/>
          <w:szCs w:val="32"/>
        </w:rPr>
      </w:pPr>
      <w:r>
        <w:rPr>
          <w:rFonts w:hint="eastAsia"/>
          <w:bCs/>
          <w:szCs w:val="32"/>
        </w:rPr>
        <w:t>（</w:t>
      </w:r>
      <w:r>
        <w:rPr>
          <w:rFonts w:hint="eastAsia"/>
          <w:bCs/>
          <w:szCs w:val="32"/>
          <w:lang w:eastAsia="zh-CN"/>
        </w:rPr>
        <w:t>三）务实推进乡村治理工作</w:t>
      </w:r>
    </w:p>
    <w:p>
      <w:pPr>
        <w:spacing w:line="560" w:lineRule="exact"/>
        <w:ind w:firstLine="640"/>
        <w:rPr>
          <w:rFonts w:hint="eastAsia"/>
          <w:bCs/>
          <w:szCs w:val="32"/>
        </w:rPr>
      </w:pPr>
      <w:r>
        <w:rPr>
          <w:rFonts w:hint="eastAsia"/>
          <w:bCs/>
          <w:szCs w:val="32"/>
          <w:lang w:val="en-US" w:eastAsia="zh-CN"/>
        </w:rPr>
        <w:t>12.</w:t>
      </w:r>
      <w:r>
        <w:rPr>
          <w:rFonts w:hint="eastAsia"/>
          <w:bCs/>
          <w:szCs w:val="32"/>
        </w:rPr>
        <w:t>牵头推进农村人居环境整治提升，统筹指导村庄整治、村容村貌提升改造，联系两项改革“后半篇”文章、“生态环境全面改善”对标竞进等相关工作；</w:t>
      </w:r>
    </w:p>
    <w:p>
      <w:pPr>
        <w:spacing w:line="560" w:lineRule="exact"/>
        <w:ind w:firstLine="640"/>
        <w:rPr>
          <w:rFonts w:hint="eastAsia"/>
          <w:bCs/>
          <w:szCs w:val="32"/>
        </w:rPr>
      </w:pPr>
      <w:r>
        <w:rPr>
          <w:rFonts w:hint="eastAsia"/>
          <w:bCs/>
          <w:szCs w:val="32"/>
          <w:lang w:val="en-US" w:eastAsia="zh-CN"/>
        </w:rPr>
        <w:t>13.</w:t>
      </w:r>
      <w:r>
        <w:rPr>
          <w:rFonts w:hint="eastAsia"/>
          <w:bCs/>
          <w:szCs w:val="32"/>
        </w:rPr>
        <w:t>统筹乡村治理工作，健全乡村治理体系建设，联系组织振兴、人才振兴、“党的建设全面加强”对标竞进等相关工作；</w:t>
      </w:r>
    </w:p>
    <w:p>
      <w:pPr>
        <w:spacing w:line="560" w:lineRule="exact"/>
        <w:ind w:firstLine="640"/>
        <w:rPr>
          <w:rFonts w:hint="eastAsia"/>
          <w:bCs/>
          <w:szCs w:val="32"/>
          <w:lang w:eastAsia="zh-CN"/>
        </w:rPr>
      </w:pPr>
      <w:r>
        <w:rPr>
          <w:rFonts w:hint="eastAsia"/>
          <w:bCs/>
          <w:szCs w:val="32"/>
          <w:lang w:val="en-US" w:eastAsia="zh-CN"/>
        </w:rPr>
        <w:t>14.</w:t>
      </w:r>
      <w:r>
        <w:rPr>
          <w:rFonts w:hint="eastAsia"/>
          <w:bCs/>
          <w:szCs w:val="32"/>
        </w:rPr>
        <w:t>具体承办农村“厕所革命”相关任务落实</w:t>
      </w:r>
      <w:r>
        <w:rPr>
          <w:rFonts w:hint="eastAsia"/>
          <w:bCs/>
          <w:szCs w:val="32"/>
          <w:lang w:eastAsia="zh-CN"/>
        </w:rPr>
        <w:t>。</w:t>
      </w:r>
    </w:p>
    <w:p>
      <w:pPr>
        <w:spacing w:line="560" w:lineRule="exact"/>
        <w:ind w:firstLine="640"/>
        <w:rPr>
          <w:rFonts w:hint="eastAsia"/>
          <w:bCs/>
          <w:szCs w:val="32"/>
          <w:lang w:val="en-US" w:eastAsia="zh-CN"/>
        </w:rPr>
      </w:pPr>
      <w:r>
        <w:rPr>
          <w:rFonts w:hint="eastAsia"/>
          <w:bCs/>
          <w:szCs w:val="32"/>
          <w:lang w:val="en-US" w:eastAsia="zh-CN"/>
        </w:rPr>
        <w:t>（四）全面推动乡村建设工作</w:t>
      </w:r>
    </w:p>
    <w:p>
      <w:pPr>
        <w:spacing w:line="560" w:lineRule="exact"/>
        <w:ind w:firstLine="640"/>
        <w:rPr>
          <w:rFonts w:hint="eastAsia"/>
          <w:bCs/>
          <w:szCs w:val="32"/>
          <w:lang w:eastAsia="zh-CN"/>
        </w:rPr>
      </w:pPr>
      <w:r>
        <w:rPr>
          <w:rFonts w:hint="eastAsia"/>
          <w:bCs/>
          <w:szCs w:val="32"/>
          <w:lang w:val="en-US" w:eastAsia="zh-CN"/>
        </w:rPr>
        <w:t>15</w:t>
      </w:r>
      <w:r>
        <w:rPr>
          <w:rFonts w:hint="eastAsia"/>
          <w:bCs/>
          <w:szCs w:val="32"/>
          <w:lang w:eastAsia="zh-CN"/>
        </w:rPr>
        <w:t>.协调推进乡村基础设施建设，统筹推进乡村建设行动；</w:t>
      </w:r>
    </w:p>
    <w:p>
      <w:pPr>
        <w:spacing w:line="560" w:lineRule="exact"/>
        <w:ind w:firstLine="640"/>
        <w:rPr>
          <w:rFonts w:hint="eastAsia"/>
          <w:bCs/>
          <w:szCs w:val="32"/>
        </w:rPr>
      </w:pPr>
      <w:r>
        <w:rPr>
          <w:rFonts w:hint="eastAsia"/>
          <w:bCs/>
          <w:szCs w:val="32"/>
          <w:lang w:val="en-US" w:eastAsia="zh-CN"/>
        </w:rPr>
        <w:t>16.</w:t>
      </w:r>
      <w:r>
        <w:rPr>
          <w:rFonts w:hint="eastAsia"/>
          <w:bCs/>
          <w:szCs w:val="32"/>
        </w:rPr>
        <w:t>协调促进农村社会事业发展，加强农村基本公共服务、精神文明建设，推动农村移风易俗，联系文化振兴、“三下乡”等相关工作</w:t>
      </w:r>
      <w:r>
        <w:rPr>
          <w:rFonts w:hint="eastAsia"/>
          <w:bCs/>
          <w:szCs w:val="32"/>
          <w:lang w:eastAsia="zh-CN"/>
        </w:rPr>
        <w:t>。</w:t>
      </w:r>
    </w:p>
    <w:p>
      <w:pPr>
        <w:pStyle w:val="4"/>
        <w:spacing w:line="560" w:lineRule="exact"/>
        <w:ind w:firstLine="640"/>
      </w:pPr>
      <w:r>
        <w:rPr>
          <w:rFonts w:hint="eastAsia"/>
        </w:rPr>
        <w:t>二、机构设置</w:t>
      </w:r>
      <w:bookmarkEnd w:id="30"/>
      <w:bookmarkEnd w:id="31"/>
      <w:bookmarkEnd w:id="32"/>
    </w:p>
    <w:p>
      <w:pPr>
        <w:spacing w:line="560" w:lineRule="exact"/>
        <w:ind w:firstLine="640"/>
      </w:pPr>
      <w:r>
        <w:t>遂宁市安居区</w:t>
      </w:r>
      <w:r>
        <w:rPr>
          <w:rFonts w:hint="eastAsia"/>
          <w:lang w:eastAsia="zh-CN"/>
        </w:rPr>
        <w:t>乡村振兴</w:t>
      </w:r>
      <w:r>
        <w:t>局</w:t>
      </w:r>
      <w:r>
        <w:rPr>
          <w:rFonts w:hint="eastAsia"/>
        </w:rPr>
        <w:t>下属二级</w:t>
      </w:r>
      <w:r>
        <w:rPr>
          <w:rFonts w:hint="eastAsia"/>
          <w:lang w:val="en-US" w:eastAsia="zh-CN"/>
        </w:rPr>
        <w:t>预算</w:t>
      </w:r>
      <w:r>
        <w:rPr>
          <w:rFonts w:hint="eastAsia"/>
        </w:rPr>
        <w:t>单位0个，其中行政单位0个，参照公务员法管理的事业单位0个，其他事业单位0个。</w:t>
      </w:r>
    </w:p>
    <w:p>
      <w:pPr>
        <w:spacing w:line="560" w:lineRule="exact"/>
        <w:ind w:firstLine="640"/>
      </w:pPr>
      <w:r>
        <w:t>遂宁市安居区</w:t>
      </w:r>
      <w:r>
        <w:rPr>
          <w:rFonts w:hint="eastAsia"/>
          <w:lang w:eastAsia="zh-CN"/>
        </w:rPr>
        <w:t>乡村振兴</w:t>
      </w:r>
      <w:r>
        <w:t>局是</w:t>
      </w:r>
      <w:r>
        <w:rPr>
          <w:rFonts w:hint="eastAsia"/>
          <w:lang w:eastAsia="zh-CN"/>
        </w:rPr>
        <w:t>财政</w:t>
      </w:r>
      <w:r>
        <w:t>全额拨款的行政单位，</w:t>
      </w:r>
      <w:r>
        <w:rPr>
          <w:rFonts w:hint="eastAsia" w:ascii="Times New Roman" w:hAnsi="Times New Roman" w:cs="Times New Roman"/>
          <w:lang w:val="en-US" w:eastAsia="zh-CN"/>
        </w:rPr>
        <w:t>是独立核算的</w:t>
      </w:r>
      <w:r>
        <w:rPr>
          <w:rFonts w:hint="eastAsia" w:ascii="Times New Roman" w:hAnsi="Times New Roman" w:cs="Times New Roman"/>
        </w:rPr>
        <w:t>机构</w:t>
      </w:r>
      <w:r>
        <w:rPr>
          <w:rFonts w:hint="eastAsia" w:ascii="Times New Roman" w:hAnsi="Times New Roman" w:cs="Times New Roman"/>
          <w:lang w:eastAsia="zh-CN"/>
        </w:rPr>
        <w:t>。</w:t>
      </w:r>
      <w:r>
        <w:rPr>
          <w:rFonts w:hint="eastAsia" w:cs="Times New Roman"/>
          <w:lang w:val="en-US" w:eastAsia="zh-CN"/>
        </w:rPr>
        <w:t>2024年4月合并到遂宁市安居区农业农村局。</w:t>
      </w:r>
      <w:r>
        <w:br w:type="page"/>
      </w:r>
    </w:p>
    <w:p>
      <w:pPr>
        <w:bidi w:val="0"/>
        <w:jc w:val="left"/>
        <w:rPr>
          <w:rFonts w:ascii="Times New Roman" w:hAnsi="Times New Roman" w:eastAsia="仿宋_GB2312" w:cs="Times New Roman"/>
          <w:kern w:val="2"/>
          <w:sz w:val="32"/>
          <w:szCs w:val="24"/>
          <w:lang w:val="en-US" w:eastAsia="zh-CN" w:bidi="ar-SA"/>
        </w:rPr>
      </w:pPr>
    </w:p>
    <w:p>
      <w:pPr>
        <w:pStyle w:val="3"/>
        <w:ind w:firstLine="880"/>
        <w:jc w:val="center"/>
        <w:rPr>
          <w:rFonts w:ascii="黑体" w:hAnsi="黑体" w:eastAsia="黑体"/>
          <w:b w:val="0"/>
        </w:rPr>
      </w:pPr>
      <w:bookmarkStart w:id="33" w:name="_Toc15377204"/>
      <w:bookmarkStart w:id="34" w:name="_Toc31071"/>
      <w:bookmarkStart w:id="35" w:name="_Toc15396602"/>
      <w:r>
        <w:rPr>
          <w:rFonts w:hint="eastAsia" w:ascii="黑体" w:hAnsi="黑体" w:eastAsia="黑体"/>
          <w:b w:val="0"/>
        </w:rPr>
        <w:t>第二部分202</w:t>
      </w:r>
      <w:r>
        <w:rPr>
          <w:rFonts w:hint="eastAsia" w:ascii="黑体" w:hAnsi="黑体" w:eastAsia="黑体"/>
          <w:b w:val="0"/>
          <w:lang w:val="en-US" w:eastAsia="zh-CN"/>
        </w:rPr>
        <w:t>4</w:t>
      </w:r>
      <w:r>
        <w:rPr>
          <w:rFonts w:hint="eastAsia" w:ascii="黑体" w:hAnsi="黑体" w:eastAsia="黑体"/>
          <w:b w:val="0"/>
        </w:rPr>
        <w:t>年度部门决算情况说明</w:t>
      </w:r>
      <w:bookmarkEnd w:id="33"/>
      <w:bookmarkEnd w:id="34"/>
      <w:bookmarkEnd w:id="35"/>
    </w:p>
    <w:p>
      <w:pPr>
        <w:ind w:firstLine="640"/>
      </w:pPr>
    </w:p>
    <w:p>
      <w:pPr>
        <w:pStyle w:val="4"/>
        <w:spacing w:line="560" w:lineRule="exact"/>
        <w:ind w:firstLine="640"/>
      </w:pPr>
      <w:bookmarkStart w:id="36" w:name="_Toc15377205"/>
      <w:bookmarkStart w:id="37" w:name="_Toc15396603"/>
      <w:bookmarkStart w:id="38" w:name="_Toc5830"/>
      <w:r>
        <w:rPr>
          <w:rFonts w:hint="eastAsia"/>
        </w:rPr>
        <w:t>一、收入支出决算总体情况说明</w:t>
      </w:r>
      <w:bookmarkEnd w:id="36"/>
      <w:bookmarkEnd w:id="37"/>
      <w:bookmarkEnd w:id="38"/>
    </w:p>
    <w:p>
      <w:pPr>
        <w:snapToGrid w:val="0"/>
        <w:spacing w:line="560" w:lineRule="exact"/>
        <w:ind w:firstLine="640" w:firstLineChars="200"/>
        <w:rPr>
          <w:rFonts w:hint="default" w:ascii="仿宋_GB2312" w:hAnsi="仿宋_GB2312" w:cs="仿宋_GB2312"/>
          <w:bCs/>
          <w:sz w:val="32"/>
          <w:szCs w:val="32"/>
          <w:lang w:val="en-US" w:eastAsia="zh-CN"/>
        </w:rPr>
      </w:pPr>
      <w:r>
        <w:rPr>
          <w:rFonts w:hint="eastAsia" w:ascii="仿宋_GB2312" w:hAnsi="仿宋_GB2312" w:cs="仿宋_GB2312"/>
          <w:bCs/>
          <w:sz w:val="32"/>
          <w:szCs w:val="32"/>
          <w:lang w:val="en-US" w:eastAsia="zh-CN"/>
        </w:rPr>
        <w:t>2024年度收、支总计均为537.22万元。与2023年相比，收、支总计各减少4476.82万元，下降89.29%。主要变动原因是2024年4月乡村振兴局合并到区农业农村局，财政拨款项目合并到区农业农村局。</w:t>
      </w:r>
    </w:p>
    <w:p>
      <w:pPr>
        <w:spacing w:line="240" w:lineRule="auto"/>
        <w:ind w:firstLine="0" w:firstLineChars="0"/>
        <w:jc w:val="center"/>
        <w:rPr>
          <w:rFonts w:ascii="仿宋" w:hAnsi="仿宋" w:eastAsia="仿宋"/>
          <w:szCs w:val="32"/>
        </w:rPr>
      </w:pPr>
      <w:r>
        <w:drawing>
          <wp:anchor distT="0" distB="0" distL="114300" distR="114300" simplePos="0" relativeHeight="251659264" behindDoc="0" locked="0" layoutInCell="1" allowOverlap="1">
            <wp:simplePos x="0" y="0"/>
            <wp:positionH relativeFrom="column">
              <wp:posOffset>223520</wp:posOffset>
            </wp:positionH>
            <wp:positionV relativeFrom="paragraph">
              <wp:posOffset>156845</wp:posOffset>
            </wp:positionV>
            <wp:extent cx="5080000" cy="2219960"/>
            <wp:effectExtent l="4445" t="4445" r="20955" b="2349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39" w:name="_Toc15377206"/>
      <w:bookmarkStart w:id="40" w:name="_Toc15396604"/>
      <w:r>
        <w:rPr>
          <w:rFonts w:hint="eastAsia" w:ascii="仿宋" w:hAnsi="仿宋" w:eastAsia="仿宋"/>
          <w:szCs w:val="32"/>
        </w:rPr>
        <w:t>（图</w:t>
      </w:r>
      <w:r>
        <w:rPr>
          <w:rFonts w:ascii="仿宋" w:hAnsi="仿宋" w:eastAsia="仿宋"/>
          <w:szCs w:val="32"/>
        </w:rPr>
        <w:t>1</w:t>
      </w:r>
      <w:r>
        <w:rPr>
          <w:rFonts w:hint="eastAsia" w:ascii="仿宋" w:hAnsi="仿宋" w:eastAsia="仿宋"/>
          <w:szCs w:val="32"/>
        </w:rPr>
        <w:t>：收、支决算总计变动情况图）（柱状图）</w:t>
      </w:r>
    </w:p>
    <w:p>
      <w:pPr>
        <w:pStyle w:val="4"/>
        <w:spacing w:line="560" w:lineRule="exact"/>
        <w:ind w:firstLine="640"/>
      </w:pPr>
      <w:bookmarkStart w:id="41" w:name="_Toc24303"/>
      <w:r>
        <w:rPr>
          <w:rFonts w:hint="eastAsia"/>
        </w:rPr>
        <w:t>二、收入决算情况说明</w:t>
      </w:r>
      <w:bookmarkEnd w:id="39"/>
      <w:bookmarkEnd w:id="40"/>
      <w:bookmarkEnd w:id="41"/>
    </w:p>
    <w:p>
      <w:pPr>
        <w:spacing w:line="560" w:lineRule="exact"/>
        <w:ind w:firstLine="640"/>
        <w:rPr>
          <w:rFonts w:hint="eastAsia" w:eastAsia="仿宋_GB2312"/>
          <w:lang w:val="en-US" w:eastAsia="zh-CN"/>
        </w:rPr>
      </w:pPr>
      <w:r>
        <w:t>20</w:t>
      </w:r>
      <w:r>
        <w:rPr>
          <w:rFonts w:hint="eastAsia"/>
        </w:rPr>
        <w:t>2</w:t>
      </w:r>
      <w:r>
        <w:rPr>
          <w:rFonts w:hint="eastAsia"/>
          <w:lang w:val="en-US" w:eastAsia="zh-CN"/>
        </w:rPr>
        <w:t>4</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本年收入合计</w:t>
      </w:r>
      <w:r>
        <w:rPr>
          <w:rFonts w:hint="eastAsia" w:cs="Times New Roman"/>
          <w:b w:val="0"/>
          <w:bCs w:val="0"/>
          <w:i w:val="0"/>
          <w:iCs w:val="0"/>
          <w:color w:val="auto"/>
          <w:sz w:val="32"/>
          <w:szCs w:val="32"/>
          <w:highlight w:val="none"/>
          <w:lang w:val="en-US" w:eastAsia="zh-CN"/>
        </w:rPr>
        <w:t>537.22</w:t>
      </w:r>
      <w:r>
        <w:rPr>
          <w:rFonts w:hint="default" w:ascii="Times New Roman" w:hAnsi="Times New Roman" w:eastAsia="仿宋_GB2312" w:cs="Times New Roman"/>
          <w:b w:val="0"/>
          <w:bCs w:val="0"/>
          <w:i w:val="0"/>
          <w:iCs w:val="0"/>
          <w:color w:val="auto"/>
          <w:sz w:val="32"/>
          <w:szCs w:val="32"/>
          <w:highlight w:val="none"/>
        </w:rPr>
        <w:t>万元，其中：一般公共预算财政拨款收入</w:t>
      </w:r>
      <w:r>
        <w:rPr>
          <w:rFonts w:hint="eastAsia" w:cs="Times New Roman"/>
          <w:b w:val="0"/>
          <w:bCs w:val="0"/>
          <w:i w:val="0"/>
          <w:iCs w:val="0"/>
          <w:color w:val="auto"/>
          <w:sz w:val="32"/>
          <w:szCs w:val="32"/>
          <w:highlight w:val="none"/>
          <w:lang w:val="en-US" w:eastAsia="zh-CN"/>
        </w:rPr>
        <w:t>437.22</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81.39</w:t>
      </w:r>
      <w:r>
        <w:rPr>
          <w:rFonts w:hint="default" w:ascii="Times New Roman" w:hAnsi="Times New Roman" w:eastAsia="仿宋_GB2312" w:cs="Times New Roman"/>
          <w:b w:val="0"/>
          <w:bCs w:val="0"/>
          <w:i w:val="0"/>
          <w:iCs w:val="0"/>
          <w:color w:val="auto"/>
          <w:sz w:val="32"/>
          <w:szCs w:val="32"/>
          <w:highlight w:val="none"/>
        </w:rPr>
        <w:t>%；政府性基金预算财政拨款收入</w:t>
      </w:r>
      <w:r>
        <w:rPr>
          <w:rFonts w:hint="eastAsia"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18.61</w:t>
      </w:r>
      <w:r>
        <w:rPr>
          <w:rFonts w:hint="default" w:ascii="Times New Roman" w:hAnsi="Times New Roman" w:eastAsia="仿宋_GB2312" w:cs="Times New Roman"/>
          <w:b w:val="0"/>
          <w:bCs w:val="0"/>
          <w:i w:val="0"/>
          <w:iCs w:val="0"/>
          <w:color w:val="auto"/>
          <w:sz w:val="32"/>
          <w:szCs w:val="32"/>
          <w:highlight w:val="none"/>
        </w:rPr>
        <w:t>%</w:t>
      </w:r>
      <w:r>
        <w:rPr>
          <w:rFonts w:hint="eastAsia" w:cs="Times New Roman"/>
          <w:b w:val="0"/>
          <w:bCs w:val="0"/>
          <w:i w:val="0"/>
          <w:iCs w:val="0"/>
          <w:color w:val="auto"/>
          <w:sz w:val="32"/>
          <w:szCs w:val="32"/>
          <w:highlight w:val="none"/>
          <w:lang w:eastAsia="zh-CN"/>
        </w:rPr>
        <w:t>。</w:t>
      </w:r>
    </w:p>
    <w:p>
      <w:pPr>
        <w:spacing w:line="560" w:lineRule="exact"/>
        <w:ind w:firstLine="640"/>
        <w:rPr>
          <w:rFonts w:ascii="仿宋" w:hAnsi="仿宋" w:eastAsia="仿宋"/>
          <w:szCs w:val="32"/>
        </w:rPr>
      </w:pPr>
      <w:r>
        <w:rPr>
          <w:rFonts w:hint="eastAsia" w:cs="Times New Roman"/>
          <w:b w:val="0"/>
          <w:bCs w:val="0"/>
          <w:i w:val="0"/>
          <w:iCs w:val="0"/>
          <w:color w:val="auto"/>
          <w:sz w:val="32"/>
          <w:szCs w:val="32"/>
          <w:highlight w:val="none"/>
          <w:lang w:val="en-US" w:eastAsia="zh-CN"/>
        </w:rPr>
        <w:t>.</w:t>
      </w:r>
      <w:r>
        <w:drawing>
          <wp:anchor distT="0" distB="0" distL="0" distR="0" simplePos="0" relativeHeight="251660288" behindDoc="0" locked="0" layoutInCell="1" allowOverlap="1">
            <wp:simplePos x="0" y="0"/>
            <wp:positionH relativeFrom="column">
              <wp:posOffset>-43180</wp:posOffset>
            </wp:positionH>
            <wp:positionV relativeFrom="paragraph">
              <wp:posOffset>194945</wp:posOffset>
            </wp:positionV>
            <wp:extent cx="5506720" cy="2794000"/>
            <wp:effectExtent l="4445" t="4445" r="13335" b="2095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42" w:name="_Toc15377207"/>
      <w:bookmarkStart w:id="43" w:name="_Toc15396605"/>
      <w:r>
        <w:rPr>
          <w:rFonts w:hint="eastAsia" w:ascii="仿宋" w:hAnsi="仿宋" w:eastAsia="仿宋"/>
          <w:szCs w:val="32"/>
        </w:rPr>
        <w:t>（图2：收入决算结构图）（饼状图）</w:t>
      </w:r>
    </w:p>
    <w:p>
      <w:pPr>
        <w:pStyle w:val="4"/>
        <w:spacing w:line="560" w:lineRule="exact"/>
        <w:ind w:firstLine="640"/>
      </w:pPr>
      <w:bookmarkStart w:id="44" w:name="_Toc23561"/>
      <w:r>
        <w:rPr>
          <w:rFonts w:hint="eastAsia"/>
        </w:rPr>
        <w:t>三、支出决算情况说明</w:t>
      </w:r>
      <w:bookmarkEnd w:id="42"/>
      <w:bookmarkEnd w:id="43"/>
      <w:bookmarkEnd w:id="44"/>
    </w:p>
    <w:p>
      <w:pPr>
        <w:spacing w:line="560" w:lineRule="exact"/>
        <w:ind w:firstLine="640"/>
      </w:pPr>
      <w:r>
        <w:t>20</w:t>
      </w:r>
      <w:r>
        <w:rPr>
          <w:rFonts w:hint="eastAsia"/>
        </w:rPr>
        <w:t>2</w:t>
      </w:r>
      <w:r>
        <w:rPr>
          <w:rFonts w:hint="eastAsia"/>
          <w:lang w:val="en-US" w:eastAsia="zh-CN"/>
        </w:rPr>
        <w:t>4</w:t>
      </w:r>
      <w:r>
        <w:rPr>
          <w:rFonts w:hint="eastAsia"/>
        </w:rPr>
        <w:t>年本年支出合计</w:t>
      </w:r>
      <w:r>
        <w:rPr>
          <w:rFonts w:hint="eastAsia"/>
          <w:lang w:val="en-US" w:eastAsia="zh-CN"/>
        </w:rPr>
        <w:t>537.22</w:t>
      </w:r>
      <w:r>
        <w:rPr>
          <w:rFonts w:hint="eastAsia"/>
        </w:rPr>
        <w:t>万元，其中：基本支出</w:t>
      </w:r>
      <w:r>
        <w:rPr>
          <w:rFonts w:hint="eastAsia"/>
          <w:lang w:val="en-US" w:eastAsia="zh-CN"/>
        </w:rPr>
        <w:t>83.52</w:t>
      </w:r>
      <w:r>
        <w:rPr>
          <w:rFonts w:hint="eastAsia"/>
        </w:rPr>
        <w:t>万元，占</w:t>
      </w:r>
      <w:r>
        <w:rPr>
          <w:rFonts w:hint="eastAsia"/>
          <w:lang w:val="en-US" w:eastAsia="zh-CN"/>
        </w:rPr>
        <w:t>15.55</w:t>
      </w:r>
      <w:r>
        <w:t>%</w:t>
      </w:r>
      <w:r>
        <w:rPr>
          <w:rFonts w:hint="eastAsia"/>
        </w:rPr>
        <w:t>；项目支出</w:t>
      </w:r>
      <w:r>
        <w:rPr>
          <w:rFonts w:hint="eastAsia"/>
          <w:lang w:val="en-US" w:eastAsia="zh-CN"/>
        </w:rPr>
        <w:t>453.7</w:t>
      </w:r>
      <w:r>
        <w:rPr>
          <w:rFonts w:hint="eastAsia"/>
        </w:rPr>
        <w:t>万元，占</w:t>
      </w:r>
      <w:r>
        <w:rPr>
          <w:rFonts w:hint="eastAsia"/>
          <w:lang w:val="en-US" w:eastAsia="zh-CN"/>
        </w:rPr>
        <w:t>84.45</w:t>
      </w:r>
      <w:r>
        <w:t>%</w:t>
      </w:r>
      <w:r>
        <w:rPr>
          <w:rFonts w:hint="eastAsia"/>
        </w:rPr>
        <w:t>。</w:t>
      </w:r>
    </w:p>
    <w:p>
      <w:pPr>
        <w:spacing w:line="560" w:lineRule="exact"/>
        <w:ind w:firstLine="640"/>
        <w:rPr>
          <w:rFonts w:ascii="仿宋" w:hAnsi="仿宋" w:eastAsia="仿宋"/>
          <w:szCs w:val="32"/>
        </w:rPr>
      </w:pPr>
      <w:r>
        <w:drawing>
          <wp:anchor distT="0" distB="0" distL="0" distR="0" simplePos="0" relativeHeight="251661312" behindDoc="0" locked="0" layoutInCell="1" allowOverlap="1">
            <wp:simplePos x="0" y="0"/>
            <wp:positionH relativeFrom="column">
              <wp:posOffset>24130</wp:posOffset>
            </wp:positionH>
            <wp:positionV relativeFrom="paragraph">
              <wp:posOffset>125095</wp:posOffset>
            </wp:positionV>
            <wp:extent cx="5488940" cy="1849755"/>
            <wp:effectExtent l="4445" t="4445" r="12065" b="1270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560" w:lineRule="exact"/>
        <w:ind w:left="0" w:leftChars="0" w:firstLine="0" w:firstLineChars="0"/>
        <w:jc w:val="center"/>
        <w:rPr>
          <w:rFonts w:ascii="仿宋_GB2312"/>
          <w:szCs w:val="32"/>
        </w:rPr>
      </w:pPr>
      <w:r>
        <w:rPr>
          <w:rFonts w:hint="eastAsia" w:ascii="仿宋" w:hAnsi="仿宋" w:eastAsia="仿宋"/>
          <w:szCs w:val="32"/>
        </w:rPr>
        <w:t>（图3：支出决算结构图）（饼状图）</w:t>
      </w:r>
    </w:p>
    <w:p>
      <w:pPr>
        <w:pStyle w:val="4"/>
        <w:spacing w:line="560" w:lineRule="exact"/>
        <w:ind w:firstLine="640"/>
      </w:pPr>
      <w:bookmarkStart w:id="45" w:name="_Toc32746"/>
      <w:bookmarkStart w:id="46" w:name="_Toc15377208"/>
      <w:bookmarkStart w:id="47" w:name="_Toc15396606"/>
      <w:r>
        <w:rPr>
          <w:rFonts w:hint="eastAsia"/>
        </w:rPr>
        <w:t>四、财政拨款收入支出决算总体情况说明</w:t>
      </w:r>
      <w:bookmarkEnd w:id="45"/>
      <w:bookmarkEnd w:id="46"/>
      <w:bookmarkEnd w:id="47"/>
    </w:p>
    <w:p>
      <w:pPr>
        <w:snapToGrid w:val="0"/>
        <w:spacing w:line="560" w:lineRule="exact"/>
        <w:ind w:firstLine="640" w:firstLineChars="200"/>
        <w:rPr>
          <w:rFonts w:hint="default" w:ascii="仿宋_GB2312" w:hAnsi="仿宋" w:eastAsia="仿宋_GB2312"/>
          <w:sz w:val="32"/>
          <w:szCs w:val="32"/>
          <w:lang w:val="en-US" w:eastAsia="zh-CN"/>
        </w:rPr>
      </w:pPr>
      <w:r>
        <w:t>20</w:t>
      </w:r>
      <w:r>
        <w:rPr>
          <w:rFonts w:hint="eastAsia"/>
        </w:rPr>
        <w:t>2</w:t>
      </w:r>
      <w:r>
        <w:rPr>
          <w:rFonts w:hint="eastAsia"/>
          <w:lang w:val="en-US" w:eastAsia="zh-CN"/>
        </w:rPr>
        <w:t>4</w:t>
      </w:r>
      <w:r>
        <w:rPr>
          <w:rFonts w:hint="eastAsia"/>
        </w:rPr>
        <w:t>年财政拨款收、支总计</w:t>
      </w:r>
      <w:r>
        <w:rPr>
          <w:rFonts w:hint="eastAsia"/>
          <w:lang w:eastAsia="zh-CN"/>
        </w:rPr>
        <w:t>均为</w:t>
      </w:r>
      <w:r>
        <w:rPr>
          <w:rFonts w:hint="eastAsia" w:ascii="仿宋" w:hAnsi="仿宋" w:eastAsia="仿宋"/>
          <w:color w:val="auto"/>
          <w:sz w:val="32"/>
          <w:szCs w:val="32"/>
          <w:highlight w:val="none"/>
          <w:lang w:val="en-US" w:eastAsia="zh-CN"/>
        </w:rPr>
        <w:t>537.22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val="en-US" w:eastAsia="zh-CN"/>
        </w:rPr>
        <w:t>减少4476.82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89.29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2024年4月乡村振兴局合并到区农业农村局，</w:t>
      </w:r>
      <w:r>
        <w:rPr>
          <w:rFonts w:hint="eastAsia" w:ascii="仿宋_GB2312" w:hAnsi="仿宋_GB2312" w:cs="仿宋_GB2312"/>
          <w:bCs/>
          <w:sz w:val="32"/>
          <w:szCs w:val="32"/>
          <w:lang w:val="en-US" w:eastAsia="zh-CN"/>
        </w:rPr>
        <w:t>财政拨款</w:t>
      </w:r>
      <w:r>
        <w:rPr>
          <w:rFonts w:hint="eastAsia" w:ascii="仿宋_GB2312" w:hAnsi="仿宋_GB2312" w:eastAsia="仿宋_GB2312" w:cs="仿宋_GB2312"/>
          <w:bCs/>
          <w:sz w:val="32"/>
          <w:szCs w:val="32"/>
          <w:lang w:val="en-US" w:eastAsia="zh-CN"/>
        </w:rPr>
        <w:t>项目</w:t>
      </w:r>
      <w:r>
        <w:rPr>
          <w:rFonts w:hint="eastAsia" w:ascii="仿宋_GB2312" w:hAnsi="仿宋_GB2312" w:cs="仿宋_GB2312"/>
          <w:bCs/>
          <w:sz w:val="32"/>
          <w:szCs w:val="32"/>
          <w:lang w:val="en-US" w:eastAsia="zh-CN"/>
        </w:rPr>
        <w:t>合并到区农业农村局。</w:t>
      </w:r>
    </w:p>
    <w:p>
      <w:pPr>
        <w:spacing w:line="560" w:lineRule="exact"/>
        <w:ind w:firstLine="640"/>
        <w:rPr>
          <w:rFonts w:hint="eastAsia"/>
        </w:rPr>
      </w:pPr>
      <w:r>
        <w:drawing>
          <wp:anchor distT="0" distB="0" distL="114300" distR="114300" simplePos="0" relativeHeight="251662336" behindDoc="0" locked="0" layoutInCell="1" allowOverlap="1">
            <wp:simplePos x="0" y="0"/>
            <wp:positionH relativeFrom="column">
              <wp:posOffset>92075</wp:posOffset>
            </wp:positionH>
            <wp:positionV relativeFrom="paragraph">
              <wp:posOffset>89535</wp:posOffset>
            </wp:positionV>
            <wp:extent cx="5150485" cy="1633220"/>
            <wp:effectExtent l="4445" t="4445" r="7620" b="1968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bookmarkStart w:id="48" w:name="_Toc15377209"/>
      <w:bookmarkStart w:id="49" w:name="_Toc15396607"/>
      <w:r>
        <w:rPr>
          <w:rFonts w:hint="eastAsia" w:ascii="仿宋" w:hAnsi="仿宋" w:eastAsia="仿宋"/>
          <w:szCs w:val="32"/>
        </w:rPr>
        <w:t>（图4：财政拨款收、支决算总计变动情况）（柱状图）</w:t>
      </w:r>
    </w:p>
    <w:p>
      <w:pPr>
        <w:pStyle w:val="4"/>
        <w:spacing w:line="560" w:lineRule="exact"/>
        <w:ind w:firstLine="640"/>
      </w:pPr>
      <w:bookmarkStart w:id="50" w:name="_Toc12015"/>
      <w:r>
        <w:rPr>
          <w:rFonts w:hint="eastAsia"/>
        </w:rPr>
        <w:t>五、一般公共预算财政拨款支出决算情况说明</w:t>
      </w:r>
      <w:bookmarkEnd w:id="48"/>
      <w:bookmarkEnd w:id="49"/>
      <w:bookmarkEnd w:id="50"/>
    </w:p>
    <w:p>
      <w:pPr>
        <w:pStyle w:val="5"/>
        <w:spacing w:line="560" w:lineRule="exact"/>
        <w:ind w:firstLine="640"/>
      </w:pPr>
      <w:bookmarkStart w:id="51" w:name="_Toc15377210"/>
      <w:r>
        <w:rPr>
          <w:rFonts w:hint="eastAsia"/>
        </w:rPr>
        <w:t>（一）一般公共预算财政拨款支出决算总体情况</w:t>
      </w:r>
      <w:bookmarkEnd w:id="51"/>
    </w:p>
    <w:p>
      <w:pPr>
        <w:snapToGrid w:val="0"/>
        <w:spacing w:line="560" w:lineRule="exact"/>
        <w:ind w:firstLine="640" w:firstLineChars="200"/>
        <w:rPr>
          <w:rFonts w:hint="default" w:ascii="仿宋_GB2312" w:hAnsi="仿宋" w:eastAsia="仿宋_GB2312"/>
          <w:sz w:val="32"/>
          <w:szCs w:val="32"/>
          <w:lang w:val="en-US" w:eastAsia="zh-CN"/>
        </w:rPr>
      </w:pPr>
      <w:r>
        <w:rPr>
          <w:szCs w:val="32"/>
        </w:rPr>
        <w:drawing>
          <wp:anchor distT="0" distB="0" distL="114300" distR="114300" simplePos="0" relativeHeight="251663360" behindDoc="0" locked="0" layoutInCell="1" allowOverlap="1">
            <wp:simplePos x="0" y="0"/>
            <wp:positionH relativeFrom="column">
              <wp:posOffset>-46990</wp:posOffset>
            </wp:positionH>
            <wp:positionV relativeFrom="paragraph">
              <wp:posOffset>1807845</wp:posOffset>
            </wp:positionV>
            <wp:extent cx="5441315" cy="2781300"/>
            <wp:effectExtent l="4445" t="4445" r="21590"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t>20</w:t>
      </w:r>
      <w:r>
        <w:rPr>
          <w:rFonts w:hint="eastAsia"/>
        </w:rPr>
        <w:t>2</w:t>
      </w:r>
      <w:r>
        <w:rPr>
          <w:rFonts w:hint="eastAsia"/>
          <w:lang w:val="en-US" w:eastAsia="zh-CN"/>
        </w:rPr>
        <w:t>4</w:t>
      </w:r>
      <w:r>
        <w:rPr>
          <w:rFonts w:hint="eastAsia"/>
        </w:rPr>
        <w:t>年一般公共预算财政拨款支出</w:t>
      </w:r>
      <w:r>
        <w:rPr>
          <w:rFonts w:hint="eastAsia"/>
          <w:lang w:val="en-US" w:eastAsia="zh-CN"/>
        </w:rPr>
        <w:t>437.22</w:t>
      </w:r>
      <w:r>
        <w:rPr>
          <w:rFonts w:hint="eastAsia"/>
        </w:rPr>
        <w:t>万元，占本年支出合计的</w:t>
      </w:r>
      <w:r>
        <w:rPr>
          <w:rFonts w:hint="eastAsia"/>
          <w:lang w:val="en-US" w:eastAsia="zh-CN"/>
        </w:rPr>
        <w:t>81.39</w:t>
      </w:r>
      <w:r>
        <w:t>%</w:t>
      </w:r>
      <w:r>
        <w:rPr>
          <w:rFonts w:hint="eastAsia"/>
        </w:rPr>
        <w:t>。与</w:t>
      </w:r>
      <w:r>
        <w:t>20</w:t>
      </w:r>
      <w:r>
        <w:rPr>
          <w:rFonts w:hint="eastAsia"/>
        </w:rPr>
        <w:t>2</w:t>
      </w:r>
      <w:r>
        <w:rPr>
          <w:rFonts w:hint="eastAsia"/>
          <w:lang w:val="en-US" w:eastAsia="zh-CN"/>
        </w:rPr>
        <w:t>3</w:t>
      </w:r>
      <w:r>
        <w:rPr>
          <w:rFonts w:hint="eastAsia"/>
        </w:rPr>
        <w:t>年相比，一般公共预算财政拨款支出</w:t>
      </w:r>
      <w:r>
        <w:rPr>
          <w:rFonts w:hint="eastAsia"/>
          <w:lang w:eastAsia="zh-CN"/>
        </w:rPr>
        <w:t>减少</w:t>
      </w:r>
      <w:r>
        <w:rPr>
          <w:rFonts w:hint="eastAsia"/>
          <w:lang w:val="en-US" w:eastAsia="zh-CN"/>
        </w:rPr>
        <w:t>3949.39</w:t>
      </w:r>
      <w:r>
        <w:rPr>
          <w:rFonts w:hint="eastAsia"/>
        </w:rPr>
        <w:t>万元，</w:t>
      </w:r>
      <w:r>
        <w:rPr>
          <w:rFonts w:hint="eastAsia"/>
          <w:lang w:eastAsia="zh-CN"/>
        </w:rPr>
        <w:t>下降</w:t>
      </w:r>
      <w:r>
        <w:rPr>
          <w:rFonts w:hint="eastAsia"/>
          <w:lang w:val="en-US" w:eastAsia="zh-CN"/>
        </w:rPr>
        <w:t>90.03</w:t>
      </w:r>
      <w:r>
        <w:t>%</w:t>
      </w:r>
      <w:r>
        <w:rPr>
          <w:rFonts w:hint="eastAsia"/>
        </w:rPr>
        <w:t>。主要变动原因是</w:t>
      </w:r>
      <w:r>
        <w:rPr>
          <w:rFonts w:hint="eastAsia" w:ascii="仿宋" w:hAnsi="仿宋" w:eastAsia="仿宋"/>
          <w:color w:val="auto"/>
          <w:sz w:val="32"/>
          <w:szCs w:val="32"/>
          <w:highlight w:val="none"/>
          <w:lang w:val="en-US" w:eastAsia="zh-CN"/>
        </w:rPr>
        <w:t>2024年4月乡村振兴局合并到区农业农村局，</w:t>
      </w:r>
      <w:r>
        <w:rPr>
          <w:rFonts w:hint="eastAsia" w:ascii="仿宋_GB2312" w:hAnsi="仿宋_GB2312" w:cs="仿宋_GB2312"/>
          <w:bCs/>
          <w:sz w:val="32"/>
          <w:szCs w:val="32"/>
          <w:lang w:val="en-US" w:eastAsia="zh-CN"/>
        </w:rPr>
        <w:t>财政拨款</w:t>
      </w:r>
      <w:r>
        <w:rPr>
          <w:rFonts w:hint="eastAsia" w:ascii="仿宋_GB2312" w:hAnsi="仿宋_GB2312" w:eastAsia="仿宋_GB2312" w:cs="仿宋_GB2312"/>
          <w:bCs/>
          <w:sz w:val="32"/>
          <w:szCs w:val="32"/>
          <w:lang w:val="en-US" w:eastAsia="zh-CN"/>
        </w:rPr>
        <w:t>项目</w:t>
      </w:r>
      <w:r>
        <w:rPr>
          <w:rFonts w:hint="eastAsia" w:ascii="仿宋_GB2312" w:hAnsi="仿宋_GB2312" w:cs="仿宋_GB2312"/>
          <w:bCs/>
          <w:sz w:val="32"/>
          <w:szCs w:val="32"/>
          <w:lang w:val="en-US" w:eastAsia="zh-CN"/>
        </w:rPr>
        <w:t>合并到区农业农村局。</w:t>
      </w:r>
    </w:p>
    <w:p>
      <w:pPr>
        <w:spacing w:line="560" w:lineRule="exact"/>
        <w:ind w:firstLine="640"/>
      </w:pPr>
    </w:p>
    <w:p>
      <w:pPr>
        <w:spacing w:line="560" w:lineRule="exact"/>
        <w:ind w:left="0" w:leftChars="0" w:firstLine="0" w:firstLineChars="0"/>
        <w:jc w:val="both"/>
        <w:rPr>
          <w:rFonts w:ascii="仿宋" w:hAnsi="仿宋" w:eastAsia="仿宋"/>
          <w:spacing w:val="-20"/>
          <w:position w:val="0"/>
          <w:sz w:val="32"/>
          <w:szCs w:val="32"/>
        </w:rPr>
      </w:pPr>
      <w:r>
        <w:rPr>
          <w:rFonts w:hint="eastAsia" w:ascii="仿宋" w:hAnsi="仿宋" w:eastAsia="仿宋"/>
          <w:szCs w:val="32"/>
        </w:rPr>
        <w:t>（图5：</w:t>
      </w:r>
      <w:r>
        <w:rPr>
          <w:rFonts w:hint="eastAsia" w:ascii="仿宋" w:hAnsi="仿宋" w:eastAsia="仿宋"/>
          <w:spacing w:val="-20"/>
          <w:position w:val="0"/>
          <w:sz w:val="32"/>
          <w:szCs w:val="32"/>
        </w:rPr>
        <w:t>一般公共预算财政拨款支出决算变动情况</w:t>
      </w:r>
      <w:r>
        <w:rPr>
          <w:rFonts w:hint="eastAsia" w:ascii="仿宋" w:hAnsi="仿宋" w:eastAsia="仿宋"/>
          <w:spacing w:val="-20"/>
          <w:position w:val="0"/>
          <w:sz w:val="32"/>
          <w:szCs w:val="32"/>
          <w:lang w:eastAsia="zh-CN"/>
        </w:rPr>
        <w:t>）（</w:t>
      </w:r>
      <w:r>
        <w:rPr>
          <w:rFonts w:hint="eastAsia" w:ascii="仿宋" w:hAnsi="仿宋" w:eastAsia="仿宋"/>
          <w:spacing w:val="-20"/>
          <w:position w:val="0"/>
          <w:sz w:val="32"/>
          <w:szCs w:val="32"/>
        </w:rPr>
        <w:t>柱状图）</w:t>
      </w:r>
    </w:p>
    <w:p>
      <w:pPr>
        <w:pStyle w:val="5"/>
        <w:spacing w:line="560" w:lineRule="exact"/>
        <w:ind w:firstLine="640"/>
      </w:pPr>
      <w:bookmarkStart w:id="52" w:name="_Toc15377211"/>
      <w:r>
        <w:rPr>
          <w:rFonts w:hint="eastAsia"/>
        </w:rPr>
        <w:t>（二）一般公共预算财政拨款支出决算结构情况</w:t>
      </w:r>
      <w:bookmarkEnd w:id="52"/>
    </w:p>
    <w:p>
      <w:pPr>
        <w:spacing w:line="560" w:lineRule="exact"/>
        <w:ind w:firstLine="640"/>
        <w:rPr>
          <w:rFonts w:hint="eastAsia" w:eastAsia="仿宋_GB2312"/>
          <w:highlight w:val="none"/>
          <w:lang w:val="en-US" w:eastAsia="zh-CN"/>
        </w:rPr>
      </w:pPr>
      <w:r>
        <w:rPr>
          <w:highlight w:val="none"/>
        </w:rPr>
        <w:t>20</w:t>
      </w:r>
      <w:r>
        <w:rPr>
          <w:rFonts w:hint="eastAsia"/>
          <w:highlight w:val="none"/>
        </w:rPr>
        <w:t>2</w:t>
      </w:r>
      <w:r>
        <w:rPr>
          <w:rFonts w:hint="eastAsia"/>
          <w:highlight w:val="none"/>
          <w:lang w:val="en-US" w:eastAsia="zh-CN"/>
        </w:rPr>
        <w:t>4</w:t>
      </w:r>
      <w:r>
        <w:rPr>
          <w:rFonts w:hint="eastAsia"/>
          <w:highlight w:val="none"/>
        </w:rPr>
        <w:t>年一般公共预算财政拨款支出</w:t>
      </w:r>
      <w:r>
        <w:rPr>
          <w:rFonts w:hint="eastAsia"/>
          <w:highlight w:val="none"/>
          <w:lang w:val="en-US" w:eastAsia="zh-CN"/>
        </w:rPr>
        <w:t>437.22</w:t>
      </w:r>
      <w:r>
        <w:rPr>
          <w:rFonts w:hint="eastAsia"/>
          <w:highlight w:val="none"/>
        </w:rPr>
        <w:t>万元，主要用于以下方面：</w:t>
      </w:r>
      <w:r>
        <w:rPr>
          <w:rFonts w:hint="eastAsia"/>
          <w:b/>
          <w:bCs/>
          <w:highlight w:val="none"/>
        </w:rPr>
        <w:t>社会保障和就业</w:t>
      </w:r>
      <w:r>
        <w:rPr>
          <w:rFonts w:hint="eastAsia"/>
          <w:b/>
          <w:bCs/>
          <w:highlight w:val="none"/>
          <w:lang w:eastAsia="zh-CN"/>
        </w:rPr>
        <w:t>支出</w:t>
      </w:r>
      <w:r>
        <w:rPr>
          <w:rFonts w:hint="eastAsia"/>
          <w:b/>
          <w:bCs/>
          <w:highlight w:val="none"/>
        </w:rPr>
        <w:t>（类）</w:t>
      </w:r>
      <w:r>
        <w:rPr>
          <w:rFonts w:hint="eastAsia"/>
          <w:highlight w:val="none"/>
        </w:rPr>
        <w:t>支出</w:t>
      </w:r>
      <w:r>
        <w:rPr>
          <w:rFonts w:hint="eastAsia"/>
          <w:highlight w:val="none"/>
          <w:lang w:val="en-US" w:eastAsia="zh-CN"/>
        </w:rPr>
        <w:t>5.85</w:t>
      </w:r>
      <w:r>
        <w:rPr>
          <w:rFonts w:hint="eastAsia"/>
          <w:highlight w:val="none"/>
        </w:rPr>
        <w:t>万元，占</w:t>
      </w:r>
      <w:r>
        <w:rPr>
          <w:rFonts w:hint="eastAsia"/>
          <w:highlight w:val="none"/>
          <w:lang w:val="en-US" w:eastAsia="zh-CN"/>
        </w:rPr>
        <w:t>1.34</w:t>
      </w:r>
      <w:r>
        <w:rPr>
          <w:highlight w:val="none"/>
        </w:rPr>
        <w:t>%</w:t>
      </w:r>
      <w:r>
        <w:rPr>
          <w:rFonts w:hint="eastAsia"/>
          <w:highlight w:val="none"/>
        </w:rPr>
        <w:t>；</w:t>
      </w:r>
      <w:r>
        <w:rPr>
          <w:rFonts w:hint="eastAsia"/>
          <w:b/>
          <w:bCs/>
          <w:highlight w:val="none"/>
        </w:rPr>
        <w:t>卫生健康</w:t>
      </w:r>
      <w:r>
        <w:rPr>
          <w:rFonts w:hint="eastAsia"/>
          <w:b/>
          <w:bCs/>
          <w:highlight w:val="none"/>
          <w:lang w:eastAsia="zh-CN"/>
        </w:rPr>
        <w:t>支出（</w:t>
      </w:r>
      <w:r>
        <w:rPr>
          <w:rFonts w:hint="eastAsia"/>
          <w:b/>
          <w:bCs/>
          <w:highlight w:val="none"/>
        </w:rPr>
        <w:t>类）</w:t>
      </w:r>
      <w:r>
        <w:rPr>
          <w:rFonts w:hint="eastAsia"/>
          <w:highlight w:val="none"/>
        </w:rPr>
        <w:t>支出</w:t>
      </w:r>
      <w:r>
        <w:rPr>
          <w:rFonts w:hint="eastAsia"/>
          <w:highlight w:val="none"/>
          <w:lang w:val="en-US" w:eastAsia="zh-CN"/>
        </w:rPr>
        <w:t>2.58</w:t>
      </w:r>
      <w:r>
        <w:rPr>
          <w:rFonts w:hint="eastAsia"/>
          <w:highlight w:val="none"/>
        </w:rPr>
        <w:t>万元，占</w:t>
      </w:r>
      <w:r>
        <w:rPr>
          <w:rFonts w:hint="eastAsia"/>
          <w:highlight w:val="none"/>
          <w:lang w:val="en-US" w:eastAsia="zh-CN"/>
        </w:rPr>
        <w:t>0.59</w:t>
      </w:r>
      <w:r>
        <w:rPr>
          <w:highlight w:val="none"/>
        </w:rPr>
        <w:t>%</w:t>
      </w:r>
      <w:r>
        <w:rPr>
          <w:rFonts w:hint="eastAsia"/>
          <w:highlight w:val="none"/>
        </w:rPr>
        <w:t>；</w:t>
      </w:r>
      <w:r>
        <w:rPr>
          <w:rFonts w:hint="eastAsia"/>
          <w:b/>
          <w:bCs/>
          <w:highlight w:val="none"/>
        </w:rPr>
        <w:t>农林水</w:t>
      </w:r>
      <w:r>
        <w:rPr>
          <w:rFonts w:hint="eastAsia"/>
          <w:b/>
          <w:bCs/>
          <w:highlight w:val="none"/>
          <w:lang w:eastAsia="zh-CN"/>
        </w:rPr>
        <w:t>支出</w:t>
      </w:r>
      <w:r>
        <w:rPr>
          <w:rFonts w:hint="eastAsia"/>
          <w:b/>
          <w:bCs/>
          <w:highlight w:val="none"/>
        </w:rPr>
        <w:t>（类）</w:t>
      </w:r>
      <w:r>
        <w:rPr>
          <w:rFonts w:hint="eastAsia"/>
          <w:highlight w:val="none"/>
        </w:rPr>
        <w:t>支出</w:t>
      </w:r>
      <w:r>
        <w:rPr>
          <w:rFonts w:hint="eastAsia"/>
          <w:highlight w:val="none"/>
          <w:lang w:val="en-US" w:eastAsia="zh-CN"/>
        </w:rPr>
        <w:t>423.83</w:t>
      </w:r>
      <w:r>
        <w:rPr>
          <w:rFonts w:hint="eastAsia"/>
          <w:highlight w:val="none"/>
        </w:rPr>
        <w:t>万元，占</w:t>
      </w:r>
      <w:r>
        <w:rPr>
          <w:rFonts w:hint="eastAsia"/>
          <w:highlight w:val="none"/>
          <w:lang w:val="en-US" w:eastAsia="zh-CN"/>
        </w:rPr>
        <w:t>96.94</w:t>
      </w:r>
      <w:r>
        <w:rPr>
          <w:rFonts w:hint="eastAsia"/>
          <w:highlight w:val="none"/>
        </w:rPr>
        <w:t>%；</w:t>
      </w:r>
      <w:r>
        <w:rPr>
          <w:rFonts w:hint="eastAsia"/>
          <w:b/>
          <w:bCs/>
          <w:highlight w:val="none"/>
        </w:rPr>
        <w:t>住房保障</w:t>
      </w:r>
      <w:r>
        <w:rPr>
          <w:rFonts w:hint="eastAsia"/>
          <w:b/>
          <w:bCs/>
          <w:highlight w:val="none"/>
          <w:lang w:eastAsia="zh-CN"/>
        </w:rPr>
        <w:t>支出</w:t>
      </w:r>
      <w:r>
        <w:rPr>
          <w:rFonts w:hint="eastAsia"/>
          <w:b/>
          <w:bCs/>
          <w:highlight w:val="none"/>
        </w:rPr>
        <w:t>（类）</w:t>
      </w:r>
      <w:r>
        <w:rPr>
          <w:rFonts w:hint="eastAsia"/>
          <w:highlight w:val="none"/>
        </w:rPr>
        <w:t>支出</w:t>
      </w:r>
      <w:r>
        <w:rPr>
          <w:rFonts w:hint="eastAsia"/>
          <w:highlight w:val="none"/>
          <w:lang w:val="en-US" w:eastAsia="zh-CN"/>
        </w:rPr>
        <w:t>4.96</w:t>
      </w:r>
      <w:r>
        <w:rPr>
          <w:rFonts w:hint="eastAsia"/>
          <w:highlight w:val="none"/>
        </w:rPr>
        <w:t>万元，占</w:t>
      </w:r>
      <w:r>
        <w:rPr>
          <w:rFonts w:hint="eastAsia"/>
          <w:highlight w:val="none"/>
          <w:lang w:val="en-US" w:eastAsia="zh-CN"/>
        </w:rPr>
        <w:t>1.13</w:t>
      </w:r>
      <w:r>
        <w:rPr>
          <w:highlight w:val="none"/>
        </w:rPr>
        <w:t>%</w:t>
      </w:r>
      <w:r>
        <w:rPr>
          <w:rFonts w:hint="eastAsia"/>
          <w:highlight w:val="none"/>
          <w:lang w:eastAsia="zh-CN"/>
        </w:rPr>
        <w:t>。</w:t>
      </w:r>
    </w:p>
    <w:p>
      <w:pPr>
        <w:spacing w:line="560" w:lineRule="exact"/>
        <w:ind w:left="0" w:leftChars="0" w:firstLine="0" w:firstLineChars="0"/>
        <w:rPr>
          <w:rFonts w:ascii="仿宋" w:hAnsi="仿宋" w:eastAsia="仿宋"/>
          <w:szCs w:val="32"/>
        </w:rPr>
      </w:pPr>
      <w:r>
        <w:rPr>
          <w:szCs w:val="32"/>
          <w:highlight w:val="yellow"/>
        </w:rPr>
        <w:drawing>
          <wp:anchor distT="0" distB="0" distL="114300" distR="114300" simplePos="0" relativeHeight="251664384" behindDoc="0" locked="0" layoutInCell="1" allowOverlap="1">
            <wp:simplePos x="0" y="0"/>
            <wp:positionH relativeFrom="column">
              <wp:posOffset>52705</wp:posOffset>
            </wp:positionH>
            <wp:positionV relativeFrom="paragraph">
              <wp:posOffset>118110</wp:posOffset>
            </wp:positionV>
            <wp:extent cx="5080000" cy="31623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Cs w:val="32"/>
        </w:rPr>
        <w:t>（图6：一般公共预算财政拨款支出决算结构）（饼状图）</w:t>
      </w:r>
    </w:p>
    <w:p>
      <w:pPr>
        <w:pStyle w:val="5"/>
        <w:spacing w:line="560" w:lineRule="exact"/>
        <w:ind w:firstLine="640"/>
      </w:pPr>
      <w:bookmarkStart w:id="53" w:name="_Toc15377212"/>
      <w:r>
        <w:rPr>
          <w:rFonts w:hint="eastAsia"/>
        </w:rPr>
        <w:t>（三）一般公共预算财政拨款支出决算具体情况</w:t>
      </w:r>
      <w:bookmarkEnd w:id="53"/>
    </w:p>
    <w:p>
      <w:pPr>
        <w:spacing w:line="560" w:lineRule="exact"/>
        <w:rPr>
          <w:rFonts w:hint="eastAsia"/>
          <w:b/>
          <w:bCs/>
        </w:rPr>
      </w:pPr>
      <w:bookmarkStart w:id="54" w:name="_Toc15377213"/>
      <w:bookmarkStart w:id="55" w:name="_Toc15378460"/>
      <w:bookmarkStart w:id="56" w:name="_Toc15377444"/>
      <w:r>
        <w:rPr>
          <w:rFonts w:hint="eastAsia"/>
          <w:b/>
          <w:bCs/>
        </w:rPr>
        <w:t>202</w:t>
      </w:r>
      <w:r>
        <w:rPr>
          <w:rFonts w:hint="eastAsia"/>
          <w:b/>
          <w:bCs/>
          <w:lang w:val="en-US" w:eastAsia="zh-CN"/>
        </w:rPr>
        <w:t>4</w:t>
      </w:r>
      <w:r>
        <w:rPr>
          <w:rFonts w:hint="eastAsia"/>
          <w:b/>
          <w:bCs/>
        </w:rPr>
        <w:t>年一般公共预算支出决算数为</w:t>
      </w:r>
      <w:r>
        <w:rPr>
          <w:rFonts w:hint="eastAsia"/>
          <w:b/>
          <w:bCs/>
          <w:lang w:val="en-US" w:eastAsia="zh-CN"/>
        </w:rPr>
        <w:t>437.22</w:t>
      </w:r>
      <w:r>
        <w:rPr>
          <w:rFonts w:hint="eastAsia"/>
          <w:color w:val="000000" w:themeColor="text1"/>
          <w:lang w:val="en-US" w:eastAsia="zh-CN"/>
          <w14:textFill>
            <w14:solidFill>
              <w14:schemeClr w14:val="tx1"/>
            </w14:solidFill>
          </w14:textFill>
        </w:rPr>
        <w:t>万元</w:t>
      </w:r>
      <w:r>
        <w:rPr>
          <w:rFonts w:hint="eastAsia"/>
          <w:b/>
          <w:bCs/>
          <w:lang w:val="en-US" w:eastAsia="zh-CN"/>
        </w:rPr>
        <w:t>，</w:t>
      </w:r>
      <w:r>
        <w:rPr>
          <w:rFonts w:hint="eastAsia"/>
          <w:b/>
          <w:bCs/>
        </w:rPr>
        <w:t>完成预算100</w:t>
      </w:r>
      <w:r>
        <w:rPr>
          <w:b/>
          <w:bCs/>
        </w:rPr>
        <w:t>%</w:t>
      </w:r>
      <w:r>
        <w:rPr>
          <w:rFonts w:hint="eastAsia"/>
          <w:b/>
          <w:bCs/>
        </w:rPr>
        <w:t>。其中：</w:t>
      </w:r>
      <w:bookmarkEnd w:id="54"/>
      <w:bookmarkEnd w:id="55"/>
      <w:bookmarkEnd w:id="56"/>
    </w:p>
    <w:p>
      <w:pPr>
        <w:spacing w:line="560" w:lineRule="exact"/>
        <w:ind w:firstLine="641"/>
      </w:pPr>
      <w:r>
        <w:rPr>
          <w:rFonts w:hint="eastAsia"/>
          <w:lang w:val="en-US" w:eastAsia="zh-CN"/>
        </w:rPr>
        <w:t>1.</w:t>
      </w:r>
      <w:r>
        <w:rPr>
          <w:rFonts w:hint="eastAsia"/>
          <w:b/>
          <w:bCs/>
        </w:rPr>
        <w:t>社会保障和就业（类）行政事业单位养老支出（款）</w:t>
      </w:r>
      <w:r>
        <w:rPr>
          <w:rFonts w:hint="eastAsia"/>
          <w:b/>
          <w:bCs/>
          <w:lang w:eastAsia="zh-CN"/>
        </w:rPr>
        <w:t>机关事业单位基本养老保险缴费支出</w:t>
      </w:r>
      <w:r>
        <w:rPr>
          <w:rFonts w:hint="eastAsia"/>
          <w:b/>
          <w:bCs/>
        </w:rPr>
        <w:t>（项）</w:t>
      </w:r>
      <w:r>
        <w:rPr>
          <w:b/>
          <w:bCs/>
        </w:rPr>
        <w:t>:</w:t>
      </w:r>
      <w:r>
        <w:rPr>
          <w:rFonts w:hint="eastAsia"/>
        </w:rPr>
        <w:t>支出决算为</w:t>
      </w:r>
      <w:r>
        <w:rPr>
          <w:rFonts w:hint="eastAsia"/>
          <w:lang w:val="en-US" w:eastAsia="zh-CN"/>
        </w:rPr>
        <w:t>5.54</w:t>
      </w:r>
      <w:r>
        <w:rPr>
          <w:rFonts w:hint="eastAsia"/>
        </w:rPr>
        <w:t>万元，完成预算100</w:t>
      </w:r>
      <w:r>
        <w:t>%</w:t>
      </w:r>
      <w:r>
        <w:rPr>
          <w:rFonts w:hint="eastAsia"/>
        </w:rPr>
        <w:t>。</w:t>
      </w:r>
    </w:p>
    <w:p>
      <w:pPr>
        <w:spacing w:line="560" w:lineRule="exact"/>
        <w:ind w:firstLine="641"/>
      </w:pPr>
      <w:r>
        <w:rPr>
          <w:rFonts w:hint="eastAsia"/>
          <w:b/>
          <w:bCs/>
          <w:lang w:val="en-US" w:eastAsia="zh-CN"/>
        </w:rPr>
        <w:t>2</w:t>
      </w:r>
      <w:r>
        <w:rPr>
          <w:rFonts w:hint="eastAsia"/>
          <w:b/>
          <w:bCs/>
        </w:rPr>
        <w:t>、社会保障和就业（类）其他社会保障和就业支出（款）其他社会保障和就业支出（项）:</w:t>
      </w:r>
      <w:r>
        <w:rPr>
          <w:rFonts w:hint="eastAsia"/>
        </w:rPr>
        <w:t>支出决算为</w:t>
      </w:r>
      <w:r>
        <w:rPr>
          <w:rFonts w:hint="eastAsia"/>
          <w:lang w:val="en-US" w:eastAsia="zh-CN"/>
        </w:rPr>
        <w:t>0.31</w:t>
      </w:r>
      <w:r>
        <w:rPr>
          <w:rFonts w:hint="eastAsia"/>
        </w:rPr>
        <w:t>万元，完成预算100%。</w:t>
      </w:r>
    </w:p>
    <w:p>
      <w:pPr>
        <w:spacing w:line="560" w:lineRule="exact"/>
        <w:ind w:firstLine="641"/>
      </w:pPr>
      <w:r>
        <w:rPr>
          <w:rFonts w:hint="eastAsia"/>
          <w:b/>
          <w:bCs/>
          <w:lang w:val="en-US" w:eastAsia="zh-CN"/>
        </w:rPr>
        <w:t>3</w:t>
      </w:r>
      <w:r>
        <w:rPr>
          <w:rFonts w:hint="eastAsia"/>
          <w:b/>
          <w:bCs/>
        </w:rPr>
        <w:t>.卫生健康支出（类）行政事业单位医疗（款）行政单位医疗（项）:</w:t>
      </w:r>
      <w:r>
        <w:rPr>
          <w:rFonts w:hint="eastAsia"/>
        </w:rPr>
        <w:t>支出决算为</w:t>
      </w:r>
      <w:r>
        <w:rPr>
          <w:rFonts w:hint="eastAsia"/>
          <w:lang w:val="en-US" w:eastAsia="zh-CN"/>
        </w:rPr>
        <w:t>1.29</w:t>
      </w:r>
      <w:r>
        <w:rPr>
          <w:rFonts w:hint="eastAsia"/>
        </w:rPr>
        <w:t>万元，完成预算100%。</w:t>
      </w:r>
    </w:p>
    <w:p>
      <w:pPr>
        <w:spacing w:line="560" w:lineRule="exact"/>
        <w:ind w:firstLine="641"/>
      </w:pPr>
      <w:r>
        <w:rPr>
          <w:rFonts w:hint="eastAsia"/>
          <w:b/>
          <w:bCs/>
          <w:lang w:val="en-US" w:eastAsia="zh-CN"/>
        </w:rPr>
        <w:t>4</w:t>
      </w:r>
      <w:r>
        <w:rPr>
          <w:rFonts w:hint="eastAsia"/>
          <w:b/>
          <w:bCs/>
        </w:rPr>
        <w:t>.卫生健康支出（类）行政事业单位医疗（款）事业单位医疗（项）:</w:t>
      </w:r>
      <w:r>
        <w:rPr>
          <w:rFonts w:hint="eastAsia"/>
        </w:rPr>
        <w:t>支出决算为</w:t>
      </w:r>
      <w:r>
        <w:rPr>
          <w:rFonts w:hint="eastAsia"/>
          <w:lang w:val="en-US" w:eastAsia="zh-CN"/>
        </w:rPr>
        <w:t>1.29</w:t>
      </w:r>
      <w:r>
        <w:rPr>
          <w:rFonts w:hint="eastAsia"/>
        </w:rPr>
        <w:t>万元，完成预算100%。</w:t>
      </w:r>
    </w:p>
    <w:p>
      <w:pPr>
        <w:spacing w:line="560" w:lineRule="exact"/>
        <w:ind w:firstLine="641"/>
        <w:rPr>
          <w:rFonts w:hint="eastAsia"/>
        </w:rPr>
      </w:pPr>
      <w:r>
        <w:rPr>
          <w:rFonts w:hint="eastAsia"/>
          <w:b/>
          <w:bCs/>
          <w:lang w:val="en-US" w:eastAsia="zh-CN"/>
        </w:rPr>
        <w:t>5</w:t>
      </w:r>
      <w:r>
        <w:rPr>
          <w:rFonts w:hint="eastAsia"/>
          <w:b/>
          <w:bCs/>
        </w:rPr>
        <w:t>.</w:t>
      </w:r>
      <w:r>
        <w:rPr>
          <w:rFonts w:hint="eastAsia" w:ascii="Times New Roman" w:hAnsi="Times New Roman" w:cs="Times New Roman"/>
          <w:b/>
          <w:bCs/>
          <w:lang w:val="en-US" w:eastAsia="zh-CN"/>
        </w:rPr>
        <w:t>农林水支出（类）巩固脱贫攻坚成果衔接乡村振兴（款</w:t>
      </w:r>
      <w:r>
        <w:rPr>
          <w:rFonts w:hint="eastAsia"/>
          <w:b/>
          <w:bCs/>
        </w:rPr>
        <w:t>）</w:t>
      </w:r>
      <w:r>
        <w:rPr>
          <w:rFonts w:hint="eastAsia"/>
          <w:b/>
          <w:bCs/>
          <w:lang w:eastAsia="zh-CN"/>
        </w:rPr>
        <w:t>行政运行</w:t>
      </w:r>
      <w:r>
        <w:rPr>
          <w:rFonts w:hint="eastAsia"/>
          <w:b/>
          <w:bCs/>
        </w:rPr>
        <w:t>（项）:</w:t>
      </w:r>
      <w:r>
        <w:rPr>
          <w:rFonts w:hint="eastAsia"/>
        </w:rPr>
        <w:t>支出决算为</w:t>
      </w:r>
      <w:r>
        <w:rPr>
          <w:rFonts w:hint="eastAsia"/>
          <w:lang w:val="en-US" w:eastAsia="zh-CN"/>
        </w:rPr>
        <w:t>42.21</w:t>
      </w:r>
      <w:r>
        <w:rPr>
          <w:rFonts w:hint="eastAsia"/>
        </w:rPr>
        <w:t>万元，完成预算100%。</w:t>
      </w:r>
    </w:p>
    <w:p>
      <w:pPr>
        <w:spacing w:line="560" w:lineRule="exact"/>
        <w:ind w:firstLine="641"/>
        <w:rPr>
          <w:rFonts w:hint="eastAsia"/>
        </w:rPr>
      </w:pPr>
      <w:r>
        <w:rPr>
          <w:rFonts w:hint="eastAsia"/>
          <w:b/>
          <w:bCs/>
          <w:lang w:val="en-US" w:eastAsia="zh-CN"/>
        </w:rPr>
        <w:t>6</w:t>
      </w:r>
      <w:r>
        <w:rPr>
          <w:rFonts w:hint="eastAsia"/>
          <w:b/>
          <w:bCs/>
        </w:rPr>
        <w:t>.农林水支出（类）</w:t>
      </w:r>
      <w:r>
        <w:rPr>
          <w:rFonts w:hint="eastAsia"/>
          <w:b/>
          <w:bCs/>
          <w:lang w:eastAsia="zh-CN"/>
        </w:rPr>
        <w:t>巩固脱贫攻坚成果衔接乡村振兴</w:t>
      </w:r>
      <w:r>
        <w:rPr>
          <w:rFonts w:hint="eastAsia"/>
          <w:b/>
          <w:bCs/>
        </w:rPr>
        <w:t>（款）</w:t>
      </w:r>
      <w:r>
        <w:rPr>
          <w:rFonts w:hint="eastAsia"/>
          <w:b/>
          <w:bCs/>
          <w:lang w:eastAsia="zh-CN"/>
        </w:rPr>
        <w:t>事业运行</w:t>
      </w:r>
      <w:r>
        <w:rPr>
          <w:rFonts w:hint="eastAsia"/>
          <w:b/>
          <w:bCs/>
        </w:rPr>
        <w:t>（项）:</w:t>
      </w:r>
      <w:r>
        <w:rPr>
          <w:rFonts w:hint="eastAsia"/>
        </w:rPr>
        <w:t>支出决算为</w:t>
      </w:r>
      <w:r>
        <w:rPr>
          <w:rFonts w:hint="eastAsia"/>
          <w:lang w:val="en-US" w:eastAsia="zh-CN"/>
        </w:rPr>
        <w:t>27.92</w:t>
      </w:r>
      <w:r>
        <w:rPr>
          <w:rFonts w:hint="eastAsia"/>
        </w:rPr>
        <w:t>万元，完成预算100%。</w:t>
      </w:r>
    </w:p>
    <w:p>
      <w:pPr>
        <w:spacing w:line="560" w:lineRule="exact"/>
        <w:ind w:firstLine="641"/>
        <w:rPr>
          <w:rFonts w:hint="eastAsia"/>
        </w:rPr>
      </w:pPr>
      <w:r>
        <w:rPr>
          <w:rFonts w:hint="eastAsia"/>
          <w:b/>
          <w:bCs/>
          <w:lang w:val="en-US" w:eastAsia="zh-CN"/>
        </w:rPr>
        <w:t>7</w:t>
      </w:r>
      <w:r>
        <w:rPr>
          <w:rFonts w:hint="eastAsia"/>
          <w:b/>
          <w:bCs/>
        </w:rPr>
        <w:t>.农林水支出（类）</w:t>
      </w:r>
      <w:r>
        <w:rPr>
          <w:rFonts w:hint="eastAsia"/>
          <w:b/>
          <w:bCs/>
          <w:lang w:eastAsia="zh-CN"/>
        </w:rPr>
        <w:t>巩固脱贫攻坚成果衔接乡村振兴</w:t>
      </w:r>
      <w:r>
        <w:rPr>
          <w:rFonts w:hint="eastAsia"/>
          <w:b/>
          <w:bCs/>
        </w:rPr>
        <w:t>（款）</w:t>
      </w:r>
      <w:r>
        <w:rPr>
          <w:rFonts w:hint="eastAsia"/>
          <w:b/>
          <w:bCs/>
          <w:lang w:eastAsia="zh-CN"/>
        </w:rPr>
        <w:t>其他巩固脱贫攻坚成果衔接乡村振兴支出</w:t>
      </w:r>
      <w:r>
        <w:rPr>
          <w:rFonts w:hint="eastAsia"/>
          <w:b/>
          <w:bCs/>
        </w:rPr>
        <w:t>（项）:</w:t>
      </w:r>
      <w:r>
        <w:rPr>
          <w:rFonts w:hint="eastAsia"/>
        </w:rPr>
        <w:t>支出决算为</w:t>
      </w:r>
      <w:r>
        <w:rPr>
          <w:rFonts w:hint="eastAsia"/>
          <w:lang w:val="en-US" w:eastAsia="zh-CN"/>
        </w:rPr>
        <w:t>353.71</w:t>
      </w:r>
      <w:r>
        <w:rPr>
          <w:rFonts w:hint="eastAsia"/>
        </w:rPr>
        <w:t>万元，完成预算100%。</w:t>
      </w:r>
    </w:p>
    <w:p>
      <w:pPr>
        <w:spacing w:line="560" w:lineRule="exact"/>
        <w:ind w:firstLine="641"/>
      </w:pPr>
      <w:r>
        <w:rPr>
          <w:rFonts w:hint="eastAsia"/>
          <w:b/>
          <w:bCs/>
          <w:lang w:val="en-US" w:eastAsia="zh-CN"/>
        </w:rPr>
        <w:t>8</w:t>
      </w:r>
      <w:r>
        <w:rPr>
          <w:rFonts w:hint="eastAsia"/>
          <w:b/>
          <w:bCs/>
        </w:rPr>
        <w:t>.住房保障支出（类）住房改革支出（款）住房公积金（项）:</w:t>
      </w:r>
      <w:r>
        <w:rPr>
          <w:rFonts w:hint="eastAsia"/>
        </w:rPr>
        <w:t>支出决算为</w:t>
      </w:r>
      <w:r>
        <w:rPr>
          <w:rFonts w:hint="eastAsia"/>
          <w:lang w:val="en-US" w:eastAsia="zh-CN"/>
        </w:rPr>
        <w:t>4.96</w:t>
      </w:r>
      <w:r>
        <w:rPr>
          <w:rFonts w:hint="eastAsia"/>
        </w:rPr>
        <w:t>万元，完成预算100%。</w:t>
      </w:r>
    </w:p>
    <w:p>
      <w:pPr>
        <w:pStyle w:val="4"/>
        <w:spacing w:line="560" w:lineRule="exact"/>
        <w:ind w:firstLine="640"/>
      </w:pPr>
      <w:bookmarkStart w:id="57" w:name="_Toc15377214"/>
      <w:bookmarkStart w:id="58" w:name="_Toc15720"/>
      <w:bookmarkStart w:id="59" w:name="_Toc15396608"/>
      <w:r>
        <w:rPr>
          <w:rFonts w:hint="eastAsia"/>
        </w:rPr>
        <w:t>六、一般公共预算财政拨款基本支出决算情况说明</w:t>
      </w:r>
      <w:bookmarkEnd w:id="57"/>
      <w:bookmarkEnd w:id="58"/>
      <w:bookmarkEnd w:id="59"/>
      <w:r>
        <w:tab/>
      </w:r>
    </w:p>
    <w:p>
      <w:pPr>
        <w:spacing w:line="560" w:lineRule="exact"/>
        <w:ind w:firstLine="640"/>
      </w:pPr>
      <w:r>
        <w:t>20</w:t>
      </w:r>
      <w:r>
        <w:rPr>
          <w:rFonts w:hint="eastAsia"/>
        </w:rPr>
        <w:t>2</w:t>
      </w:r>
      <w:r>
        <w:rPr>
          <w:rFonts w:hint="eastAsia"/>
          <w:lang w:val="en-US" w:eastAsia="zh-CN"/>
        </w:rPr>
        <w:t>4</w:t>
      </w:r>
      <w:r>
        <w:rPr>
          <w:rFonts w:hint="eastAsia"/>
        </w:rPr>
        <w:t>年一般公共预算财政拨款基本支出</w:t>
      </w:r>
      <w:r>
        <w:rPr>
          <w:rFonts w:hint="eastAsia"/>
          <w:lang w:val="en-US" w:eastAsia="zh-CN"/>
        </w:rPr>
        <w:t>83.52</w:t>
      </w:r>
      <w:r>
        <w:rPr>
          <w:rFonts w:hint="eastAsia"/>
        </w:rPr>
        <w:t>万元，其中：</w:t>
      </w:r>
    </w:p>
    <w:p>
      <w:pPr>
        <w:keepNext w:val="0"/>
        <w:keepLines w:val="0"/>
        <w:pageBreakBefore w:val="0"/>
        <w:widowControl w:val="0"/>
        <w:kinsoku/>
        <w:wordWrap/>
        <w:overflowPunct/>
        <w:topLinePunct w:val="0"/>
        <w:bidi w:val="0"/>
        <w:snapToGrid/>
        <w:spacing w:line="560" w:lineRule="exact"/>
        <w:ind w:firstLine="0"/>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eastAsia"/>
          <w:b/>
          <w:bCs/>
        </w:rPr>
        <w:t>人员经费</w:t>
      </w:r>
      <w:r>
        <w:rPr>
          <w:rFonts w:hint="eastAsia"/>
          <w:b/>
          <w:bCs/>
          <w:lang w:val="en-US" w:eastAsia="zh-CN"/>
        </w:rPr>
        <w:t>78.47</w:t>
      </w:r>
      <w:r>
        <w:rPr>
          <w:rFonts w:hint="eastAsia"/>
          <w:b/>
          <w:bCs/>
        </w:rPr>
        <w:t>万元，</w:t>
      </w:r>
      <w:r>
        <w:rPr>
          <w:rFonts w:hint="eastAsia"/>
        </w:rPr>
        <w:t>主要包括：</w:t>
      </w:r>
      <w:r>
        <w:rPr>
          <w:rFonts w:hint="default" w:ascii="Times New Roman" w:hAnsi="Times New Roman" w:eastAsia="仿宋_GB2312" w:cs="Times New Roman"/>
          <w:b w:val="0"/>
          <w:bCs w:val="0"/>
          <w:i w:val="0"/>
          <w:iCs w:val="0"/>
          <w:color w:val="auto"/>
          <w:sz w:val="32"/>
          <w:szCs w:val="32"/>
          <w:highlight w:val="none"/>
        </w:rPr>
        <w:t>基本工资、津贴补贴、奖金、绩效工资、机关事业单位基本养老保险缴费、</w:t>
      </w:r>
      <w:r>
        <w:rPr>
          <w:rFonts w:hint="eastAsia" w:ascii="Times New Roman" w:hAnsi="Times New Roman" w:cs="Times New Roman"/>
          <w:b w:val="0"/>
          <w:bCs w:val="0"/>
          <w:i w:val="0"/>
          <w:iCs w:val="0"/>
          <w:color w:val="auto"/>
          <w:sz w:val="32"/>
          <w:szCs w:val="32"/>
          <w:highlight w:val="none"/>
          <w:lang w:eastAsia="zh-CN"/>
        </w:rPr>
        <w:t>职工基本医疗保险缴费、</w:t>
      </w:r>
      <w:r>
        <w:rPr>
          <w:rFonts w:hint="default" w:ascii="Times New Roman" w:hAnsi="Times New Roman" w:eastAsia="仿宋_GB2312" w:cs="Times New Roman"/>
          <w:b w:val="0"/>
          <w:bCs w:val="0"/>
          <w:i w:val="0"/>
          <w:iCs w:val="0"/>
          <w:color w:val="auto"/>
          <w:sz w:val="32"/>
          <w:szCs w:val="32"/>
          <w:highlight w:val="none"/>
        </w:rPr>
        <w:t>其他社会保障缴费、其他工资福利支出、生活补助、住房公积金。</w:t>
      </w:r>
    </w:p>
    <w:p>
      <w:pPr>
        <w:spacing w:line="560" w:lineRule="exact"/>
        <w:ind w:firstLine="641"/>
      </w:pPr>
      <w:r>
        <w:rPr>
          <w:rFonts w:hint="eastAsia"/>
          <w:b/>
          <w:bCs/>
          <w:lang w:eastAsia="zh-CN"/>
        </w:rPr>
        <w:t>公</w:t>
      </w:r>
      <w:r>
        <w:rPr>
          <w:rFonts w:hint="eastAsia"/>
          <w:b/>
          <w:bCs/>
        </w:rPr>
        <w:t>用经费</w:t>
      </w:r>
      <w:r>
        <w:rPr>
          <w:rFonts w:hint="eastAsia"/>
          <w:b/>
          <w:bCs/>
          <w:lang w:val="en-US" w:eastAsia="zh-CN"/>
        </w:rPr>
        <w:t>5.05</w:t>
      </w:r>
      <w:r>
        <w:rPr>
          <w:rFonts w:hint="eastAsia"/>
          <w:b/>
          <w:bCs/>
        </w:rPr>
        <w:t>万元，</w:t>
      </w:r>
      <w:r>
        <w:rPr>
          <w:rFonts w:hint="eastAsia"/>
        </w:rPr>
        <w:t>主要包括：办公费、福利费、其他交通费、其他商品和服务支出。</w:t>
      </w:r>
      <w:bookmarkStart w:id="60" w:name="_Toc15396609"/>
      <w:bookmarkStart w:id="61" w:name="_Toc15377215"/>
    </w:p>
    <w:p>
      <w:pPr>
        <w:pStyle w:val="4"/>
        <w:spacing w:line="560" w:lineRule="exact"/>
        <w:ind w:firstLine="640"/>
      </w:pPr>
      <w:bookmarkStart w:id="62" w:name="_Toc25161"/>
      <w:r>
        <w:rPr>
          <w:rFonts w:hint="eastAsia"/>
        </w:rPr>
        <w:t>七、</w:t>
      </w:r>
      <w:r>
        <w:rPr>
          <w:rFonts w:hint="eastAsia"/>
          <w:lang w:eastAsia="zh-CN"/>
        </w:rPr>
        <w:t>财政拨款</w:t>
      </w:r>
      <w:r>
        <w:rPr>
          <w:rFonts w:hint="eastAsia"/>
        </w:rPr>
        <w:t>“三公”经费支出决算情况说明</w:t>
      </w:r>
      <w:bookmarkEnd w:id="60"/>
      <w:bookmarkEnd w:id="61"/>
      <w:bookmarkEnd w:id="62"/>
    </w:p>
    <w:p>
      <w:pPr>
        <w:pStyle w:val="5"/>
        <w:spacing w:line="560" w:lineRule="exact"/>
        <w:ind w:firstLine="640"/>
        <w:rPr>
          <w:b/>
          <w:bCs w:val="0"/>
        </w:rPr>
      </w:pPr>
      <w:bookmarkStart w:id="63" w:name="_Toc15377216"/>
      <w:r>
        <w:rPr>
          <w:rFonts w:hint="eastAsia"/>
          <w:b/>
          <w:bCs w:val="0"/>
        </w:rPr>
        <w:t>（一）“三公”经费财政拨款支出决算总体情况说明</w:t>
      </w:r>
      <w:bookmarkEnd w:id="63"/>
    </w:p>
    <w:p>
      <w:pPr>
        <w:spacing w:line="560" w:lineRule="exact"/>
        <w:ind w:firstLine="640"/>
        <w:rPr>
          <w:rFonts w:hint="default"/>
          <w:lang w:val="en-US"/>
        </w:rPr>
      </w:pPr>
      <w:r>
        <w:t>20</w:t>
      </w:r>
      <w:r>
        <w:rPr>
          <w:rFonts w:hint="eastAsia"/>
        </w:rPr>
        <w:t>2</w:t>
      </w:r>
      <w:r>
        <w:rPr>
          <w:rFonts w:hint="eastAsia"/>
          <w:lang w:val="en-US" w:eastAsia="zh-CN"/>
        </w:rPr>
        <w:t>4</w:t>
      </w:r>
      <w:r>
        <w:rPr>
          <w:rFonts w:hint="eastAsia"/>
        </w:rPr>
        <w:t>年“三公”经费财政拨款支出决算为</w:t>
      </w:r>
      <w:r>
        <w:rPr>
          <w:rFonts w:hint="eastAsia"/>
          <w:lang w:val="en-US" w:eastAsia="zh-CN"/>
        </w:rPr>
        <w:t>0</w:t>
      </w:r>
      <w:r>
        <w:rPr>
          <w:rFonts w:hint="eastAsia"/>
        </w:rPr>
        <w:t>万元</w:t>
      </w:r>
      <w:r>
        <w:rPr>
          <w:rFonts w:hint="eastAsia"/>
          <w:lang w:eastAsia="zh-CN"/>
        </w:rPr>
        <w:t>，完成预算</w:t>
      </w:r>
      <w:r>
        <w:rPr>
          <w:rFonts w:hint="eastAsia"/>
          <w:lang w:val="en-US" w:eastAsia="zh-CN"/>
        </w:rPr>
        <w:t>0%，较上年增加/减少0万元，增长/下降0%，决算数与预算数持平。</w:t>
      </w:r>
    </w:p>
    <w:p>
      <w:pPr>
        <w:pStyle w:val="5"/>
        <w:spacing w:line="560" w:lineRule="exact"/>
        <w:ind w:firstLine="640"/>
        <w:rPr>
          <w:b/>
          <w:bCs w:val="0"/>
        </w:rPr>
      </w:pPr>
      <w:bookmarkStart w:id="64" w:name="_Toc15377217"/>
      <w:r>
        <w:rPr>
          <w:rFonts w:hint="eastAsia"/>
          <w:b/>
          <w:bCs w:val="0"/>
        </w:rPr>
        <w:t>（二）“三公”经费财政拨款支出决算具体情况说明</w:t>
      </w:r>
      <w:bookmarkEnd w:id="64"/>
    </w:p>
    <w:p>
      <w:pPr>
        <w:spacing w:line="560" w:lineRule="exact"/>
        <w:ind w:firstLine="640"/>
        <w:rPr>
          <w:rFonts w:hint="eastAsia" w:ascii="仿宋" w:hAnsi="仿宋" w:eastAsia="仿宋_GB2312"/>
          <w:szCs w:val="32"/>
          <w:lang w:eastAsia="zh-CN"/>
        </w:rPr>
      </w:pPr>
      <w:r>
        <w:t>20</w:t>
      </w:r>
      <w:r>
        <w:rPr>
          <w:rFonts w:hint="eastAsia"/>
        </w:rPr>
        <w:t>2</w:t>
      </w:r>
      <w:r>
        <w:rPr>
          <w:rFonts w:hint="eastAsia"/>
          <w:lang w:val="en-US" w:eastAsia="zh-CN"/>
        </w:rPr>
        <w:t>4</w:t>
      </w:r>
      <w:r>
        <w:rPr>
          <w:rFonts w:hint="eastAsia"/>
        </w:rPr>
        <w:t>年“三公”经费财政拨款支出决算中，</w:t>
      </w:r>
      <w:r>
        <w:rPr>
          <w:rFonts w:hint="default" w:ascii="Times New Roman" w:hAnsi="Times New Roman" w:eastAsia="仿宋_GB2312" w:cs="Times New Roman"/>
          <w:b w:val="0"/>
          <w:bCs w:val="0"/>
          <w:i w:val="0"/>
          <w:iCs w:val="0"/>
          <w:color w:val="auto"/>
          <w:sz w:val="32"/>
          <w:szCs w:val="32"/>
          <w:highlight w:val="none"/>
        </w:rPr>
        <w:t>因公出国（境）费支出决算</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万元；公务用车购置及运行维护费支出决算</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eastAsia" w:cs="Times New Roman"/>
          <w:b w:val="0"/>
          <w:bCs w:val="0"/>
          <w:i w:val="0"/>
          <w:iCs w:val="0"/>
          <w:color w:val="auto"/>
          <w:sz w:val="32"/>
          <w:szCs w:val="32"/>
          <w:highlight w:val="none"/>
          <w:lang w:eastAsia="zh-CN"/>
        </w:rPr>
        <w:t>。</w:t>
      </w:r>
    </w:p>
    <w:p>
      <w:pPr>
        <w:spacing w:line="240" w:lineRule="auto"/>
        <w:ind w:firstLine="643"/>
      </w:pPr>
      <w:r>
        <w:rPr>
          <w:b/>
          <w:bCs/>
        </w:rPr>
        <w:t>1.</w:t>
      </w:r>
      <w:r>
        <w:rPr>
          <w:rFonts w:hint="eastAsia"/>
          <w:b/>
          <w:bCs/>
        </w:rPr>
        <w:t>因公出国（境）经费支出0万元</w:t>
      </w:r>
      <w:r>
        <w:rPr>
          <w:rStyle w:val="23"/>
          <w:rFonts w:hint="default" w:ascii="Times New Roman" w:hAnsi="Times New Roman" w:eastAsia="仿宋_GB2312" w:cs="Times New Roman"/>
          <w:b w:val="0"/>
          <w:bCs w:val="0"/>
          <w:i w:val="0"/>
          <w:iCs w:val="0"/>
          <w:color w:val="auto"/>
          <w:sz w:val="32"/>
          <w:szCs w:val="32"/>
          <w:highlight w:val="none"/>
        </w:rPr>
        <w:t>完成预算</w:t>
      </w:r>
      <w:r>
        <w:rPr>
          <w:rStyle w:val="23"/>
          <w:rFonts w:hint="eastAsia" w:cs="Times New Roman"/>
          <w:b w:val="0"/>
          <w:bCs w:val="0"/>
          <w:i w:val="0"/>
          <w:iCs w:val="0"/>
          <w:color w:val="auto"/>
          <w:sz w:val="32"/>
          <w:szCs w:val="32"/>
          <w:highlight w:val="none"/>
          <w:lang w:val="en-US" w:eastAsia="zh-CN"/>
        </w:rPr>
        <w:t>10</w:t>
      </w:r>
      <w:r>
        <w:rPr>
          <w:rStyle w:val="23"/>
          <w:rFonts w:hint="eastAsia" w:ascii="Times New Roman" w:hAnsi="Times New Roman" w:cs="Times New Roman"/>
          <w:b w:val="0"/>
          <w:bCs w:val="0"/>
          <w:i w:val="0"/>
          <w:iCs w:val="0"/>
          <w:color w:val="auto"/>
          <w:sz w:val="32"/>
          <w:szCs w:val="32"/>
          <w:highlight w:val="none"/>
          <w:lang w:val="en-US" w:eastAsia="zh-CN"/>
        </w:rPr>
        <w:t>0</w:t>
      </w:r>
      <w:r>
        <w:rPr>
          <w:rStyle w:val="23"/>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全年安排因公出国（境）团组</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次，出国（境）</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人。因公出国（境）支出决算</w:t>
      </w:r>
      <w:r>
        <w:rPr>
          <w:rFonts w:hint="eastAsia" w:cs="Times New Roman"/>
          <w:b w:val="0"/>
          <w:bCs w:val="0"/>
          <w:i w:val="0"/>
          <w:iCs w:val="0"/>
          <w:color w:val="auto"/>
          <w:sz w:val="32"/>
          <w:szCs w:val="32"/>
          <w:highlight w:val="none"/>
          <w:lang w:val="en-US" w:eastAsia="zh-CN"/>
        </w:rPr>
        <w:t>与</w:t>
      </w:r>
      <w:r>
        <w:rPr>
          <w:rFonts w:hint="default" w:ascii="Times New Roman" w:hAnsi="Times New Roman" w:eastAsia="仿宋_GB2312" w:cs="Times New Roman"/>
          <w:b w:val="0"/>
          <w:bCs w:val="0"/>
          <w:i w:val="0"/>
          <w:iCs w:val="0"/>
          <w:color w:val="auto"/>
          <w:sz w:val="32"/>
          <w:szCs w:val="32"/>
          <w:highlight w:val="none"/>
          <w:lang w:eastAsia="zh-CN"/>
        </w:rPr>
        <w:t>202</w:t>
      </w:r>
      <w:r>
        <w:rPr>
          <w:rFonts w:hint="eastAsia" w:cs="Times New Roman"/>
          <w:b w:val="0"/>
          <w:bCs w:val="0"/>
          <w:i w:val="0"/>
          <w:iCs w:val="0"/>
          <w:color w:val="auto"/>
          <w:sz w:val="32"/>
          <w:szCs w:val="32"/>
          <w:highlight w:val="none"/>
          <w:lang w:val="en-US" w:eastAsia="zh-CN"/>
        </w:rPr>
        <w:t>3</w:t>
      </w:r>
      <w:r>
        <w:rPr>
          <w:rFonts w:hint="default" w:ascii="Times New Roman" w:hAnsi="Times New Roman" w:eastAsia="仿宋_GB2312" w:cs="Times New Roman"/>
          <w:b w:val="0"/>
          <w:bCs w:val="0"/>
          <w:i w:val="0"/>
          <w:iCs w:val="0"/>
          <w:color w:val="auto"/>
          <w:sz w:val="32"/>
          <w:szCs w:val="32"/>
          <w:highlight w:val="none"/>
        </w:rPr>
        <w:t>年</w:t>
      </w:r>
      <w:r>
        <w:rPr>
          <w:rFonts w:hint="eastAsia" w:cs="Times New Roman"/>
          <w:b w:val="0"/>
          <w:bCs w:val="0"/>
          <w:i w:val="0"/>
          <w:iCs w:val="0"/>
          <w:color w:val="auto"/>
          <w:sz w:val="32"/>
          <w:szCs w:val="32"/>
          <w:highlight w:val="none"/>
          <w:lang w:val="en-US" w:eastAsia="zh-CN"/>
        </w:rPr>
        <w:t>持平</w:t>
      </w:r>
      <w:r>
        <w:rPr>
          <w:rFonts w:hint="eastAsia"/>
        </w:rPr>
        <w:t>。</w:t>
      </w:r>
    </w:p>
    <w:p>
      <w:pPr>
        <w:spacing w:line="560" w:lineRule="exact"/>
        <w:ind w:firstLine="641"/>
      </w:pPr>
      <w:r>
        <w:rPr>
          <w:b/>
          <w:bCs/>
        </w:rPr>
        <w:t>2.</w:t>
      </w:r>
      <w:r>
        <w:rPr>
          <w:rFonts w:hint="eastAsia"/>
          <w:b/>
          <w:bCs/>
        </w:rPr>
        <w:t>公务用车购置及运行维护费支出</w:t>
      </w:r>
      <w:r>
        <w:rPr>
          <w:rFonts w:hint="eastAsia"/>
          <w:b/>
          <w:bCs/>
          <w:lang w:val="en-US" w:eastAsia="zh-CN"/>
        </w:rPr>
        <w:t>0</w:t>
      </w:r>
      <w:r>
        <w:rPr>
          <w:rFonts w:hint="eastAsia"/>
          <w:b/>
          <w:bCs/>
        </w:rPr>
        <w:t>万元,</w:t>
      </w:r>
      <w:r>
        <w:rPr>
          <w:rFonts w:hint="eastAsia"/>
        </w:rPr>
        <w:t>完成预算100</w:t>
      </w:r>
      <w:r>
        <w:t>%</w:t>
      </w:r>
      <w:r>
        <w:rPr>
          <w:rFonts w:hint="eastAsia"/>
        </w:rPr>
        <w:t>。公务用车购置及运行维护费支出决算</w:t>
      </w:r>
      <w:r>
        <w:rPr>
          <w:rFonts w:hint="eastAsia"/>
          <w:lang w:eastAsia="zh-CN"/>
        </w:rPr>
        <w:t>与</w:t>
      </w:r>
      <w:r>
        <w:t>20</w:t>
      </w:r>
      <w:r>
        <w:rPr>
          <w:rFonts w:hint="eastAsia"/>
        </w:rPr>
        <w:t>2</w:t>
      </w:r>
      <w:r>
        <w:rPr>
          <w:rFonts w:hint="eastAsia"/>
          <w:lang w:val="en-US" w:eastAsia="zh-CN"/>
        </w:rPr>
        <w:t>3</w:t>
      </w:r>
      <w:r>
        <w:rPr>
          <w:rFonts w:hint="eastAsia"/>
        </w:rPr>
        <w:t>年</w:t>
      </w:r>
      <w:r>
        <w:rPr>
          <w:rFonts w:hint="eastAsia"/>
          <w:lang w:eastAsia="zh-CN"/>
        </w:rPr>
        <w:t>持平</w:t>
      </w:r>
      <w:r>
        <w:rPr>
          <w:rFonts w:hint="eastAsia"/>
        </w:rPr>
        <w:t>。</w:t>
      </w:r>
    </w:p>
    <w:p>
      <w:pPr>
        <w:spacing w:line="560" w:lineRule="exact"/>
        <w:ind w:firstLine="640"/>
      </w:pPr>
      <w:r>
        <w:rPr>
          <w:rFonts w:hint="eastAsia"/>
        </w:rPr>
        <w:t>其中：</w:t>
      </w:r>
      <w:r>
        <w:rPr>
          <w:rFonts w:hint="eastAsia"/>
          <w:b/>
          <w:bCs/>
        </w:rPr>
        <w:t>公务用车购置支出0万元。</w:t>
      </w:r>
      <w:r>
        <w:rPr>
          <w:rFonts w:hint="eastAsia"/>
        </w:rPr>
        <w:t>全年按规定更新购置公务用车0辆，其中：轿车0辆、金额0万元，越野车0辆、金额0万元，载客汽车0辆、金额0万元。截至</w:t>
      </w:r>
      <w:r>
        <w:t>20</w:t>
      </w:r>
      <w:r>
        <w:rPr>
          <w:rFonts w:hint="eastAsia"/>
        </w:rPr>
        <w:t>2</w:t>
      </w:r>
      <w:r>
        <w:rPr>
          <w:rFonts w:hint="eastAsia"/>
          <w:lang w:val="en-US" w:eastAsia="zh-CN"/>
        </w:rPr>
        <w:t>4</w:t>
      </w:r>
      <w:r>
        <w:rPr>
          <w:rFonts w:hint="eastAsia"/>
        </w:rPr>
        <w:t>年</w:t>
      </w:r>
      <w:r>
        <w:t>12</w:t>
      </w:r>
      <w:r>
        <w:rPr>
          <w:rFonts w:hint="eastAsia"/>
        </w:rPr>
        <w:t>月底，单位共有公务用车</w:t>
      </w:r>
      <w:r>
        <w:rPr>
          <w:rFonts w:hint="eastAsia"/>
          <w:lang w:val="en-US" w:eastAsia="zh-CN"/>
        </w:rPr>
        <w:t>0</w:t>
      </w:r>
      <w:r>
        <w:rPr>
          <w:rFonts w:hint="eastAsia"/>
        </w:rPr>
        <w:t>辆，其中：轿车</w:t>
      </w:r>
      <w:r>
        <w:rPr>
          <w:rFonts w:hint="eastAsia"/>
          <w:lang w:val="en-US" w:eastAsia="zh-CN"/>
        </w:rPr>
        <w:t>0</w:t>
      </w:r>
      <w:r>
        <w:rPr>
          <w:rFonts w:hint="eastAsia"/>
        </w:rPr>
        <w:t>辆、越野车0辆、载客汽车0辆。</w:t>
      </w:r>
    </w:p>
    <w:p>
      <w:pPr>
        <w:spacing w:line="560" w:lineRule="exact"/>
        <w:ind w:firstLine="641"/>
      </w:pPr>
      <w:r>
        <w:rPr>
          <w:rFonts w:hint="eastAsia"/>
          <w:b/>
          <w:bCs/>
        </w:rPr>
        <w:t>公务用车运行维护费支出</w:t>
      </w:r>
      <w:r>
        <w:rPr>
          <w:rFonts w:hint="eastAsia"/>
          <w:b/>
          <w:bCs/>
          <w:lang w:val="en-US" w:eastAsia="zh-CN"/>
        </w:rPr>
        <w:t>0</w:t>
      </w:r>
      <w:r>
        <w:rPr>
          <w:rFonts w:hint="eastAsia"/>
          <w:b/>
          <w:bCs/>
        </w:rPr>
        <w:t>万元。</w:t>
      </w:r>
    </w:p>
    <w:p>
      <w:pPr>
        <w:snapToGrid w:val="0"/>
        <w:spacing w:line="560" w:lineRule="exact"/>
        <w:ind w:firstLine="643" w:firstLineChars="200"/>
      </w:pPr>
      <w:r>
        <w:rPr>
          <w:b/>
          <w:bCs/>
        </w:rPr>
        <w:t>3.</w:t>
      </w:r>
      <w:r>
        <w:rPr>
          <w:rFonts w:hint="eastAsia"/>
          <w:b/>
          <w:bCs/>
        </w:rPr>
        <w:t>公务接待费支出</w:t>
      </w:r>
      <w:r>
        <w:rPr>
          <w:rFonts w:hint="eastAsia"/>
          <w:b/>
          <w:bCs/>
          <w:lang w:val="en-US" w:eastAsia="zh-CN"/>
        </w:rPr>
        <w:t>0</w:t>
      </w:r>
      <w:r>
        <w:rPr>
          <w:rFonts w:hint="eastAsia"/>
          <w:b/>
          <w:bCs/>
        </w:rPr>
        <w:t>万元，</w:t>
      </w:r>
      <w:r>
        <w:rPr>
          <w:rFonts w:hint="eastAsia"/>
        </w:rPr>
        <w:t>完成预算100</w:t>
      </w:r>
      <w:r>
        <w:t>%</w:t>
      </w:r>
      <w:r>
        <w:rPr>
          <w:rFonts w:hint="eastAsia"/>
        </w:rPr>
        <w:t>。公务接待费支出决算</w:t>
      </w:r>
      <w:r>
        <w:rPr>
          <w:rFonts w:hint="eastAsia"/>
          <w:lang w:eastAsia="zh-CN"/>
        </w:rPr>
        <w:t>与</w:t>
      </w:r>
      <w:r>
        <w:t>20</w:t>
      </w:r>
      <w:r>
        <w:rPr>
          <w:rFonts w:hint="eastAsia"/>
        </w:rPr>
        <w:t>2</w:t>
      </w:r>
      <w:r>
        <w:rPr>
          <w:rFonts w:hint="eastAsia"/>
          <w:lang w:val="en-US" w:eastAsia="zh-CN"/>
        </w:rPr>
        <w:t>3</w:t>
      </w:r>
      <w:r>
        <w:rPr>
          <w:rFonts w:hint="eastAsia"/>
        </w:rPr>
        <w:t>年</w:t>
      </w:r>
      <w:r>
        <w:rPr>
          <w:rFonts w:hint="eastAsia"/>
          <w:lang w:eastAsia="zh-CN"/>
        </w:rPr>
        <w:t>持平</w:t>
      </w:r>
      <w:r>
        <w:rPr>
          <w:rFonts w:hint="eastAsia" w:ascii="仿宋_GB2312" w:hAnsi="仿宋_GB2312" w:eastAsia="仿宋_GB2312" w:cs="仿宋_GB2312"/>
          <w:bCs/>
          <w:sz w:val="32"/>
          <w:szCs w:val="32"/>
          <w:lang w:val="en-US" w:eastAsia="zh-CN"/>
        </w:rPr>
        <w:t>。</w:t>
      </w:r>
      <w:r>
        <w:rPr>
          <w:rFonts w:hint="eastAsia"/>
        </w:rPr>
        <w:t>其中：</w:t>
      </w:r>
    </w:p>
    <w:p>
      <w:pPr>
        <w:spacing w:line="560" w:lineRule="exact"/>
        <w:ind w:firstLine="641"/>
        <w:rPr>
          <w:rFonts w:hint="eastAsia"/>
          <w:b/>
          <w:bCs/>
          <w:color w:val="auto"/>
          <w:lang w:val="en-US" w:eastAsia="zh-CN"/>
        </w:rPr>
      </w:pPr>
      <w:r>
        <w:rPr>
          <w:rFonts w:hint="eastAsia"/>
          <w:b/>
          <w:bCs/>
        </w:rPr>
        <w:t>国内公务接待支出</w:t>
      </w:r>
      <w:r>
        <w:rPr>
          <w:rFonts w:hint="eastAsia"/>
          <w:b/>
          <w:bCs/>
          <w:lang w:val="en-US" w:eastAsia="zh-CN"/>
        </w:rPr>
        <w:t>0</w:t>
      </w:r>
      <w:r>
        <w:rPr>
          <w:rFonts w:hint="eastAsia"/>
          <w:b/>
          <w:bCs/>
        </w:rPr>
        <w:t>万</w:t>
      </w:r>
      <w:r>
        <w:rPr>
          <w:rFonts w:hint="eastAsia"/>
          <w:b/>
          <w:bCs/>
          <w:lang w:val="en-US" w:eastAsia="zh-CN"/>
        </w:rPr>
        <w:t>元</w:t>
      </w:r>
      <w:r>
        <w:rPr>
          <w:rFonts w:hint="eastAsia"/>
          <w:b/>
          <w:bCs/>
          <w:color w:val="auto"/>
          <w:lang w:val="en-US" w:eastAsia="zh-CN"/>
        </w:rPr>
        <w:t>，</w:t>
      </w:r>
      <w:r>
        <w:rPr>
          <w:rFonts w:hint="eastAsia" w:ascii="Times New Roman" w:hAnsi="Times New Roman" w:cs="Times New Roman"/>
          <w:color w:val="auto"/>
        </w:rPr>
        <w:t>国内公务接待</w:t>
      </w:r>
      <w:r>
        <w:rPr>
          <w:rFonts w:hint="eastAsia" w:cs="Times New Roman"/>
          <w:color w:val="auto"/>
          <w:lang w:val="en-US" w:eastAsia="zh-CN"/>
        </w:rPr>
        <w:t>0</w:t>
      </w:r>
      <w:r>
        <w:rPr>
          <w:rFonts w:hint="eastAsia" w:ascii="Times New Roman" w:hAnsi="Times New Roman" w:cs="Times New Roman"/>
          <w:color w:val="auto"/>
        </w:rPr>
        <w:t>批次，</w:t>
      </w:r>
      <w:r>
        <w:rPr>
          <w:rFonts w:hint="eastAsia" w:cs="Times New Roman"/>
          <w:color w:val="auto"/>
          <w:lang w:val="en-US" w:eastAsia="zh-CN"/>
        </w:rPr>
        <w:t>0</w:t>
      </w:r>
      <w:r>
        <w:rPr>
          <w:rFonts w:hint="eastAsia" w:ascii="Times New Roman" w:hAnsi="Times New Roman" w:cs="Times New Roman"/>
          <w:color w:val="auto"/>
        </w:rPr>
        <w:t>人次（不包括陪同人员），共计支出</w:t>
      </w:r>
      <w:r>
        <w:rPr>
          <w:rFonts w:hint="eastAsia" w:cs="Times New Roman"/>
          <w:color w:val="auto"/>
          <w:lang w:val="en-US" w:eastAsia="zh-CN"/>
        </w:rPr>
        <w:t>0</w:t>
      </w:r>
      <w:r>
        <w:rPr>
          <w:rFonts w:hint="eastAsia" w:ascii="Times New Roman" w:hAnsi="Times New Roman" w:cs="Times New Roman"/>
          <w:color w:val="auto"/>
        </w:rPr>
        <w:t>万</w:t>
      </w:r>
      <w:r>
        <w:rPr>
          <w:rFonts w:hint="eastAsia" w:cs="Times New Roman"/>
          <w:color w:val="auto"/>
          <w:lang w:val="en-US" w:eastAsia="zh-CN"/>
        </w:rPr>
        <w:t>元。</w:t>
      </w:r>
    </w:p>
    <w:p>
      <w:pPr>
        <w:spacing w:line="560" w:lineRule="exact"/>
        <w:ind w:firstLine="641"/>
      </w:pPr>
      <w:r>
        <w:rPr>
          <w:rFonts w:hint="eastAsia"/>
          <w:b/>
          <w:bCs/>
        </w:rPr>
        <w:t>外事接待支出0万元，</w:t>
      </w:r>
      <w:r>
        <w:rPr>
          <w:rFonts w:hint="eastAsia"/>
        </w:rPr>
        <w:t>外事接待0批次，0人，共计支出0万元。</w:t>
      </w:r>
    </w:p>
    <w:p>
      <w:pPr>
        <w:pStyle w:val="4"/>
        <w:spacing w:line="560" w:lineRule="exact"/>
        <w:ind w:firstLine="640" w:firstLineChars="200"/>
      </w:pPr>
      <w:bookmarkStart w:id="65" w:name="_Toc15396610"/>
      <w:bookmarkStart w:id="66" w:name="_Toc15377218"/>
      <w:bookmarkStart w:id="67" w:name="_Toc588"/>
      <w:r>
        <w:rPr>
          <w:rFonts w:hint="eastAsia"/>
        </w:rPr>
        <w:t>八、政府性基金预算支出决算情况说明</w:t>
      </w:r>
      <w:bookmarkEnd w:id="65"/>
      <w:bookmarkEnd w:id="66"/>
      <w:bookmarkEnd w:id="67"/>
    </w:p>
    <w:p>
      <w:pPr>
        <w:snapToGrid w:val="0"/>
        <w:spacing w:line="56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t>20</w:t>
      </w:r>
      <w:r>
        <w:rPr>
          <w:rFonts w:hint="eastAsia"/>
        </w:rPr>
        <w:t>2</w:t>
      </w:r>
      <w:r>
        <w:rPr>
          <w:rFonts w:hint="eastAsia"/>
          <w:lang w:val="en-US" w:eastAsia="zh-CN"/>
        </w:rPr>
        <w:t>4</w:t>
      </w:r>
      <w:r>
        <w:rPr>
          <w:rFonts w:hint="eastAsia"/>
        </w:rPr>
        <w:t>年政府性基金预算财政拨款支出</w:t>
      </w:r>
      <w:r>
        <w:rPr>
          <w:rFonts w:hint="eastAsia"/>
          <w:lang w:val="en-US" w:eastAsia="zh-CN"/>
        </w:rPr>
        <w:t>100</w:t>
      </w:r>
      <w:r>
        <w:rPr>
          <w:rFonts w:hint="eastAsia"/>
        </w:rPr>
        <w:t>万元</w:t>
      </w:r>
      <w:r>
        <w:rPr>
          <w:rFonts w:hint="eastAsia"/>
          <w:lang w:eastAsia="zh-CN"/>
        </w:rPr>
        <w:t>，</w:t>
      </w:r>
      <w:r>
        <w:rPr>
          <w:rFonts w:hint="eastAsia" w:ascii="Times New Roman" w:hAnsi="Times New Roman" w:eastAsia="仿宋_GB2312" w:cs="仿宋_GB2312"/>
          <w:color w:val="auto"/>
          <w:kern w:val="2"/>
          <w:sz w:val="32"/>
          <w:szCs w:val="32"/>
          <w:highlight w:val="none"/>
          <w:lang w:val="en-US" w:eastAsia="zh-CN" w:bidi="ar-SA"/>
        </w:rPr>
        <w:t>占本年支出合计的</w:t>
      </w:r>
      <w:r>
        <w:rPr>
          <w:rFonts w:hint="eastAsia" w:cs="仿宋_GB2312"/>
          <w:color w:val="auto"/>
          <w:kern w:val="2"/>
          <w:sz w:val="32"/>
          <w:szCs w:val="32"/>
          <w:highlight w:val="none"/>
          <w:lang w:val="en-US" w:eastAsia="zh-CN" w:bidi="ar-SA"/>
        </w:rPr>
        <w:t>18.61</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cs="仿宋_GB2312"/>
          <w:color w:val="auto"/>
          <w:kern w:val="2"/>
          <w:sz w:val="32"/>
          <w:szCs w:val="32"/>
          <w:highlight w:val="none"/>
          <w:lang w:val="en-US" w:eastAsia="zh-CN" w:bidi="ar-SA"/>
        </w:rPr>
        <w:t>527.43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cs="仿宋_GB2312"/>
          <w:color w:val="auto"/>
          <w:kern w:val="2"/>
          <w:sz w:val="32"/>
          <w:szCs w:val="32"/>
          <w:highlight w:val="none"/>
          <w:lang w:val="en-US" w:eastAsia="zh-CN" w:bidi="ar-SA"/>
        </w:rPr>
        <w:t>84.06</w:t>
      </w:r>
      <w:r>
        <w:rPr>
          <w:rFonts w:hint="eastAsia" w:ascii="Times New Roman" w:hAnsi="Times New Roman" w:eastAsia="仿宋_GB2312" w:cs="仿宋_GB2312"/>
          <w:color w:val="auto"/>
          <w:kern w:val="2"/>
          <w:sz w:val="32"/>
          <w:szCs w:val="32"/>
          <w:highlight w:val="none"/>
          <w:lang w:val="en-US" w:eastAsia="zh-CN" w:bidi="ar-SA"/>
        </w:rPr>
        <w:t>%。</w:t>
      </w:r>
      <w:r>
        <w:rPr>
          <w:rFonts w:hint="eastAsia"/>
        </w:rPr>
        <w:t>主要变动原因是</w:t>
      </w:r>
      <w:r>
        <w:rPr>
          <w:rFonts w:hint="eastAsia" w:ascii="Times New Roman" w:hAnsi="Times New Roman" w:eastAsia="仿宋_GB2312" w:cs="仿宋_GB2312"/>
          <w:color w:val="auto"/>
          <w:kern w:val="2"/>
          <w:sz w:val="32"/>
          <w:szCs w:val="32"/>
          <w:highlight w:val="none"/>
          <w:lang w:val="en-US" w:eastAsia="zh-CN" w:bidi="ar-SA"/>
        </w:rPr>
        <w:t>2024年4月乡村振兴局合并到区农业农村局，财政拨款项目合并到区农业农村局。</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pPr>
        <w:pStyle w:val="4"/>
        <w:spacing w:line="560" w:lineRule="exact"/>
        <w:ind w:firstLine="640" w:firstLineChars="200"/>
      </w:pPr>
      <w:bookmarkStart w:id="68" w:name="_Toc15396611"/>
      <w:bookmarkStart w:id="69" w:name="_Toc3843"/>
      <w:bookmarkStart w:id="70" w:name="_Toc15377219"/>
      <w:r>
        <w:rPr>
          <w:rFonts w:hint="eastAsia"/>
        </w:rPr>
        <w:t>九、国有资本经营预算支出决算情况说明</w:t>
      </w:r>
      <w:bookmarkEnd w:id="68"/>
      <w:bookmarkEnd w:id="69"/>
      <w:bookmarkEnd w:id="70"/>
    </w:p>
    <w:p>
      <w:pPr>
        <w:spacing w:line="560" w:lineRule="exact"/>
        <w:ind w:firstLine="640"/>
        <w:rPr>
          <w:rFonts w:hint="default" w:eastAsia="仿宋_GB2312"/>
          <w:lang w:val="en-US" w:eastAsia="zh-CN"/>
        </w:rPr>
      </w:pPr>
      <w:r>
        <w:t>20</w:t>
      </w:r>
      <w:r>
        <w:rPr>
          <w:rFonts w:hint="eastAsia"/>
        </w:rPr>
        <w:t>2</w:t>
      </w:r>
      <w:r>
        <w:rPr>
          <w:rFonts w:hint="eastAsia"/>
          <w:lang w:val="en-US" w:eastAsia="zh-CN"/>
        </w:rPr>
        <w:t>4</w:t>
      </w:r>
      <w:r>
        <w:rPr>
          <w:rFonts w:hint="eastAsia"/>
        </w:rPr>
        <w:t>年国有资本经营预算财政拨款支出0万元。</w:t>
      </w:r>
      <w:r>
        <w:rPr>
          <w:rFonts w:hint="eastAsia"/>
          <w:lang w:eastAsia="zh-CN"/>
        </w:rPr>
        <w:t>与</w:t>
      </w:r>
      <w:r>
        <w:rPr>
          <w:rFonts w:hint="eastAsia"/>
          <w:lang w:val="en-US" w:eastAsia="zh-CN"/>
        </w:rPr>
        <w:t>2023年度持平。</w:t>
      </w:r>
    </w:p>
    <w:p>
      <w:pPr>
        <w:pStyle w:val="4"/>
        <w:spacing w:line="560" w:lineRule="exact"/>
        <w:ind w:firstLine="640" w:firstLineChars="200"/>
      </w:pPr>
      <w:bookmarkStart w:id="71" w:name="_Toc31814"/>
      <w:bookmarkStart w:id="72" w:name="_Toc15377221"/>
      <w:bookmarkStart w:id="73" w:name="_Toc15396612"/>
      <w:r>
        <w:rPr>
          <w:rFonts w:hint="eastAsia"/>
        </w:rPr>
        <w:t>十、其他重要事项的情况说明</w:t>
      </w:r>
      <w:bookmarkEnd w:id="71"/>
      <w:bookmarkEnd w:id="72"/>
      <w:bookmarkEnd w:id="73"/>
    </w:p>
    <w:p>
      <w:pPr>
        <w:pStyle w:val="5"/>
        <w:spacing w:line="560" w:lineRule="exact"/>
        <w:ind w:firstLine="640"/>
      </w:pPr>
      <w:bookmarkStart w:id="74" w:name="_Toc15377222"/>
      <w:r>
        <w:rPr>
          <w:rFonts w:hint="eastAsia"/>
        </w:rPr>
        <w:t>（一）机关运行经费支出情况</w:t>
      </w:r>
      <w:bookmarkEnd w:id="74"/>
    </w:p>
    <w:p>
      <w:pPr>
        <w:spacing w:line="560" w:lineRule="exact"/>
        <w:ind w:firstLine="640"/>
      </w:pPr>
      <w:r>
        <w:t>20</w:t>
      </w:r>
      <w:r>
        <w:rPr>
          <w:rFonts w:hint="eastAsia"/>
        </w:rPr>
        <w:t>2</w:t>
      </w:r>
      <w:r>
        <w:rPr>
          <w:rFonts w:hint="eastAsia"/>
          <w:lang w:val="en-US" w:eastAsia="zh-CN"/>
        </w:rPr>
        <w:t>4</w:t>
      </w:r>
      <w:r>
        <w:rPr>
          <w:rFonts w:hint="eastAsia"/>
        </w:rPr>
        <w:t>年，安居区</w:t>
      </w:r>
      <w:r>
        <w:rPr>
          <w:rFonts w:hint="eastAsia"/>
          <w:lang w:eastAsia="zh-CN"/>
        </w:rPr>
        <w:t>乡村振兴</w:t>
      </w:r>
      <w:r>
        <w:rPr>
          <w:rFonts w:hint="eastAsia"/>
        </w:rPr>
        <w:t>局机关运行经费支出</w:t>
      </w:r>
      <w:r>
        <w:rPr>
          <w:rFonts w:hint="eastAsia"/>
          <w:lang w:val="en-US" w:eastAsia="zh-CN"/>
        </w:rPr>
        <w:t>5.05</w:t>
      </w:r>
      <w:r>
        <w:rPr>
          <w:rFonts w:hint="eastAsia"/>
        </w:rPr>
        <w:t>万元，比</w:t>
      </w:r>
      <w:r>
        <w:t>20</w:t>
      </w:r>
      <w:r>
        <w:rPr>
          <w:rFonts w:hint="eastAsia"/>
        </w:rPr>
        <w:t>2</w:t>
      </w:r>
      <w:r>
        <w:rPr>
          <w:rFonts w:hint="eastAsia"/>
          <w:lang w:val="en-US" w:eastAsia="zh-CN"/>
        </w:rPr>
        <w:t>3</w:t>
      </w:r>
      <w:r>
        <w:rPr>
          <w:rFonts w:hint="eastAsia"/>
        </w:rPr>
        <w:t>年</w:t>
      </w:r>
      <w:r>
        <w:rPr>
          <w:rFonts w:hint="eastAsia"/>
          <w:lang w:eastAsia="zh-CN"/>
        </w:rPr>
        <w:t>减少</w:t>
      </w:r>
      <w:r>
        <w:rPr>
          <w:rFonts w:hint="eastAsia"/>
          <w:lang w:val="en-US" w:eastAsia="zh-CN"/>
        </w:rPr>
        <w:t>24.02</w:t>
      </w:r>
      <w:r>
        <w:rPr>
          <w:rFonts w:hint="eastAsia"/>
        </w:rPr>
        <w:t>万元，</w:t>
      </w:r>
      <w:r>
        <w:rPr>
          <w:rFonts w:hint="eastAsia"/>
          <w:lang w:eastAsia="zh-CN"/>
        </w:rPr>
        <w:t>下降</w:t>
      </w:r>
      <w:r>
        <w:rPr>
          <w:rFonts w:hint="eastAsia"/>
          <w:lang w:val="en-US" w:eastAsia="zh-CN"/>
        </w:rPr>
        <w:t>82.63</w:t>
      </w:r>
      <w:r>
        <w:t>%</w:t>
      </w:r>
      <w:r>
        <w:rPr>
          <w:rFonts w:hint="eastAsia"/>
        </w:rPr>
        <w:t>。主要原因是</w:t>
      </w:r>
      <w:r>
        <w:rPr>
          <w:rFonts w:hint="eastAsia" w:ascii="仿宋_GB2312" w:hAnsi="仿宋" w:eastAsia="仿宋_GB2312" w:cs="Times New Roman"/>
          <w:b w:val="0"/>
          <w:kern w:val="2"/>
          <w:sz w:val="32"/>
          <w:szCs w:val="32"/>
          <w:lang w:val="en-US" w:eastAsia="zh-CN" w:bidi="ar-SA"/>
        </w:rPr>
        <w:t>202</w:t>
      </w:r>
      <w:r>
        <w:rPr>
          <w:rFonts w:hint="eastAsia" w:ascii="仿宋_GB2312" w:hAnsi="仿宋" w:cs="Times New Roman"/>
          <w:b w:val="0"/>
          <w:kern w:val="2"/>
          <w:sz w:val="32"/>
          <w:szCs w:val="32"/>
          <w:lang w:val="en-US" w:eastAsia="zh-CN" w:bidi="ar-SA"/>
        </w:rPr>
        <w:t>4年安居区乡村振兴局合并到安居区农业农村局，相关预算指标调剂到农业农村局</w:t>
      </w:r>
      <w:r>
        <w:rPr>
          <w:rFonts w:hint="eastAsia" w:ascii="仿宋_GB2312" w:hAnsi="仿宋" w:eastAsia="仿宋_GB2312" w:cs="Times New Roman"/>
          <w:b w:val="0"/>
          <w:kern w:val="2"/>
          <w:sz w:val="32"/>
          <w:szCs w:val="32"/>
          <w:lang w:val="en-US" w:eastAsia="zh-CN" w:bidi="ar-SA"/>
        </w:rPr>
        <w:t>。</w:t>
      </w:r>
    </w:p>
    <w:p>
      <w:pPr>
        <w:pStyle w:val="5"/>
        <w:spacing w:line="560" w:lineRule="exact"/>
        <w:ind w:firstLine="640"/>
      </w:pPr>
      <w:bookmarkStart w:id="75" w:name="_Toc15377223"/>
      <w:r>
        <w:rPr>
          <w:rFonts w:hint="eastAsia"/>
        </w:rPr>
        <w:t>（二）政府采购支出情况</w:t>
      </w:r>
      <w:bookmarkEnd w:id="75"/>
    </w:p>
    <w:p>
      <w:pPr>
        <w:spacing w:line="560" w:lineRule="exact"/>
        <w:ind w:firstLine="640"/>
        <w:rPr>
          <w:rFonts w:hint="eastAsia" w:eastAsia="仿宋_GB2312"/>
          <w:lang w:eastAsia="zh-CN"/>
        </w:rPr>
      </w:pPr>
      <w:r>
        <w:t>20</w:t>
      </w:r>
      <w:r>
        <w:rPr>
          <w:rFonts w:hint="eastAsia"/>
          <w:lang w:val="en-US" w:eastAsia="zh-CN"/>
        </w:rPr>
        <w:t>24</w:t>
      </w:r>
      <w:r>
        <w:rPr>
          <w:rFonts w:hint="eastAsia"/>
        </w:rPr>
        <w:t>年，安居区</w:t>
      </w:r>
      <w:r>
        <w:rPr>
          <w:rFonts w:hint="eastAsia"/>
          <w:lang w:eastAsia="zh-CN"/>
        </w:rPr>
        <w:t>乡村振兴</w:t>
      </w:r>
      <w:r>
        <w:rPr>
          <w:rFonts w:hint="eastAsia"/>
        </w:rPr>
        <w:t>局政府采购支出总额</w:t>
      </w:r>
      <w:r>
        <w:rPr>
          <w:rFonts w:hint="eastAsia"/>
          <w:lang w:val="en-US" w:eastAsia="zh-CN"/>
        </w:rPr>
        <w:t>0</w:t>
      </w:r>
      <w:r>
        <w:rPr>
          <w:rFonts w:hint="eastAsia"/>
        </w:rPr>
        <w:t>万元</w:t>
      </w:r>
      <w:r>
        <w:rPr>
          <w:rFonts w:hint="eastAsia"/>
          <w:lang w:eastAsia="zh-CN"/>
        </w:rPr>
        <w:t>。</w:t>
      </w:r>
    </w:p>
    <w:p>
      <w:pPr>
        <w:pStyle w:val="5"/>
        <w:spacing w:line="560" w:lineRule="exact"/>
        <w:ind w:firstLine="640"/>
      </w:pPr>
      <w:bookmarkStart w:id="76" w:name="_Toc15377224"/>
      <w:r>
        <w:rPr>
          <w:rFonts w:hint="eastAsia"/>
        </w:rPr>
        <w:t>（三）国有资产占有使用情况</w:t>
      </w:r>
      <w:bookmarkEnd w:id="76"/>
    </w:p>
    <w:p>
      <w:pPr>
        <w:spacing w:line="560" w:lineRule="exact"/>
        <w:ind w:firstLine="640"/>
        <w:rPr>
          <w:rFonts w:hint="eastAsia" w:eastAsia="仿宋_GB2312"/>
          <w:lang w:eastAsia="zh-CN"/>
        </w:rPr>
      </w:pPr>
      <w:r>
        <w:rPr>
          <w:rFonts w:hint="eastAsia"/>
        </w:rPr>
        <w:t>截至</w:t>
      </w:r>
      <w:r>
        <w:t>20</w:t>
      </w:r>
      <w:r>
        <w:rPr>
          <w:rFonts w:hint="eastAsia"/>
        </w:rPr>
        <w:t>2</w:t>
      </w:r>
      <w:r>
        <w:rPr>
          <w:rFonts w:hint="eastAsia"/>
          <w:lang w:val="en-US" w:eastAsia="zh-CN"/>
        </w:rPr>
        <w:t>4</w:t>
      </w:r>
      <w:r>
        <w:rPr>
          <w:rFonts w:hint="eastAsia"/>
        </w:rPr>
        <w:t>年</w:t>
      </w:r>
      <w:r>
        <w:t>12</w:t>
      </w:r>
      <w:r>
        <w:rPr>
          <w:rFonts w:hint="eastAsia"/>
        </w:rPr>
        <w:t>月</w:t>
      </w:r>
      <w:r>
        <w:t>31</w:t>
      </w:r>
      <w:r>
        <w:rPr>
          <w:rFonts w:hint="eastAsia"/>
        </w:rPr>
        <w:t>日，安居区</w:t>
      </w:r>
      <w:r>
        <w:rPr>
          <w:rFonts w:hint="eastAsia"/>
          <w:lang w:eastAsia="zh-CN"/>
        </w:rPr>
        <w:t>乡村振兴</w:t>
      </w:r>
      <w:r>
        <w:rPr>
          <w:rFonts w:hint="eastAsia"/>
        </w:rPr>
        <w:t>局共有车辆</w:t>
      </w:r>
      <w:r>
        <w:rPr>
          <w:rFonts w:hint="eastAsia"/>
          <w:lang w:val="en-US" w:eastAsia="zh-CN"/>
        </w:rPr>
        <w:t>0</w:t>
      </w:r>
      <w:r>
        <w:rPr>
          <w:rFonts w:hint="eastAsia"/>
        </w:rPr>
        <w:t>辆</w:t>
      </w:r>
      <w:r>
        <w:rPr>
          <w:rFonts w:hint="eastAsia"/>
          <w:lang w:eastAsia="zh-CN"/>
        </w:rPr>
        <w:t>。</w:t>
      </w:r>
    </w:p>
    <w:p>
      <w:pPr>
        <w:pStyle w:val="5"/>
        <w:spacing w:line="560" w:lineRule="exact"/>
        <w:ind w:firstLine="640"/>
      </w:pPr>
      <w:r>
        <w:rPr>
          <w:rFonts w:hint="eastAsia"/>
        </w:rPr>
        <w:t>（四）预算绩效管理情况</w:t>
      </w:r>
    </w:p>
    <w:p>
      <w:pPr>
        <w:spacing w:line="560" w:lineRule="exact"/>
        <w:ind w:firstLine="640"/>
        <w:rPr>
          <w:rFonts w:hint="default"/>
          <w:lang w:val="en-US"/>
        </w:rPr>
      </w:pPr>
      <w:r>
        <w:rPr>
          <w:rFonts w:hint="eastAsia"/>
          <w:lang w:val="en-US" w:eastAsia="zh-CN"/>
        </w:rPr>
        <w:t>2024年</w:t>
      </w:r>
      <w:r>
        <w:rPr>
          <w:rFonts w:hint="eastAsia" w:cs="Times New Roman"/>
          <w:b w:val="0"/>
          <w:bCs w:val="0"/>
          <w:i w:val="0"/>
          <w:iCs w:val="0"/>
          <w:color w:val="auto"/>
          <w:sz w:val="32"/>
          <w:szCs w:val="32"/>
          <w:highlight w:val="none"/>
          <w:lang w:eastAsia="zh-CN"/>
        </w:rPr>
        <w:t>区乡村振兴局合</w:t>
      </w:r>
      <w:r>
        <w:rPr>
          <w:rFonts w:hint="eastAsia" w:cs="Times New Roman"/>
          <w:b w:val="0"/>
          <w:bCs w:val="0"/>
          <w:i w:val="0"/>
          <w:iCs w:val="0"/>
          <w:color w:val="auto"/>
          <w:sz w:val="32"/>
          <w:szCs w:val="32"/>
          <w:highlight w:val="none"/>
          <w:lang w:val="en-US" w:eastAsia="zh-CN"/>
        </w:rPr>
        <w:t>4月份</w:t>
      </w:r>
      <w:r>
        <w:rPr>
          <w:rFonts w:hint="eastAsia" w:cs="Times New Roman"/>
          <w:b w:val="0"/>
          <w:bCs w:val="0"/>
          <w:i w:val="0"/>
          <w:iCs w:val="0"/>
          <w:color w:val="auto"/>
          <w:sz w:val="32"/>
          <w:szCs w:val="32"/>
          <w:highlight w:val="none"/>
          <w:lang w:eastAsia="zh-CN"/>
        </w:rPr>
        <w:t>并到区农业农村局，故未单独做绩效管理。</w:t>
      </w:r>
    </w:p>
    <w:p>
      <w:pPr>
        <w:widowControl/>
        <w:ind w:firstLine="641"/>
        <w:jc w:val="center"/>
        <w:outlineLvl w:val="0"/>
        <w:rPr>
          <w:rStyle w:val="32"/>
          <w:rFonts w:ascii="黑体" w:hAnsi="黑体" w:eastAsia="黑体"/>
          <w:b w:val="0"/>
        </w:rPr>
      </w:pPr>
      <w:r>
        <w:rPr>
          <w:rFonts w:ascii="仿宋_GB2312"/>
          <w:b/>
          <w:szCs w:val="32"/>
        </w:rPr>
        <w:br w:type="page"/>
      </w:r>
      <w:bookmarkStart w:id="77" w:name="_Toc15396613"/>
      <w:bookmarkStart w:id="78" w:name="_Toc15377225"/>
      <w:bookmarkStart w:id="79" w:name="_Toc13427"/>
      <w:r>
        <w:rPr>
          <w:rFonts w:hint="eastAsia" w:ascii="黑体" w:hAnsi="黑体" w:eastAsia="黑体"/>
          <w:sz w:val="44"/>
          <w:szCs w:val="44"/>
        </w:rPr>
        <w:t>第三部分</w:t>
      </w:r>
      <w:r>
        <w:rPr>
          <w:rFonts w:hint="eastAsia" w:ascii="黑体" w:hAnsi="黑体" w:eastAsia="黑体"/>
          <w:sz w:val="44"/>
          <w:szCs w:val="44"/>
          <w:lang w:val="en-US" w:eastAsia="zh-CN"/>
        </w:rPr>
        <w:t xml:space="preserve">  </w:t>
      </w:r>
      <w:r>
        <w:rPr>
          <w:rFonts w:hint="eastAsia" w:ascii="黑体" w:hAnsi="黑体" w:eastAsia="黑体"/>
          <w:sz w:val="44"/>
          <w:szCs w:val="44"/>
        </w:rPr>
        <w:t>名</w:t>
      </w:r>
      <w:r>
        <w:rPr>
          <w:rStyle w:val="32"/>
          <w:rFonts w:hint="eastAsia" w:ascii="黑体" w:hAnsi="黑体" w:eastAsia="黑体"/>
          <w:b w:val="0"/>
        </w:rPr>
        <w:t>词解释</w:t>
      </w:r>
      <w:bookmarkEnd w:id="77"/>
      <w:bookmarkEnd w:id="78"/>
      <w:bookmarkEnd w:id="79"/>
    </w:p>
    <w:p>
      <w:pPr>
        <w:spacing w:line="600" w:lineRule="exact"/>
        <w:ind w:firstLine="881"/>
        <w:jc w:val="left"/>
        <w:rPr>
          <w:rFonts w:ascii="宋体"/>
          <w:b/>
          <w:sz w:val="44"/>
          <w:szCs w:val="44"/>
        </w:rPr>
      </w:pPr>
    </w:p>
    <w:p>
      <w:pPr>
        <w:spacing w:line="560" w:lineRule="exact"/>
        <w:ind w:firstLine="640"/>
        <w:rPr>
          <w:rFonts w:hint="eastAsia" w:ascii="仿宋" w:hAnsi="仿宋" w:eastAsia="仿宋" w:cs="仿宋"/>
        </w:rPr>
      </w:pPr>
      <w:r>
        <w:rPr>
          <w:rFonts w:hint="eastAsia" w:ascii="仿宋" w:hAnsi="仿宋" w:eastAsia="仿宋" w:cs="仿宋"/>
        </w:rPr>
        <w:t>1.财政拨款收入：指单位从同级财政部门取得的财政预算资金。</w:t>
      </w:r>
    </w:p>
    <w:p>
      <w:pPr>
        <w:spacing w:line="560" w:lineRule="exact"/>
        <w:ind w:firstLine="640"/>
        <w:rPr>
          <w:rFonts w:hint="eastAsia" w:ascii="仿宋" w:hAnsi="仿宋" w:eastAsia="仿宋" w:cs="仿宋"/>
        </w:rPr>
      </w:pPr>
      <w:bookmarkStart w:id="80" w:name="_Toc15396614"/>
      <w:bookmarkStart w:id="81" w:name="_Toc15377226"/>
      <w:r>
        <w:rPr>
          <w:rFonts w:hint="eastAsia" w:ascii="仿宋" w:hAnsi="仿宋" w:eastAsia="仿宋" w:cs="仿宋"/>
          <w:lang w:val="en-US" w:eastAsia="zh-CN"/>
        </w:rPr>
        <w:t>2</w:t>
      </w:r>
      <w:r>
        <w:rPr>
          <w:rFonts w:hint="eastAsia" w:ascii="仿宋" w:hAnsi="仿宋" w:eastAsia="仿宋" w:cs="仿宋"/>
        </w:rPr>
        <w:t>.社会保障和就业</w:t>
      </w:r>
      <w:r>
        <w:rPr>
          <w:rFonts w:hint="eastAsia" w:ascii="仿宋" w:hAnsi="仿宋" w:eastAsia="仿宋" w:cs="仿宋"/>
          <w:lang w:eastAsia="zh-CN"/>
        </w:rPr>
        <w:t>支出</w:t>
      </w:r>
      <w:r>
        <w:rPr>
          <w:rFonts w:hint="eastAsia" w:ascii="仿宋" w:hAnsi="仿宋" w:eastAsia="仿宋" w:cs="仿宋"/>
        </w:rPr>
        <w:t>（类）行政事业单位养老支出（款）机关事业单位基本养老保险缴费支出（项）：指机关事业单位实施养老保险制度由单位缴纳的基本养老保险费支出。</w:t>
      </w:r>
    </w:p>
    <w:p>
      <w:pPr>
        <w:spacing w:line="560" w:lineRule="exact"/>
        <w:ind w:firstLine="64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.社会保障和就业（类）其他社会保障和就业支出（款）其他社会保障和就业支出（项）：指反映其他用于社会保障和就业方面的支出。</w:t>
      </w:r>
    </w:p>
    <w:p>
      <w:pPr>
        <w:spacing w:line="560" w:lineRule="exact"/>
        <w:ind w:firstLine="640"/>
        <w:rPr>
          <w:rFonts w:hint="eastAsia" w:ascii="仿宋" w:hAnsi="仿宋" w:eastAsia="仿宋" w:cs="仿宋"/>
        </w:rPr>
      </w:pPr>
      <w:r>
        <w:rPr>
          <w:rFonts w:hint="eastAsia" w:ascii="仿宋" w:hAnsi="仿宋" w:eastAsia="仿宋" w:cs="仿宋"/>
          <w:lang w:val="en-US" w:eastAsia="zh-CN"/>
        </w:rPr>
        <w:t>4</w:t>
      </w:r>
      <w:r>
        <w:rPr>
          <w:rFonts w:hint="eastAsia" w:ascii="仿宋" w:hAnsi="仿宋" w:eastAsia="仿宋" w:cs="仿宋"/>
        </w:rPr>
        <w:t>.卫生健康支出（类）行政事业单位医疗（款）行政单位医疗（项）：指财政部门集中安排的行政单位基本医疗保险缴费经费，未参加医疗保险的行政单位的公费医疗经费，按照国家规定享受离休人员、红军老战士待遇人员的医疗经费。</w:t>
      </w:r>
    </w:p>
    <w:p>
      <w:pPr>
        <w:spacing w:line="560" w:lineRule="exact"/>
        <w:ind w:firstLine="64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卫生健康支出（类）行政事业单位医疗（款）事业单位医疗（项）：指财政部门集中安排的事业单位的基本医疗保险缴费经费，未参加医疗保险的事业单位的公费医疗经费，按国家规定享受离休人员待遇的医疗经费。</w:t>
      </w:r>
    </w:p>
    <w:p>
      <w:pPr>
        <w:spacing w:line="560" w:lineRule="exact"/>
        <w:ind w:firstLine="640"/>
        <w:rPr>
          <w:rFonts w:hint="eastAsia" w:ascii="仿宋" w:hAnsi="仿宋" w:eastAsia="仿宋" w:cs="仿宋"/>
        </w:rPr>
      </w:pPr>
      <w:r>
        <w:rPr>
          <w:rFonts w:hint="eastAsia" w:ascii="仿宋" w:hAnsi="仿宋" w:eastAsia="仿宋" w:cs="仿宋"/>
          <w:lang w:val="en-US" w:eastAsia="zh-CN"/>
        </w:rPr>
        <w:t>6.农林水支出（类）巩固脱贫攻坚成果衔接乡村振兴（款）行政运行（项）：</w:t>
      </w:r>
      <w:r>
        <w:rPr>
          <w:rFonts w:hint="eastAsia" w:ascii="仿宋" w:hAnsi="仿宋" w:eastAsia="仿宋" w:cs="仿宋"/>
        </w:rPr>
        <w:t>指行政单位（包括实行公务员管理的事业单位）的基本支出。</w:t>
      </w:r>
    </w:p>
    <w:p>
      <w:pPr>
        <w:spacing w:line="560" w:lineRule="exact"/>
        <w:ind w:firstLine="640"/>
        <w:rPr>
          <w:rFonts w:hint="eastAsia" w:ascii="仿宋" w:hAnsi="仿宋" w:eastAsia="仿宋" w:cs="仿宋"/>
        </w:rPr>
      </w:pPr>
      <w:r>
        <w:rPr>
          <w:rFonts w:hint="eastAsia" w:ascii="仿宋" w:hAnsi="仿宋" w:eastAsia="仿宋" w:cs="仿宋"/>
          <w:lang w:val="en-US" w:eastAsia="zh-CN"/>
        </w:rPr>
        <w:t>7</w:t>
      </w:r>
      <w:r>
        <w:rPr>
          <w:rFonts w:hint="eastAsia" w:ascii="仿宋" w:hAnsi="仿宋" w:eastAsia="仿宋" w:cs="仿宋"/>
        </w:rPr>
        <w:t>.</w:t>
      </w:r>
      <w:r>
        <w:rPr>
          <w:rFonts w:hint="eastAsia" w:ascii="仿宋" w:hAnsi="仿宋" w:eastAsia="仿宋" w:cs="仿宋"/>
          <w:lang w:val="en-US" w:eastAsia="zh-CN"/>
        </w:rPr>
        <w:t>农林水支出（类）巩固脱贫攻坚成果衔接乡村振兴（款）</w:t>
      </w:r>
      <w:r>
        <w:rPr>
          <w:rFonts w:hint="eastAsia" w:ascii="仿宋" w:hAnsi="仿宋" w:eastAsia="仿宋" w:cs="仿宋"/>
        </w:rPr>
        <w:t>事业运行（项）：指用于农业事业单位基本支出，事业单位设施、系统运行与资产维护等方面的支出。</w:t>
      </w:r>
    </w:p>
    <w:p>
      <w:pPr>
        <w:spacing w:line="560" w:lineRule="exact"/>
        <w:ind w:firstLine="640"/>
        <w:rPr>
          <w:rFonts w:hint="eastAsia" w:ascii="仿宋" w:hAnsi="仿宋" w:eastAsia="仿宋" w:cs="仿宋"/>
        </w:rPr>
      </w:pPr>
      <w:r>
        <w:rPr>
          <w:rFonts w:hint="eastAsia" w:ascii="仿宋" w:hAnsi="仿宋" w:eastAsia="仿宋" w:cs="仿宋"/>
          <w:lang w:val="en-US" w:eastAsia="zh-CN"/>
        </w:rPr>
        <w:t>8</w:t>
      </w:r>
      <w:r>
        <w:rPr>
          <w:rFonts w:hint="eastAsia" w:ascii="仿宋" w:hAnsi="仿宋" w:eastAsia="仿宋" w:cs="仿宋"/>
        </w:rPr>
        <w:t>.住房保障</w:t>
      </w:r>
      <w:r>
        <w:rPr>
          <w:rFonts w:hint="eastAsia" w:ascii="仿宋" w:hAnsi="仿宋" w:eastAsia="仿宋" w:cs="仿宋"/>
          <w:lang w:eastAsia="zh-CN"/>
        </w:rPr>
        <w:t>支出</w:t>
      </w:r>
      <w:r>
        <w:rPr>
          <w:rFonts w:hint="eastAsia" w:ascii="仿宋" w:hAnsi="仿宋" w:eastAsia="仿宋" w:cs="仿宋"/>
        </w:rPr>
        <w:t>（类）住房改革支出（款）住房公积金（项）：指行政事业单位按人力资源和社会保障部、财政部规定的基本工资和津贴补贴以及规定比例为职工缴纳的住房公积金。</w:t>
      </w:r>
    </w:p>
    <w:p>
      <w:pPr>
        <w:spacing w:line="560" w:lineRule="exact"/>
        <w:ind w:firstLine="640"/>
        <w:rPr>
          <w:rFonts w:hint="eastAsia" w:ascii="仿宋" w:hAnsi="仿宋" w:eastAsia="仿宋" w:cs="仿宋"/>
        </w:rPr>
      </w:pPr>
      <w:r>
        <w:rPr>
          <w:rFonts w:hint="eastAsia" w:ascii="仿宋" w:hAnsi="仿宋" w:eastAsia="仿宋" w:cs="仿宋"/>
          <w:lang w:val="en-US" w:eastAsia="zh-CN"/>
        </w:rPr>
        <w:t>9</w:t>
      </w:r>
      <w:r>
        <w:rPr>
          <w:rFonts w:hint="eastAsia" w:ascii="仿宋" w:hAnsi="仿宋" w:eastAsia="仿宋" w:cs="仿宋"/>
        </w:rPr>
        <w:t>.其他支出（类）其他支出（款）其他支出（项）：指其他不能划分到具体功能科目中的支出项目。</w:t>
      </w:r>
    </w:p>
    <w:p>
      <w:pPr>
        <w:spacing w:line="560" w:lineRule="exact"/>
        <w:ind w:firstLine="640"/>
        <w:rPr>
          <w:rFonts w:hint="eastAsia" w:ascii="仿宋" w:hAnsi="仿宋" w:eastAsia="仿宋" w:cs="仿宋"/>
        </w:rPr>
      </w:pPr>
      <w:r>
        <w:rPr>
          <w:rFonts w:hint="eastAsia" w:ascii="仿宋" w:hAnsi="仿宋" w:eastAsia="仿宋" w:cs="仿宋"/>
          <w:lang w:val="en-US" w:eastAsia="zh-CN"/>
        </w:rPr>
        <w:t>10</w:t>
      </w:r>
      <w:r>
        <w:rPr>
          <w:rFonts w:hint="eastAsia" w:ascii="仿宋" w:hAnsi="仿宋" w:eastAsia="仿宋" w:cs="仿宋"/>
        </w:rPr>
        <w:t>.基本支出：指为保障机构正常运转、完成日常工作任务而发生的人员支出和公用支出。</w:t>
      </w:r>
    </w:p>
    <w:p>
      <w:pPr>
        <w:spacing w:line="560" w:lineRule="exact"/>
        <w:ind w:firstLine="640"/>
        <w:rPr>
          <w:rFonts w:hint="eastAsia" w:ascii="仿宋" w:hAnsi="仿宋" w:eastAsia="仿宋" w:cs="仿宋"/>
        </w:rPr>
      </w:pPr>
      <w:r>
        <w:rPr>
          <w:rFonts w:hint="eastAsia" w:ascii="仿宋" w:hAnsi="仿宋" w:eastAsia="仿宋" w:cs="仿宋"/>
          <w:lang w:val="en-US" w:eastAsia="zh-CN"/>
        </w:rPr>
        <w:t>11</w:t>
      </w:r>
      <w:r>
        <w:rPr>
          <w:rFonts w:hint="eastAsia" w:ascii="仿宋" w:hAnsi="仿宋" w:eastAsia="仿宋" w:cs="仿宋"/>
        </w:rPr>
        <w:t>.项目支出：指在基本支出之外为完成特定行政任务和事业发展目标所发生的支出。</w:t>
      </w:r>
    </w:p>
    <w:p>
      <w:pPr>
        <w:spacing w:line="560" w:lineRule="exact"/>
        <w:ind w:firstLine="640"/>
        <w:rPr>
          <w:rFonts w:hint="eastAsia" w:ascii="仿宋" w:hAnsi="仿宋" w:eastAsia="仿宋" w:cs="仿宋"/>
        </w:rPr>
      </w:pPr>
      <w:r>
        <w:rPr>
          <w:rFonts w:hint="eastAsia" w:ascii="仿宋" w:hAnsi="仿宋" w:eastAsia="仿宋" w:cs="仿宋"/>
          <w:lang w:val="en-US" w:eastAsia="zh-CN"/>
        </w:rPr>
        <w:t>12</w:t>
      </w:r>
      <w:r>
        <w:rPr>
          <w:rFonts w:hint="eastAsia" w:ascii="仿宋" w:hAnsi="仿宋" w:eastAsia="仿宋" w:cs="仿宋"/>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w:t>
      </w:r>
      <w:bookmarkStart w:id="111" w:name="_GoBack"/>
      <w:bookmarkEnd w:id="111"/>
      <w:r>
        <w:rPr>
          <w:rFonts w:hint="eastAsia" w:ascii="仿宋" w:hAnsi="仿宋" w:eastAsia="仿宋" w:cs="仿宋"/>
        </w:rPr>
        <w:t>各类公务接待（含外宾接待）支出。</w:t>
      </w:r>
    </w:p>
    <w:p>
      <w:pPr>
        <w:spacing w:line="560" w:lineRule="exact"/>
        <w:ind w:firstLine="640"/>
        <w:rPr>
          <w:rFonts w:hint="eastAsia" w:ascii="仿宋" w:hAnsi="仿宋" w:eastAsia="仿宋" w:cs="仿宋"/>
        </w:rPr>
      </w:pPr>
      <w:r>
        <w:rPr>
          <w:rFonts w:hint="eastAsia" w:ascii="仿宋" w:hAnsi="仿宋" w:eastAsia="仿宋" w:cs="仿宋"/>
          <w:lang w:val="en-US" w:eastAsia="zh-CN"/>
        </w:rPr>
        <w:t>13</w:t>
      </w:r>
      <w:r>
        <w:rPr>
          <w:rFonts w:hint="eastAsia" w:ascii="仿宋" w:hAnsi="仿宋" w:eastAsia="仿宋" w:cs="仿宋"/>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ind w:left="0" w:leftChars="0" w:firstLine="0" w:firstLineChars="0"/>
        <w:jc w:val="center"/>
        <w:rPr>
          <w:rFonts w:ascii="黑体" w:hAnsi="黑体" w:eastAsia="黑体"/>
          <w:b w:val="0"/>
        </w:rPr>
      </w:pPr>
      <w:bookmarkStart w:id="82" w:name="_Toc7548"/>
      <w:r>
        <w:rPr>
          <w:rFonts w:hint="eastAsia" w:ascii="黑体" w:hAnsi="黑体" w:eastAsia="黑体"/>
          <w:b w:val="0"/>
        </w:rPr>
        <w:t>第四部分</w:t>
      </w:r>
      <w:r>
        <w:rPr>
          <w:rFonts w:hint="eastAsia" w:ascii="黑体" w:hAnsi="黑体" w:eastAsia="黑体"/>
          <w:b w:val="0"/>
          <w:lang w:val="en-US" w:eastAsia="zh-CN"/>
        </w:rPr>
        <w:t xml:space="preserve"> </w:t>
      </w:r>
      <w:r>
        <w:rPr>
          <w:rFonts w:hint="eastAsia" w:ascii="黑体" w:hAnsi="黑体" w:eastAsia="黑体"/>
          <w:b w:val="0"/>
        </w:rPr>
        <w:t>附件</w:t>
      </w:r>
      <w:bookmarkEnd w:id="80"/>
      <w:bookmarkEnd w:id="82"/>
    </w:p>
    <w:p>
      <w:pPr>
        <w:pStyle w:val="9"/>
        <w:pageBreakBefore w:val="0"/>
        <w:kinsoku/>
        <w:wordWrap/>
        <w:overflowPunct/>
        <w:topLinePunct w:val="0"/>
        <w:autoSpaceDE/>
        <w:autoSpaceDN/>
        <w:bidi w:val="0"/>
        <w:spacing w:beforeLines="0" w:line="576" w:lineRule="exact"/>
        <w:ind w:firstLine="600"/>
        <w:textAlignment w:val="auto"/>
        <w:rPr>
          <w:rFonts w:hint="eastAsia"/>
          <w:lang w:val="zh-CN"/>
        </w:rPr>
      </w:pPr>
      <w:r>
        <w:rPr>
          <w:rFonts w:hint="eastAsia"/>
          <w:lang w:val="zh-CN"/>
        </w:rPr>
        <w:t>由于机构合并未单独做绩效管理。</w:t>
      </w:r>
    </w:p>
    <w:p>
      <w:pPr>
        <w:rPr>
          <w:rFonts w:hint="eastAsia"/>
          <w:lang w:val="zh-CN"/>
        </w:rPr>
      </w:pPr>
    </w:p>
    <w:p>
      <w:pPr>
        <w:pStyle w:val="2"/>
        <w:rPr>
          <w:rFonts w:hint="eastAsia"/>
          <w:lang w:val="zh-CN"/>
        </w:rPr>
      </w:pPr>
    </w:p>
    <w:p>
      <w:pPr>
        <w:pStyle w:val="2"/>
        <w:rPr>
          <w:rFonts w:hint="eastAsia"/>
          <w:lang w:val="zh-CN"/>
        </w:rPr>
      </w:pPr>
    </w:p>
    <w:p>
      <w:pPr>
        <w:pStyle w:val="3"/>
        <w:pageBreakBefore w:val="0"/>
        <w:kinsoku/>
        <w:wordWrap/>
        <w:overflowPunct/>
        <w:topLinePunct w:val="0"/>
        <w:autoSpaceDE/>
        <w:autoSpaceDN/>
        <w:bidi w:val="0"/>
        <w:spacing w:before="0" w:after="0" w:line="576" w:lineRule="exact"/>
        <w:ind w:left="0" w:leftChars="0" w:firstLine="2640" w:firstLineChars="600"/>
        <w:jc w:val="both"/>
        <w:textAlignment w:val="auto"/>
        <w:rPr>
          <w:rFonts w:ascii="黑体" w:hAnsi="黑体" w:eastAsia="黑体"/>
          <w:b w:val="0"/>
        </w:rPr>
      </w:pPr>
      <w:bookmarkStart w:id="83" w:name="_Toc21119"/>
      <w:bookmarkStart w:id="84" w:name="_Toc15396618"/>
      <w:r>
        <w:rPr>
          <w:rFonts w:hint="eastAsia" w:ascii="黑体" w:hAnsi="黑体" w:eastAsia="黑体"/>
          <w:b w:val="0"/>
        </w:rPr>
        <w:t>第五部分</w:t>
      </w:r>
      <w:r>
        <w:rPr>
          <w:rFonts w:hint="eastAsia" w:ascii="黑体" w:hAnsi="黑体" w:eastAsia="黑体"/>
          <w:b w:val="0"/>
          <w:lang w:val="en-US" w:eastAsia="zh-CN"/>
        </w:rPr>
        <w:t xml:space="preserve">  </w:t>
      </w:r>
      <w:r>
        <w:rPr>
          <w:rFonts w:hint="eastAsia" w:ascii="黑体" w:hAnsi="黑体" w:eastAsia="黑体"/>
          <w:b w:val="0"/>
        </w:rPr>
        <w:t>附表</w:t>
      </w:r>
      <w:bookmarkEnd w:id="81"/>
      <w:bookmarkEnd w:id="83"/>
      <w:bookmarkEnd w:id="84"/>
      <w:bookmarkStart w:id="85" w:name="_Toc15396619"/>
    </w:p>
    <w:bookmarkEnd w:id="85"/>
    <w:p>
      <w:pPr>
        <w:pStyle w:val="4"/>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86" w:name="_Toc29638"/>
      <w:r>
        <w:rPr>
          <w:rFonts w:hint="eastAsia" w:ascii="仿宋" w:hAnsi="仿宋" w:eastAsia="仿宋"/>
          <w:b w:val="0"/>
          <w:color w:val="auto"/>
          <w:highlight w:val="none"/>
        </w:rPr>
        <w:t>一、收</w:t>
      </w:r>
      <w:r>
        <w:rPr>
          <w:rStyle w:val="33"/>
          <w:rFonts w:hint="eastAsia" w:ascii="仿宋" w:hAnsi="仿宋" w:eastAsia="仿宋"/>
          <w:b w:val="0"/>
          <w:bCs w:val="0"/>
          <w:color w:val="auto"/>
          <w:highlight w:val="none"/>
        </w:rPr>
        <w:t>入支出决算总表</w:t>
      </w:r>
      <w:bookmarkEnd w:id="86"/>
    </w:p>
    <w:p>
      <w:pPr>
        <w:pStyle w:val="4"/>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87" w:name="_Toc15396620"/>
      <w:bookmarkStart w:id="88" w:name="_Toc25212"/>
      <w:r>
        <w:rPr>
          <w:rFonts w:hint="eastAsia" w:ascii="仿宋" w:hAnsi="仿宋" w:eastAsia="仿宋"/>
          <w:b w:val="0"/>
          <w:color w:val="auto"/>
          <w:highlight w:val="none"/>
        </w:rPr>
        <w:t>二、收</w:t>
      </w:r>
      <w:r>
        <w:rPr>
          <w:rStyle w:val="33"/>
          <w:rFonts w:hint="eastAsia" w:ascii="仿宋" w:hAnsi="仿宋" w:eastAsia="仿宋"/>
          <w:b w:val="0"/>
          <w:bCs w:val="0"/>
          <w:color w:val="auto"/>
          <w:highlight w:val="none"/>
        </w:rPr>
        <w:t>入决算表</w:t>
      </w:r>
      <w:bookmarkEnd w:id="87"/>
      <w:bookmarkEnd w:id="88"/>
    </w:p>
    <w:p>
      <w:pPr>
        <w:pStyle w:val="4"/>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89" w:name="_Toc15396621"/>
      <w:bookmarkStart w:id="90" w:name="_Toc18093"/>
      <w:r>
        <w:rPr>
          <w:rStyle w:val="3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3"/>
          <w:rFonts w:hint="eastAsia" w:ascii="仿宋" w:hAnsi="仿宋" w:eastAsia="仿宋"/>
          <w:b w:val="0"/>
          <w:bCs w:val="0"/>
          <w:color w:val="auto"/>
          <w:highlight w:val="none"/>
        </w:rPr>
        <w:t>出决算表</w:t>
      </w:r>
      <w:bookmarkEnd w:id="89"/>
      <w:bookmarkEnd w:id="90"/>
    </w:p>
    <w:p>
      <w:pPr>
        <w:pStyle w:val="4"/>
        <w:pageBreakBefore w:val="0"/>
        <w:kinsoku/>
        <w:wordWrap/>
        <w:overflowPunct/>
        <w:topLinePunct w:val="0"/>
        <w:autoSpaceDE/>
        <w:autoSpaceDN/>
        <w:bidi w:val="0"/>
        <w:spacing w:before="0" w:after="0" w:line="576" w:lineRule="exact"/>
        <w:textAlignment w:val="auto"/>
        <w:rPr>
          <w:rFonts w:ascii="仿宋" w:hAnsi="仿宋" w:eastAsia="仿宋"/>
          <w:b w:val="0"/>
          <w:color w:val="auto"/>
          <w:highlight w:val="none"/>
        </w:rPr>
      </w:pPr>
      <w:bookmarkStart w:id="91" w:name="_Toc15396622"/>
      <w:bookmarkStart w:id="92" w:name="_Toc20814"/>
      <w:r>
        <w:rPr>
          <w:rStyle w:val="3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政拨款收入支出决算总表</w:t>
      </w:r>
      <w:bookmarkEnd w:id="91"/>
      <w:bookmarkEnd w:id="92"/>
    </w:p>
    <w:p>
      <w:pPr>
        <w:pStyle w:val="4"/>
        <w:pageBreakBefore w:val="0"/>
        <w:kinsoku/>
        <w:wordWrap/>
        <w:overflowPunct/>
        <w:topLinePunct w:val="0"/>
        <w:autoSpaceDE/>
        <w:autoSpaceDN/>
        <w:bidi w:val="0"/>
        <w:spacing w:before="0" w:after="0" w:line="576" w:lineRule="exact"/>
        <w:textAlignment w:val="auto"/>
        <w:rPr>
          <w:rStyle w:val="33"/>
          <w:rFonts w:ascii="仿宋" w:hAnsi="仿宋" w:eastAsia="仿宋"/>
          <w:b w:val="0"/>
          <w:bCs w:val="0"/>
          <w:color w:val="auto"/>
          <w:highlight w:val="none"/>
        </w:rPr>
      </w:pPr>
      <w:bookmarkStart w:id="93" w:name="_Toc15396623"/>
      <w:bookmarkStart w:id="94" w:name="_Toc29505"/>
      <w:r>
        <w:rPr>
          <w:rStyle w:val="3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政拨款支出决算明细表</w:t>
      </w:r>
      <w:bookmarkEnd w:id="93"/>
      <w:bookmarkEnd w:id="94"/>
      <w:bookmarkStart w:id="95" w:name="_Toc15396624"/>
    </w:p>
    <w:p>
      <w:pPr>
        <w:pStyle w:val="4"/>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96" w:name="_Toc20884"/>
      <w:r>
        <w:rPr>
          <w:rStyle w:val="3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般公共预算财政拨款支出决算表</w:t>
      </w:r>
      <w:bookmarkEnd w:id="95"/>
      <w:bookmarkEnd w:id="96"/>
    </w:p>
    <w:p>
      <w:pPr>
        <w:pStyle w:val="4"/>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97" w:name="_Toc15396625"/>
      <w:bookmarkStart w:id="98" w:name="_Toc3333"/>
      <w:r>
        <w:rPr>
          <w:rStyle w:val="3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般公共预算财政拨款支出决算明细表</w:t>
      </w:r>
      <w:bookmarkEnd w:id="97"/>
      <w:bookmarkEnd w:id="98"/>
    </w:p>
    <w:p>
      <w:pPr>
        <w:pStyle w:val="4"/>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99" w:name="_Toc15396626"/>
      <w:bookmarkStart w:id="100" w:name="_Toc11934"/>
      <w:r>
        <w:rPr>
          <w:rStyle w:val="3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般公共预算财政拨款基本支出决算表</w:t>
      </w:r>
      <w:bookmarkEnd w:id="99"/>
      <w:bookmarkEnd w:id="100"/>
    </w:p>
    <w:p>
      <w:pPr>
        <w:pStyle w:val="4"/>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1" w:name="_Toc2176"/>
      <w:bookmarkStart w:id="102" w:name="_Toc15396627"/>
      <w:r>
        <w:rPr>
          <w:rStyle w:val="3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般公共预算财政拨款项目支出决算表</w:t>
      </w:r>
      <w:bookmarkEnd w:id="101"/>
      <w:bookmarkEnd w:id="102"/>
    </w:p>
    <w:p>
      <w:pPr>
        <w:pStyle w:val="4"/>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3" w:name="_Toc15396628"/>
      <w:bookmarkStart w:id="104" w:name="_Toc20359"/>
      <w:r>
        <w:rPr>
          <w:rStyle w:val="33"/>
          <w:rFonts w:hint="eastAsia" w:ascii="仿宋" w:hAnsi="仿宋" w:eastAsia="仿宋"/>
          <w:b w:val="0"/>
          <w:bCs w:val="0"/>
          <w:color w:val="auto"/>
          <w:highlight w:val="none"/>
        </w:rPr>
        <w:t>十、</w:t>
      </w:r>
      <w:bookmarkEnd w:id="103"/>
      <w:r>
        <w:rPr>
          <w:rFonts w:hint="eastAsia" w:ascii="仿宋" w:hAnsi="仿宋" w:eastAsia="仿宋"/>
          <w:b w:val="0"/>
          <w:color w:val="auto"/>
          <w:highlight w:val="none"/>
        </w:rPr>
        <w:t>政</w:t>
      </w:r>
      <w:r>
        <w:rPr>
          <w:rStyle w:val="33"/>
          <w:rFonts w:hint="eastAsia" w:ascii="仿宋" w:hAnsi="仿宋" w:eastAsia="仿宋"/>
          <w:b w:val="0"/>
          <w:bCs w:val="0"/>
          <w:color w:val="auto"/>
          <w:highlight w:val="none"/>
        </w:rPr>
        <w:t>府性基金预算财政拨款收入支出决算表</w:t>
      </w:r>
      <w:bookmarkEnd w:id="104"/>
    </w:p>
    <w:p>
      <w:pPr>
        <w:pStyle w:val="4"/>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5" w:name="_Toc15396629"/>
      <w:bookmarkStart w:id="106" w:name="_Toc2658"/>
      <w:r>
        <w:rPr>
          <w:rStyle w:val="33"/>
          <w:rFonts w:hint="eastAsia" w:ascii="仿宋" w:hAnsi="仿宋" w:eastAsia="仿宋"/>
          <w:b w:val="0"/>
          <w:bCs w:val="0"/>
          <w:color w:val="auto"/>
          <w:highlight w:val="none"/>
        </w:rPr>
        <w:t>十一、</w:t>
      </w:r>
      <w:bookmarkEnd w:id="105"/>
      <w:r>
        <w:rPr>
          <w:rFonts w:hint="eastAsia" w:ascii="仿宋" w:hAnsi="仿宋" w:eastAsia="仿宋"/>
          <w:b w:val="0"/>
          <w:color w:val="auto"/>
          <w:highlight w:val="none"/>
        </w:rPr>
        <w:t>国</w:t>
      </w:r>
      <w:r>
        <w:rPr>
          <w:rStyle w:val="33"/>
          <w:rFonts w:hint="eastAsia" w:ascii="仿宋" w:hAnsi="仿宋" w:eastAsia="仿宋"/>
          <w:b w:val="0"/>
          <w:bCs w:val="0"/>
          <w:color w:val="auto"/>
          <w:highlight w:val="none"/>
        </w:rPr>
        <w:t>有资本经营预算</w:t>
      </w:r>
      <w:r>
        <w:rPr>
          <w:rStyle w:val="33"/>
          <w:rFonts w:hint="eastAsia" w:ascii="仿宋" w:hAnsi="仿宋" w:eastAsia="仿宋"/>
          <w:b w:val="0"/>
          <w:bCs w:val="0"/>
          <w:color w:val="auto"/>
          <w:highlight w:val="none"/>
          <w:lang w:eastAsia="zh-CN"/>
        </w:rPr>
        <w:t>财政拨款收入</w:t>
      </w:r>
      <w:r>
        <w:rPr>
          <w:rStyle w:val="33"/>
          <w:rFonts w:hint="eastAsia" w:ascii="仿宋" w:hAnsi="仿宋" w:eastAsia="仿宋"/>
          <w:b w:val="0"/>
          <w:bCs w:val="0"/>
          <w:color w:val="auto"/>
          <w:highlight w:val="none"/>
        </w:rPr>
        <w:t>支出决算表</w:t>
      </w:r>
      <w:bookmarkEnd w:id="106"/>
    </w:p>
    <w:p>
      <w:pPr>
        <w:pStyle w:val="4"/>
        <w:pageBreakBefore w:val="0"/>
        <w:kinsoku/>
        <w:wordWrap/>
        <w:overflowPunct/>
        <w:topLinePunct w:val="0"/>
        <w:autoSpaceDE/>
        <w:autoSpaceDN/>
        <w:bidi w:val="0"/>
        <w:spacing w:before="0" w:after="0" w:line="576" w:lineRule="exact"/>
        <w:textAlignment w:val="auto"/>
        <w:rPr>
          <w:rFonts w:ascii="仿宋" w:hAnsi="仿宋" w:eastAsia="仿宋"/>
          <w:color w:val="auto"/>
          <w:highlight w:val="none"/>
        </w:rPr>
      </w:pPr>
      <w:bookmarkStart w:id="107" w:name="_Toc15396630"/>
      <w:bookmarkStart w:id="108" w:name="_Toc16432"/>
      <w:r>
        <w:rPr>
          <w:rStyle w:val="33"/>
          <w:rFonts w:hint="eastAsia" w:ascii="仿宋" w:hAnsi="仿宋" w:eastAsia="仿宋"/>
          <w:b w:val="0"/>
          <w:bCs w:val="0"/>
          <w:color w:val="auto"/>
          <w:highlight w:val="none"/>
        </w:rPr>
        <w:t>十二、</w:t>
      </w:r>
      <w:bookmarkEnd w:id="107"/>
      <w:r>
        <w:rPr>
          <w:rStyle w:val="33"/>
          <w:rFonts w:hint="eastAsia" w:ascii="仿宋" w:hAnsi="仿宋" w:eastAsia="仿宋"/>
          <w:b w:val="0"/>
          <w:bCs w:val="0"/>
          <w:color w:val="auto"/>
          <w:highlight w:val="none"/>
          <w:lang w:eastAsia="zh-CN"/>
        </w:rPr>
        <w:t>国有资本经营预算财政拨款支出决算表</w:t>
      </w:r>
      <w:bookmarkEnd w:id="108"/>
    </w:p>
    <w:p>
      <w:pPr>
        <w:pStyle w:val="4"/>
        <w:pageBreakBefore w:val="0"/>
        <w:kinsoku/>
        <w:wordWrap/>
        <w:overflowPunct/>
        <w:topLinePunct w:val="0"/>
        <w:autoSpaceDE/>
        <w:autoSpaceDN/>
        <w:bidi w:val="0"/>
        <w:spacing w:before="0" w:after="0" w:line="576" w:lineRule="exact"/>
        <w:textAlignment w:val="auto"/>
        <w:rPr>
          <w:rFonts w:hint="eastAsia" w:eastAsia="仿宋"/>
          <w:color w:val="auto"/>
          <w:highlight w:val="none"/>
          <w:lang w:eastAsia="zh-CN"/>
        </w:rPr>
      </w:pPr>
      <w:bookmarkStart w:id="109" w:name="_Toc15396631"/>
      <w:bookmarkStart w:id="110" w:name="_Toc26900"/>
      <w:r>
        <w:rPr>
          <w:rStyle w:val="33"/>
          <w:rFonts w:hint="eastAsia" w:ascii="仿宋" w:hAnsi="仿宋" w:eastAsia="仿宋"/>
          <w:b w:val="0"/>
          <w:bCs w:val="0"/>
          <w:color w:val="auto"/>
          <w:highlight w:val="none"/>
        </w:rPr>
        <w:t>十三、</w:t>
      </w:r>
      <w:bookmarkEnd w:id="109"/>
      <w:r>
        <w:rPr>
          <w:rStyle w:val="33"/>
          <w:rFonts w:hint="eastAsia" w:ascii="仿宋" w:hAnsi="仿宋" w:eastAsia="仿宋"/>
          <w:b w:val="0"/>
          <w:bCs w:val="0"/>
          <w:color w:val="auto"/>
          <w:highlight w:val="none"/>
          <w:lang w:eastAsia="zh-CN"/>
        </w:rPr>
        <w:t>财政拨款“三公”经费支出决算表</w:t>
      </w:r>
      <w:bookmarkEnd w:id="110"/>
    </w:p>
    <w:p>
      <w:pPr>
        <w:ind w:firstLine="640"/>
        <w:rPr>
          <w:rFonts w:eastAsia="仿宋"/>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FF9F75-4D31-48F3-B372-A0D72363A1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60737E6-BDCD-44BA-AC9F-216A9BC2BFE7}"/>
  </w:font>
  <w:font w:name="Cambria">
    <w:panose1 w:val="02040503050406030204"/>
    <w:charset w:val="00"/>
    <w:family w:val="roman"/>
    <w:pitch w:val="default"/>
    <w:sig w:usb0="E00002FF" w:usb1="400004FF" w:usb2="00000000" w:usb3="00000000" w:csb0="2000019F" w:csb1="00000000"/>
    <w:embedRegular r:id="rId3" w:fontKey="{6FAE0568-E967-4C91-9F29-0171FF32D3DC}"/>
  </w:font>
  <w:font w:name="仿宋">
    <w:panose1 w:val="02010609060101010101"/>
    <w:charset w:val="86"/>
    <w:family w:val="auto"/>
    <w:pitch w:val="default"/>
    <w:sig w:usb0="800002BF" w:usb1="38CF7CFA" w:usb2="00000016" w:usb3="00000000" w:csb0="00040001" w:csb1="00000000"/>
    <w:embedRegular r:id="rId4" w:fontKey="{D26BB22A-5DD9-40EC-8239-A9A00EF6D481}"/>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embedRegular r:id="rId5" w:fontKey="{62C2E166-595B-4442-AAF9-CF5397D12E6E}"/>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5"/>
          <w:ind w:firstLine="360"/>
          <w:jc w:val="center"/>
        </w:pPr>
        <w:r>
          <w:fldChar w:fldCharType="begin"/>
        </w:r>
        <w:r>
          <w:instrText xml:space="preserve">PAGE   \* MERGEFORMAT</w:instrText>
        </w:r>
        <w:r>
          <w:fldChar w:fldCharType="separate"/>
        </w:r>
        <w:r>
          <w:rPr>
            <w:lang w:val="zh-CN"/>
          </w:rPr>
          <w:t>2</w:t>
        </w:r>
        <w:r>
          <w:fldChar w:fldCharType="end"/>
        </w:r>
      </w:p>
    </w:sdtContent>
  </w:sdt>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FB0BF7"/>
    <w:multiLevelType w:val="singleLevel"/>
    <w:tmpl w:val="57FB0BF7"/>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YWYwN2NmMGNjNTY5OGUxZTk3YzdkYmZjZDI0ZjMifQ=="/>
    <w:docVar w:name="KSO_WPS_MARK_KEY" w:val="b9ab6d34-5b82-4f7b-95f2-d7ad2fd8085e"/>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B69C7"/>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CF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1AFE"/>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503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B6E9D"/>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F62621"/>
    <w:rsid w:val="03121EC8"/>
    <w:rsid w:val="03A64B19"/>
    <w:rsid w:val="040B73D8"/>
    <w:rsid w:val="058A350A"/>
    <w:rsid w:val="066E0107"/>
    <w:rsid w:val="07996F6E"/>
    <w:rsid w:val="0A2032A3"/>
    <w:rsid w:val="0A5F04A7"/>
    <w:rsid w:val="0B15543C"/>
    <w:rsid w:val="0CAE698D"/>
    <w:rsid w:val="0F413C12"/>
    <w:rsid w:val="0F5E24A3"/>
    <w:rsid w:val="101860EC"/>
    <w:rsid w:val="10643D1F"/>
    <w:rsid w:val="10C055FF"/>
    <w:rsid w:val="11393A1B"/>
    <w:rsid w:val="118107EC"/>
    <w:rsid w:val="12A04BE6"/>
    <w:rsid w:val="13782670"/>
    <w:rsid w:val="13D50BC4"/>
    <w:rsid w:val="15EB34E6"/>
    <w:rsid w:val="16BB723D"/>
    <w:rsid w:val="16ED3B2F"/>
    <w:rsid w:val="17050E29"/>
    <w:rsid w:val="18435718"/>
    <w:rsid w:val="19CF10F0"/>
    <w:rsid w:val="1BAD015F"/>
    <w:rsid w:val="1BE8440E"/>
    <w:rsid w:val="1C59527F"/>
    <w:rsid w:val="1CD570F8"/>
    <w:rsid w:val="1CE6547E"/>
    <w:rsid w:val="1D155CEE"/>
    <w:rsid w:val="216D442B"/>
    <w:rsid w:val="23860B96"/>
    <w:rsid w:val="238E06B2"/>
    <w:rsid w:val="23B743B8"/>
    <w:rsid w:val="240371BF"/>
    <w:rsid w:val="270E562F"/>
    <w:rsid w:val="27691C18"/>
    <w:rsid w:val="287D1E9E"/>
    <w:rsid w:val="29FD04D3"/>
    <w:rsid w:val="2BBA09D7"/>
    <w:rsid w:val="2BE06A82"/>
    <w:rsid w:val="2C8A61B5"/>
    <w:rsid w:val="2CCD555C"/>
    <w:rsid w:val="2DF04E50"/>
    <w:rsid w:val="2E831B12"/>
    <w:rsid w:val="2F9870F5"/>
    <w:rsid w:val="319F7F4E"/>
    <w:rsid w:val="322B3F74"/>
    <w:rsid w:val="32970C7B"/>
    <w:rsid w:val="33DD3662"/>
    <w:rsid w:val="34C96B3F"/>
    <w:rsid w:val="356319E8"/>
    <w:rsid w:val="36AA5135"/>
    <w:rsid w:val="375642DA"/>
    <w:rsid w:val="37E16F03"/>
    <w:rsid w:val="38D46765"/>
    <w:rsid w:val="39ED632F"/>
    <w:rsid w:val="3A260AF4"/>
    <w:rsid w:val="3CBB3845"/>
    <w:rsid w:val="3D98207C"/>
    <w:rsid w:val="3E1D65B9"/>
    <w:rsid w:val="3FA54284"/>
    <w:rsid w:val="3FA86319"/>
    <w:rsid w:val="40261437"/>
    <w:rsid w:val="4244281D"/>
    <w:rsid w:val="43413D11"/>
    <w:rsid w:val="44E268DA"/>
    <w:rsid w:val="46D9696D"/>
    <w:rsid w:val="49320B4B"/>
    <w:rsid w:val="4A627F82"/>
    <w:rsid w:val="4AA52469"/>
    <w:rsid w:val="4B4F25DA"/>
    <w:rsid w:val="4B58739F"/>
    <w:rsid w:val="4BE068DB"/>
    <w:rsid w:val="4BF02AF6"/>
    <w:rsid w:val="4CCE784A"/>
    <w:rsid w:val="4D577224"/>
    <w:rsid w:val="4D912B85"/>
    <w:rsid w:val="4EAB630A"/>
    <w:rsid w:val="4ECE2238"/>
    <w:rsid w:val="4F746827"/>
    <w:rsid w:val="507B4399"/>
    <w:rsid w:val="51237817"/>
    <w:rsid w:val="59201569"/>
    <w:rsid w:val="593975D8"/>
    <w:rsid w:val="5AF92295"/>
    <w:rsid w:val="5B984D03"/>
    <w:rsid w:val="5CD71FC4"/>
    <w:rsid w:val="5E372795"/>
    <w:rsid w:val="5E6A7F4A"/>
    <w:rsid w:val="6035352F"/>
    <w:rsid w:val="608A6E2C"/>
    <w:rsid w:val="609D5CCB"/>
    <w:rsid w:val="60A91BDE"/>
    <w:rsid w:val="61016CC9"/>
    <w:rsid w:val="610709AB"/>
    <w:rsid w:val="627F6692"/>
    <w:rsid w:val="667F03AA"/>
    <w:rsid w:val="66B1017D"/>
    <w:rsid w:val="6B0C1902"/>
    <w:rsid w:val="6C4A05C8"/>
    <w:rsid w:val="6E7E3605"/>
    <w:rsid w:val="6F7E68C0"/>
    <w:rsid w:val="6F96453B"/>
    <w:rsid w:val="6FF5CC65"/>
    <w:rsid w:val="706C19C2"/>
    <w:rsid w:val="71453AD1"/>
    <w:rsid w:val="715C0E4B"/>
    <w:rsid w:val="71DF5E2E"/>
    <w:rsid w:val="72734D90"/>
    <w:rsid w:val="73AD73D5"/>
    <w:rsid w:val="73B6EB34"/>
    <w:rsid w:val="75532ECD"/>
    <w:rsid w:val="77FF2B6E"/>
    <w:rsid w:val="79C063C8"/>
    <w:rsid w:val="79EE5BA4"/>
    <w:rsid w:val="7A894339"/>
    <w:rsid w:val="7E193136"/>
    <w:rsid w:val="7EB83159"/>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144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autoRedefine/>
    <w:unhideWhenUsed/>
    <w:qFormat/>
    <w:uiPriority w:val="9"/>
    <w:pPr>
      <w:keepNext/>
      <w:keepLines/>
      <w:spacing w:before="260" w:after="260" w:line="416" w:lineRule="auto"/>
      <w:outlineLvl w:val="1"/>
    </w:pPr>
    <w:rPr>
      <w:rFonts w:eastAsia="黑体" w:asciiTheme="majorHAnsi" w:hAnsiTheme="majorHAnsi" w:cstheme="majorBidi"/>
      <w:bCs/>
      <w:szCs w:val="32"/>
    </w:rPr>
  </w:style>
  <w:style w:type="paragraph" w:styleId="5">
    <w:name w:val="heading 3"/>
    <w:basedOn w:val="1"/>
    <w:next w:val="1"/>
    <w:link w:val="36"/>
    <w:autoRedefine/>
    <w:unhideWhenUsed/>
    <w:qFormat/>
    <w:uiPriority w:val="9"/>
    <w:pPr>
      <w:keepNext/>
      <w:keepLines/>
      <w:outlineLvl w:val="2"/>
    </w:pPr>
    <w:rPr>
      <w:bCs/>
      <w:szCs w:val="32"/>
    </w:rPr>
  </w:style>
  <w:style w:type="paragraph" w:styleId="6">
    <w:name w:val="heading 4"/>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autoRedefine/>
    <w:unhideWhenUsed/>
    <w:qFormat/>
    <w:uiPriority w:val="1"/>
  </w:style>
  <w:style w:type="table" w:default="1" w:styleId="21">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List Number"/>
    <w:basedOn w:val="1"/>
    <w:autoRedefine/>
    <w:unhideWhenUsed/>
    <w:qFormat/>
    <w:uiPriority w:val="99"/>
    <w:pPr>
      <w:numPr>
        <w:ilvl w:val="0"/>
        <w:numId w:val="1"/>
      </w:numPr>
    </w:pPr>
  </w:style>
  <w:style w:type="paragraph" w:styleId="8">
    <w:name w:val="annotation text"/>
    <w:basedOn w:val="1"/>
    <w:autoRedefine/>
    <w:unhideWhenUsed/>
    <w:qFormat/>
    <w:uiPriority w:val="99"/>
    <w:pPr>
      <w:jc w:val="left"/>
    </w:pPr>
  </w:style>
  <w:style w:type="paragraph" w:styleId="9">
    <w:name w:val="Body Text"/>
    <w:basedOn w:val="1"/>
    <w:next w:val="1"/>
    <w:link w:val="30"/>
    <w:autoRedefine/>
    <w:qFormat/>
    <w:uiPriority w:val="99"/>
    <w:pPr>
      <w:spacing w:beforeLines="30"/>
    </w:pPr>
    <w:rPr>
      <w:rFonts w:ascii="仿宋_GB2312"/>
      <w:kern w:val="0"/>
      <w:sz w:val="30"/>
    </w:rPr>
  </w:style>
  <w:style w:type="paragraph" w:styleId="10">
    <w:name w:val="Body Text Indent"/>
    <w:basedOn w:val="1"/>
    <w:next w:val="11"/>
    <w:autoRedefine/>
    <w:qFormat/>
    <w:uiPriority w:val="0"/>
    <w:pPr>
      <w:spacing w:after="120"/>
      <w:ind w:leftChars="200"/>
    </w:pPr>
    <w:rPr>
      <w:rFonts w:ascii="仿宋_GB2312"/>
      <w:szCs w:val="32"/>
    </w:rPr>
  </w:style>
  <w:style w:type="paragraph" w:styleId="11">
    <w:name w:val="Body Text First Indent 2"/>
    <w:basedOn w:val="10"/>
    <w:autoRedefine/>
    <w:unhideWhenUsed/>
    <w:qFormat/>
    <w:uiPriority w:val="99"/>
    <w:pPr>
      <w:ind w:firstLine="420" w:firstLineChars="200"/>
    </w:pPr>
  </w:style>
  <w:style w:type="paragraph" w:styleId="12">
    <w:name w:val="toc 3"/>
    <w:basedOn w:val="1"/>
    <w:next w:val="1"/>
    <w:autoRedefine/>
    <w:unhideWhenUsed/>
    <w:qFormat/>
    <w:uiPriority w:val="39"/>
    <w:pPr>
      <w:tabs>
        <w:tab w:val="right" w:leader="dot" w:pos="8296"/>
      </w:tabs>
    </w:pPr>
    <w:rPr>
      <w:rFonts w:eastAsia="仿宋"/>
    </w:rPr>
  </w:style>
  <w:style w:type="paragraph" w:styleId="13">
    <w:name w:val="Plain Text"/>
    <w:basedOn w:val="1"/>
    <w:next w:val="1"/>
    <w:autoRedefine/>
    <w:qFormat/>
    <w:uiPriority w:val="0"/>
    <w:pPr>
      <w:widowControl w:val="0"/>
      <w:jc w:val="both"/>
    </w:pPr>
    <w:rPr>
      <w:rFonts w:ascii="宋体" w:cs="Courier New"/>
      <w:kern w:val="2"/>
      <w:sz w:val="21"/>
      <w:szCs w:val="21"/>
      <w:lang w:val="en-US" w:eastAsia="zh-CN" w:bidi="ar-SA"/>
    </w:rPr>
  </w:style>
  <w:style w:type="paragraph" w:styleId="14">
    <w:name w:val="Balloon Text"/>
    <w:basedOn w:val="1"/>
    <w:link w:val="35"/>
    <w:autoRedefine/>
    <w:unhideWhenUsed/>
    <w:qFormat/>
    <w:uiPriority w:val="99"/>
    <w:rPr>
      <w:sz w:val="18"/>
      <w:szCs w:val="18"/>
    </w:rPr>
  </w:style>
  <w:style w:type="paragraph" w:styleId="15">
    <w:name w:val="footer"/>
    <w:basedOn w:val="1"/>
    <w:link w:val="28"/>
    <w:autoRedefine/>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link w:val="26"/>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8">
    <w:name w:val="footnote text"/>
    <w:basedOn w:val="1"/>
    <w:next w:val="11"/>
    <w:autoRedefine/>
    <w:semiHidden/>
    <w:qFormat/>
    <w:uiPriority w:val="0"/>
    <w:pPr>
      <w:snapToGrid w:val="0"/>
      <w:jc w:val="left"/>
    </w:pPr>
    <w:rPr>
      <w:sz w:val="18"/>
      <w:szCs w:val="18"/>
    </w:rPr>
  </w:style>
  <w:style w:type="paragraph" w:styleId="19">
    <w:name w:val="toc 2"/>
    <w:basedOn w:val="1"/>
    <w:next w:val="1"/>
    <w:autoRedefine/>
    <w:unhideWhenUsed/>
    <w:qFormat/>
    <w:uiPriority w:val="39"/>
    <w:pPr>
      <w:tabs>
        <w:tab w:val="right" w:leader="dot" w:pos="8296"/>
      </w:tabs>
      <w:ind w:left="420" w:leftChars="200"/>
    </w:pPr>
    <w:rPr>
      <w:rFonts w:eastAsia="黑体"/>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23">
    <w:name w:val="Strong"/>
    <w:basedOn w:val="22"/>
    <w:autoRedefine/>
    <w:qFormat/>
    <w:uiPriority w:val="99"/>
    <w:rPr>
      <w:b/>
    </w:rPr>
  </w:style>
  <w:style w:type="character" w:styleId="24">
    <w:name w:val="Hyperlink"/>
    <w:basedOn w:val="22"/>
    <w:autoRedefine/>
    <w:unhideWhenUsed/>
    <w:qFormat/>
    <w:uiPriority w:val="99"/>
    <w:rPr>
      <w:color w:val="0000FF" w:themeColor="hyperlink"/>
      <w:u w:val="single"/>
      <w14:textFill>
        <w14:solidFill>
          <w14:schemeClr w14:val="hlink"/>
        </w14:solidFill>
      </w14:textFill>
    </w:rPr>
  </w:style>
  <w:style w:type="character" w:customStyle="1" w:styleId="25">
    <w:name w:val="Header Char"/>
    <w:basedOn w:val="22"/>
    <w:autoRedefine/>
    <w:semiHidden/>
    <w:qFormat/>
    <w:uiPriority w:val="99"/>
    <w:rPr>
      <w:rFonts w:ascii="Times New Roman" w:hAnsi="Times New Roman"/>
      <w:sz w:val="18"/>
      <w:szCs w:val="18"/>
    </w:rPr>
  </w:style>
  <w:style w:type="character" w:customStyle="1" w:styleId="26">
    <w:name w:val="页眉 Char"/>
    <w:link w:val="16"/>
    <w:autoRedefine/>
    <w:semiHidden/>
    <w:qFormat/>
    <w:locked/>
    <w:uiPriority w:val="99"/>
    <w:rPr>
      <w:sz w:val="18"/>
    </w:rPr>
  </w:style>
  <w:style w:type="character" w:customStyle="1" w:styleId="27">
    <w:name w:val="Footer Char"/>
    <w:basedOn w:val="22"/>
    <w:autoRedefine/>
    <w:semiHidden/>
    <w:qFormat/>
    <w:uiPriority w:val="99"/>
    <w:rPr>
      <w:rFonts w:ascii="Times New Roman" w:hAnsi="Times New Roman"/>
      <w:sz w:val="18"/>
      <w:szCs w:val="18"/>
    </w:rPr>
  </w:style>
  <w:style w:type="character" w:customStyle="1" w:styleId="28">
    <w:name w:val="页脚 Char"/>
    <w:link w:val="15"/>
    <w:autoRedefine/>
    <w:qFormat/>
    <w:locked/>
    <w:uiPriority w:val="99"/>
    <w:rPr>
      <w:sz w:val="18"/>
    </w:rPr>
  </w:style>
  <w:style w:type="character" w:customStyle="1" w:styleId="29">
    <w:name w:val="Body Text Char"/>
    <w:basedOn w:val="22"/>
    <w:autoRedefine/>
    <w:semiHidden/>
    <w:qFormat/>
    <w:uiPriority w:val="99"/>
    <w:rPr>
      <w:rFonts w:ascii="Times New Roman" w:hAnsi="Times New Roman"/>
      <w:szCs w:val="24"/>
    </w:rPr>
  </w:style>
  <w:style w:type="character" w:customStyle="1" w:styleId="30">
    <w:name w:val="正文文本 Char"/>
    <w:link w:val="9"/>
    <w:autoRedefine/>
    <w:qFormat/>
    <w:locked/>
    <w:uiPriority w:val="99"/>
    <w:rPr>
      <w:rFonts w:ascii="仿宋_GB2312" w:hAnsi="Times New Roman" w:eastAsia="仿宋_GB2312"/>
      <w:sz w:val="24"/>
    </w:rPr>
  </w:style>
  <w:style w:type="paragraph" w:customStyle="1" w:styleId="31">
    <w:name w:val="List Paragraph"/>
    <w:basedOn w:val="1"/>
    <w:autoRedefine/>
    <w:qFormat/>
    <w:uiPriority w:val="34"/>
    <w:pPr>
      <w:ind w:firstLine="420"/>
    </w:pPr>
  </w:style>
  <w:style w:type="character" w:customStyle="1" w:styleId="32">
    <w:name w:val="标题 1 Char"/>
    <w:basedOn w:val="22"/>
    <w:link w:val="3"/>
    <w:autoRedefine/>
    <w:qFormat/>
    <w:uiPriority w:val="9"/>
    <w:rPr>
      <w:rFonts w:ascii="Times New Roman" w:hAnsi="Times New Roman"/>
      <w:b/>
      <w:bCs/>
      <w:kern w:val="44"/>
      <w:sz w:val="44"/>
      <w:szCs w:val="44"/>
    </w:rPr>
  </w:style>
  <w:style w:type="character" w:customStyle="1" w:styleId="33">
    <w:name w:val="标题 2 Char"/>
    <w:basedOn w:val="22"/>
    <w:link w:val="4"/>
    <w:autoRedefine/>
    <w:qFormat/>
    <w:uiPriority w:val="9"/>
    <w:rPr>
      <w:rFonts w:eastAsia="黑体" w:asciiTheme="majorHAnsi" w:hAnsiTheme="majorHAnsi" w:cstheme="majorBidi"/>
      <w:bCs/>
      <w:kern w:val="2"/>
      <w:sz w:val="32"/>
      <w:szCs w:val="32"/>
    </w:rPr>
  </w:style>
  <w:style w:type="paragraph" w:customStyle="1" w:styleId="34">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2"/>
    <w:link w:val="14"/>
    <w:autoRedefine/>
    <w:semiHidden/>
    <w:qFormat/>
    <w:uiPriority w:val="99"/>
    <w:rPr>
      <w:rFonts w:ascii="Times New Roman" w:hAnsi="Times New Roman"/>
      <w:kern w:val="2"/>
      <w:sz w:val="18"/>
      <w:szCs w:val="18"/>
    </w:rPr>
  </w:style>
  <w:style w:type="character" w:customStyle="1" w:styleId="36">
    <w:name w:val="标题 3 Char"/>
    <w:basedOn w:val="22"/>
    <w:link w:val="5"/>
    <w:autoRedefine/>
    <w:qFormat/>
    <w:uiPriority w:val="9"/>
    <w:rPr>
      <w:rFonts w:ascii="Times New Roman" w:hAnsi="Times New Roman" w:eastAsia="仿宋_GB2312"/>
      <w:bCs/>
      <w:kern w:val="2"/>
      <w:sz w:val="32"/>
      <w:szCs w:val="32"/>
    </w:rPr>
  </w:style>
  <w:style w:type="paragraph" w:customStyle="1" w:styleId="3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Char Char3 Char Char Char Char Char Char Char Char"/>
    <w:basedOn w:val="1"/>
    <w:next w:val="1"/>
    <w:autoRedefine/>
    <w:qFormat/>
    <w:uiPriority w:val="0"/>
    <w:pPr>
      <w:spacing w:line="240" w:lineRule="atLeast"/>
      <w:ind w:left="420" w:firstLine="420"/>
      <w:jc w:val="left"/>
    </w:pPr>
    <w:rPr>
      <w:rFonts w:eastAsia="宋体"/>
      <w:kern w:val="0"/>
      <w:sz w:val="21"/>
      <w:szCs w:val="21"/>
    </w:rPr>
  </w:style>
  <w:style w:type="paragraph" w:customStyle="1" w:styleId="39">
    <w:name w:val="节标题"/>
    <w:basedOn w:val="1"/>
    <w:next w:val="1"/>
    <w:autoRedefine/>
    <w:unhideWhenUsed/>
    <w:qFormat/>
    <w:uiPriority w:val="99"/>
    <w:pPr>
      <w:widowControl/>
      <w:spacing w:line="289" w:lineRule="atLeast"/>
      <w:jc w:val="center"/>
      <w:textAlignment w:val="baseline"/>
    </w:pPr>
    <w:rPr>
      <w:rFonts w:hint="eastAsia"/>
      <w:color w:val="000000"/>
      <w:sz w:val="28"/>
      <w:u w:color="000000"/>
    </w:rPr>
  </w:style>
  <w:style w:type="paragraph" w:customStyle="1" w:styleId="40">
    <w:name w:val="WPSOffice手动目录 1"/>
    <w:autoRedefine/>
    <w:qFormat/>
    <w:uiPriority w:val="0"/>
    <w:rPr>
      <w:rFonts w:ascii="Times New Roman" w:hAnsi="Times New Roman" w:eastAsia="宋体" w:cs="Times New Roman"/>
      <w:lang w:val="en-US" w:eastAsia="zh-CN" w:bidi="ar-SA"/>
    </w:rPr>
  </w:style>
  <w:style w:type="paragraph" w:customStyle="1" w:styleId="4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2">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43">
    <w:name w:val="footer1"/>
    <w:basedOn w:val="1"/>
    <w:autoRedefine/>
    <w:qFormat/>
    <w:uiPriority w:val="0"/>
    <w:pPr>
      <w:tabs>
        <w:tab w:val="center" w:pos="4153"/>
        <w:tab w:val="right" w:pos="8306"/>
      </w:tabs>
      <w:snapToGrid w:val="0"/>
      <w:jc w:val="left"/>
    </w:pPr>
    <w:rPr>
      <w:rFonts w:hint="eastAsia"/>
      <w:sz w:val="18"/>
    </w:rPr>
  </w:style>
  <w:style w:type="paragraph" w:customStyle="1" w:styleId="44">
    <w:name w:val="UserStyle_0"/>
    <w:basedOn w:val="1"/>
    <w:next w:val="1"/>
    <w:autoRedefine/>
    <w:qFormat/>
    <w:uiPriority w:val="0"/>
    <w:pPr>
      <w:widowControl/>
      <w:spacing w:line="289" w:lineRule="atLeast"/>
      <w:jc w:val="center"/>
      <w:textAlignment w:val="baseline"/>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325"/>
          <c:y val="0.18220823798627"/>
          <c:w val="0.8938"/>
          <c:h val="0.69948512585812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5014.04</c:v>
                </c:pt>
                <c:pt idx="1">
                  <c:v>537.22</c:v>
                </c:pt>
                <c:pt idx="2">
                  <c:v>5014.04</c:v>
                </c:pt>
                <c:pt idx="3">
                  <c:v>537.22</c:v>
                </c:pt>
              </c:numCache>
            </c:numRef>
          </c:val>
        </c:ser>
        <c:dLbls>
          <c:showLegendKey val="0"/>
          <c:showVal val="1"/>
          <c:showCatName val="0"/>
          <c:showSerName val="0"/>
          <c:showPercent val="0"/>
          <c:showBubbleSize val="0"/>
        </c:dLbls>
        <c:gapWidth val="219"/>
        <c:overlap val="-27"/>
        <c:axId val="143914496"/>
        <c:axId val="143916032"/>
      </c:barChart>
      <c:catAx>
        <c:axId val="14391449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916032"/>
        <c:crosses val="autoZero"/>
        <c:auto val="1"/>
        <c:lblAlgn val="ctr"/>
        <c:lblOffset val="100"/>
        <c:noMultiLvlLbl val="0"/>
      </c:catAx>
      <c:valAx>
        <c:axId val="1439160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914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267242170998"/>
          <c:y val="0.107722649969045"/>
          <c:w val="0.378466254717518"/>
          <c:h val="0.748482705983338"/>
        </c:manualLayout>
      </c:layout>
      <c:pieChart>
        <c:varyColors val="1"/>
        <c:ser>
          <c:idx val="0"/>
          <c:order val="0"/>
          <c:tx>
            <c:strRef>
              <c:f>Sheet1!$B$1</c:f>
              <c:strCache>
                <c:ptCount val="1"/>
                <c:pt idx="0">
                  <c:v>销售额</c:v>
                </c:pt>
              </c:strCache>
            </c:strRef>
          </c:tx>
          <c:explosion val="0"/>
          <c:dPt>
            <c:idx val="0"/>
            <c:bubble3D val="0"/>
          </c:dPt>
          <c:dPt>
            <c:idx val="1"/>
            <c:bubble3D val="0"/>
          </c:dPt>
          <c:dLbls>
            <c:dLbl>
              <c:idx val="0"/>
              <c:layout>
                <c:manualLayout>
                  <c:x val="-0.00868876424217616"/>
                  <c:y val="-0.16391603952691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0.8139</c:v>
                </c:pt>
                <c:pt idx="1">
                  <c:v>0.1861</c:v>
                </c:pt>
              </c:numCache>
            </c:numRef>
          </c:val>
        </c:ser>
        <c:ser>
          <c:idx val="1"/>
          <c:order val="1"/>
          <c:tx>
            <c:strRef>
              <c:f>Sheet1!$C$1</c:f>
              <c:strCache>
                <c:ptCount val="1"/>
                <c:pt idx="0">
                  <c:v>列1</c:v>
                </c:pt>
              </c:strCache>
            </c:strRef>
          </c:tx>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8119714202391"/>
          <c:y val="0.0595238095238095"/>
          <c:w val="0.458333333333333"/>
          <c:h val="0.785714285714286"/>
        </c:manualLayout>
      </c:layout>
      <c:pieChart>
        <c:varyColors val="1"/>
        <c:ser>
          <c:idx val="0"/>
          <c:order val="0"/>
          <c:tx>
            <c:strRef>
              <c:f>Sheet1!$B$1</c:f>
              <c:strCache>
                <c:ptCount val="1"/>
                <c:pt idx="0">
                  <c:v>列1</c:v>
                </c:pt>
              </c:strCache>
            </c:strRef>
          </c:tx>
          <c:explosion val="0"/>
          <c:dPt>
            <c:idx val="0"/>
            <c:bubble3D val="0"/>
          </c:dPt>
          <c:dPt>
            <c:idx val="1"/>
            <c:bubble3D val="0"/>
          </c:dPt>
          <c:dLbls>
            <c:dLbl>
              <c:idx val="0"/>
              <c:layout>
                <c:manualLayout>
                  <c:x val="0.0208953364864315"/>
                  <c:y val="0"/>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0.1555</c:v>
                </c:pt>
                <c:pt idx="1">
                  <c:v>0.8445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326424795858851"/>
          <c:y val="0.888559867516561"/>
          <c:w val="0.335612241178186"/>
          <c:h val="0.080444815896266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325"/>
          <c:y val="0.18220823798627"/>
          <c:w val="0.8938"/>
          <c:h val="0.699485125858124"/>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5014.04</c:v>
                </c:pt>
                <c:pt idx="1">
                  <c:v>537.22</c:v>
                </c:pt>
                <c:pt idx="2">
                  <c:v>5014.04</c:v>
                </c:pt>
                <c:pt idx="3">
                  <c:v>537.22</c:v>
                </c:pt>
              </c:numCache>
            </c:numRef>
          </c:val>
        </c:ser>
        <c:dLbls>
          <c:showLegendKey val="0"/>
          <c:showVal val="1"/>
          <c:showCatName val="0"/>
          <c:showSerName val="0"/>
          <c:showPercent val="0"/>
          <c:showBubbleSize val="0"/>
        </c:dLbls>
        <c:gapWidth val="219"/>
        <c:overlap val="-27"/>
        <c:axId val="47350144"/>
        <c:axId val="47351680"/>
      </c:barChart>
      <c:catAx>
        <c:axId val="4735014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51680"/>
        <c:crosses val="autoZero"/>
        <c:auto val="1"/>
        <c:lblAlgn val="ctr"/>
        <c:lblOffset val="100"/>
        <c:noMultiLvlLbl val="0"/>
      </c:catAx>
      <c:valAx>
        <c:axId val="473516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5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540319757265"/>
          <c:y val="0.176027397260274"/>
          <c:w val="0.775516396312288"/>
          <c:h val="0.61310502283105"/>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2024年支出</c:v>
                </c:pt>
                <c:pt idx="1">
                  <c:v>2023年支出</c:v>
                </c:pt>
              </c:strCache>
            </c:strRef>
          </c:cat>
          <c:val>
            <c:numRef>
              <c:f>Sheet1!$B$2:$B$3</c:f>
              <c:numCache>
                <c:formatCode>General</c:formatCode>
                <c:ptCount val="2"/>
                <c:pt idx="0">
                  <c:v>437.22</c:v>
                </c:pt>
                <c:pt idx="1">
                  <c:v>4386.61</c:v>
                </c:pt>
              </c:numCache>
            </c:numRef>
          </c:val>
        </c:ser>
        <c:dLbls>
          <c:showLegendKey val="0"/>
          <c:showVal val="0"/>
          <c:showCatName val="0"/>
          <c:showSerName val="0"/>
          <c:showPercent val="0"/>
          <c:showBubbleSize val="0"/>
        </c:dLbls>
        <c:gapWidth val="75"/>
        <c:overlap val="-25"/>
        <c:axId val="213857408"/>
        <c:axId val="213858944"/>
      </c:barChart>
      <c:catAx>
        <c:axId val="21385740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858944"/>
        <c:crosses val="autoZero"/>
        <c:auto val="1"/>
        <c:lblAlgn val="ctr"/>
        <c:lblOffset val="100"/>
        <c:noMultiLvlLbl val="0"/>
      </c:catAx>
      <c:valAx>
        <c:axId val="2138589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3857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75"/>
          <c:y val="0.0995000000000001"/>
          <c:w val="0.510625"/>
          <c:h val="0.680833333333333"/>
        </c:manualLayout>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173890562739689"/>
                  <c:y val="-0.01358349607596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20645023809701"/>
                  <c:y val="0.04644241392471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2436023466975"/>
                  <c:y val="0.04401477672790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社会保障和就业支出</c:v>
                </c:pt>
                <c:pt idx="1">
                  <c:v>卫生健康支出</c:v>
                </c:pt>
                <c:pt idx="2">
                  <c:v>农林水支出</c:v>
                </c:pt>
                <c:pt idx="3">
                  <c:v>住房保障支出</c:v>
                </c:pt>
              </c:strCache>
            </c:strRef>
          </c:cat>
          <c:val>
            <c:numRef>
              <c:f>Sheet1!$B$2:$B$5</c:f>
              <c:numCache>
                <c:formatCode>0.00%</c:formatCode>
                <c:ptCount val="4"/>
                <c:pt idx="0">
                  <c:v>0.0134</c:v>
                </c:pt>
                <c:pt idx="1">
                  <c:v>0.0059</c:v>
                </c:pt>
                <c:pt idx="2">
                  <c:v>0.9694</c:v>
                </c:pt>
                <c:pt idx="3">
                  <c:v>0.0113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16</Pages>
  <Words>485</Words>
  <Characters>515</Characters>
  <Lines>122</Lines>
  <Paragraphs>34</Paragraphs>
  <TotalTime>1</TotalTime>
  <ScaleCrop>false</ScaleCrop>
  <LinksUpToDate>false</LinksUpToDate>
  <CharactersWithSpaces>554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安居区农业农村局</cp:lastModifiedBy>
  <cp:lastPrinted>2022-08-08T09:11:00Z</cp:lastPrinted>
  <dcterms:modified xsi:type="dcterms:W3CDTF">2025-08-29T02:01:26Z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D6BA6ADB13994DEEAC9804FE6BF080C6</vt:lpwstr>
  </property>
  <property fmtid="{D5CDD505-2E9C-101B-9397-08002B2CF9AE}" pid="4" name="KSOTemplateDocerSaveRecord">
    <vt:lpwstr>eyJoZGlkIjoiMmY5ZTQzZDQ3NTQ1N2U0ODgyNTA0ZWM1YWUwZGE0NGIifQ==</vt:lpwstr>
  </property>
</Properties>
</file>