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DCC4D">
      <w:pPr>
        <w:spacing w:line="600" w:lineRule="exact"/>
        <w:jc w:val="left"/>
        <w:outlineLvl w:val="0"/>
        <w:rPr>
          <w:rFonts w:hint="eastAsia" w:ascii="新宋体" w:hAnsi="新宋体" w:eastAsia="新宋体" w:cs="新宋体"/>
          <w:szCs w:val="21"/>
        </w:rPr>
      </w:pPr>
      <w:bookmarkStart w:id="0" w:name="_Toc15306267"/>
    </w:p>
    <w:p w14:paraId="6721E5CE">
      <w:pPr>
        <w:pStyle w:val="9"/>
        <w:tabs>
          <w:tab w:val="center" w:pos="4213"/>
          <w:tab w:val="left" w:pos="7015"/>
        </w:tabs>
        <w:suppressAutoHyphens/>
        <w:bidi w:val="0"/>
        <w:spacing w:before="0" w:beforeLines="-2147483648" w:after="140" w:line="276" w:lineRule="auto"/>
        <w:jc w:val="center"/>
        <w:rPr>
          <w:rFonts w:hint="eastAsia" w:ascii="方正小标宋简体" w:hAnsi="宋体" w:eastAsia="方正小标宋简体" w:cs="Times New Roman"/>
          <w:color w:val="auto"/>
          <w:kern w:val="2"/>
          <w:sz w:val="44"/>
          <w:szCs w:val="44"/>
          <w:highlight w:val="none"/>
          <w:lang w:val="en-US" w:eastAsia="zh-CN" w:bidi="ar-SA"/>
        </w:rPr>
      </w:pPr>
    </w:p>
    <w:p w14:paraId="38A1B79D">
      <w:pPr>
        <w:pStyle w:val="9"/>
        <w:tabs>
          <w:tab w:val="center" w:pos="4213"/>
          <w:tab w:val="left" w:pos="7015"/>
        </w:tabs>
        <w:suppressAutoHyphens/>
        <w:bidi w:val="0"/>
        <w:spacing w:before="0" w:beforeLines="-2147483648" w:after="140" w:line="276" w:lineRule="auto"/>
        <w:jc w:val="center"/>
        <w:rPr>
          <w:rFonts w:hint="eastAsia" w:ascii="方正小标宋简体" w:hAnsi="宋体" w:eastAsia="方正小标宋简体" w:cs="Times New Roman"/>
          <w:color w:val="auto"/>
          <w:kern w:val="2"/>
          <w:sz w:val="44"/>
          <w:szCs w:val="44"/>
          <w:highlight w:val="none"/>
          <w:lang w:val="en-US" w:eastAsia="zh-CN" w:bidi="ar-SA"/>
        </w:rPr>
      </w:pPr>
    </w:p>
    <w:p w14:paraId="4D4A4A2B">
      <w:pPr>
        <w:pStyle w:val="9"/>
        <w:tabs>
          <w:tab w:val="center" w:pos="4213"/>
          <w:tab w:val="left" w:pos="7015"/>
        </w:tabs>
        <w:suppressAutoHyphens/>
        <w:bidi w:val="0"/>
        <w:spacing w:before="0" w:beforeLines="-2147483648" w:after="140" w:line="276" w:lineRule="auto"/>
        <w:jc w:val="center"/>
        <w:rPr>
          <w:rFonts w:hint="eastAsia" w:ascii="方正小标宋简体" w:hAnsi="宋体" w:eastAsia="方正小标宋简体" w:cs="Times New Roman"/>
          <w:color w:val="auto"/>
          <w:kern w:val="2"/>
          <w:sz w:val="48"/>
          <w:szCs w:val="48"/>
          <w:highlight w:val="none"/>
          <w:lang w:val="en-US" w:eastAsia="zh-CN" w:bidi="ar-SA"/>
        </w:rPr>
      </w:pPr>
      <w:bookmarkStart w:id="1" w:name="_Toc15377425"/>
      <w:bookmarkStart w:id="2" w:name="_Toc15396597"/>
      <w:bookmarkStart w:id="3" w:name="_Toc15378441"/>
      <w:bookmarkStart w:id="4" w:name="_Toc15377193"/>
      <w:bookmarkStart w:id="5" w:name="_Toc15396475"/>
      <w:r>
        <w:rPr>
          <w:rFonts w:hint="eastAsia" w:ascii="方正小标宋简体" w:hAnsi="宋体" w:eastAsia="方正小标宋简体" w:cs="Times New Roman"/>
          <w:color w:val="auto"/>
          <w:kern w:val="2"/>
          <w:sz w:val="48"/>
          <w:szCs w:val="48"/>
          <w:highlight w:val="none"/>
          <w:lang w:val="en-US" w:eastAsia="zh-CN" w:bidi="ar-SA"/>
        </w:rPr>
        <w:t>2024年度</w:t>
      </w:r>
      <w:bookmarkEnd w:id="1"/>
      <w:bookmarkEnd w:id="2"/>
      <w:bookmarkEnd w:id="3"/>
      <w:bookmarkEnd w:id="4"/>
      <w:bookmarkEnd w:id="5"/>
    </w:p>
    <w:p w14:paraId="511C7690">
      <w:pPr>
        <w:pStyle w:val="9"/>
        <w:tabs>
          <w:tab w:val="center" w:pos="4213"/>
          <w:tab w:val="left" w:pos="7015"/>
        </w:tabs>
        <w:suppressAutoHyphens/>
        <w:bidi w:val="0"/>
        <w:spacing w:before="0" w:beforeLines="-2147483648" w:after="140" w:line="276" w:lineRule="auto"/>
        <w:jc w:val="center"/>
        <w:rPr>
          <w:rFonts w:hint="eastAsia" w:ascii="方正小标宋简体" w:hAnsi="宋体" w:eastAsia="方正小标宋简体" w:cs="Times New Roman"/>
          <w:color w:val="auto"/>
          <w:kern w:val="2"/>
          <w:sz w:val="48"/>
          <w:szCs w:val="48"/>
          <w:highlight w:val="none"/>
          <w:lang w:val="en-US" w:eastAsia="zh-CN" w:bidi="ar-SA"/>
        </w:rPr>
      </w:pPr>
      <w:bookmarkStart w:id="6" w:name="_Toc15378442"/>
      <w:bookmarkStart w:id="7" w:name="_Toc15396598"/>
      <w:bookmarkStart w:id="8" w:name="_Toc15377426"/>
      <w:bookmarkStart w:id="9" w:name="_Toc15396476"/>
      <w:bookmarkStart w:id="10" w:name="_Toc15377194"/>
      <w:r>
        <w:rPr>
          <w:rFonts w:hint="eastAsia" w:ascii="方正小标宋简体" w:hAnsi="宋体" w:eastAsia="方正小标宋简体" w:cs="Times New Roman"/>
          <w:color w:val="auto"/>
          <w:kern w:val="2"/>
          <w:sz w:val="48"/>
          <w:szCs w:val="48"/>
          <w:highlight w:val="none"/>
          <w:lang w:val="en-US" w:eastAsia="zh-CN" w:bidi="ar-SA"/>
        </w:rPr>
        <w:t>四川省</w:t>
      </w:r>
      <w:bookmarkEnd w:id="0"/>
      <w:bookmarkStart w:id="11" w:name="_Toc15306268"/>
      <w:r>
        <w:rPr>
          <w:rFonts w:hint="eastAsia" w:ascii="方正小标宋简体" w:hAnsi="宋体" w:eastAsia="方正小标宋简体" w:cs="Times New Roman"/>
          <w:color w:val="auto"/>
          <w:kern w:val="2"/>
          <w:sz w:val="48"/>
          <w:szCs w:val="48"/>
          <w:highlight w:val="none"/>
          <w:lang w:val="en-US" w:eastAsia="zh-CN" w:bidi="ar-SA"/>
        </w:rPr>
        <w:t>遂宁市安居区白马镇中心幼儿园</w:t>
      </w:r>
    </w:p>
    <w:p w14:paraId="0E0C21CE">
      <w:pPr>
        <w:pStyle w:val="9"/>
        <w:tabs>
          <w:tab w:val="center" w:pos="4213"/>
          <w:tab w:val="left" w:pos="7015"/>
        </w:tabs>
        <w:suppressAutoHyphens/>
        <w:bidi w:val="0"/>
        <w:spacing w:before="0" w:beforeLines="-2147483648" w:after="140" w:line="276" w:lineRule="auto"/>
        <w:jc w:val="center"/>
        <w:rPr>
          <w:rFonts w:hint="eastAsia" w:ascii="方正小标宋简体" w:hAnsi="宋体" w:eastAsia="方正小标宋简体" w:cs="Times New Roman"/>
          <w:color w:val="auto"/>
          <w:kern w:val="2"/>
          <w:sz w:val="48"/>
          <w:szCs w:val="48"/>
          <w:highlight w:val="none"/>
          <w:lang w:val="en-US" w:eastAsia="zh-CN" w:bidi="ar-SA"/>
        </w:rPr>
      </w:pPr>
      <w:r>
        <w:rPr>
          <w:rFonts w:hint="eastAsia" w:ascii="方正小标宋简体" w:hAnsi="宋体" w:eastAsia="方正小标宋简体" w:cs="Times New Roman"/>
          <w:color w:val="auto"/>
          <w:kern w:val="2"/>
          <w:sz w:val="48"/>
          <w:szCs w:val="48"/>
          <w:highlight w:val="none"/>
          <w:lang w:val="en-US" w:eastAsia="zh-CN" w:bidi="ar-SA"/>
        </w:rPr>
        <w:t>部门决算</w:t>
      </w:r>
      <w:bookmarkEnd w:id="6"/>
      <w:bookmarkEnd w:id="7"/>
      <w:bookmarkEnd w:id="8"/>
      <w:bookmarkEnd w:id="9"/>
      <w:bookmarkEnd w:id="10"/>
      <w:bookmarkEnd w:id="11"/>
    </w:p>
    <w:p w14:paraId="237C3AB2">
      <w:pPr>
        <w:widowControl/>
        <w:suppressAutoHyphens/>
        <w:bidi w:val="0"/>
        <w:jc w:val="center"/>
        <w:rPr>
          <w:rFonts w:hint="eastAsia" w:ascii="黑体" w:hAnsi="黑体" w:eastAsia="黑体" w:cs="Times New Roman"/>
          <w:color w:val="auto"/>
          <w:sz w:val="48"/>
          <w:szCs w:val="48"/>
          <w:highlight w:val="none"/>
        </w:rPr>
      </w:pPr>
      <w:r>
        <w:rPr>
          <w:rFonts w:hint="eastAsia" w:ascii="新宋体" w:hAnsi="新宋体" w:eastAsia="新宋体" w:cs="新宋体"/>
          <w:sz w:val="36"/>
          <w:szCs w:val="36"/>
        </w:rPr>
        <w:br w:type="page"/>
      </w:r>
      <w:r>
        <w:rPr>
          <w:rFonts w:hint="eastAsia" w:ascii="黑体" w:hAnsi="黑体" w:eastAsia="黑体" w:cs="Times New Roman"/>
          <w:color w:val="auto"/>
          <w:sz w:val="48"/>
          <w:szCs w:val="48"/>
          <w:highlight w:val="none"/>
        </w:rPr>
        <w:t>目录</w:t>
      </w:r>
    </w:p>
    <w:p w14:paraId="42213CC0">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p>
    <w:p w14:paraId="45EB6998">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公开时间：2025年8月28日</w:t>
      </w:r>
    </w:p>
    <w:p w14:paraId="52710CC9">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p>
    <w:p w14:paraId="77E2168C">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第一部分 单位概况</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4</w:t>
      </w:r>
    </w:p>
    <w:p w14:paraId="42565919">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一、主要职责</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4</w:t>
      </w:r>
    </w:p>
    <w:p w14:paraId="7D8FE8A3">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二、机构设置</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4</w:t>
      </w:r>
    </w:p>
    <w:p w14:paraId="29AA6E7C">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第二部分 2024年度单位决算情况说明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w:t>
      </w:r>
    </w:p>
    <w:p w14:paraId="4FEF5CF1">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一、收入支出决算总体情况说明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w:t>
      </w:r>
    </w:p>
    <w:p w14:paraId="7C6389B5">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二、收入决算情况说明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w:t>
      </w:r>
    </w:p>
    <w:p w14:paraId="65B39EAE">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三、支出决算情况说明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6</w:t>
      </w:r>
    </w:p>
    <w:p w14:paraId="2FF548F6">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四、财政拨款收入支出决算总体情况说明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6</w:t>
      </w:r>
    </w:p>
    <w:p w14:paraId="4D2A5EED">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五、一般公共预算财政拨款支出决算情况说明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7</w:t>
      </w:r>
    </w:p>
    <w:p w14:paraId="2F26A08F">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六、一般公共预算财政拨款基本支出决算情况说明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9</w:t>
      </w:r>
    </w:p>
    <w:p w14:paraId="7673A201">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七、财政拨款“三公”经费支出决算情况说明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9</w:t>
      </w:r>
    </w:p>
    <w:p w14:paraId="60B15998">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八、政府性基金预算支出决算情况说明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10</w:t>
      </w:r>
    </w:p>
    <w:p w14:paraId="73DEAB26">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九、国有资本经营预算支出决算情况说明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10</w:t>
      </w:r>
    </w:p>
    <w:p w14:paraId="61553A2F">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十、其他重要事项的情况说明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10</w:t>
      </w:r>
    </w:p>
    <w:p w14:paraId="4F9E9A4C">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第三部分 名词解释</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13</w:t>
      </w:r>
    </w:p>
    <w:p w14:paraId="0ACD3915">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第四部分 附件</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14:paraId="6BBCB1C9">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第五部分 附表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31</w:t>
      </w:r>
    </w:p>
    <w:p w14:paraId="3F00FDB7">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一、收入支出决算总表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31</w:t>
      </w:r>
    </w:p>
    <w:p w14:paraId="72FABE92">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二、收入决算表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31</w:t>
      </w:r>
    </w:p>
    <w:p w14:paraId="189F7EAF">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三、支出决算表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31</w:t>
      </w:r>
    </w:p>
    <w:p w14:paraId="723BA6CD">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四、财政拨款收入支出决算总表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31</w:t>
      </w:r>
    </w:p>
    <w:p w14:paraId="455104A1">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五、财政拨款支出决算明细表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31</w:t>
      </w:r>
    </w:p>
    <w:p w14:paraId="17F26DB5">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六、一般公共预算财政拨款支出决算表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31</w:t>
      </w:r>
    </w:p>
    <w:p w14:paraId="121CD9D8">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七、一般公共预算财政拨款支出决算明细表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31</w:t>
      </w:r>
    </w:p>
    <w:p w14:paraId="322BBB13">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八、一般公共预算财政拨款基本支出决算明细表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31</w:t>
      </w:r>
    </w:p>
    <w:p w14:paraId="07CD39A2">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九、一般公共预算财政拨款项目支出决算表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31</w:t>
      </w:r>
    </w:p>
    <w:p w14:paraId="537F6B3A">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十、政府性基金预算财政拨款收入支出决算表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31</w:t>
      </w:r>
      <w:bookmarkStart w:id="70" w:name="_GoBack"/>
      <w:bookmarkEnd w:id="70"/>
    </w:p>
    <w:p w14:paraId="38509AC4">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十一、国有资本经营预算财政拨款收入支出决算表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31</w:t>
      </w:r>
    </w:p>
    <w:p w14:paraId="43198BC2">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十二、国有资本经营预算财政拨款支出决算表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31</w:t>
      </w:r>
    </w:p>
    <w:p w14:paraId="4412FCD0">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十三、财政拨款“三公”经费支出决算表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31</w:t>
      </w:r>
    </w:p>
    <w:p w14:paraId="6CE59A17">
      <w:pPr>
        <w:pStyle w:val="14"/>
        <w:keepNext w:val="0"/>
        <w:keepLines w:val="0"/>
        <w:pageBreakBefore w:val="0"/>
        <w:suppressAutoHyphens/>
        <w:kinsoku/>
        <w:wordWrap/>
        <w:overflowPunct/>
        <w:topLinePunct w:val="0"/>
        <w:autoSpaceDE/>
        <w:autoSpaceDN/>
        <w:bidi w:val="0"/>
        <w:adjustRightInd w:val="0"/>
        <w:snapToGrid w:val="0"/>
        <w:spacing w:before="0" w:line="560" w:lineRule="exact"/>
        <w:jc w:val="center"/>
        <w:textAlignment w:val="auto"/>
        <w:rPr>
          <w:rFonts w:hint="eastAsia" w:ascii="仿宋_GB2312" w:hAnsi="仿宋_GB2312" w:eastAsia="仿宋_GB2312" w:cs="仿宋_GB2312"/>
          <w:color w:val="auto"/>
          <w:sz w:val="32"/>
          <w:szCs w:val="32"/>
          <w:highlight w:val="none"/>
          <w:lang w:val="en-US" w:eastAsia="zh-CN"/>
        </w:rPr>
      </w:pPr>
      <w:bookmarkStart w:id="12" w:name="_Toc15377196"/>
      <w:bookmarkStart w:id="13" w:name="_Toc15396599"/>
      <w:r>
        <w:rPr>
          <w:rFonts w:hint="eastAsia" w:ascii="仿宋_GB2312" w:hAnsi="仿宋_GB2312" w:eastAsia="仿宋_GB2312" w:cs="仿宋_GB2312"/>
          <w:color w:val="auto"/>
          <w:sz w:val="32"/>
          <w:szCs w:val="32"/>
          <w:highlight w:val="none"/>
          <w:lang w:val="en-US" w:eastAsia="zh-CN"/>
        </w:rPr>
        <w:br w:type="page"/>
      </w:r>
    </w:p>
    <w:p w14:paraId="2974A024">
      <w:pPr>
        <w:pStyle w:val="5"/>
        <w:keepNext/>
        <w:keepLines/>
        <w:pageBreakBefore w:val="0"/>
        <w:widowControl w:val="0"/>
        <w:kinsoku/>
        <w:wordWrap/>
        <w:overflowPunct/>
        <w:topLinePunct w:val="0"/>
        <w:autoSpaceDE/>
        <w:autoSpaceDN/>
        <w:bidi w:val="0"/>
        <w:adjustRightInd/>
        <w:snapToGrid/>
        <w:spacing w:before="0" w:after="0" w:line="660" w:lineRule="exact"/>
        <w:jc w:val="center"/>
        <w:textAlignment w:val="auto"/>
        <w:rPr>
          <w:rFonts w:hint="eastAsia" w:ascii="新宋体" w:hAnsi="新宋体" w:eastAsia="新宋体" w:cs="新宋体"/>
          <w:sz w:val="44"/>
          <w:szCs w:val="44"/>
        </w:rPr>
      </w:pPr>
      <w:r>
        <w:rPr>
          <w:rFonts w:hint="eastAsia" w:ascii="黑体" w:hAnsi="黑体" w:eastAsia="黑体" w:cs="Times New Roman"/>
          <w:b w:val="0"/>
          <w:color w:val="auto"/>
          <w:highlight w:val="none"/>
        </w:rPr>
        <w:t>第一部分 单位概况</w:t>
      </w:r>
      <w:bookmarkEnd w:id="12"/>
      <w:bookmarkEnd w:id="13"/>
    </w:p>
    <w:p w14:paraId="298DD294">
      <w:pPr>
        <w:pStyle w:val="6"/>
        <w:keepNext/>
        <w:keepLines/>
        <w:pageBreakBefore w:val="0"/>
        <w:widowControl w:val="0"/>
        <w:suppressAutoHyphens/>
        <w:kinsoku/>
        <w:wordWrap/>
        <w:overflowPunct/>
        <w:topLinePunct w:val="0"/>
        <w:autoSpaceDE/>
        <w:autoSpaceDN/>
        <w:bidi w:val="0"/>
        <w:adjustRightInd/>
        <w:snapToGrid w:val="0"/>
        <w:spacing w:before="313" w:beforeLines="100" w:after="0" w:afterLines="0" w:line="360" w:lineRule="auto"/>
        <w:ind w:firstLine="641"/>
        <w:jc w:val="both"/>
        <w:textAlignment w:val="auto"/>
        <w:rPr>
          <w:rFonts w:hint="eastAsia" w:ascii="黑体" w:hAnsi="黑体" w:eastAsia="黑体" w:cs="Times New Roman"/>
          <w:color w:val="000000"/>
          <w:kern w:val="2"/>
          <w:sz w:val="32"/>
          <w:szCs w:val="24"/>
          <w:highlight w:val="none"/>
          <w:lang w:val="zh-CN"/>
        </w:rPr>
      </w:pPr>
      <w:bookmarkStart w:id="14" w:name="_Toc15396600"/>
      <w:bookmarkStart w:id="15" w:name="_Toc15377197"/>
      <w:r>
        <w:rPr>
          <w:rFonts w:hint="eastAsia" w:ascii="黑体" w:hAnsi="黑体" w:eastAsia="黑体" w:cs="Times New Roman"/>
          <w:color w:val="000000"/>
          <w:kern w:val="2"/>
          <w:sz w:val="32"/>
          <w:szCs w:val="24"/>
          <w:highlight w:val="none"/>
          <w:lang w:val="en-US" w:eastAsia="zh-CN"/>
        </w:rPr>
        <w:t>一、</w:t>
      </w:r>
      <w:r>
        <w:rPr>
          <w:rFonts w:hint="eastAsia" w:ascii="黑体" w:hAnsi="黑体" w:eastAsia="黑体" w:cs="Times New Roman"/>
          <w:color w:val="000000"/>
          <w:kern w:val="2"/>
          <w:sz w:val="32"/>
          <w:szCs w:val="24"/>
          <w:highlight w:val="none"/>
          <w:lang w:val="zh-CN"/>
        </w:rPr>
        <w:t>主要职责</w:t>
      </w:r>
      <w:bookmarkStart w:id="16" w:name="_Toc15377199"/>
      <w:bookmarkStart w:id="17" w:name="_Toc15378446"/>
    </w:p>
    <w:bookmarkEnd w:id="16"/>
    <w:bookmarkEnd w:id="17"/>
    <w:p w14:paraId="5D96E6C3">
      <w:pPr>
        <w:pageBreakBefore w:val="0"/>
        <w:widowControl w:val="0"/>
        <w:kinsoku/>
        <w:wordWrap/>
        <w:overflowPunct/>
        <w:topLinePunct w:val="0"/>
        <w:autoSpaceDE/>
        <w:autoSpaceDN/>
        <w:bidi w:val="0"/>
        <w:spacing w:line="576" w:lineRule="exact"/>
        <w:ind w:firstLine="709"/>
        <w:textAlignment w:val="auto"/>
        <w:rPr>
          <w:rFonts w:hint="eastAsia" w:ascii="新宋体" w:hAnsi="新宋体" w:eastAsia="新宋体" w:cs="新宋体"/>
          <w:sz w:val="32"/>
          <w:szCs w:val="32"/>
        </w:rPr>
      </w:pPr>
      <w:bookmarkStart w:id="18" w:name="_Toc15377200"/>
      <w:bookmarkStart w:id="19" w:name="_Toc15396601"/>
      <w:r>
        <w:rPr>
          <w:rFonts w:hint="eastAsia" w:ascii="仿宋_GB2312" w:hAnsi="仿宋_GB2312" w:eastAsia="仿宋_GB2312" w:cs="仿宋_GB2312"/>
          <w:b w:val="0"/>
          <w:bCs w:val="0"/>
          <w:color w:val="000000"/>
          <w:kern w:val="2"/>
          <w:sz w:val="32"/>
          <w:szCs w:val="24"/>
          <w:highlight w:val="none"/>
          <w:lang w:val="en-US" w:eastAsia="zh-CN" w:bidi="ar-SA"/>
        </w:rPr>
        <w:t>幼儿园是对三周岁至六周岁幼儿保育和教育的机构，在尊重幼儿身心健康发展的基础上，对幼儿进行五大领域的教育。培养幼儿良好的行为习惯和个性品质，促进幼儿身心健康和谐发展。同时为广大家长解决后顾之忧，使他们全身心投入到工作之中去，为社会多做贡献。 幼儿园的教育内容是全面的、启蒙的。可相对划分为健康、语言、社会科学、艺术五大领域。各领域的内容互相渗透，从不同的角度促进幼儿情感、态度、能力、知识、技能等方面的发展。</w:t>
      </w:r>
      <w:r>
        <w:rPr>
          <w:rFonts w:hint="eastAsia" w:ascii="新宋体" w:hAnsi="新宋体" w:eastAsia="新宋体" w:cs="新宋体"/>
          <w:sz w:val="32"/>
          <w:szCs w:val="32"/>
        </w:rPr>
        <w:t xml:space="preserve">    </w:t>
      </w:r>
    </w:p>
    <w:bookmarkEnd w:id="18"/>
    <w:bookmarkEnd w:id="19"/>
    <w:p w14:paraId="184BFB89">
      <w:pPr>
        <w:pStyle w:val="9"/>
        <w:pageBreakBefore w:val="0"/>
        <w:widowControl w:val="0"/>
        <w:kinsoku/>
        <w:wordWrap/>
        <w:overflowPunct/>
        <w:topLinePunct w:val="0"/>
        <w:autoSpaceDE/>
        <w:autoSpaceDN/>
        <w:bidi w:val="0"/>
        <w:adjustRightInd w:val="0"/>
        <w:snapToGrid w:val="0"/>
        <w:spacing w:beforeLines="0" w:line="576" w:lineRule="exact"/>
        <w:textAlignment w:val="auto"/>
        <w:outlineLvl w:val="2"/>
        <w:rPr>
          <w:rFonts w:hint="eastAsia" w:ascii="黑体" w:hAnsi="黑体" w:eastAsia="黑体" w:cs="Times New Roman"/>
          <w:b/>
          <w:bCs/>
          <w:color w:val="000000"/>
          <w:kern w:val="2"/>
          <w:sz w:val="32"/>
          <w:szCs w:val="24"/>
          <w:highlight w:val="none"/>
          <w:lang w:val="zh-CN" w:eastAsia="zh-CN" w:bidi="ar-SA"/>
        </w:rPr>
      </w:pPr>
      <w:r>
        <w:rPr>
          <w:rFonts w:hint="eastAsia" w:ascii="黑体" w:hAnsi="黑体" w:eastAsia="黑体" w:cs="Times New Roman"/>
          <w:b/>
          <w:bCs/>
          <w:color w:val="000000"/>
          <w:kern w:val="2"/>
          <w:sz w:val="32"/>
          <w:szCs w:val="24"/>
          <w:highlight w:val="none"/>
          <w:lang w:val="zh-CN" w:eastAsia="zh-CN" w:bidi="ar-SA"/>
        </w:rPr>
        <w:t>　　二、机构设置</w:t>
      </w:r>
    </w:p>
    <w:p w14:paraId="2589445B">
      <w:pPr>
        <w:pageBreakBefore w:val="0"/>
        <w:widowControl w:val="0"/>
        <w:kinsoku/>
        <w:wordWrap/>
        <w:overflowPunct/>
        <w:topLinePunct w:val="0"/>
        <w:autoSpaceDE/>
        <w:autoSpaceDN/>
        <w:bidi w:val="0"/>
        <w:spacing w:line="576" w:lineRule="exact"/>
        <w:ind w:firstLine="709"/>
        <w:textAlignment w:val="auto"/>
        <w:rPr>
          <w:rFonts w:hint="eastAsia" w:ascii="仿宋_GB2312" w:hAnsi="仿宋_GB2312" w:eastAsia="仿宋_GB2312" w:cs="仿宋_GB2312"/>
          <w:b w:val="0"/>
          <w:bCs w:val="0"/>
          <w:color w:val="000000"/>
          <w:kern w:val="2"/>
          <w:sz w:val="32"/>
          <w:szCs w:val="24"/>
          <w:highlight w:val="none"/>
          <w:lang w:val="en-US" w:eastAsia="zh-CN" w:bidi="ar-SA"/>
        </w:rPr>
      </w:pPr>
      <w:r>
        <w:rPr>
          <w:rFonts w:hint="eastAsia" w:ascii="仿宋_GB2312" w:hAnsi="仿宋_GB2312" w:eastAsia="仿宋_GB2312" w:cs="仿宋_GB2312"/>
          <w:b w:val="0"/>
          <w:bCs w:val="0"/>
          <w:color w:val="000000"/>
          <w:kern w:val="2"/>
          <w:sz w:val="32"/>
          <w:szCs w:val="24"/>
          <w:highlight w:val="none"/>
          <w:lang w:val="en-US" w:eastAsia="zh-CN" w:bidi="ar-SA"/>
        </w:rPr>
        <w:t>遂宁市安居区白马镇中心幼儿园，属遂宁市安居区教育局下属二级事业单位，纳入2024年部门决算编报。</w:t>
      </w:r>
    </w:p>
    <w:p w14:paraId="17A69D89">
      <w:pPr>
        <w:pageBreakBefore w:val="0"/>
        <w:widowControl w:val="0"/>
        <w:kinsoku/>
        <w:wordWrap/>
        <w:overflowPunct/>
        <w:topLinePunct w:val="0"/>
        <w:autoSpaceDE/>
        <w:autoSpaceDN/>
        <w:bidi w:val="0"/>
        <w:spacing w:line="576" w:lineRule="exact"/>
        <w:ind w:firstLine="709"/>
        <w:textAlignment w:val="auto"/>
        <w:rPr>
          <w:rFonts w:hint="eastAsia" w:ascii="仿宋_GB2312" w:hAnsi="仿宋_GB2312" w:eastAsia="仿宋_GB2312" w:cs="仿宋_GB2312"/>
          <w:b w:val="0"/>
          <w:bCs w:val="0"/>
          <w:color w:val="000000"/>
          <w:kern w:val="2"/>
          <w:sz w:val="32"/>
          <w:szCs w:val="24"/>
          <w:highlight w:val="none"/>
          <w:lang w:val="en-US" w:eastAsia="zh-CN" w:bidi="ar-SA"/>
        </w:rPr>
      </w:pPr>
      <w:r>
        <w:rPr>
          <w:rFonts w:hint="eastAsia" w:ascii="仿宋_GB2312" w:hAnsi="仿宋_GB2312" w:eastAsia="仿宋_GB2312" w:cs="仿宋_GB2312"/>
          <w:b w:val="0"/>
          <w:bCs w:val="0"/>
          <w:color w:val="000000"/>
          <w:kern w:val="2"/>
          <w:sz w:val="32"/>
          <w:szCs w:val="24"/>
          <w:highlight w:val="none"/>
          <w:lang w:val="en-US" w:eastAsia="zh-CN" w:bidi="ar-SA"/>
        </w:rPr>
        <w:t>学校的主管部门为四川省遂宁市安居区教育局。</w:t>
      </w:r>
      <w:bookmarkEnd w:id="14"/>
      <w:bookmarkEnd w:id="15"/>
    </w:p>
    <w:p w14:paraId="3379BDC0">
      <w:pPr>
        <w:pStyle w:val="5"/>
        <w:keepNext/>
        <w:keepLines/>
        <w:pageBreakBefore w:val="0"/>
        <w:widowControl w:val="0"/>
        <w:kinsoku/>
        <w:wordWrap/>
        <w:overflowPunct/>
        <w:topLinePunct w:val="0"/>
        <w:autoSpaceDE/>
        <w:autoSpaceDN/>
        <w:bidi w:val="0"/>
        <w:adjustRightInd/>
        <w:snapToGrid/>
        <w:spacing w:before="0" w:after="0" w:line="660" w:lineRule="exact"/>
        <w:ind w:right="0"/>
        <w:jc w:val="center"/>
        <w:textAlignment w:val="auto"/>
        <w:rPr>
          <w:rFonts w:hint="eastAsia" w:ascii="新宋体" w:hAnsi="新宋体" w:eastAsia="新宋体" w:cs="新宋体"/>
          <w:b w:val="0"/>
          <w:sz w:val="44"/>
          <w:szCs w:val="44"/>
          <w:lang w:eastAsia="zh-CN"/>
        </w:rPr>
      </w:pPr>
      <w:bookmarkStart w:id="20" w:name="_Toc15396602"/>
      <w:bookmarkStart w:id="21" w:name="_Toc15377204"/>
    </w:p>
    <w:p w14:paraId="32FF7B4A">
      <w:pPr>
        <w:pStyle w:val="5"/>
        <w:keepNext/>
        <w:keepLines/>
        <w:pageBreakBefore w:val="0"/>
        <w:widowControl w:val="0"/>
        <w:kinsoku/>
        <w:wordWrap/>
        <w:overflowPunct/>
        <w:topLinePunct w:val="0"/>
        <w:autoSpaceDE/>
        <w:autoSpaceDN/>
        <w:bidi w:val="0"/>
        <w:adjustRightInd/>
        <w:snapToGrid/>
        <w:spacing w:before="0" w:after="0" w:line="660" w:lineRule="exact"/>
        <w:ind w:right="0"/>
        <w:jc w:val="center"/>
        <w:textAlignment w:val="auto"/>
        <w:rPr>
          <w:rFonts w:hint="eastAsia" w:ascii="新宋体" w:hAnsi="新宋体" w:eastAsia="新宋体" w:cs="新宋体"/>
          <w:b w:val="0"/>
          <w:sz w:val="44"/>
          <w:szCs w:val="44"/>
          <w:lang w:eastAsia="zh-CN"/>
        </w:rPr>
      </w:pPr>
    </w:p>
    <w:p w14:paraId="581B210F">
      <w:pPr>
        <w:pStyle w:val="5"/>
        <w:keepNext/>
        <w:keepLines/>
        <w:pageBreakBefore w:val="0"/>
        <w:widowControl w:val="0"/>
        <w:kinsoku/>
        <w:wordWrap/>
        <w:overflowPunct/>
        <w:topLinePunct w:val="0"/>
        <w:autoSpaceDE/>
        <w:autoSpaceDN/>
        <w:bidi w:val="0"/>
        <w:adjustRightInd/>
        <w:snapToGrid/>
        <w:spacing w:before="0" w:after="0" w:line="660" w:lineRule="exact"/>
        <w:ind w:right="0"/>
        <w:jc w:val="center"/>
        <w:textAlignment w:val="auto"/>
        <w:rPr>
          <w:rFonts w:hint="eastAsia" w:ascii="新宋体" w:hAnsi="新宋体" w:eastAsia="新宋体" w:cs="新宋体"/>
          <w:b w:val="0"/>
          <w:sz w:val="44"/>
          <w:szCs w:val="44"/>
          <w:lang w:eastAsia="zh-CN"/>
        </w:rPr>
      </w:pPr>
    </w:p>
    <w:p w14:paraId="3D0C113E">
      <w:pPr>
        <w:pStyle w:val="5"/>
        <w:keepNext/>
        <w:keepLines/>
        <w:pageBreakBefore w:val="0"/>
        <w:widowControl w:val="0"/>
        <w:kinsoku/>
        <w:wordWrap/>
        <w:overflowPunct/>
        <w:topLinePunct w:val="0"/>
        <w:autoSpaceDE/>
        <w:autoSpaceDN/>
        <w:bidi w:val="0"/>
        <w:adjustRightInd/>
        <w:snapToGrid/>
        <w:spacing w:before="0" w:after="0" w:line="660" w:lineRule="exact"/>
        <w:ind w:right="0"/>
        <w:jc w:val="center"/>
        <w:textAlignment w:val="auto"/>
        <w:rPr>
          <w:rFonts w:hint="eastAsia" w:ascii="新宋体" w:hAnsi="新宋体" w:eastAsia="新宋体" w:cs="新宋体"/>
          <w:b w:val="0"/>
          <w:sz w:val="44"/>
          <w:szCs w:val="44"/>
          <w:lang w:eastAsia="zh-CN"/>
        </w:rPr>
      </w:pPr>
    </w:p>
    <w:p w14:paraId="1A873283">
      <w:pPr>
        <w:pStyle w:val="5"/>
        <w:keepNext/>
        <w:keepLines/>
        <w:pageBreakBefore w:val="0"/>
        <w:widowControl w:val="0"/>
        <w:kinsoku/>
        <w:wordWrap/>
        <w:overflowPunct/>
        <w:topLinePunct w:val="0"/>
        <w:autoSpaceDE/>
        <w:autoSpaceDN/>
        <w:bidi w:val="0"/>
        <w:adjustRightInd/>
        <w:snapToGrid/>
        <w:spacing w:before="0" w:after="0" w:line="660" w:lineRule="exact"/>
        <w:ind w:right="0"/>
        <w:jc w:val="center"/>
        <w:textAlignment w:val="auto"/>
        <w:rPr>
          <w:rFonts w:hint="eastAsia" w:ascii="新宋体" w:hAnsi="新宋体" w:eastAsia="新宋体" w:cs="新宋体"/>
          <w:b w:val="0"/>
          <w:sz w:val="44"/>
          <w:szCs w:val="44"/>
          <w:lang w:eastAsia="zh-CN"/>
        </w:rPr>
      </w:pPr>
    </w:p>
    <w:p w14:paraId="156C9584">
      <w:pPr>
        <w:pStyle w:val="5"/>
        <w:keepNext/>
        <w:keepLines/>
        <w:pageBreakBefore w:val="0"/>
        <w:widowControl w:val="0"/>
        <w:kinsoku/>
        <w:wordWrap/>
        <w:overflowPunct/>
        <w:topLinePunct w:val="0"/>
        <w:autoSpaceDE/>
        <w:autoSpaceDN/>
        <w:bidi w:val="0"/>
        <w:adjustRightInd/>
        <w:snapToGrid/>
        <w:spacing w:before="0" w:after="0" w:line="660" w:lineRule="exact"/>
        <w:ind w:right="0"/>
        <w:jc w:val="center"/>
        <w:textAlignment w:val="auto"/>
        <w:rPr>
          <w:rFonts w:hint="eastAsia" w:ascii="新宋体" w:hAnsi="新宋体" w:eastAsia="新宋体" w:cs="新宋体"/>
          <w:b w:val="0"/>
          <w:sz w:val="44"/>
          <w:szCs w:val="44"/>
          <w:lang w:eastAsia="zh-CN"/>
        </w:rPr>
      </w:pPr>
    </w:p>
    <w:p w14:paraId="2C120956">
      <w:pPr>
        <w:pStyle w:val="5"/>
        <w:keepNext/>
        <w:keepLines/>
        <w:pageBreakBefore w:val="0"/>
        <w:widowControl w:val="0"/>
        <w:kinsoku/>
        <w:wordWrap/>
        <w:overflowPunct/>
        <w:topLinePunct w:val="0"/>
        <w:autoSpaceDE/>
        <w:autoSpaceDN/>
        <w:bidi w:val="0"/>
        <w:adjustRightInd/>
        <w:snapToGrid/>
        <w:spacing w:before="0" w:after="0" w:line="660" w:lineRule="exact"/>
        <w:ind w:right="0"/>
        <w:jc w:val="center"/>
        <w:textAlignment w:val="auto"/>
        <w:rPr>
          <w:rFonts w:hint="eastAsia" w:ascii="新宋体" w:hAnsi="新宋体" w:eastAsia="新宋体" w:cs="新宋体"/>
          <w:b w:val="0"/>
          <w:sz w:val="44"/>
          <w:szCs w:val="44"/>
          <w:lang w:eastAsia="zh-CN"/>
        </w:rPr>
      </w:pPr>
    </w:p>
    <w:p w14:paraId="3FE0AFC2">
      <w:pPr>
        <w:rPr>
          <w:rFonts w:hint="eastAsia" w:ascii="新宋体" w:hAnsi="新宋体" w:eastAsia="新宋体" w:cs="新宋体"/>
          <w:b w:val="0"/>
          <w:sz w:val="44"/>
          <w:szCs w:val="44"/>
          <w:lang w:eastAsia="zh-CN"/>
        </w:rPr>
      </w:pPr>
    </w:p>
    <w:p w14:paraId="51DB28D3">
      <w:pPr>
        <w:pStyle w:val="2"/>
        <w:rPr>
          <w:rFonts w:hint="eastAsia"/>
          <w:lang w:eastAsia="zh-CN"/>
        </w:rPr>
      </w:pPr>
    </w:p>
    <w:p w14:paraId="5CAAA30C">
      <w:pPr>
        <w:pStyle w:val="5"/>
        <w:keepNext/>
        <w:keepLines/>
        <w:pageBreakBefore w:val="0"/>
        <w:widowControl w:val="0"/>
        <w:kinsoku/>
        <w:wordWrap/>
        <w:overflowPunct/>
        <w:topLinePunct w:val="0"/>
        <w:autoSpaceDE/>
        <w:autoSpaceDN/>
        <w:bidi w:val="0"/>
        <w:adjustRightInd/>
        <w:snapToGrid/>
        <w:spacing w:before="0" w:after="0" w:line="660" w:lineRule="exact"/>
        <w:ind w:right="0"/>
        <w:jc w:val="center"/>
        <w:textAlignment w:val="auto"/>
        <w:rPr>
          <w:rStyle w:val="30"/>
          <w:rFonts w:hint="eastAsia" w:ascii="黑体" w:hAnsi="黑体" w:eastAsia="黑体" w:cs="Times New Roman"/>
          <w:b w:val="0"/>
          <w:bCs/>
          <w:color w:val="auto"/>
          <w:highlight w:val="none"/>
          <w:lang w:val="en-US" w:eastAsia="zh-CN" w:bidi="ar-SA"/>
        </w:rPr>
      </w:pPr>
      <w:r>
        <w:rPr>
          <w:rStyle w:val="30"/>
          <w:rFonts w:hint="eastAsia" w:ascii="黑体" w:hAnsi="黑体" w:eastAsia="黑体" w:cs="Times New Roman"/>
          <w:b w:val="0"/>
          <w:bCs/>
          <w:color w:val="auto"/>
          <w:highlight w:val="none"/>
          <w:lang w:val="en-US" w:eastAsia="zh-CN" w:bidi="ar-SA"/>
        </w:rPr>
        <w:t>第二部分 2024年度单位决算情况说明</w:t>
      </w:r>
      <w:bookmarkEnd w:id="20"/>
      <w:bookmarkEnd w:id="21"/>
    </w:p>
    <w:p w14:paraId="3E19130E">
      <w:pPr>
        <w:pStyle w:val="29"/>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textAlignment w:val="auto"/>
        <w:outlineLvl w:val="1"/>
        <w:rPr>
          <w:rFonts w:hint="eastAsia" w:ascii="新宋体" w:hAnsi="新宋体" w:eastAsia="新宋体" w:cs="新宋体"/>
          <w:sz w:val="32"/>
          <w:szCs w:val="32"/>
        </w:rPr>
      </w:pPr>
      <w:bookmarkStart w:id="22" w:name="_Toc15377205"/>
      <w:bookmarkStart w:id="23" w:name="_Toc15396603"/>
    </w:p>
    <w:p w14:paraId="702F8744">
      <w:pPr>
        <w:pStyle w:val="29"/>
        <w:numPr>
          <w:ilvl w:val="0"/>
          <w:numId w:val="0"/>
        </w:numPr>
        <w:suppressAutoHyphens/>
        <w:bidi w:val="0"/>
        <w:spacing w:line="600" w:lineRule="exact"/>
        <w:ind w:left="640" w:leftChars="0"/>
        <w:outlineLvl w:val="1"/>
        <w:rPr>
          <w:rStyle w:val="31"/>
          <w:rFonts w:hint="eastAsia" w:ascii="黑体" w:hAnsi="黑体" w:eastAsia="黑体" w:cs="Times New Roman"/>
          <w:b w:val="0"/>
          <w:color w:val="auto"/>
          <w:highlight w:val="none"/>
        </w:rPr>
      </w:pPr>
      <w:r>
        <w:rPr>
          <w:rStyle w:val="31"/>
          <w:rFonts w:hint="eastAsia" w:ascii="黑体" w:hAnsi="黑体" w:eastAsia="黑体" w:cs="Times New Roman"/>
          <w:b w:val="0"/>
          <w:color w:val="auto"/>
          <w:highlight w:val="none"/>
          <w:lang w:eastAsia="zh-CN"/>
        </w:rPr>
        <w:t>一、</w:t>
      </w:r>
      <w:r>
        <w:rPr>
          <w:rStyle w:val="31"/>
          <w:rFonts w:hint="eastAsia" w:ascii="黑体" w:hAnsi="黑体" w:eastAsia="黑体" w:cs="Times New Roman"/>
          <w:b w:val="0"/>
          <w:color w:val="auto"/>
          <w:highlight w:val="none"/>
        </w:rPr>
        <w:t>收入支出决算总体情况说明</w:t>
      </w:r>
      <w:bookmarkEnd w:id="22"/>
      <w:bookmarkEnd w:id="23"/>
    </w:p>
    <w:p w14:paraId="450776D1">
      <w:pPr>
        <w:pageBreakBefore w:val="0"/>
        <w:widowControl w:val="0"/>
        <w:kinsoku/>
        <w:wordWrap/>
        <w:overflowPunct/>
        <w:topLinePunct w:val="0"/>
        <w:autoSpaceDE/>
        <w:autoSpaceDN/>
        <w:bidi w:val="0"/>
        <w:spacing w:line="576" w:lineRule="exact"/>
        <w:ind w:firstLine="709"/>
        <w:textAlignment w:val="auto"/>
        <w:rPr>
          <w:rFonts w:hint="eastAsia" w:ascii="仿宋_GB2312" w:hAnsi="仿宋_GB2312" w:eastAsia="仿宋_GB2312" w:cs="仿宋_GB2312"/>
          <w:b w:val="0"/>
          <w:bCs w:val="0"/>
          <w:color w:val="000000"/>
          <w:kern w:val="2"/>
          <w:sz w:val="32"/>
          <w:szCs w:val="24"/>
          <w:highlight w:val="none"/>
          <w:lang w:val="en-US" w:eastAsia="zh-CN" w:bidi="ar-SA"/>
        </w:rPr>
      </w:pPr>
      <w:r>
        <w:rPr>
          <w:rFonts w:hint="eastAsia" w:ascii="仿宋_GB2312" w:hAnsi="仿宋_GB2312" w:eastAsia="仿宋_GB2312" w:cs="仿宋_GB2312"/>
          <w:b w:val="0"/>
          <w:bCs w:val="0"/>
          <w:color w:val="000000"/>
          <w:kern w:val="2"/>
          <w:sz w:val="32"/>
          <w:szCs w:val="24"/>
          <w:highlight w:val="none"/>
          <w:lang w:val="en-US" w:eastAsia="zh-CN" w:bidi="ar-SA"/>
        </w:rPr>
        <w:t>2024年度收入334.06万元，与2023年相比，较上年增加26.07万元，上升7.80%；2024年度支出总计334.06万元，较上年支出增加26.07万元，上升7.80%。主要变动原因是：政策性调资，人员经费增加等原因。</w:t>
      </w:r>
    </w:p>
    <w:p w14:paraId="305E00DF">
      <w:pPr>
        <w:pStyle w:val="2"/>
        <w:rPr>
          <w:rFonts w:hint="eastAsia" w:ascii="仿宋" w:hAnsi="仿宋" w:eastAsia="仿宋" w:cs="Times New Roman"/>
          <w:color w:val="auto"/>
          <w:sz w:val="32"/>
          <w:szCs w:val="32"/>
          <w:highlight w:val="none"/>
        </w:rPr>
      </w:pPr>
      <w:r>
        <w:rPr>
          <w:rFonts w:hint="eastAsia" w:ascii="新宋体" w:hAnsi="新宋体" w:eastAsia="新宋体" w:cs="新宋体"/>
        </w:rPr>
        <w:drawing>
          <wp:anchor distT="0" distB="0" distL="0" distR="0" simplePos="0" relativeHeight="251662336" behindDoc="0" locked="0" layoutInCell="1" allowOverlap="1">
            <wp:simplePos x="0" y="0"/>
            <wp:positionH relativeFrom="column">
              <wp:posOffset>287655</wp:posOffset>
            </wp:positionH>
            <wp:positionV relativeFrom="paragraph">
              <wp:posOffset>44450</wp:posOffset>
            </wp:positionV>
            <wp:extent cx="5561330" cy="3076575"/>
            <wp:effectExtent l="5080" t="4445" r="15240" b="50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4436D1E">
      <w:pPr>
        <w:pStyle w:val="3"/>
        <w:rPr>
          <w:rFonts w:hint="eastAsia" w:ascii="仿宋" w:hAnsi="仿宋" w:eastAsia="仿宋" w:cs="Times New Roman"/>
          <w:color w:val="auto"/>
          <w:sz w:val="32"/>
          <w:szCs w:val="32"/>
          <w:highlight w:val="none"/>
        </w:rPr>
      </w:pPr>
    </w:p>
    <w:p w14:paraId="6A87FAC7">
      <w:pPr>
        <w:pStyle w:val="3"/>
        <w:rPr>
          <w:rFonts w:hint="eastAsia" w:ascii="仿宋" w:hAnsi="仿宋" w:eastAsia="仿宋" w:cs="Times New Roman"/>
          <w:color w:val="auto"/>
          <w:sz w:val="32"/>
          <w:szCs w:val="32"/>
          <w:highlight w:val="none"/>
        </w:rPr>
      </w:pPr>
    </w:p>
    <w:p w14:paraId="563564A8">
      <w:pPr>
        <w:pStyle w:val="9"/>
        <w:spacing w:before="93"/>
        <w:rPr>
          <w:rFonts w:hint="eastAsia" w:ascii="新宋体" w:hAnsi="新宋体" w:eastAsia="新宋体" w:cs="新宋体"/>
        </w:rPr>
      </w:pPr>
    </w:p>
    <w:p w14:paraId="15B350AE">
      <w:pPr>
        <w:pStyle w:val="9"/>
        <w:spacing w:before="93"/>
        <w:rPr>
          <w:rFonts w:hint="eastAsia" w:ascii="新宋体" w:hAnsi="新宋体" w:eastAsia="新宋体" w:cs="新宋体"/>
        </w:rPr>
      </w:pPr>
    </w:p>
    <w:p w14:paraId="5E93CD6C">
      <w:pPr>
        <w:pStyle w:val="9"/>
        <w:spacing w:before="93"/>
        <w:rPr>
          <w:rFonts w:hint="eastAsia" w:ascii="新宋体" w:hAnsi="新宋体" w:eastAsia="新宋体" w:cs="新宋体"/>
        </w:rPr>
      </w:pPr>
    </w:p>
    <w:p w14:paraId="32B9847F">
      <w:pPr>
        <w:pStyle w:val="9"/>
        <w:spacing w:before="93"/>
        <w:rPr>
          <w:rFonts w:hint="eastAsia" w:ascii="新宋体" w:hAnsi="新宋体" w:eastAsia="新宋体" w:cs="新宋体"/>
        </w:rPr>
      </w:pPr>
    </w:p>
    <w:p w14:paraId="3B59F9F8">
      <w:pPr>
        <w:pStyle w:val="9"/>
        <w:spacing w:before="93"/>
        <w:rPr>
          <w:rFonts w:hint="eastAsia" w:ascii="新宋体" w:hAnsi="新宋体" w:eastAsia="新宋体" w:cs="新宋体"/>
        </w:rPr>
      </w:pPr>
    </w:p>
    <w:p w14:paraId="4706C035">
      <w:pPr>
        <w:suppressAutoHyphens/>
        <w:bidi w:val="0"/>
        <w:spacing w:line="600" w:lineRule="exact"/>
        <w:ind w:firstLine="640" w:firstLineChars="200"/>
        <w:jc w:val="center"/>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（图1：收、支决算总计变动情况图）</w:t>
      </w:r>
    </w:p>
    <w:p w14:paraId="2FCCAE73">
      <w:pPr>
        <w:pStyle w:val="29"/>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outlineLvl w:val="1"/>
        <w:rPr>
          <w:rStyle w:val="31"/>
          <w:rFonts w:hint="eastAsia" w:ascii="新宋体" w:hAnsi="新宋体" w:eastAsia="新宋体" w:cs="新宋体"/>
          <w:b w:val="0"/>
        </w:rPr>
      </w:pPr>
      <w:bookmarkStart w:id="24" w:name="_Toc15396604"/>
      <w:bookmarkStart w:id="25" w:name="_Toc15377206"/>
      <w:r>
        <w:rPr>
          <w:rStyle w:val="31"/>
          <w:rFonts w:hint="eastAsia" w:ascii="黑体" w:hAnsi="黑体" w:eastAsia="黑体" w:cs="Times New Roman"/>
          <w:b w:val="0"/>
          <w:color w:val="auto"/>
          <w:highlight w:val="none"/>
          <w:lang w:eastAsia="zh-CN"/>
        </w:rPr>
        <w:t>　　二、</w:t>
      </w:r>
      <w:r>
        <w:rPr>
          <w:rStyle w:val="31"/>
          <w:rFonts w:hint="eastAsia" w:ascii="黑体" w:hAnsi="黑体" w:eastAsia="黑体" w:cs="Times New Roman"/>
          <w:b w:val="0"/>
          <w:color w:val="auto"/>
          <w:highlight w:val="none"/>
        </w:rPr>
        <w:t>收入决算情况说明</w:t>
      </w:r>
      <w:bookmarkEnd w:id="24"/>
      <w:bookmarkEnd w:id="25"/>
    </w:p>
    <w:p w14:paraId="54A1490F">
      <w:pPr>
        <w:pageBreakBefore w:val="0"/>
        <w:widowControl w:val="0"/>
        <w:kinsoku/>
        <w:wordWrap/>
        <w:overflowPunct/>
        <w:topLinePunct w:val="0"/>
        <w:autoSpaceDE/>
        <w:autoSpaceDN/>
        <w:bidi w:val="0"/>
        <w:spacing w:line="576" w:lineRule="exact"/>
        <w:ind w:firstLine="709"/>
        <w:textAlignment w:val="auto"/>
        <w:rPr>
          <w:rFonts w:hint="eastAsia" w:ascii="仿宋_GB2312" w:hAnsi="仿宋_GB2312" w:eastAsia="仿宋_GB2312" w:cs="仿宋_GB2312"/>
          <w:b w:val="0"/>
          <w:bCs w:val="0"/>
          <w:color w:val="000000"/>
          <w:kern w:val="2"/>
          <w:sz w:val="32"/>
          <w:szCs w:val="24"/>
          <w:highlight w:val="none"/>
          <w:lang w:val="en-US" w:eastAsia="zh-CN" w:bidi="ar-SA"/>
        </w:rPr>
      </w:pPr>
      <w:r>
        <w:rPr>
          <w:rFonts w:hint="eastAsia" w:ascii="仿宋_GB2312" w:hAnsi="仿宋_GB2312" w:eastAsia="仿宋_GB2312" w:cs="仿宋_GB2312"/>
          <w:b w:val="0"/>
          <w:bCs w:val="0"/>
          <w:color w:val="000000"/>
          <w:kern w:val="2"/>
          <w:sz w:val="32"/>
          <w:szCs w:val="24"/>
          <w:highlight w:val="none"/>
          <w:lang w:val="en-US" w:eastAsia="zh-CN" w:bidi="ar-SA"/>
        </w:rPr>
        <w:t>2024年本年收入合计334.06万元，其中：一般公共预算财政拨款收入318.10万元，占95%；其他收入15.96万元，占5%。</w:t>
      </w:r>
    </w:p>
    <w:p w14:paraId="38CF327E">
      <w:pPr>
        <w:pStyle w:val="2"/>
        <w:rPr>
          <w:rFonts w:hint="eastAsia" w:ascii="仿宋" w:hAnsi="仿宋" w:eastAsia="仿宋" w:cs="Times New Roman"/>
          <w:color w:val="auto"/>
          <w:sz w:val="32"/>
          <w:szCs w:val="32"/>
          <w:highlight w:val="none"/>
          <w:lang w:val="en-US" w:eastAsia="zh-CN"/>
        </w:rPr>
      </w:pPr>
    </w:p>
    <w:p w14:paraId="63C5CB5E">
      <w:pPr>
        <w:pStyle w:val="3"/>
        <w:rPr>
          <w:rFonts w:hint="eastAsia" w:ascii="仿宋" w:hAnsi="仿宋" w:eastAsia="仿宋" w:cs="Times New Roman"/>
          <w:color w:val="auto"/>
          <w:sz w:val="32"/>
          <w:szCs w:val="32"/>
          <w:highlight w:val="none"/>
          <w:lang w:val="en-US" w:eastAsia="zh-CN"/>
        </w:rPr>
      </w:pPr>
    </w:p>
    <w:p w14:paraId="44C130AB">
      <w:pPr>
        <w:pStyle w:val="3"/>
        <w:rPr>
          <w:rFonts w:hint="eastAsia" w:ascii="仿宋" w:hAnsi="仿宋" w:eastAsia="仿宋" w:cs="Times New Roman"/>
          <w:color w:val="auto"/>
          <w:sz w:val="32"/>
          <w:szCs w:val="32"/>
          <w:highlight w:val="none"/>
          <w:lang w:val="en-US" w:eastAsia="zh-CN"/>
        </w:rPr>
      </w:pPr>
    </w:p>
    <w:p w14:paraId="01EDDA5C">
      <w:pPr>
        <w:pStyle w:val="3"/>
        <w:rPr>
          <w:rFonts w:hint="eastAsia" w:ascii="仿宋" w:hAnsi="仿宋" w:eastAsia="仿宋" w:cs="Times New Roman"/>
          <w:color w:val="auto"/>
          <w:sz w:val="32"/>
          <w:szCs w:val="32"/>
          <w:highlight w:val="none"/>
          <w:lang w:val="en-US" w:eastAsia="zh-CN"/>
        </w:rPr>
      </w:pPr>
      <w:r>
        <w:rPr>
          <w:rFonts w:hint="eastAsia" w:ascii="新宋体" w:hAnsi="新宋体" w:eastAsia="新宋体" w:cs="新宋体"/>
          <w:b/>
          <w:sz w:val="32"/>
          <w:szCs w:val="32"/>
        </w:rPr>
        <w:drawing>
          <wp:anchor distT="0" distB="0" distL="114300" distR="114300" simplePos="0" relativeHeight="251659264" behindDoc="0" locked="0" layoutInCell="1" allowOverlap="1">
            <wp:simplePos x="0" y="0"/>
            <wp:positionH relativeFrom="column">
              <wp:posOffset>584200</wp:posOffset>
            </wp:positionH>
            <wp:positionV relativeFrom="paragraph">
              <wp:posOffset>97155</wp:posOffset>
            </wp:positionV>
            <wp:extent cx="4868545" cy="2459990"/>
            <wp:effectExtent l="4445" t="4445" r="22860" b="1206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652BC9A">
      <w:pPr>
        <w:spacing w:line="600" w:lineRule="exact"/>
        <w:ind w:firstLine="643" w:firstLineChars="200"/>
        <w:outlineLvl w:val="1"/>
        <w:rPr>
          <w:rFonts w:hint="eastAsia" w:ascii="新宋体" w:hAnsi="新宋体" w:eastAsia="新宋体" w:cs="新宋体"/>
          <w:b/>
          <w:sz w:val="32"/>
          <w:szCs w:val="32"/>
          <w:lang w:val="en-US" w:eastAsia="zh-CN"/>
        </w:rPr>
      </w:pPr>
    </w:p>
    <w:p w14:paraId="6014874F">
      <w:pPr>
        <w:spacing w:line="600" w:lineRule="exact"/>
        <w:ind w:firstLine="643" w:firstLineChars="200"/>
        <w:outlineLvl w:val="1"/>
        <w:rPr>
          <w:rFonts w:hint="eastAsia" w:ascii="新宋体" w:hAnsi="新宋体" w:eastAsia="新宋体" w:cs="新宋体"/>
          <w:b/>
          <w:sz w:val="32"/>
          <w:szCs w:val="32"/>
          <w:lang w:val="en-US" w:eastAsia="zh-CN"/>
        </w:rPr>
      </w:pPr>
    </w:p>
    <w:p w14:paraId="0D54F435">
      <w:pPr>
        <w:spacing w:line="600" w:lineRule="exact"/>
        <w:ind w:firstLine="643" w:firstLineChars="200"/>
        <w:outlineLvl w:val="1"/>
        <w:rPr>
          <w:rFonts w:hint="eastAsia" w:ascii="新宋体" w:hAnsi="新宋体" w:eastAsia="新宋体" w:cs="新宋体"/>
          <w:b/>
          <w:sz w:val="32"/>
          <w:szCs w:val="32"/>
          <w:lang w:val="en-US" w:eastAsia="zh-CN"/>
        </w:rPr>
      </w:pPr>
    </w:p>
    <w:p w14:paraId="763E6CFD">
      <w:pPr>
        <w:spacing w:line="600" w:lineRule="exact"/>
        <w:ind w:firstLine="643" w:firstLineChars="200"/>
        <w:outlineLvl w:val="1"/>
        <w:rPr>
          <w:rFonts w:hint="eastAsia" w:ascii="新宋体" w:hAnsi="新宋体" w:eastAsia="新宋体" w:cs="新宋体"/>
          <w:b/>
          <w:sz w:val="32"/>
          <w:szCs w:val="32"/>
          <w:lang w:val="en-US" w:eastAsia="zh-CN"/>
        </w:rPr>
      </w:pPr>
    </w:p>
    <w:p w14:paraId="6D3AA673">
      <w:pPr>
        <w:spacing w:line="600" w:lineRule="exact"/>
        <w:ind w:firstLine="643" w:firstLineChars="200"/>
        <w:outlineLvl w:val="1"/>
        <w:rPr>
          <w:rFonts w:hint="eastAsia" w:ascii="新宋体" w:hAnsi="新宋体" w:eastAsia="新宋体" w:cs="新宋体"/>
          <w:b/>
          <w:sz w:val="32"/>
          <w:szCs w:val="32"/>
          <w:lang w:val="en-US" w:eastAsia="zh-CN"/>
        </w:rPr>
      </w:pPr>
    </w:p>
    <w:p w14:paraId="0A59F2B1">
      <w:pPr>
        <w:spacing w:line="600" w:lineRule="exact"/>
        <w:outlineLvl w:val="1"/>
        <w:rPr>
          <w:rFonts w:hint="eastAsia" w:ascii="新宋体" w:hAnsi="新宋体" w:eastAsia="新宋体" w:cs="新宋体"/>
          <w:b/>
          <w:sz w:val="32"/>
          <w:szCs w:val="32"/>
          <w:lang w:val="en-US" w:eastAsia="zh-CN"/>
        </w:rPr>
      </w:pPr>
      <w:bookmarkStart w:id="26" w:name="_Toc15377207"/>
      <w:bookmarkStart w:id="27" w:name="_Toc15396605"/>
    </w:p>
    <w:p w14:paraId="28775210">
      <w:pPr>
        <w:suppressAutoHyphens/>
        <w:bidi w:val="0"/>
        <w:spacing w:line="600" w:lineRule="exact"/>
        <w:ind w:firstLine="640" w:firstLineChars="200"/>
        <w:jc w:val="center"/>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（图2：收入决算结构图）</w:t>
      </w:r>
    </w:p>
    <w:p w14:paraId="66D763C5">
      <w:pPr>
        <w:keepNext w:val="0"/>
        <w:keepLines w:val="0"/>
        <w:pageBreakBefore w:val="0"/>
        <w:widowControl w:val="0"/>
        <w:kinsoku/>
        <w:wordWrap/>
        <w:overflowPunct/>
        <w:topLinePunct w:val="0"/>
        <w:autoSpaceDE/>
        <w:autoSpaceDN/>
        <w:bidi w:val="0"/>
        <w:adjustRightInd/>
        <w:snapToGrid/>
        <w:spacing w:line="576" w:lineRule="exact"/>
        <w:textAlignment w:val="auto"/>
        <w:rPr>
          <w:rStyle w:val="31"/>
          <w:rFonts w:hint="eastAsia" w:ascii="黑体" w:hAnsi="黑体" w:eastAsia="黑体" w:cs="Times New Roman"/>
          <w:b w:val="0"/>
          <w:color w:val="auto"/>
          <w:highlight w:val="none"/>
          <w:lang w:val="en-US" w:eastAsia="zh-CN" w:bidi="ar-SA"/>
        </w:rPr>
      </w:pPr>
      <w:r>
        <w:rPr>
          <w:rStyle w:val="31"/>
          <w:rFonts w:hint="eastAsia" w:ascii="黑体" w:hAnsi="黑体" w:eastAsia="黑体" w:cs="Times New Roman"/>
          <w:b w:val="0"/>
          <w:color w:val="auto"/>
          <w:highlight w:val="none"/>
          <w:lang w:val="en-US" w:eastAsia="zh-CN" w:bidi="ar-SA"/>
        </w:rPr>
        <w:t>　　三、支出决算情况说明</w:t>
      </w:r>
      <w:bookmarkEnd w:id="26"/>
      <w:bookmarkEnd w:id="27"/>
    </w:p>
    <w:p w14:paraId="2FA24F97">
      <w:pPr>
        <w:pageBreakBefore w:val="0"/>
        <w:widowControl w:val="0"/>
        <w:kinsoku/>
        <w:wordWrap/>
        <w:overflowPunct/>
        <w:topLinePunct w:val="0"/>
        <w:autoSpaceDE/>
        <w:autoSpaceDN/>
        <w:bidi w:val="0"/>
        <w:spacing w:line="576" w:lineRule="exact"/>
        <w:ind w:firstLine="709"/>
        <w:textAlignment w:val="auto"/>
        <w:rPr>
          <w:rFonts w:hint="eastAsia" w:ascii="仿宋_GB2312" w:hAnsi="仿宋_GB2312" w:eastAsia="仿宋_GB2312" w:cs="仿宋_GB2312"/>
          <w:b w:val="0"/>
          <w:bCs w:val="0"/>
          <w:color w:val="000000"/>
          <w:kern w:val="2"/>
          <w:sz w:val="32"/>
          <w:szCs w:val="24"/>
          <w:highlight w:val="none"/>
          <w:lang w:val="en-US" w:eastAsia="zh-CN" w:bidi="ar-SA"/>
        </w:rPr>
      </w:pPr>
      <w:r>
        <w:rPr>
          <w:rFonts w:hint="eastAsia" w:ascii="仿宋_GB2312" w:hAnsi="仿宋_GB2312" w:eastAsia="仿宋_GB2312" w:cs="仿宋_GB2312"/>
          <w:b w:val="0"/>
          <w:bCs w:val="0"/>
          <w:color w:val="000000"/>
          <w:kern w:val="2"/>
          <w:sz w:val="32"/>
          <w:szCs w:val="24"/>
          <w:highlight w:val="none"/>
          <w:lang w:val="en-US" w:eastAsia="zh-CN" w:bidi="ar-SA"/>
        </w:rPr>
        <w:t>2024年度本年支出合计334.06万元，其中：基本支出261.74万元，占78%；项目支出72.32万元，占22%。</w:t>
      </w:r>
    </w:p>
    <w:p w14:paraId="065F6F88">
      <w:pPr>
        <w:pStyle w:val="2"/>
        <w:rPr>
          <w:rFonts w:hint="eastAsia" w:ascii="仿宋" w:hAnsi="仿宋" w:eastAsia="仿宋" w:cs="Times New Roman"/>
          <w:color w:val="auto"/>
          <w:sz w:val="32"/>
          <w:szCs w:val="32"/>
          <w:highlight w:val="none"/>
          <w:lang w:val="en-US" w:eastAsia="zh-CN"/>
        </w:rPr>
      </w:pPr>
      <w:r>
        <w:rPr>
          <w:rFonts w:hint="eastAsia" w:ascii="新宋体" w:hAnsi="新宋体" w:eastAsia="新宋体" w:cs="新宋体"/>
        </w:rPr>
        <w:drawing>
          <wp:anchor distT="0" distB="0" distL="0" distR="0" simplePos="0" relativeHeight="251663360" behindDoc="0" locked="0" layoutInCell="1" allowOverlap="1">
            <wp:simplePos x="0" y="0"/>
            <wp:positionH relativeFrom="column">
              <wp:posOffset>462915</wp:posOffset>
            </wp:positionH>
            <wp:positionV relativeFrom="paragraph">
              <wp:posOffset>207010</wp:posOffset>
            </wp:positionV>
            <wp:extent cx="5304155" cy="2186305"/>
            <wp:effectExtent l="4445" t="4445" r="6350" b="1905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AD0EE66">
      <w:pPr>
        <w:pStyle w:val="2"/>
        <w:rPr>
          <w:rFonts w:hint="eastAsia" w:ascii="仿宋" w:hAnsi="仿宋" w:eastAsia="仿宋" w:cs="Times New Roman"/>
          <w:color w:val="auto"/>
          <w:sz w:val="32"/>
          <w:szCs w:val="32"/>
          <w:highlight w:val="none"/>
          <w:lang w:val="en-US" w:eastAsia="zh-CN"/>
        </w:rPr>
      </w:pPr>
    </w:p>
    <w:p w14:paraId="4E5CA928">
      <w:pPr>
        <w:pStyle w:val="2"/>
        <w:rPr>
          <w:rFonts w:hint="eastAsia" w:ascii="仿宋" w:hAnsi="仿宋" w:eastAsia="仿宋" w:cs="Times New Roman"/>
          <w:color w:val="auto"/>
          <w:sz w:val="32"/>
          <w:szCs w:val="32"/>
          <w:highlight w:val="none"/>
          <w:lang w:val="en-US" w:eastAsia="zh-CN"/>
        </w:rPr>
      </w:pPr>
    </w:p>
    <w:p w14:paraId="06F0381C">
      <w:pPr>
        <w:pStyle w:val="2"/>
        <w:rPr>
          <w:rFonts w:hint="eastAsia" w:ascii="仿宋" w:hAnsi="仿宋" w:eastAsia="仿宋" w:cs="Times New Roman"/>
          <w:color w:val="auto"/>
          <w:sz w:val="32"/>
          <w:szCs w:val="32"/>
          <w:highlight w:val="none"/>
          <w:lang w:val="en-US" w:eastAsia="zh-CN"/>
        </w:rPr>
      </w:pPr>
    </w:p>
    <w:p w14:paraId="26ABDF7C">
      <w:pPr>
        <w:pStyle w:val="2"/>
        <w:rPr>
          <w:rFonts w:hint="eastAsia" w:ascii="仿宋" w:hAnsi="仿宋" w:eastAsia="仿宋" w:cs="Times New Roman"/>
          <w:color w:val="auto"/>
          <w:sz w:val="32"/>
          <w:szCs w:val="32"/>
          <w:highlight w:val="none"/>
          <w:lang w:val="en-US" w:eastAsia="zh-CN"/>
        </w:rPr>
      </w:pPr>
    </w:p>
    <w:p w14:paraId="1B7CE0B0">
      <w:pPr>
        <w:pStyle w:val="3"/>
        <w:rPr>
          <w:rFonts w:hint="eastAsia" w:ascii="仿宋" w:hAnsi="仿宋" w:eastAsia="仿宋" w:cs="Times New Roman"/>
          <w:color w:val="auto"/>
          <w:sz w:val="32"/>
          <w:szCs w:val="32"/>
          <w:highlight w:val="none"/>
          <w:lang w:val="en-US" w:eastAsia="zh-CN"/>
        </w:rPr>
      </w:pPr>
    </w:p>
    <w:p w14:paraId="321945E7">
      <w:pPr>
        <w:pStyle w:val="3"/>
        <w:rPr>
          <w:rFonts w:hint="eastAsia" w:ascii="仿宋" w:hAnsi="仿宋" w:eastAsia="仿宋" w:cs="Times New Roman"/>
          <w:color w:val="auto"/>
          <w:sz w:val="32"/>
          <w:szCs w:val="32"/>
          <w:highlight w:val="none"/>
          <w:lang w:val="en-US" w:eastAsia="zh-CN"/>
        </w:rPr>
      </w:pPr>
    </w:p>
    <w:p w14:paraId="0CD41A57">
      <w:pPr>
        <w:pStyle w:val="9"/>
        <w:spacing w:beforeLines="0"/>
        <w:rPr>
          <w:rFonts w:hint="eastAsia" w:ascii="新宋体" w:hAnsi="新宋体" w:eastAsia="新宋体" w:cs="新宋体"/>
        </w:rPr>
      </w:pPr>
    </w:p>
    <w:p w14:paraId="18F2F4DF">
      <w:pPr>
        <w:suppressAutoHyphens/>
        <w:bidi w:val="0"/>
        <w:spacing w:line="600" w:lineRule="exact"/>
        <w:ind w:firstLine="640" w:firstLineChars="200"/>
        <w:jc w:val="center"/>
        <w:rPr>
          <w:rFonts w:hint="eastAsia" w:ascii="新宋体" w:hAnsi="新宋体" w:eastAsia="新宋体" w:cs="新宋体"/>
          <w:sz w:val="32"/>
          <w:szCs w:val="32"/>
        </w:rPr>
      </w:pPr>
      <w:r>
        <w:rPr>
          <w:rFonts w:hint="eastAsia" w:ascii="仿宋" w:hAnsi="仿宋" w:eastAsia="仿宋" w:cs="Times New Roman"/>
          <w:color w:val="auto"/>
          <w:sz w:val="32"/>
          <w:szCs w:val="32"/>
          <w:highlight w:val="none"/>
          <w:lang w:val="en-US" w:eastAsia="zh-CN"/>
        </w:rPr>
        <w:t>（图3：支出决算结构图）</w:t>
      </w:r>
      <w:bookmarkStart w:id="28" w:name="_Toc15396606"/>
      <w:bookmarkStart w:id="29" w:name="_Toc15377208"/>
    </w:p>
    <w:p w14:paraId="7340A2DA">
      <w:pPr>
        <w:keepNext w:val="0"/>
        <w:keepLines w:val="0"/>
        <w:pageBreakBefore w:val="0"/>
        <w:widowControl w:val="0"/>
        <w:kinsoku/>
        <w:wordWrap/>
        <w:overflowPunct/>
        <w:topLinePunct w:val="0"/>
        <w:autoSpaceDE/>
        <w:autoSpaceDN/>
        <w:bidi w:val="0"/>
        <w:adjustRightInd/>
        <w:snapToGrid/>
        <w:spacing w:line="576" w:lineRule="exact"/>
        <w:textAlignment w:val="auto"/>
        <w:rPr>
          <w:rStyle w:val="31"/>
          <w:rFonts w:hint="eastAsia" w:ascii="黑体" w:hAnsi="黑体" w:eastAsia="黑体" w:cs="Times New Roman"/>
          <w:b w:val="0"/>
          <w:color w:val="auto"/>
          <w:highlight w:val="none"/>
          <w:lang w:val="en-US" w:eastAsia="zh-CN" w:bidi="ar-SA"/>
        </w:rPr>
      </w:pPr>
      <w:r>
        <w:rPr>
          <w:rStyle w:val="31"/>
          <w:rFonts w:hint="eastAsia" w:ascii="黑体" w:hAnsi="黑体" w:eastAsia="黑体" w:cs="Times New Roman"/>
          <w:b w:val="0"/>
          <w:color w:val="auto"/>
          <w:highlight w:val="none"/>
          <w:lang w:val="en-US" w:eastAsia="zh-CN" w:bidi="ar-SA"/>
        </w:rPr>
        <w:t>　　四、财政拨款收入支出决算总体情况说明</w:t>
      </w:r>
      <w:bookmarkEnd w:id="28"/>
      <w:bookmarkEnd w:id="29"/>
    </w:p>
    <w:p w14:paraId="57090047">
      <w:pPr>
        <w:pageBreakBefore w:val="0"/>
        <w:widowControl w:val="0"/>
        <w:kinsoku/>
        <w:wordWrap/>
        <w:overflowPunct/>
        <w:topLinePunct w:val="0"/>
        <w:autoSpaceDE/>
        <w:autoSpaceDN/>
        <w:bidi w:val="0"/>
        <w:spacing w:line="576" w:lineRule="exact"/>
        <w:ind w:firstLine="709"/>
        <w:textAlignment w:val="auto"/>
        <w:rPr>
          <w:rFonts w:hint="eastAsia" w:ascii="仿宋_GB2312" w:hAnsi="仿宋_GB2312" w:eastAsia="仿宋_GB2312" w:cs="仿宋_GB2312"/>
          <w:b w:val="0"/>
          <w:bCs w:val="0"/>
          <w:color w:val="000000"/>
          <w:kern w:val="2"/>
          <w:sz w:val="32"/>
          <w:szCs w:val="24"/>
          <w:highlight w:val="none"/>
          <w:lang w:val="en-US" w:eastAsia="zh-CN" w:bidi="ar-SA"/>
        </w:rPr>
      </w:pPr>
      <w:r>
        <w:rPr>
          <w:rFonts w:hint="eastAsia" w:ascii="仿宋_GB2312" w:hAnsi="仿宋_GB2312" w:eastAsia="仿宋_GB2312" w:cs="仿宋_GB2312"/>
          <w:b w:val="0"/>
          <w:bCs w:val="0"/>
          <w:color w:val="000000"/>
          <w:kern w:val="2"/>
          <w:sz w:val="32"/>
          <w:szCs w:val="24"/>
          <w:highlight w:val="none"/>
          <w:lang w:val="en-US" w:eastAsia="zh-CN" w:bidi="ar-SA"/>
        </w:rPr>
        <w:t>2024年财政拨款收入合计318.10万元，支出合计318.10万元。与2023年相比，财政拨款收入总计增加10.11万元、支出总计增加10.11万元，收入总计上升3.18%，支出总计上升3.18%。主要变动原因是：政策性调资，人员经费增加等。</w:t>
      </w:r>
    </w:p>
    <w:p w14:paraId="63F0CE9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新宋体" w:hAnsi="新宋体" w:eastAsia="新宋体" w:cs="新宋体"/>
          <w:sz w:val="32"/>
          <w:szCs w:val="32"/>
        </w:rPr>
      </w:pPr>
      <w:r>
        <w:rPr>
          <w:rFonts w:hint="eastAsia" w:ascii="仿宋" w:hAnsi="仿宋" w:eastAsia="仿宋" w:cs="Times New Roman"/>
          <w:color w:val="auto"/>
          <w:sz w:val="32"/>
          <w:szCs w:val="32"/>
          <w:highlight w:val="none"/>
          <w:lang w:val="en-US" w:eastAsia="zh-CN"/>
        </w:rPr>
        <w:drawing>
          <wp:anchor distT="0" distB="0" distL="114300" distR="114300" simplePos="0" relativeHeight="251660288" behindDoc="0" locked="0" layoutInCell="1" allowOverlap="1">
            <wp:simplePos x="0" y="0"/>
            <wp:positionH relativeFrom="column">
              <wp:posOffset>453390</wp:posOffset>
            </wp:positionH>
            <wp:positionV relativeFrom="paragraph">
              <wp:posOffset>196850</wp:posOffset>
            </wp:positionV>
            <wp:extent cx="4745355" cy="2278380"/>
            <wp:effectExtent l="4445" t="4445" r="12700" b="2222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E63A83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新宋体" w:hAnsi="新宋体" w:eastAsia="新宋体" w:cs="新宋体"/>
          <w:sz w:val="32"/>
          <w:szCs w:val="32"/>
        </w:rPr>
      </w:pPr>
    </w:p>
    <w:p w14:paraId="6B3FFF69">
      <w:pPr>
        <w:pStyle w:val="2"/>
        <w:rPr>
          <w:rFonts w:hint="eastAsia" w:ascii="新宋体" w:hAnsi="新宋体" w:eastAsia="新宋体" w:cs="新宋体"/>
          <w:sz w:val="32"/>
          <w:szCs w:val="32"/>
        </w:rPr>
      </w:pPr>
    </w:p>
    <w:p w14:paraId="06ABA457">
      <w:pPr>
        <w:pStyle w:val="3"/>
        <w:rPr>
          <w:rFonts w:hint="eastAsia" w:ascii="新宋体" w:hAnsi="新宋体" w:eastAsia="新宋体" w:cs="新宋体"/>
          <w:sz w:val="32"/>
          <w:szCs w:val="32"/>
        </w:rPr>
      </w:pPr>
    </w:p>
    <w:p w14:paraId="0DC1FAFC">
      <w:pPr>
        <w:pStyle w:val="3"/>
        <w:rPr>
          <w:rFonts w:hint="eastAsia" w:ascii="新宋体" w:hAnsi="新宋体" w:eastAsia="新宋体" w:cs="新宋体"/>
          <w:sz w:val="32"/>
          <w:szCs w:val="32"/>
        </w:rPr>
      </w:pPr>
    </w:p>
    <w:p w14:paraId="74447A7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新宋体" w:hAnsi="新宋体" w:eastAsia="新宋体" w:cs="新宋体"/>
          <w:sz w:val="32"/>
          <w:szCs w:val="32"/>
        </w:rPr>
      </w:pPr>
    </w:p>
    <w:p w14:paraId="250B3B0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新宋体" w:hAnsi="新宋体" w:eastAsia="新宋体" w:cs="新宋体"/>
          <w:sz w:val="32"/>
          <w:szCs w:val="32"/>
        </w:rPr>
      </w:pPr>
    </w:p>
    <w:p w14:paraId="6AA3C49B">
      <w:pPr>
        <w:suppressAutoHyphens/>
        <w:bidi w:val="0"/>
        <w:spacing w:line="600" w:lineRule="exact"/>
        <w:jc w:val="center"/>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（图4：财政拨款收、支决算总计变动情况）</w:t>
      </w:r>
    </w:p>
    <w:p w14:paraId="3BFB12E7">
      <w:pPr>
        <w:keepNext w:val="0"/>
        <w:keepLines w:val="0"/>
        <w:pageBreakBefore w:val="0"/>
        <w:widowControl w:val="0"/>
        <w:kinsoku/>
        <w:wordWrap/>
        <w:overflowPunct/>
        <w:topLinePunct w:val="0"/>
        <w:autoSpaceDE/>
        <w:autoSpaceDN/>
        <w:bidi w:val="0"/>
        <w:adjustRightInd/>
        <w:snapToGrid/>
        <w:spacing w:line="576" w:lineRule="exact"/>
        <w:textAlignment w:val="auto"/>
        <w:rPr>
          <w:rStyle w:val="31"/>
          <w:rFonts w:hint="eastAsia" w:ascii="黑体" w:hAnsi="黑体" w:eastAsia="黑体" w:cs="Times New Roman"/>
          <w:b w:val="0"/>
          <w:color w:val="auto"/>
          <w:highlight w:val="none"/>
          <w:lang w:val="en-US" w:eastAsia="zh-CN" w:bidi="ar-SA"/>
        </w:rPr>
      </w:pPr>
      <w:bookmarkStart w:id="30" w:name="_Toc15377209"/>
      <w:bookmarkStart w:id="31" w:name="_Toc15396607"/>
      <w:r>
        <w:rPr>
          <w:rStyle w:val="31"/>
          <w:rFonts w:hint="eastAsia" w:ascii="黑体" w:hAnsi="黑体" w:eastAsia="黑体" w:cs="Times New Roman"/>
          <w:b w:val="0"/>
          <w:color w:val="auto"/>
          <w:highlight w:val="none"/>
          <w:lang w:val="en-US" w:eastAsia="zh-CN" w:bidi="ar-SA"/>
        </w:rPr>
        <w:t>　　五、一般公共预算财政拨款支出决算情况说明</w:t>
      </w:r>
      <w:bookmarkEnd w:id="30"/>
      <w:bookmarkEnd w:id="31"/>
    </w:p>
    <w:p w14:paraId="4A66A4B3">
      <w:pPr>
        <w:suppressAutoHyphens/>
        <w:bidi w:val="0"/>
        <w:spacing w:line="600" w:lineRule="exact"/>
        <w:jc w:val="left"/>
        <w:rPr>
          <w:rFonts w:hint="eastAsia" w:ascii="仿宋" w:hAnsi="仿宋" w:eastAsia="仿宋" w:cs="Times New Roman"/>
          <w:color w:val="auto"/>
          <w:sz w:val="32"/>
          <w:szCs w:val="32"/>
          <w:highlight w:val="none"/>
          <w:lang w:val="en-US" w:eastAsia="zh-CN"/>
        </w:rPr>
      </w:pPr>
      <w:bookmarkStart w:id="32" w:name="_Toc15377210"/>
      <w:r>
        <w:rPr>
          <w:rFonts w:hint="eastAsia" w:ascii="仿宋" w:hAnsi="仿宋" w:eastAsia="仿宋" w:cs="Times New Roman"/>
          <w:color w:val="auto"/>
          <w:sz w:val="32"/>
          <w:szCs w:val="32"/>
          <w:highlight w:val="none"/>
          <w:lang w:val="en-US" w:eastAsia="zh-CN"/>
        </w:rPr>
        <w:t>　　</w:t>
      </w:r>
      <w:r>
        <w:rPr>
          <w:rFonts w:hint="eastAsia" w:ascii="仿宋" w:hAnsi="仿宋" w:eastAsia="仿宋" w:cs="Times New Roman"/>
          <w:b/>
          <w:bCs/>
          <w:color w:val="auto"/>
          <w:sz w:val="32"/>
          <w:szCs w:val="32"/>
          <w:highlight w:val="none"/>
          <w:lang w:val="en-US" w:eastAsia="zh-CN"/>
        </w:rPr>
        <w:t>（一）一般公共预算财政拨款支出决算总体情况</w:t>
      </w:r>
      <w:bookmarkEnd w:id="32"/>
    </w:p>
    <w:p w14:paraId="41895600">
      <w:pPr>
        <w:pageBreakBefore w:val="0"/>
        <w:widowControl w:val="0"/>
        <w:kinsoku/>
        <w:wordWrap/>
        <w:overflowPunct/>
        <w:topLinePunct w:val="0"/>
        <w:autoSpaceDE/>
        <w:autoSpaceDN/>
        <w:bidi w:val="0"/>
        <w:spacing w:line="576" w:lineRule="exact"/>
        <w:ind w:firstLine="709"/>
        <w:textAlignment w:val="auto"/>
        <w:rPr>
          <w:rFonts w:hint="eastAsia" w:ascii="仿宋_GB2312" w:hAnsi="仿宋_GB2312" w:eastAsia="仿宋_GB2312" w:cs="仿宋_GB2312"/>
          <w:b w:val="0"/>
          <w:bCs w:val="0"/>
          <w:color w:val="000000"/>
          <w:kern w:val="2"/>
          <w:sz w:val="32"/>
          <w:szCs w:val="24"/>
          <w:highlight w:val="none"/>
          <w:lang w:val="en-US" w:eastAsia="zh-CN" w:bidi="ar-SA"/>
        </w:rPr>
      </w:pPr>
      <w:r>
        <w:rPr>
          <w:rFonts w:hint="eastAsia" w:ascii="仿宋" w:hAnsi="仿宋" w:eastAsia="仿宋" w:cs="Times New Roman"/>
          <w:color w:val="auto"/>
          <w:sz w:val="32"/>
          <w:szCs w:val="32"/>
          <w:highlight w:val="none"/>
          <w:lang w:val="en-US" w:eastAsia="zh-CN"/>
        </w:rPr>
        <w:t>　　</w:t>
      </w:r>
      <w:r>
        <w:rPr>
          <w:rFonts w:hint="eastAsia" w:ascii="仿宋_GB2312" w:hAnsi="仿宋_GB2312" w:eastAsia="仿宋_GB2312" w:cs="仿宋_GB2312"/>
          <w:b w:val="0"/>
          <w:bCs w:val="0"/>
          <w:color w:val="000000"/>
          <w:kern w:val="2"/>
          <w:sz w:val="32"/>
          <w:szCs w:val="24"/>
          <w:highlight w:val="none"/>
          <w:lang w:val="en-US" w:eastAsia="zh-CN" w:bidi="ar-SA"/>
        </w:rPr>
        <w:t>2024年一般公共预算财政拨款支出318.10万元，占本年支出合计的100%。与2023年相比，一般公共预算财政拨款增加10.11万元，上升3.18%。主要变动原因是：政策性调资，人员经费增加等。</w:t>
      </w:r>
    </w:p>
    <w:p w14:paraId="07988D45">
      <w:pPr>
        <w:spacing w:line="600" w:lineRule="exact"/>
        <w:rPr>
          <w:rFonts w:hint="eastAsia" w:ascii="新宋体" w:hAnsi="新宋体" w:eastAsia="新宋体" w:cs="新宋体"/>
          <w:sz w:val="32"/>
          <w:szCs w:val="32"/>
          <w:lang w:val="en-US" w:eastAsia="zh-CN"/>
        </w:rPr>
      </w:pPr>
      <w:r>
        <w:rPr>
          <w:rFonts w:hint="eastAsia" w:ascii="新宋体" w:hAnsi="新宋体" w:eastAsia="新宋体" w:cs="新宋体"/>
          <w:sz w:val="32"/>
          <w:szCs w:val="32"/>
        </w:rPr>
        <w:drawing>
          <wp:anchor distT="0" distB="0" distL="114300" distR="114300" simplePos="0" relativeHeight="251664384" behindDoc="0" locked="0" layoutInCell="1" allowOverlap="1">
            <wp:simplePos x="0" y="0"/>
            <wp:positionH relativeFrom="column">
              <wp:posOffset>707390</wp:posOffset>
            </wp:positionH>
            <wp:positionV relativeFrom="paragraph">
              <wp:posOffset>294005</wp:posOffset>
            </wp:positionV>
            <wp:extent cx="4613275" cy="2468880"/>
            <wp:effectExtent l="4445" t="5080" r="11430" b="21590"/>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新宋体" w:hAnsi="新宋体" w:eastAsia="新宋体" w:cs="新宋体"/>
          <w:sz w:val="32"/>
          <w:szCs w:val="32"/>
          <w:lang w:val="en-US" w:eastAsia="zh-CN"/>
        </w:rPr>
        <w:t xml:space="preserve">   </w:t>
      </w:r>
    </w:p>
    <w:p w14:paraId="6374BFAA">
      <w:pPr>
        <w:spacing w:line="600" w:lineRule="exact"/>
        <w:rPr>
          <w:rFonts w:hint="eastAsia" w:ascii="新宋体" w:hAnsi="新宋体" w:eastAsia="新宋体" w:cs="新宋体"/>
          <w:sz w:val="32"/>
          <w:szCs w:val="32"/>
          <w:lang w:val="en-US" w:eastAsia="zh-CN"/>
        </w:rPr>
      </w:pPr>
    </w:p>
    <w:p w14:paraId="41D532C9">
      <w:pPr>
        <w:spacing w:line="600" w:lineRule="exact"/>
        <w:rPr>
          <w:rFonts w:hint="eastAsia" w:ascii="新宋体" w:hAnsi="新宋体" w:eastAsia="新宋体" w:cs="新宋体"/>
          <w:sz w:val="32"/>
          <w:szCs w:val="32"/>
          <w:lang w:val="en-US" w:eastAsia="zh-CN"/>
        </w:rPr>
      </w:pPr>
    </w:p>
    <w:p w14:paraId="2DBDCCE2">
      <w:pPr>
        <w:pStyle w:val="2"/>
        <w:rPr>
          <w:rFonts w:hint="eastAsia" w:ascii="新宋体" w:hAnsi="新宋体" w:eastAsia="新宋体" w:cs="新宋体"/>
          <w:sz w:val="32"/>
          <w:szCs w:val="32"/>
          <w:lang w:val="en-US" w:eastAsia="zh-CN"/>
        </w:rPr>
      </w:pPr>
    </w:p>
    <w:p w14:paraId="200C4B1D">
      <w:pPr>
        <w:pStyle w:val="3"/>
        <w:rPr>
          <w:rFonts w:hint="eastAsia" w:ascii="新宋体" w:hAnsi="新宋体" w:eastAsia="新宋体" w:cs="新宋体"/>
          <w:sz w:val="32"/>
          <w:szCs w:val="32"/>
          <w:lang w:val="en-US" w:eastAsia="zh-CN"/>
        </w:rPr>
      </w:pPr>
    </w:p>
    <w:p w14:paraId="01D7930C">
      <w:pPr>
        <w:pStyle w:val="3"/>
        <w:ind w:left="0" w:leftChars="0" w:firstLine="0" w:firstLineChars="0"/>
        <w:rPr>
          <w:rFonts w:hint="eastAsia" w:ascii="新宋体" w:hAnsi="新宋体" w:eastAsia="新宋体" w:cs="新宋体"/>
          <w:sz w:val="32"/>
          <w:szCs w:val="32"/>
          <w:lang w:val="en-US" w:eastAsia="zh-CN"/>
        </w:rPr>
      </w:pPr>
    </w:p>
    <w:p w14:paraId="56BAD96E">
      <w:pPr>
        <w:pStyle w:val="3"/>
        <w:rPr>
          <w:rFonts w:hint="eastAsia" w:ascii="新宋体" w:hAnsi="新宋体" w:eastAsia="新宋体" w:cs="新宋体"/>
          <w:sz w:val="32"/>
          <w:szCs w:val="32"/>
          <w:lang w:val="en-US" w:eastAsia="zh-CN"/>
        </w:rPr>
      </w:pPr>
    </w:p>
    <w:p w14:paraId="2E836B33">
      <w:pPr>
        <w:suppressAutoHyphens/>
        <w:bidi w:val="0"/>
        <w:spacing w:line="600" w:lineRule="exact"/>
        <w:jc w:val="center"/>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（图5：一般公共预算财政拨款支出决算变动情况）</w:t>
      </w:r>
    </w:p>
    <w:p w14:paraId="7B0A0187">
      <w:pPr>
        <w:suppressAutoHyphens/>
        <w:bidi w:val="0"/>
        <w:spacing w:line="600" w:lineRule="exact"/>
        <w:jc w:val="left"/>
        <w:rPr>
          <w:rFonts w:hint="eastAsia" w:ascii="仿宋" w:hAnsi="仿宋" w:eastAsia="仿宋" w:cs="Times New Roman"/>
          <w:b/>
          <w:bCs/>
          <w:color w:val="auto"/>
          <w:sz w:val="32"/>
          <w:szCs w:val="32"/>
          <w:highlight w:val="none"/>
          <w:lang w:val="en-US" w:eastAsia="zh-CN"/>
        </w:rPr>
      </w:pPr>
      <w:bookmarkStart w:id="33" w:name="_Toc15377211"/>
      <w:r>
        <w:rPr>
          <w:rFonts w:hint="eastAsia" w:ascii="仿宋" w:hAnsi="仿宋" w:eastAsia="仿宋" w:cs="Times New Roman"/>
          <w:color w:val="auto"/>
          <w:sz w:val="32"/>
          <w:szCs w:val="32"/>
          <w:highlight w:val="none"/>
          <w:lang w:val="en-US" w:eastAsia="zh-CN"/>
        </w:rPr>
        <w:t>　　</w:t>
      </w:r>
      <w:r>
        <w:rPr>
          <w:rFonts w:hint="eastAsia" w:ascii="仿宋" w:hAnsi="仿宋" w:eastAsia="仿宋" w:cs="Times New Roman"/>
          <w:b/>
          <w:bCs/>
          <w:color w:val="auto"/>
          <w:sz w:val="32"/>
          <w:szCs w:val="32"/>
          <w:highlight w:val="none"/>
          <w:lang w:val="en-US" w:eastAsia="zh-CN"/>
        </w:rPr>
        <w:t>（二）一般公共预算财政拨款支出决算结构情况</w:t>
      </w:r>
      <w:bookmarkEnd w:id="33"/>
    </w:p>
    <w:p w14:paraId="79CEE848">
      <w:pPr>
        <w:suppressAutoHyphens/>
        <w:bidi w:val="0"/>
        <w:spacing w:line="600" w:lineRule="exact"/>
        <w:jc w:val="left"/>
        <w:rPr>
          <w:rFonts w:hint="eastAsia" w:ascii="仿宋_GB2312" w:hAnsi="仿宋_GB2312" w:eastAsia="仿宋_GB2312" w:cs="仿宋_GB2312"/>
          <w:b w:val="0"/>
          <w:bCs w:val="0"/>
          <w:color w:val="000000"/>
          <w:kern w:val="2"/>
          <w:sz w:val="32"/>
          <w:szCs w:val="24"/>
          <w:highlight w:val="none"/>
          <w:lang w:val="en-US" w:eastAsia="zh-CN" w:bidi="ar-SA"/>
        </w:rPr>
      </w:pPr>
      <w:r>
        <w:rPr>
          <w:rFonts w:hint="eastAsia" w:ascii="仿宋" w:hAnsi="仿宋" w:eastAsia="仿宋" w:cs="Times New Roman"/>
          <w:color w:val="auto"/>
          <w:sz w:val="32"/>
          <w:szCs w:val="32"/>
          <w:highlight w:val="none"/>
          <w:lang w:val="en-US" w:eastAsia="zh-CN"/>
        </w:rPr>
        <w:t>　　</w:t>
      </w:r>
      <w:r>
        <w:rPr>
          <w:rFonts w:hint="eastAsia" w:ascii="仿宋_GB2312" w:hAnsi="仿宋_GB2312" w:eastAsia="仿宋_GB2312" w:cs="仿宋_GB2312"/>
          <w:b w:val="0"/>
          <w:bCs w:val="0"/>
          <w:color w:val="000000"/>
          <w:kern w:val="2"/>
          <w:sz w:val="32"/>
          <w:szCs w:val="24"/>
          <w:highlight w:val="none"/>
          <w:lang w:val="en-US" w:eastAsia="zh-CN" w:bidi="ar-SA"/>
        </w:rPr>
        <w:t>2024年一般公共预算财政拨款支出318.10万元，主要用于以下方面: 中：教育支出254.58万元，占80%；社会保障和就业支出30.20万元，占10%；卫生健康支出12.87万元，占4%；住房保障支出20.45万元，占6%。</w:t>
      </w:r>
    </w:p>
    <w:p w14:paraId="40A7C85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新宋体" w:hAnsi="新宋体" w:eastAsia="新宋体" w:cs="新宋体"/>
          <w:sz w:val="32"/>
          <w:szCs w:val="32"/>
          <w:highlight w:val="none"/>
        </w:rPr>
      </w:pPr>
      <w:r>
        <w:rPr>
          <w:rFonts w:hint="eastAsia" w:ascii="新宋体" w:hAnsi="新宋体" w:eastAsia="新宋体" w:cs="新宋体"/>
          <w:b/>
          <w:sz w:val="32"/>
          <w:szCs w:val="32"/>
          <w:highlight w:val="none"/>
        </w:rPr>
        <w:drawing>
          <wp:anchor distT="0" distB="0" distL="114300" distR="114300" simplePos="0" relativeHeight="251661312" behindDoc="0" locked="0" layoutInCell="1" allowOverlap="1">
            <wp:simplePos x="0" y="0"/>
            <wp:positionH relativeFrom="column">
              <wp:posOffset>850900</wp:posOffset>
            </wp:positionH>
            <wp:positionV relativeFrom="paragraph">
              <wp:posOffset>319405</wp:posOffset>
            </wp:positionV>
            <wp:extent cx="4295140" cy="2379980"/>
            <wp:effectExtent l="4445" t="4445" r="5715" b="1587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5A4FAB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新宋体" w:hAnsi="新宋体" w:eastAsia="新宋体" w:cs="新宋体"/>
          <w:sz w:val="32"/>
          <w:szCs w:val="32"/>
          <w:highlight w:val="none"/>
        </w:rPr>
      </w:pPr>
    </w:p>
    <w:p w14:paraId="3FFF6D2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新宋体" w:hAnsi="新宋体" w:eastAsia="新宋体" w:cs="新宋体"/>
          <w:sz w:val="32"/>
          <w:szCs w:val="32"/>
          <w:highlight w:val="none"/>
        </w:rPr>
      </w:pPr>
    </w:p>
    <w:p w14:paraId="5F964BE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新宋体" w:hAnsi="新宋体" w:eastAsia="新宋体" w:cs="新宋体"/>
          <w:sz w:val="32"/>
          <w:szCs w:val="32"/>
          <w:highlight w:val="none"/>
        </w:rPr>
      </w:pPr>
    </w:p>
    <w:p w14:paraId="5B10079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新宋体" w:hAnsi="新宋体" w:eastAsia="新宋体" w:cs="新宋体"/>
          <w:sz w:val="32"/>
          <w:szCs w:val="32"/>
          <w:highlight w:val="none"/>
        </w:rPr>
      </w:pPr>
    </w:p>
    <w:p w14:paraId="445DEA6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新宋体" w:hAnsi="新宋体" w:eastAsia="新宋体" w:cs="新宋体"/>
          <w:sz w:val="32"/>
          <w:szCs w:val="32"/>
          <w:highlight w:val="none"/>
        </w:rPr>
      </w:pPr>
    </w:p>
    <w:p w14:paraId="11169CF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新宋体" w:hAnsi="新宋体" w:eastAsia="新宋体" w:cs="新宋体"/>
          <w:sz w:val="32"/>
          <w:szCs w:val="32"/>
          <w:highlight w:val="none"/>
        </w:rPr>
      </w:pPr>
    </w:p>
    <w:p w14:paraId="3D826FA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新宋体" w:hAnsi="新宋体" w:eastAsia="新宋体" w:cs="新宋体"/>
          <w:sz w:val="32"/>
          <w:szCs w:val="32"/>
          <w:highlight w:val="none"/>
        </w:rPr>
      </w:pPr>
    </w:p>
    <w:p w14:paraId="40FEE830">
      <w:pPr>
        <w:suppressAutoHyphens/>
        <w:bidi w:val="0"/>
        <w:spacing w:line="600" w:lineRule="exact"/>
        <w:jc w:val="center"/>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（图6：一般公共预算财政拨款支出决算结构）</w:t>
      </w:r>
    </w:p>
    <w:p w14:paraId="2FD2E23B">
      <w:pPr>
        <w:suppressAutoHyphens/>
        <w:bidi w:val="0"/>
        <w:spacing w:line="600" w:lineRule="exact"/>
        <w:jc w:val="left"/>
        <w:rPr>
          <w:rFonts w:hint="eastAsia" w:ascii="仿宋" w:hAnsi="仿宋" w:eastAsia="仿宋" w:cs="Times New Roman"/>
          <w:color w:val="auto"/>
          <w:sz w:val="32"/>
          <w:szCs w:val="32"/>
          <w:highlight w:val="none"/>
          <w:lang w:val="en-US" w:eastAsia="zh-CN"/>
        </w:rPr>
      </w:pPr>
      <w:bookmarkStart w:id="34" w:name="_Toc15377212"/>
      <w:r>
        <w:rPr>
          <w:rFonts w:hint="eastAsia" w:ascii="仿宋" w:hAnsi="仿宋" w:eastAsia="仿宋" w:cs="Times New Roman"/>
          <w:color w:val="auto"/>
          <w:sz w:val="32"/>
          <w:szCs w:val="32"/>
          <w:highlight w:val="none"/>
          <w:lang w:val="en-US" w:eastAsia="zh-CN"/>
        </w:rPr>
        <w:t>　　</w:t>
      </w:r>
      <w:r>
        <w:rPr>
          <w:rFonts w:hint="eastAsia" w:ascii="仿宋" w:hAnsi="仿宋" w:eastAsia="仿宋" w:cs="Times New Roman"/>
          <w:b/>
          <w:bCs/>
          <w:color w:val="auto"/>
          <w:sz w:val="32"/>
          <w:szCs w:val="32"/>
          <w:highlight w:val="none"/>
          <w:lang w:val="en-US" w:eastAsia="zh-CN"/>
        </w:rPr>
        <w:t>（三）一般公共预算财政拨款支出决算具体情况</w:t>
      </w:r>
      <w:bookmarkEnd w:id="34"/>
    </w:p>
    <w:p w14:paraId="3409CB64">
      <w:pPr>
        <w:suppressAutoHyphens/>
        <w:bidi w:val="0"/>
        <w:spacing w:line="600" w:lineRule="exact"/>
        <w:ind w:firstLine="640" w:firstLineChars="200"/>
        <w:outlineLvl w:val="2"/>
        <w:rPr>
          <w:rFonts w:hint="eastAsia" w:ascii="方正仿宋_GB2312" w:hAnsi="方正仿宋_GB2312" w:eastAsia="方正仿宋_GB2312" w:cs="方正仿宋_GB2312"/>
          <w:color w:val="auto"/>
          <w:sz w:val="32"/>
          <w:szCs w:val="32"/>
          <w:highlight w:val="none"/>
          <w:lang w:val="en-US" w:eastAsia="zh-CN"/>
        </w:rPr>
      </w:pPr>
      <w:bookmarkStart w:id="35" w:name="_Toc15378460"/>
      <w:bookmarkStart w:id="36" w:name="_Toc15377213"/>
      <w:bookmarkStart w:id="37" w:name="_Toc15377444"/>
      <w:r>
        <w:rPr>
          <w:rFonts w:hint="eastAsia" w:ascii="仿宋" w:hAnsi="仿宋" w:eastAsia="仿宋" w:cs="Times New Roman"/>
          <w:color w:val="auto"/>
          <w:sz w:val="32"/>
          <w:szCs w:val="32"/>
          <w:highlight w:val="none"/>
          <w:lang w:val="en-US" w:eastAsia="zh-CN"/>
        </w:rPr>
        <w:t>　</w:t>
      </w:r>
      <w:r>
        <w:rPr>
          <w:rFonts w:hint="eastAsia" w:ascii="方正仿宋_GB2312" w:hAnsi="方正仿宋_GB2312" w:eastAsia="方正仿宋_GB2312" w:cs="方正仿宋_GB2312"/>
          <w:color w:val="auto"/>
          <w:sz w:val="32"/>
          <w:szCs w:val="32"/>
          <w:highlight w:val="none"/>
          <w:lang w:val="en-US" w:eastAsia="zh-CN"/>
        </w:rPr>
        <w:t>2024年一般公共预算支出决算数为318.10万元，完成预算100%。其中：</w:t>
      </w:r>
      <w:bookmarkEnd w:id="35"/>
      <w:bookmarkEnd w:id="36"/>
      <w:bookmarkEnd w:id="37"/>
    </w:p>
    <w:p w14:paraId="3A0073A0">
      <w:pPr>
        <w:suppressAutoHyphens/>
        <w:bidi w:val="0"/>
        <w:spacing w:line="600" w:lineRule="exact"/>
        <w:ind w:firstLine="640" w:firstLineChars="200"/>
        <w:outlineLvl w:val="2"/>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1.教育（205类）普通教育（02款）学前教育（01项）:支出决算为254.58万元，完成预算100%，决算数与预算数持平。</w:t>
      </w:r>
    </w:p>
    <w:p w14:paraId="14CE8567">
      <w:pPr>
        <w:suppressAutoHyphens/>
        <w:bidi w:val="0"/>
        <w:spacing w:line="600" w:lineRule="exact"/>
        <w:ind w:firstLine="640" w:firstLineChars="200"/>
        <w:outlineLvl w:val="2"/>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2.社会保障和就业（208类）行政事业单位养老支出（05款）机关事业单位基本养老保险缴费支出（05项）:支出决算为30.20万元，完成预算100%，决算数与预算数持平。</w:t>
      </w:r>
    </w:p>
    <w:p w14:paraId="7652470B">
      <w:pPr>
        <w:suppressAutoHyphens/>
        <w:bidi w:val="0"/>
        <w:spacing w:line="600" w:lineRule="exact"/>
        <w:ind w:firstLine="640" w:firstLineChars="200"/>
        <w:outlineLvl w:val="2"/>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3.卫生健康（210类）行政事业单位医疗（11款）事业单位医疗（02项）:支出决算为12.87万元，完成预算100%，决算数与预算数持平。</w:t>
      </w:r>
    </w:p>
    <w:p w14:paraId="222ED37D">
      <w:pPr>
        <w:suppressAutoHyphens/>
        <w:bidi w:val="0"/>
        <w:spacing w:line="600" w:lineRule="exact"/>
        <w:ind w:firstLine="640" w:firstLineChars="200"/>
        <w:outlineLvl w:val="2"/>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4.住房保障（221类）住房改革支出（02款）住房公积金（01项）:支出决算为20.45万元，完成预算100%，决算数与预算数持平。</w:t>
      </w:r>
    </w:p>
    <w:p w14:paraId="685AC226">
      <w:pPr>
        <w:keepNext w:val="0"/>
        <w:keepLines w:val="0"/>
        <w:pageBreakBefore w:val="0"/>
        <w:widowControl w:val="0"/>
        <w:tabs>
          <w:tab w:val="right" w:pos="8306"/>
        </w:tabs>
        <w:kinsoku/>
        <w:wordWrap/>
        <w:overflowPunct/>
        <w:topLinePunct w:val="0"/>
        <w:autoSpaceDE/>
        <w:autoSpaceDN/>
        <w:bidi w:val="0"/>
        <w:adjustRightInd/>
        <w:snapToGrid/>
        <w:spacing w:line="576" w:lineRule="exact"/>
        <w:textAlignment w:val="auto"/>
        <w:outlineLvl w:val="1"/>
        <w:rPr>
          <w:rStyle w:val="31"/>
          <w:rFonts w:hint="eastAsia" w:ascii="新宋体" w:hAnsi="新宋体" w:eastAsia="新宋体" w:cs="新宋体"/>
          <w:highlight w:val="none"/>
        </w:rPr>
      </w:pPr>
      <w:bookmarkStart w:id="38" w:name="_Toc15396608"/>
      <w:bookmarkStart w:id="39" w:name="_Toc15377214"/>
      <w:r>
        <w:rPr>
          <w:rFonts w:hint="eastAsia" w:ascii="新宋体" w:hAnsi="新宋体" w:eastAsia="新宋体" w:cs="新宋体"/>
          <w:sz w:val="32"/>
          <w:szCs w:val="32"/>
          <w:highlight w:val="none"/>
          <w:lang w:eastAsia="zh-CN"/>
        </w:rPr>
        <w:t>　　</w:t>
      </w:r>
      <w:r>
        <w:rPr>
          <w:rStyle w:val="31"/>
          <w:rFonts w:hint="eastAsia" w:ascii="黑体" w:hAnsi="黑体" w:eastAsia="黑体" w:cs="Times New Roman"/>
          <w:b w:val="0"/>
          <w:color w:val="auto"/>
          <w:highlight w:val="none"/>
        </w:rPr>
        <w:t>六、一般公共预算财政拨款基本支出决算情况说明</w:t>
      </w:r>
      <w:bookmarkEnd w:id="38"/>
      <w:bookmarkEnd w:id="39"/>
      <w:r>
        <w:rPr>
          <w:rStyle w:val="31"/>
          <w:rFonts w:hint="eastAsia" w:ascii="新宋体" w:hAnsi="新宋体" w:eastAsia="新宋体" w:cs="新宋体"/>
          <w:b w:val="0"/>
          <w:highlight w:val="none"/>
        </w:rPr>
        <w:tab/>
      </w:r>
    </w:p>
    <w:p w14:paraId="4EFB9D2C">
      <w:pPr>
        <w:suppressAutoHyphens/>
        <w:bidi w:val="0"/>
        <w:spacing w:line="600" w:lineRule="exact"/>
        <w:ind w:firstLine="640" w:firstLineChars="200"/>
        <w:outlineLvl w:val="2"/>
        <w:rPr>
          <w:rFonts w:hint="eastAsia" w:ascii="方正仿宋_GB2312" w:hAnsi="方正仿宋_GB2312" w:eastAsia="方正仿宋_GB2312" w:cs="方正仿宋_GB2312"/>
          <w:color w:val="auto"/>
          <w:sz w:val="32"/>
          <w:szCs w:val="32"/>
          <w:highlight w:val="none"/>
          <w:lang w:val="en-US" w:eastAsia="zh-CN"/>
        </w:rPr>
      </w:pPr>
      <w:bookmarkStart w:id="40" w:name="_Toc15396609"/>
      <w:bookmarkStart w:id="41" w:name="_Toc15377215"/>
      <w:r>
        <w:rPr>
          <w:rFonts w:hint="eastAsia" w:ascii="方正仿宋_GB2312" w:hAnsi="方正仿宋_GB2312" w:eastAsia="方正仿宋_GB2312" w:cs="方正仿宋_GB2312"/>
          <w:color w:val="auto"/>
          <w:sz w:val="32"/>
          <w:szCs w:val="32"/>
          <w:highlight w:val="none"/>
          <w:lang w:val="en-US" w:eastAsia="zh-CN"/>
        </w:rPr>
        <w:t>2024年度一般公共预算财政拨款基本支出261.74万元，其中：</w:t>
      </w:r>
    </w:p>
    <w:p w14:paraId="6C74E95C">
      <w:pPr>
        <w:suppressAutoHyphens/>
        <w:bidi w:val="0"/>
        <w:spacing w:line="600" w:lineRule="exact"/>
        <w:ind w:firstLine="640" w:firstLineChars="200"/>
        <w:outlineLvl w:val="2"/>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人员经费254.42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方正仿宋_GB2312" w:hAnsi="方正仿宋_GB2312" w:eastAsia="方正仿宋_GB2312" w:cs="方正仿宋_GB2312"/>
          <w:color w:val="auto"/>
          <w:sz w:val="32"/>
          <w:szCs w:val="32"/>
          <w:highlight w:val="none"/>
          <w:lang w:val="en-US" w:eastAsia="zh-CN"/>
        </w:rPr>
        <w:br w:type="textWrapping"/>
      </w:r>
      <w:r>
        <w:rPr>
          <w:rFonts w:hint="eastAsia" w:ascii="方正仿宋_GB2312" w:hAnsi="方正仿宋_GB2312" w:eastAsia="方正仿宋_GB2312" w:cs="方正仿宋_GB2312"/>
          <w:color w:val="auto"/>
          <w:sz w:val="32"/>
          <w:szCs w:val="32"/>
          <w:highlight w:val="none"/>
          <w:lang w:val="en-US" w:eastAsia="zh-CN"/>
        </w:rPr>
        <w:t>　　公用经费7.32万元，主要包括：办公费、印刷费、咨询费、手续费、水费、电费、邮电费、取暖费、物业管理费、差旅费、因公出国（境）费用、维修（护）费、租赁费、会议费、培训费、公务接待费、劳务费、委托业务费、工会经费。</w:t>
      </w:r>
    </w:p>
    <w:p w14:paraId="7E8F0E89">
      <w:pPr>
        <w:keepNext w:val="0"/>
        <w:keepLines w:val="0"/>
        <w:pageBreakBefore w:val="0"/>
        <w:widowControl w:val="0"/>
        <w:tabs>
          <w:tab w:val="right" w:pos="8306"/>
        </w:tabs>
        <w:kinsoku/>
        <w:wordWrap/>
        <w:overflowPunct/>
        <w:topLinePunct w:val="0"/>
        <w:autoSpaceDE/>
        <w:autoSpaceDN/>
        <w:bidi w:val="0"/>
        <w:adjustRightInd/>
        <w:snapToGrid/>
        <w:spacing w:line="576" w:lineRule="exact"/>
        <w:textAlignment w:val="auto"/>
        <w:outlineLvl w:val="1"/>
        <w:rPr>
          <w:rStyle w:val="31"/>
          <w:rFonts w:hint="eastAsia" w:ascii="黑体" w:hAnsi="黑体" w:eastAsia="黑体" w:cs="Times New Roman"/>
          <w:b w:val="0"/>
          <w:color w:val="auto"/>
          <w:highlight w:val="none"/>
          <w:lang w:val="en-US" w:eastAsia="zh-CN"/>
        </w:rPr>
      </w:pPr>
      <w:r>
        <w:rPr>
          <w:rStyle w:val="31"/>
          <w:rFonts w:hint="eastAsia" w:ascii="黑体" w:hAnsi="黑体" w:eastAsia="黑体" w:cs="Times New Roman"/>
          <w:b w:val="0"/>
          <w:color w:val="auto"/>
          <w:highlight w:val="none"/>
          <w:lang w:val="en-US" w:eastAsia="zh-CN"/>
        </w:rPr>
        <w:t>　　七、财政拨款“三公”经费支出决算情况说明</w:t>
      </w:r>
      <w:bookmarkEnd w:id="40"/>
      <w:bookmarkEnd w:id="41"/>
    </w:p>
    <w:p w14:paraId="4EF64B9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Times New Roman"/>
          <w:b/>
          <w:bCs/>
          <w:color w:val="auto"/>
          <w:sz w:val="32"/>
          <w:szCs w:val="32"/>
          <w:highlight w:val="none"/>
          <w:lang w:val="en-US" w:eastAsia="zh-CN"/>
        </w:rPr>
      </w:pPr>
      <w:bookmarkStart w:id="42" w:name="_Toc15377216"/>
      <w:r>
        <w:rPr>
          <w:rFonts w:hint="eastAsia" w:ascii="仿宋" w:hAnsi="仿宋" w:eastAsia="仿宋" w:cs="Times New Roman"/>
          <w:b/>
          <w:bCs/>
          <w:color w:val="auto"/>
          <w:sz w:val="32"/>
          <w:szCs w:val="32"/>
          <w:highlight w:val="none"/>
          <w:lang w:val="en-US" w:eastAsia="zh-CN"/>
        </w:rPr>
        <w:t>（一）“三公”经费财政拨款支出决算总体情况说明</w:t>
      </w:r>
    </w:p>
    <w:p w14:paraId="653801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2024年度“三公”经费财政拨款支出决算为0万元，完成预算100%，与上年度持平,决算数与预算数持平。</w:t>
      </w:r>
    </w:p>
    <w:p w14:paraId="5DD367C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Times New Roman"/>
          <w:b/>
          <w:bCs/>
          <w:color w:val="auto"/>
          <w:sz w:val="32"/>
          <w:szCs w:val="32"/>
          <w:highlight w:val="none"/>
          <w:lang w:val="en-US" w:eastAsia="zh-CN"/>
        </w:rPr>
      </w:pPr>
      <w:r>
        <w:rPr>
          <w:rFonts w:hint="eastAsia" w:ascii="仿宋" w:hAnsi="仿宋" w:eastAsia="仿宋" w:cs="Times New Roman"/>
          <w:b/>
          <w:bCs/>
          <w:color w:val="auto"/>
          <w:sz w:val="32"/>
          <w:szCs w:val="32"/>
          <w:highlight w:val="none"/>
          <w:lang w:val="en-US" w:eastAsia="zh-CN"/>
        </w:rPr>
        <w:t>（二）“三公”经费财政拨款支出决算具体情况说明</w:t>
      </w:r>
    </w:p>
    <w:p w14:paraId="534EE5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2024年“三公”经费财政拨款支出决算中，因公出国（境）费支出决算0万元，占0%；公务用车购置及运行维护费支出决算0万元，占0%；公务接待费支出决算0万元，占0%。具体情况如下：</w:t>
      </w:r>
    </w:p>
    <w:p w14:paraId="6800AE9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Times New Roman"/>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1.因公出国（境）经费支出0万元，完成预算100%。</w:t>
      </w:r>
      <w:r>
        <w:rPr>
          <w:rFonts w:hint="eastAsia" w:ascii="仿宋" w:hAnsi="仿宋" w:eastAsia="仿宋" w:cs="Times New Roman"/>
          <w:color w:val="auto"/>
          <w:sz w:val="32"/>
          <w:szCs w:val="32"/>
          <w:highlight w:val="none"/>
          <w:lang w:val="en-US" w:eastAsia="zh-CN"/>
        </w:rPr>
        <w:t>全年安排因公出国（境）团组0次，出国（境）0人。因公出国（境）支出决算比2023年增加0万元，增长0%。</w:t>
      </w:r>
    </w:p>
    <w:p w14:paraId="34EC1F7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Times New Roman"/>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2.公务用车购置及运行维护费支出0万元,完成预算100%。</w:t>
      </w:r>
      <w:r>
        <w:rPr>
          <w:rFonts w:hint="eastAsia" w:ascii="仿宋" w:hAnsi="仿宋" w:eastAsia="仿宋" w:cs="Times New Roman"/>
          <w:color w:val="auto"/>
          <w:sz w:val="32"/>
          <w:szCs w:val="32"/>
          <w:highlight w:val="none"/>
          <w:lang w:val="en-US" w:eastAsia="zh-CN"/>
        </w:rPr>
        <w:t>公务用车购置及运行维护费支出决算比2023年度增加0万元，增长0%。</w:t>
      </w:r>
    </w:p>
    <w:p w14:paraId="5A4B57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其中：公务用车购置支出0万元。全年按规定更新购置公务用车0辆，其中：轿车0辆、金额0元，越野车0辆、金额0万元，载客汽车0辆、金额0万元。截至2024年12月31日，单位共有公务用车0辆，其中：轿车0辆、越野车0辆、载客汽车0辆。</w:t>
      </w:r>
    </w:p>
    <w:p w14:paraId="7D6D31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公务用车运行维护费支出0万元。</w:t>
      </w:r>
    </w:p>
    <w:p w14:paraId="4B0BE5E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Times New Roman"/>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3.公务接待费支出0万元，完成预算100%。</w:t>
      </w:r>
      <w:r>
        <w:rPr>
          <w:rFonts w:hint="eastAsia" w:ascii="仿宋" w:hAnsi="仿宋" w:eastAsia="仿宋" w:cs="Times New Roman"/>
          <w:color w:val="auto"/>
          <w:sz w:val="32"/>
          <w:szCs w:val="32"/>
          <w:highlight w:val="none"/>
          <w:lang w:val="en-US" w:eastAsia="zh-CN"/>
        </w:rPr>
        <w:t>公务接待费支出决算与2023年度持平。其中：</w:t>
      </w:r>
    </w:p>
    <w:p w14:paraId="70F445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国内公务接待支出0万元。国内公务接待0批次，0人次（不包括陪同人员），共计支出0万元。</w:t>
      </w:r>
      <w:r>
        <w:rPr>
          <w:rFonts w:hint="eastAsia" w:ascii="仿宋" w:hAnsi="仿宋" w:eastAsia="仿宋" w:cs="Times New Roman"/>
          <w:color w:val="auto"/>
          <w:sz w:val="32"/>
          <w:szCs w:val="32"/>
          <w:highlight w:val="none"/>
          <w:lang w:val="en-US" w:eastAsia="zh-CN"/>
        </w:rPr>
        <w:br w:type="textWrapping"/>
      </w:r>
      <w:r>
        <w:rPr>
          <w:rFonts w:hint="eastAsia" w:ascii="仿宋" w:hAnsi="仿宋" w:eastAsia="仿宋" w:cs="Times New Roman"/>
          <w:color w:val="auto"/>
          <w:sz w:val="32"/>
          <w:szCs w:val="32"/>
          <w:highlight w:val="none"/>
          <w:lang w:val="en-US" w:eastAsia="zh-CN"/>
        </w:rPr>
        <w:t xml:space="preserve">   外事接待支出0万元。外事接待0批次，0人次（不包括陪同人员），共计支出0万元。</w:t>
      </w:r>
    </w:p>
    <w:bookmarkEnd w:id="42"/>
    <w:p w14:paraId="5B173BE9">
      <w:pPr>
        <w:spacing w:line="600" w:lineRule="exact"/>
        <w:outlineLvl w:val="1"/>
        <w:rPr>
          <w:rStyle w:val="31"/>
          <w:rFonts w:hint="eastAsia" w:ascii="新宋体" w:hAnsi="新宋体" w:eastAsia="新宋体" w:cs="新宋体"/>
          <w:highlight w:val="none"/>
        </w:rPr>
      </w:pPr>
      <w:bookmarkStart w:id="43" w:name="_Toc15377218"/>
      <w:bookmarkStart w:id="44" w:name="_Toc15396610"/>
      <w:r>
        <w:rPr>
          <w:rFonts w:hint="eastAsia" w:ascii="新宋体" w:hAnsi="新宋体" w:eastAsia="新宋体" w:cs="新宋体"/>
          <w:sz w:val="32"/>
          <w:szCs w:val="32"/>
          <w:highlight w:val="none"/>
          <w:lang w:eastAsia="zh-CN"/>
        </w:rPr>
        <w:t>　　</w:t>
      </w:r>
      <w:r>
        <w:rPr>
          <w:rStyle w:val="31"/>
          <w:rFonts w:hint="eastAsia" w:ascii="黑体" w:hAnsi="黑体" w:eastAsia="黑体" w:cs="Times New Roman"/>
          <w:b w:val="0"/>
          <w:color w:val="auto"/>
          <w:highlight w:val="none"/>
          <w:lang w:val="en-US" w:eastAsia="zh-CN"/>
        </w:rPr>
        <w:t>八、政府性基金预算支出决算情况说明</w:t>
      </w:r>
      <w:bookmarkEnd w:id="43"/>
      <w:bookmarkEnd w:id="44"/>
    </w:p>
    <w:p w14:paraId="2BE3FE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2024年度政府性基金预算财政拨款支出0万元。</w:t>
      </w:r>
    </w:p>
    <w:p w14:paraId="5987D48E">
      <w:pPr>
        <w:spacing w:line="600" w:lineRule="exact"/>
        <w:outlineLvl w:val="1"/>
        <w:rPr>
          <w:rStyle w:val="31"/>
          <w:rFonts w:hint="eastAsia" w:ascii="黑体" w:hAnsi="黑体" w:eastAsia="黑体" w:cs="Times New Roman"/>
          <w:b w:val="0"/>
          <w:color w:val="auto"/>
          <w:highlight w:val="none"/>
          <w:lang w:val="en-US" w:eastAsia="zh-CN"/>
        </w:rPr>
      </w:pPr>
      <w:bookmarkStart w:id="45" w:name="_Toc15396611"/>
      <w:bookmarkStart w:id="46" w:name="_Toc15377219"/>
      <w:r>
        <w:rPr>
          <w:rStyle w:val="31"/>
          <w:rFonts w:hint="eastAsia" w:ascii="黑体" w:hAnsi="黑体" w:eastAsia="黑体" w:cs="Times New Roman"/>
          <w:b w:val="0"/>
          <w:color w:val="auto"/>
          <w:highlight w:val="none"/>
          <w:lang w:val="en-US" w:eastAsia="zh-CN"/>
        </w:rPr>
        <w:t>　　九、国有资本经营预算支出决算情况说明</w:t>
      </w:r>
      <w:bookmarkEnd w:id="45"/>
      <w:bookmarkEnd w:id="46"/>
    </w:p>
    <w:p w14:paraId="54C323FF">
      <w:pPr>
        <w:pStyle w:val="29"/>
        <w:spacing w:line="600" w:lineRule="exact"/>
        <w:ind w:left="360" w:firstLine="320" w:firstLineChars="1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2024年度国有资本经营预算财政拨款支出0万元。</w:t>
      </w:r>
    </w:p>
    <w:p w14:paraId="16E7945D">
      <w:pPr>
        <w:pStyle w:val="29"/>
        <w:spacing w:line="600" w:lineRule="exact"/>
        <w:ind w:left="0" w:leftChars="0" w:firstLine="0" w:firstLineChars="0"/>
        <w:outlineLvl w:val="1"/>
        <w:rPr>
          <w:rStyle w:val="31"/>
          <w:rFonts w:hint="eastAsia" w:ascii="黑体" w:hAnsi="黑体" w:eastAsia="黑体" w:cs="Times New Roman"/>
          <w:b w:val="0"/>
          <w:color w:val="auto"/>
          <w:highlight w:val="none"/>
          <w:lang w:val="en-US" w:eastAsia="zh-CN" w:bidi="ar-SA"/>
        </w:rPr>
      </w:pPr>
      <w:bookmarkStart w:id="47" w:name="_Toc15396612"/>
      <w:bookmarkStart w:id="48" w:name="_Toc15377221"/>
      <w:r>
        <w:rPr>
          <w:rStyle w:val="31"/>
          <w:rFonts w:hint="eastAsia" w:ascii="黑体" w:hAnsi="黑体" w:eastAsia="黑体" w:cs="Times New Roman"/>
          <w:b w:val="0"/>
          <w:color w:val="auto"/>
          <w:highlight w:val="none"/>
          <w:lang w:val="en-US" w:eastAsia="zh-CN" w:bidi="ar-SA"/>
        </w:rPr>
        <w:t>　　十、其他重要事项的情况说明</w:t>
      </w:r>
      <w:bookmarkEnd w:id="47"/>
      <w:bookmarkEnd w:id="48"/>
    </w:p>
    <w:p w14:paraId="7FF7C11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Times New Roman"/>
          <w:b/>
          <w:bCs/>
          <w:color w:val="auto"/>
          <w:kern w:val="2"/>
          <w:sz w:val="32"/>
          <w:szCs w:val="32"/>
          <w:highlight w:val="none"/>
          <w:lang w:val="en-US" w:eastAsia="zh-CN" w:bidi="ar-SA"/>
        </w:rPr>
      </w:pPr>
      <w:bookmarkStart w:id="49" w:name="_Toc15377222"/>
      <w:r>
        <w:rPr>
          <w:rFonts w:hint="eastAsia" w:ascii="仿宋" w:hAnsi="仿宋" w:eastAsia="仿宋" w:cs="Times New Roman"/>
          <w:b/>
          <w:bCs/>
          <w:color w:val="auto"/>
          <w:kern w:val="2"/>
          <w:sz w:val="32"/>
          <w:szCs w:val="32"/>
          <w:highlight w:val="none"/>
          <w:lang w:val="en-US" w:eastAsia="zh-CN" w:bidi="ar-SA"/>
        </w:rPr>
        <w:t>（一）机关运行经费支出情况</w:t>
      </w:r>
      <w:bookmarkEnd w:id="49"/>
    </w:p>
    <w:p w14:paraId="505B52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2024年度，遂宁市安居区白马镇中心幼儿园机关运行经费支出0万元。与2023年度决算数持平。2024年政府性基金预算财政拨款支出0万元。</w:t>
      </w:r>
    </w:p>
    <w:p w14:paraId="172C329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Times New Roman"/>
          <w:b/>
          <w:bCs/>
          <w:color w:val="auto"/>
          <w:kern w:val="2"/>
          <w:sz w:val="32"/>
          <w:szCs w:val="32"/>
          <w:highlight w:val="none"/>
          <w:lang w:val="en-US" w:eastAsia="zh-CN" w:bidi="ar-SA"/>
        </w:rPr>
      </w:pPr>
      <w:bookmarkStart w:id="50" w:name="_Toc15377223"/>
      <w:r>
        <w:rPr>
          <w:rFonts w:hint="eastAsia" w:ascii="仿宋" w:hAnsi="仿宋" w:eastAsia="仿宋" w:cs="Times New Roman"/>
          <w:b/>
          <w:bCs/>
          <w:color w:val="auto"/>
          <w:kern w:val="2"/>
          <w:sz w:val="32"/>
          <w:szCs w:val="32"/>
          <w:highlight w:val="none"/>
          <w:lang w:val="en-US" w:eastAsia="zh-CN" w:bidi="ar-SA"/>
        </w:rPr>
        <w:t>（二）政府采购支出情况</w:t>
      </w:r>
      <w:bookmarkEnd w:id="50"/>
    </w:p>
    <w:p w14:paraId="0D9BB4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imes New Roman"/>
          <w:color w:val="auto"/>
          <w:kern w:val="2"/>
          <w:sz w:val="32"/>
          <w:szCs w:val="32"/>
          <w:highlight w:val="none"/>
          <w:lang w:val="en-US" w:eastAsia="zh-CN" w:bidi="ar-SA"/>
        </w:rPr>
      </w:pPr>
      <w:bookmarkStart w:id="51" w:name="_Toc15377224"/>
      <w:r>
        <w:rPr>
          <w:rFonts w:hint="eastAsia" w:ascii="仿宋" w:hAnsi="仿宋" w:eastAsia="仿宋" w:cs="Times New Roman"/>
          <w:color w:val="auto"/>
          <w:kern w:val="2"/>
          <w:sz w:val="32"/>
          <w:szCs w:val="32"/>
          <w:highlight w:val="none"/>
          <w:lang w:val="en-US" w:eastAsia="zh-CN" w:bidi="ar-SA"/>
        </w:rPr>
        <w:t>2024年度，遂宁市安居区白马镇中心幼儿园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bookmarkEnd w:id="51"/>
    <w:p w14:paraId="63E347C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Times New Roman"/>
          <w:b/>
          <w:bCs/>
          <w:color w:val="auto"/>
          <w:kern w:val="2"/>
          <w:sz w:val="32"/>
          <w:szCs w:val="32"/>
          <w:highlight w:val="none"/>
          <w:lang w:val="en-US" w:eastAsia="zh-CN" w:bidi="ar-SA"/>
        </w:rPr>
      </w:pPr>
      <w:r>
        <w:rPr>
          <w:rFonts w:hint="eastAsia" w:ascii="仿宋" w:hAnsi="仿宋" w:eastAsia="仿宋" w:cs="Times New Roman"/>
          <w:b/>
          <w:bCs/>
          <w:color w:val="auto"/>
          <w:kern w:val="2"/>
          <w:sz w:val="32"/>
          <w:szCs w:val="32"/>
          <w:highlight w:val="none"/>
          <w:lang w:val="en-US" w:eastAsia="zh-CN" w:bidi="ar-SA"/>
        </w:rPr>
        <w:t>（三）国有资产占有使用情况</w:t>
      </w:r>
    </w:p>
    <w:p w14:paraId="3EE011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截至2024年12月31日，遂宁市安居区白马镇中心幼儿园共有车辆0辆，其中：主要领导干部用车0辆、机要通信用车0辆、应急保障用车0辆、其他用车0辆。单价100万元以上设备（不含车辆）0台（套）。</w:t>
      </w:r>
    </w:p>
    <w:p w14:paraId="77B9166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Times New Roman"/>
          <w:b/>
          <w:bCs/>
          <w:color w:val="auto"/>
          <w:kern w:val="2"/>
          <w:sz w:val="32"/>
          <w:szCs w:val="32"/>
          <w:highlight w:val="none"/>
          <w:lang w:val="en-US" w:eastAsia="zh-CN" w:bidi="ar-SA"/>
        </w:rPr>
      </w:pPr>
      <w:r>
        <w:rPr>
          <w:rFonts w:hint="eastAsia" w:ascii="仿宋" w:hAnsi="仿宋" w:eastAsia="仿宋" w:cs="Times New Roman"/>
          <w:b/>
          <w:bCs/>
          <w:color w:val="auto"/>
          <w:kern w:val="2"/>
          <w:sz w:val="32"/>
          <w:szCs w:val="32"/>
          <w:highlight w:val="none"/>
          <w:lang w:val="en-US" w:eastAsia="zh-CN" w:bidi="ar-SA"/>
        </w:rPr>
        <w:t>（四）预算绩效管理情况</w:t>
      </w:r>
    </w:p>
    <w:p w14:paraId="5561DA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imes New Roman"/>
          <w:color w:val="auto"/>
          <w:kern w:val="2"/>
          <w:sz w:val="32"/>
          <w:szCs w:val="32"/>
          <w:highlight w:val="none"/>
          <w:lang w:val="en-US" w:eastAsia="zh-CN" w:bidi="ar-SA"/>
        </w:rPr>
      </w:pPr>
      <w:bookmarkStart w:id="52" w:name="_Toc15377225"/>
      <w:bookmarkStart w:id="53" w:name="_Toc15396613"/>
      <w:r>
        <w:rPr>
          <w:rFonts w:hint="eastAsia" w:ascii="仿宋" w:hAnsi="仿宋" w:eastAsia="仿宋" w:cs="Times New Roman"/>
          <w:color w:val="auto"/>
          <w:kern w:val="2"/>
          <w:sz w:val="32"/>
          <w:szCs w:val="32"/>
          <w:highlight w:val="none"/>
          <w:lang w:val="en-US" w:eastAsia="zh-CN" w:bidi="ar-SA"/>
        </w:rPr>
        <w:t>根据预算绩效管理要求，本部门在2024年度预算编制阶段，组织对51090425T000013017380-幼儿资助及幼儿发展补助资金等5个项目开展了预算事前绩效评估，对5个项目编制了绩效目标，预算执行过程中，选取2个项目开展绩效监控。</w:t>
      </w:r>
    </w:p>
    <w:p w14:paraId="08A18F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遂宁市安居区白马镇中心幼儿园部门整体（含部门预算项目）绩效自评报告，其中部门整体（含部门预算项目）绩效自评得分为95分。2024年度部门预算项目支出绩效自评项目共计2个，分别如下：</w:t>
      </w:r>
    </w:p>
    <w:p w14:paraId="61A0CA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1、幼儿资助项目，年初预算数0万元，调整后预算数4.49万元，预算执行数4.49万元，预算执行率100%，年度目标完成100%，绩效目标实现指标自评得分为100分。</w:t>
      </w:r>
    </w:p>
    <w:p w14:paraId="53A074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2、幼儿资助及幼儿发展资金，年初预算数0万元，调整后预算数5.78万元，预算执行数5.78万元，预算执行率100%，绩效目标实现指标自评得分为100分。</w:t>
      </w:r>
    </w:p>
    <w:p w14:paraId="3D72A562">
      <w:pPr>
        <w:pStyle w:val="2"/>
        <w:rPr>
          <w:rFonts w:hint="eastAsia"/>
          <w:lang w:val="en-US" w:eastAsia="zh-CN"/>
        </w:rPr>
      </w:pPr>
    </w:p>
    <w:p w14:paraId="595DA126">
      <w:pPr>
        <w:shd w:val="clear" w:color="auto" w:fill="auto"/>
        <w:spacing w:line="600" w:lineRule="exact"/>
        <w:ind w:firstLine="960" w:firstLineChars="3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绩效自评表详见第四部分附件。</w:t>
      </w:r>
    </w:p>
    <w:p w14:paraId="4445942B">
      <w:pPr>
        <w:pStyle w:val="2"/>
        <w:rPr>
          <w:rFonts w:hint="eastAsia" w:ascii="仿宋" w:hAnsi="仿宋" w:eastAsia="仿宋" w:cs="Times New Roman"/>
          <w:color w:val="auto"/>
          <w:kern w:val="2"/>
          <w:sz w:val="32"/>
          <w:szCs w:val="32"/>
          <w:highlight w:val="none"/>
          <w:lang w:val="en-US" w:eastAsia="zh-CN" w:bidi="ar-SA"/>
        </w:rPr>
      </w:pPr>
    </w:p>
    <w:p w14:paraId="68BDB4B4">
      <w:pPr>
        <w:pStyle w:val="3"/>
        <w:rPr>
          <w:rFonts w:hint="eastAsia" w:ascii="仿宋" w:hAnsi="仿宋" w:eastAsia="仿宋" w:cs="Times New Roman"/>
          <w:color w:val="auto"/>
          <w:kern w:val="2"/>
          <w:sz w:val="32"/>
          <w:szCs w:val="32"/>
          <w:highlight w:val="none"/>
          <w:lang w:val="en-US" w:eastAsia="zh-CN" w:bidi="ar-SA"/>
        </w:rPr>
      </w:pPr>
    </w:p>
    <w:p w14:paraId="42418FF3">
      <w:pPr>
        <w:pStyle w:val="3"/>
        <w:rPr>
          <w:rFonts w:hint="eastAsia" w:ascii="仿宋" w:hAnsi="仿宋" w:eastAsia="仿宋" w:cs="Times New Roman"/>
          <w:color w:val="auto"/>
          <w:kern w:val="2"/>
          <w:sz w:val="32"/>
          <w:szCs w:val="32"/>
          <w:highlight w:val="none"/>
          <w:lang w:val="en-US" w:eastAsia="zh-CN" w:bidi="ar-SA"/>
        </w:rPr>
      </w:pPr>
    </w:p>
    <w:p w14:paraId="2ED400D3">
      <w:pPr>
        <w:pStyle w:val="3"/>
        <w:rPr>
          <w:rFonts w:hint="eastAsia" w:ascii="仿宋" w:hAnsi="仿宋" w:eastAsia="仿宋" w:cs="Times New Roman"/>
          <w:color w:val="auto"/>
          <w:kern w:val="2"/>
          <w:sz w:val="32"/>
          <w:szCs w:val="32"/>
          <w:highlight w:val="none"/>
          <w:lang w:val="en-US" w:eastAsia="zh-CN" w:bidi="ar-SA"/>
        </w:rPr>
      </w:pPr>
    </w:p>
    <w:p w14:paraId="6BE7CD93">
      <w:pPr>
        <w:pStyle w:val="3"/>
        <w:rPr>
          <w:rFonts w:hint="eastAsia" w:ascii="仿宋" w:hAnsi="仿宋" w:eastAsia="仿宋" w:cs="Times New Roman"/>
          <w:color w:val="auto"/>
          <w:kern w:val="2"/>
          <w:sz w:val="32"/>
          <w:szCs w:val="32"/>
          <w:highlight w:val="none"/>
          <w:lang w:val="en-US" w:eastAsia="zh-CN" w:bidi="ar-SA"/>
        </w:rPr>
      </w:pPr>
    </w:p>
    <w:p w14:paraId="145D9108">
      <w:pPr>
        <w:pStyle w:val="3"/>
        <w:rPr>
          <w:rFonts w:hint="eastAsia" w:ascii="仿宋" w:hAnsi="仿宋" w:eastAsia="仿宋" w:cs="Times New Roman"/>
          <w:color w:val="auto"/>
          <w:kern w:val="2"/>
          <w:sz w:val="32"/>
          <w:szCs w:val="32"/>
          <w:highlight w:val="none"/>
          <w:lang w:val="en-US" w:eastAsia="zh-CN" w:bidi="ar-SA"/>
        </w:rPr>
      </w:pPr>
    </w:p>
    <w:p w14:paraId="61AF1395">
      <w:pPr>
        <w:pStyle w:val="3"/>
        <w:rPr>
          <w:rFonts w:hint="eastAsia" w:ascii="仿宋" w:hAnsi="仿宋" w:eastAsia="仿宋" w:cs="Times New Roman"/>
          <w:color w:val="auto"/>
          <w:kern w:val="2"/>
          <w:sz w:val="32"/>
          <w:szCs w:val="32"/>
          <w:highlight w:val="none"/>
          <w:lang w:val="en-US" w:eastAsia="zh-CN" w:bidi="ar-SA"/>
        </w:rPr>
      </w:pPr>
    </w:p>
    <w:p w14:paraId="7BF49CFD">
      <w:pPr>
        <w:pStyle w:val="3"/>
        <w:rPr>
          <w:rFonts w:hint="eastAsia" w:ascii="仿宋" w:hAnsi="仿宋" w:eastAsia="仿宋" w:cs="Times New Roman"/>
          <w:color w:val="auto"/>
          <w:kern w:val="2"/>
          <w:sz w:val="32"/>
          <w:szCs w:val="32"/>
          <w:highlight w:val="none"/>
          <w:lang w:val="en-US" w:eastAsia="zh-CN" w:bidi="ar-SA"/>
        </w:rPr>
      </w:pPr>
    </w:p>
    <w:p w14:paraId="42DD5BCB">
      <w:pPr>
        <w:pStyle w:val="3"/>
        <w:rPr>
          <w:rFonts w:hint="eastAsia" w:ascii="仿宋" w:hAnsi="仿宋" w:eastAsia="仿宋" w:cs="Times New Roman"/>
          <w:color w:val="auto"/>
          <w:kern w:val="2"/>
          <w:sz w:val="32"/>
          <w:szCs w:val="32"/>
          <w:highlight w:val="none"/>
          <w:lang w:val="en-US" w:eastAsia="zh-CN" w:bidi="ar-SA"/>
        </w:rPr>
      </w:pPr>
    </w:p>
    <w:p w14:paraId="3911622F">
      <w:pPr>
        <w:pStyle w:val="3"/>
        <w:rPr>
          <w:rFonts w:hint="eastAsia" w:ascii="仿宋" w:hAnsi="仿宋" w:eastAsia="仿宋" w:cs="Times New Roman"/>
          <w:color w:val="auto"/>
          <w:kern w:val="2"/>
          <w:sz w:val="32"/>
          <w:szCs w:val="32"/>
          <w:highlight w:val="none"/>
          <w:lang w:val="en-US" w:eastAsia="zh-CN" w:bidi="ar-SA"/>
        </w:rPr>
      </w:pPr>
    </w:p>
    <w:p w14:paraId="70C332AF">
      <w:pPr>
        <w:pStyle w:val="3"/>
        <w:rPr>
          <w:rFonts w:hint="eastAsia" w:ascii="仿宋" w:hAnsi="仿宋" w:eastAsia="仿宋" w:cs="Times New Roman"/>
          <w:color w:val="auto"/>
          <w:kern w:val="2"/>
          <w:sz w:val="32"/>
          <w:szCs w:val="32"/>
          <w:highlight w:val="none"/>
          <w:lang w:val="en-US" w:eastAsia="zh-CN" w:bidi="ar-SA"/>
        </w:rPr>
      </w:pPr>
    </w:p>
    <w:p w14:paraId="41B3476F">
      <w:pPr>
        <w:pStyle w:val="3"/>
        <w:rPr>
          <w:rFonts w:hint="eastAsia" w:ascii="仿宋" w:hAnsi="仿宋" w:eastAsia="仿宋" w:cs="Times New Roman"/>
          <w:color w:val="auto"/>
          <w:kern w:val="2"/>
          <w:sz w:val="32"/>
          <w:szCs w:val="32"/>
          <w:highlight w:val="none"/>
          <w:lang w:val="en-US" w:eastAsia="zh-CN" w:bidi="ar-SA"/>
        </w:rPr>
      </w:pPr>
    </w:p>
    <w:p w14:paraId="5CA8BAEF">
      <w:pPr>
        <w:pStyle w:val="3"/>
        <w:rPr>
          <w:rFonts w:hint="eastAsia" w:ascii="仿宋" w:hAnsi="仿宋" w:eastAsia="仿宋" w:cs="Times New Roman"/>
          <w:color w:val="auto"/>
          <w:kern w:val="2"/>
          <w:sz w:val="32"/>
          <w:szCs w:val="32"/>
          <w:highlight w:val="none"/>
          <w:lang w:val="en-US" w:eastAsia="zh-CN" w:bidi="ar-SA"/>
        </w:rPr>
      </w:pPr>
    </w:p>
    <w:p w14:paraId="5C790495">
      <w:pPr>
        <w:pStyle w:val="3"/>
        <w:rPr>
          <w:rFonts w:hint="eastAsia" w:ascii="仿宋" w:hAnsi="仿宋" w:eastAsia="仿宋" w:cs="Times New Roman"/>
          <w:color w:val="auto"/>
          <w:kern w:val="2"/>
          <w:sz w:val="32"/>
          <w:szCs w:val="32"/>
          <w:highlight w:val="none"/>
          <w:lang w:val="en-US" w:eastAsia="zh-CN" w:bidi="ar-SA"/>
        </w:rPr>
      </w:pPr>
    </w:p>
    <w:p w14:paraId="5D066E90">
      <w:pPr>
        <w:pStyle w:val="3"/>
        <w:rPr>
          <w:rFonts w:hint="eastAsia" w:ascii="仿宋" w:hAnsi="仿宋" w:eastAsia="仿宋" w:cs="Times New Roman"/>
          <w:color w:val="auto"/>
          <w:kern w:val="2"/>
          <w:sz w:val="32"/>
          <w:szCs w:val="32"/>
          <w:highlight w:val="none"/>
          <w:lang w:val="en-US" w:eastAsia="zh-CN" w:bidi="ar-SA"/>
        </w:rPr>
      </w:pPr>
    </w:p>
    <w:p w14:paraId="67E00048">
      <w:pPr>
        <w:pStyle w:val="3"/>
        <w:rPr>
          <w:rFonts w:hint="eastAsia" w:ascii="新宋体" w:hAnsi="新宋体" w:eastAsia="新宋体" w:cs="新宋体"/>
          <w:lang w:val="en-US" w:eastAsia="zh-CN"/>
        </w:rPr>
      </w:pPr>
    </w:p>
    <w:p w14:paraId="76A8DBAA">
      <w:pPr>
        <w:numPr>
          <w:ilvl w:val="0"/>
          <w:numId w:val="0"/>
        </w:numPr>
        <w:spacing w:line="600" w:lineRule="exact"/>
        <w:jc w:val="center"/>
        <w:outlineLvl w:val="0"/>
        <w:rPr>
          <w:rFonts w:hint="eastAsia" w:ascii="黑体" w:hAnsi="黑体" w:eastAsia="黑体" w:cs="Times New Roman"/>
          <w:color w:val="auto"/>
          <w:sz w:val="44"/>
          <w:szCs w:val="44"/>
          <w:highlight w:val="none"/>
          <w:lang w:eastAsia="zh-CN"/>
        </w:rPr>
      </w:pPr>
    </w:p>
    <w:p w14:paraId="3A828C26">
      <w:pPr>
        <w:numPr>
          <w:ilvl w:val="0"/>
          <w:numId w:val="0"/>
        </w:numPr>
        <w:spacing w:line="600" w:lineRule="exact"/>
        <w:jc w:val="center"/>
        <w:outlineLvl w:val="0"/>
        <w:rPr>
          <w:rFonts w:hint="eastAsia" w:ascii="新宋体" w:hAnsi="新宋体" w:eastAsia="新宋体" w:cs="新宋体"/>
          <w:sz w:val="44"/>
          <w:szCs w:val="44"/>
        </w:rPr>
      </w:pPr>
      <w:r>
        <w:rPr>
          <w:rFonts w:hint="eastAsia" w:ascii="黑体" w:hAnsi="黑体" w:eastAsia="黑体" w:cs="Times New Roman"/>
          <w:color w:val="auto"/>
          <w:sz w:val="44"/>
          <w:szCs w:val="44"/>
          <w:highlight w:val="none"/>
          <w:lang w:eastAsia="zh-CN"/>
        </w:rPr>
        <w:t>第三部分</w:t>
      </w:r>
      <w:r>
        <w:rPr>
          <w:rFonts w:hint="eastAsia" w:ascii="黑体" w:hAnsi="黑体" w:eastAsia="黑体" w:cs="Times New Roman"/>
          <w:color w:val="auto"/>
          <w:sz w:val="44"/>
          <w:szCs w:val="44"/>
          <w:highlight w:val="none"/>
          <w:lang w:val="en-US" w:eastAsia="zh-CN"/>
        </w:rPr>
        <w:t xml:space="preserve"> </w:t>
      </w:r>
      <w:r>
        <w:rPr>
          <w:rFonts w:hint="eastAsia" w:ascii="黑体" w:hAnsi="黑体" w:eastAsia="黑体" w:cs="Times New Roman"/>
          <w:color w:val="auto"/>
          <w:sz w:val="44"/>
          <w:szCs w:val="44"/>
          <w:highlight w:val="none"/>
          <w:lang w:eastAsia="zh-CN"/>
        </w:rPr>
        <w:t>名词解释</w:t>
      </w:r>
      <w:bookmarkEnd w:id="52"/>
      <w:bookmarkEnd w:id="53"/>
    </w:p>
    <w:p w14:paraId="6D0EDF83">
      <w:pPr>
        <w:pStyle w:val="28"/>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新宋体" w:hAnsi="新宋体" w:eastAsia="新宋体" w:cs="新宋体"/>
          <w:color w:val="auto"/>
          <w:sz w:val="32"/>
          <w:szCs w:val="32"/>
        </w:rPr>
      </w:pPr>
    </w:p>
    <w:p w14:paraId="05017F44">
      <w:pPr>
        <w:pStyle w:val="28"/>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1.财政拨款收入：指单位从同级财政部门取得的财政预算资金。</w:t>
      </w:r>
    </w:p>
    <w:p w14:paraId="04C1E2DA">
      <w:pPr>
        <w:pStyle w:val="28"/>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2.教育（205类）普通教育（02款）学前教育支出（01项）：反映用于学前教育的工资、绩效、津补贴、工会经费、福利费、资助、公用经费、保教费等支出。</w:t>
      </w:r>
    </w:p>
    <w:p w14:paraId="559DA1ED">
      <w:pPr>
        <w:pStyle w:val="28"/>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 教育（205类）普通教育（02款）其他普通教育支出（99项）：反映用于学前教育的绩效、津补贴、保教费等支出</w:t>
      </w:r>
    </w:p>
    <w:p w14:paraId="326EF2A9">
      <w:pPr>
        <w:pStyle w:val="28"/>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4.社会保障和就业（208类）行政事业单位离退休（05款）机关事业单位基本养老保险缴费支出（05项）: 反映机关事业单位实施养老保险制度由单位缴纳的基本养老保险费支出。</w:t>
      </w:r>
    </w:p>
    <w:p w14:paraId="388CA93E">
      <w:pPr>
        <w:pStyle w:val="28"/>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 社会保障和就业（208类）其他社会保障和就业支出（99款）其他社会保障和就业支出（01项）: 反应用于本单位职工工伤及失业保险单位缴费支出。</w:t>
      </w:r>
    </w:p>
    <w:p w14:paraId="51BEF490">
      <w:pPr>
        <w:pStyle w:val="28"/>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6.医疗卫生与计划生育（210类）行政事业单位医疗（11款）行政单位医疗（01项）: 反映用于本单位职工基本医疗保险及住院补充医疗保险单位缴费支出。</w:t>
      </w:r>
    </w:p>
    <w:p w14:paraId="2281FF1A">
      <w:pPr>
        <w:pStyle w:val="28"/>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7.住房保障支出（221类）住房改革支出（02款）住房公积金（01项）: 反映用于本单位职工住房公积金单位缴费支出。。</w:t>
      </w:r>
    </w:p>
    <w:p w14:paraId="3D2B424C">
      <w:pPr>
        <w:pStyle w:val="28"/>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8.基本支出：指为保障机构正常运转、完成日常工作任务而发生的人员支出和公用支出。</w:t>
      </w:r>
    </w:p>
    <w:p w14:paraId="0893C31D">
      <w:pPr>
        <w:pStyle w:val="28"/>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9.项目支出：指在基本支出之外为完成特定行政任务和事业发展目标所发生的支出。</w:t>
      </w:r>
    </w:p>
    <w:p w14:paraId="1C7009BB">
      <w:pPr>
        <w:pStyle w:val="28"/>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Start w:id="54" w:name="_Toc15396614"/>
      <w:bookmarkStart w:id="55" w:name="_Toc15377226"/>
    </w:p>
    <w:p w14:paraId="04A58179">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2D6B5E0F">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6DF87E76">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561601A3">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1D548C9D">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672D0C8E">
      <w:pPr>
        <w:numPr>
          <w:ilvl w:val="0"/>
          <w:numId w:val="0"/>
        </w:numPr>
        <w:spacing w:line="600" w:lineRule="exact"/>
        <w:jc w:val="center"/>
        <w:outlineLvl w:val="0"/>
        <w:rPr>
          <w:rFonts w:hint="eastAsia" w:ascii="新宋体" w:hAnsi="新宋体" w:eastAsia="新宋体" w:cs="新宋体"/>
          <w:sz w:val="44"/>
          <w:szCs w:val="44"/>
        </w:rPr>
      </w:pPr>
    </w:p>
    <w:p w14:paraId="20839F7E">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64702DDF">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2711F311">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5D661928">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3D98382D">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03A4CA47">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4653AD10">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0DF7396D">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7CC584EF">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4A0975DC">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42A18150">
      <w:pPr>
        <w:pStyle w:val="3"/>
        <w:keepNext w:val="0"/>
        <w:keepLines w:val="0"/>
        <w:pageBreakBefore w:val="0"/>
        <w:numPr>
          <w:ilvl w:val="0"/>
          <w:numId w:val="0"/>
        </w:numPr>
        <w:suppressAutoHyphens/>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pPr>
      <w:r>
        <w:rPr>
          <w:rFonts w:hint="eastAsia" w:ascii="黑体" w:hAnsi="黑体" w:eastAsia="黑体"/>
          <w:color w:val="auto"/>
          <w:sz w:val="44"/>
          <w:szCs w:val="44"/>
          <w:highlight w:val="none"/>
          <w:lang w:val="en-US" w:eastAsia="zh-CN"/>
        </w:rPr>
        <w:t>第四部分</w:t>
      </w:r>
      <w:r>
        <w:rPr>
          <w:rFonts w:hint="eastAsia" w:ascii="黑体" w:hAnsi="黑体" w:eastAsia="黑体"/>
          <w:color w:val="auto"/>
          <w:sz w:val="44"/>
          <w:szCs w:val="44"/>
          <w:highlight w:val="none"/>
        </w:rPr>
        <w:t>附件</w:t>
      </w:r>
      <w:bookmarkEnd w:id="54"/>
    </w:p>
    <w:p w14:paraId="2D357F92">
      <w:pPr>
        <w:widowControl/>
        <w:spacing w:before="469" w:beforeLines="150" w:after="469" w:afterLines="150" w:line="360" w:lineRule="auto"/>
        <w:contextualSpacing/>
        <w:jc w:val="center"/>
        <w:rPr>
          <w:rFonts w:hint="eastAsia" w:ascii="黑体" w:hAnsi="黑体" w:eastAsia="黑体"/>
          <w:color w:val="auto"/>
          <w:sz w:val="44"/>
          <w:szCs w:val="44"/>
          <w:highlight w:val="none"/>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340FC2DF">
      <w:pPr>
        <w:pStyle w:val="3"/>
        <w:keepNext w:val="0"/>
        <w:keepLines w:val="0"/>
        <w:pageBreakBefore w:val="0"/>
        <w:numPr>
          <w:ilvl w:val="0"/>
          <w:numId w:val="0"/>
        </w:numPr>
        <w:suppressAutoHyphens/>
        <w:kinsoku/>
        <w:wordWrap/>
        <w:overflowPunct/>
        <w:topLinePunct w:val="0"/>
        <w:autoSpaceDE/>
        <w:autoSpaceDN/>
        <w:bidi w:val="0"/>
        <w:spacing w:line="560" w:lineRule="exact"/>
        <w:ind w:firstLine="643" w:firstLineChars="200"/>
        <w:textAlignment w:val="auto"/>
        <w:rPr>
          <w:rFonts w:hint="eastAsia" w:hAnsi="Times New Roman" w:eastAsia="宋体" w:cs="Times New Roman"/>
          <w:b/>
          <w:bCs/>
          <w:color w:val="auto"/>
          <w:sz w:val="32"/>
          <w:szCs w:val="32"/>
          <w:highlight w:val="none"/>
          <w:lang w:val="en-US" w:eastAsia="zh-CN"/>
        </w:rPr>
      </w:pPr>
      <w:bookmarkStart w:id="56" w:name="_Toc15396618"/>
      <w:r>
        <w:rPr>
          <w:rFonts w:hint="eastAsia" w:hAnsi="Times New Roman" w:eastAsia="宋体" w:cs="Times New Roman"/>
          <w:b/>
          <w:bCs/>
          <w:color w:val="auto"/>
          <w:sz w:val="32"/>
          <w:szCs w:val="32"/>
          <w:highlight w:val="none"/>
          <w:lang w:val="en-US" w:eastAsia="zh-CN"/>
        </w:rPr>
        <w:t>一、部门（单位）概况</w:t>
      </w:r>
    </w:p>
    <w:p w14:paraId="59E57B38">
      <w:pPr>
        <w:pStyle w:val="3"/>
        <w:keepNext w:val="0"/>
        <w:keepLines w:val="0"/>
        <w:pageBreakBefore w:val="0"/>
        <w:numPr>
          <w:ilvl w:val="0"/>
          <w:numId w:val="0"/>
        </w:numPr>
        <w:suppressAutoHyphens/>
        <w:kinsoku/>
        <w:wordWrap/>
        <w:overflowPunct/>
        <w:topLinePunct w:val="0"/>
        <w:autoSpaceDE/>
        <w:autoSpaceDN/>
        <w:bidi w:val="0"/>
        <w:spacing w:line="560" w:lineRule="exact"/>
        <w:ind w:firstLine="643" w:firstLineChars="200"/>
        <w:textAlignment w:val="auto"/>
        <w:rPr>
          <w:rFonts w:hint="eastAsia" w:hAnsi="Times New Roman" w:eastAsia="宋体" w:cs="Times New Roman"/>
          <w:b/>
          <w:bCs/>
          <w:color w:val="auto"/>
          <w:sz w:val="32"/>
          <w:szCs w:val="32"/>
          <w:highlight w:val="none"/>
          <w:lang w:val="en-US" w:eastAsia="zh-CN"/>
        </w:rPr>
      </w:pPr>
      <w:r>
        <w:rPr>
          <w:rFonts w:hint="eastAsia" w:hAnsi="Times New Roman" w:eastAsia="宋体" w:cs="Times New Roman"/>
          <w:b/>
          <w:bCs/>
          <w:color w:val="auto"/>
          <w:sz w:val="32"/>
          <w:szCs w:val="32"/>
          <w:highlight w:val="none"/>
          <w:lang w:val="en-US" w:eastAsia="zh-CN"/>
        </w:rPr>
        <w:t>（一）机构组成</w:t>
      </w:r>
    </w:p>
    <w:p w14:paraId="74EFA15D">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1．行政办公室</w:t>
      </w:r>
    </w:p>
    <w:p w14:paraId="03430298">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2．财务室</w:t>
      </w:r>
    </w:p>
    <w:p w14:paraId="171EBE26">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3．教导处</w:t>
      </w:r>
    </w:p>
    <w:p w14:paraId="717559E2">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4．教研室</w:t>
      </w:r>
    </w:p>
    <w:p w14:paraId="25F6BEBA">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5．德育处</w:t>
      </w:r>
    </w:p>
    <w:p w14:paraId="3862F5E3">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6．安全办</w:t>
      </w:r>
    </w:p>
    <w:p w14:paraId="151E97D2">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新宋体" w:hAnsi="新宋体" w:eastAsia="新宋体" w:cs="新宋体"/>
          <w:sz w:val="32"/>
          <w:szCs w:val="32"/>
        </w:rPr>
      </w:pPr>
      <w:r>
        <w:rPr>
          <w:rFonts w:hint="eastAsia" w:ascii="仿宋_GB2312" w:hAnsi="Calibri" w:eastAsia="仿宋_GB2312" w:cs="Times New Roman"/>
          <w:color w:val="auto"/>
          <w:sz w:val="32"/>
          <w:szCs w:val="32"/>
          <w:highlight w:val="none"/>
        </w:rPr>
        <w:t>遂宁市安居区</w:t>
      </w:r>
      <w:r>
        <w:rPr>
          <w:rFonts w:hint="eastAsia" w:ascii="仿宋_GB2312" w:hAnsi="Calibri" w:eastAsia="仿宋_GB2312" w:cs="Times New Roman"/>
          <w:color w:val="auto"/>
          <w:sz w:val="32"/>
          <w:szCs w:val="32"/>
          <w:highlight w:val="none"/>
          <w:lang w:eastAsia="zh-CN"/>
        </w:rPr>
        <w:t>白马镇中心</w:t>
      </w:r>
      <w:r>
        <w:rPr>
          <w:rFonts w:hint="eastAsia" w:ascii="仿宋_GB2312" w:hAnsi="Calibri" w:eastAsia="仿宋_GB2312" w:cs="Times New Roman"/>
          <w:color w:val="auto"/>
          <w:sz w:val="32"/>
          <w:szCs w:val="32"/>
          <w:highlight w:val="none"/>
        </w:rPr>
        <w:t>幼儿园共设有6个内设部门。</w:t>
      </w:r>
    </w:p>
    <w:p w14:paraId="630423B5">
      <w:pPr>
        <w:pStyle w:val="3"/>
        <w:keepNext w:val="0"/>
        <w:keepLines w:val="0"/>
        <w:pageBreakBefore w:val="0"/>
        <w:numPr>
          <w:ilvl w:val="0"/>
          <w:numId w:val="0"/>
        </w:numPr>
        <w:suppressAutoHyphens/>
        <w:kinsoku/>
        <w:wordWrap/>
        <w:overflowPunct/>
        <w:topLinePunct w:val="0"/>
        <w:autoSpaceDE/>
        <w:autoSpaceDN/>
        <w:bidi w:val="0"/>
        <w:spacing w:line="560" w:lineRule="exact"/>
        <w:ind w:firstLine="643" w:firstLineChars="200"/>
        <w:textAlignment w:val="auto"/>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highlight w:val="none"/>
          <w:lang w:val="en-US" w:eastAsia="zh-CN"/>
        </w:rPr>
        <w:t>（二）机构职能</w:t>
      </w:r>
    </w:p>
    <w:p w14:paraId="434AD937">
      <w:pPr>
        <w:pStyle w:val="3"/>
        <w:keepNext w:val="0"/>
        <w:keepLines w:val="0"/>
        <w:pageBreakBefore w:val="0"/>
        <w:numPr>
          <w:ilvl w:val="0"/>
          <w:numId w:val="0"/>
        </w:numPr>
        <w:suppressAutoHyphens/>
        <w:kinsoku/>
        <w:wordWrap/>
        <w:overflowPunct/>
        <w:topLinePunct w:val="0"/>
        <w:autoSpaceDE/>
        <w:autoSpaceDN/>
        <w:bidi w:val="0"/>
        <w:spacing w:line="560" w:lineRule="exact"/>
        <w:ind w:firstLine="643" w:firstLineChars="200"/>
        <w:textAlignment w:val="auto"/>
        <w:rPr>
          <w:rFonts w:hint="eastAsia" w:ascii="新宋体" w:hAnsi="新宋体" w:eastAsia="新宋体" w:cs="新宋体"/>
          <w:sz w:val="32"/>
          <w:szCs w:val="32"/>
        </w:rPr>
      </w:pPr>
      <w:r>
        <w:rPr>
          <w:rFonts w:hint="eastAsia" w:ascii="仿宋_GB2312" w:hAnsi="Calibri" w:eastAsia="仿宋_GB2312" w:cs="Times New Roman"/>
          <w:b/>
          <w:bCs/>
          <w:color w:val="auto"/>
          <w:sz w:val="32"/>
          <w:szCs w:val="32"/>
          <w:highlight w:val="none"/>
          <w:lang w:val="en-US" w:eastAsia="zh-CN"/>
        </w:rPr>
        <w:t>行政办公室工作职责</w:t>
      </w:r>
    </w:p>
    <w:p w14:paraId="4A148EBE">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行政办公室是在校长的直接领导下做好学校日常工作的部门，协助校长制订、贯彻和落实学校改革方案、工作计划；经常检查执行情况，严格执行催办制度。其职责是：</w:t>
      </w:r>
    </w:p>
    <w:p w14:paraId="4639BF45">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1.负责掌管校印、校领导印章；做好学校介绍信的管理和使用。</w:t>
      </w:r>
    </w:p>
    <w:p w14:paraId="00B43B15">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2.负责召集学校行政会议，教工大会；督促、检查、执行会议决议。做好校内会议，特别是临时性会议的准备工作。负责学校各种会议的记录工作。</w:t>
      </w:r>
    </w:p>
    <w:p w14:paraId="0282C429">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3.协助校领导搞好与各有关单位的联络工作。协调各处室、年级的关系，保证学校各处室工作协调运转。</w:t>
      </w:r>
    </w:p>
    <w:p w14:paraId="70ADC772">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4.负责学校意识形态工作，承办校长及办公室的重要文字材料等各项文字工作。如：学校的工作计划，年度总结及各类经验、检查等文字材料。负责校内发文的各种报告、请示等的起草、核稿。负责学校大事记的记录、整理工作。</w:t>
      </w:r>
    </w:p>
    <w:p w14:paraId="34F915D3">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5.负责学校教师档案、年度考核、职称评聘、转正、晋级增资、调进调出、离退休等工作。收集各级先进工作者的推选及评审等工作。做好阶段性迎检工作、上级考核、教师评价与考核工作。</w:t>
      </w:r>
    </w:p>
    <w:p w14:paraId="496F07A0">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6.对全校的文书档案进行管理，负责全校文书档案和各种专门档案的收集、整理、保管和提供利用工作，做好各级文件的收发和保管、保密工作。</w:t>
      </w:r>
    </w:p>
    <w:p w14:paraId="54116D93">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7.负责学校统计工作，确保重要数据准确、真实、有效。</w:t>
      </w:r>
    </w:p>
    <w:p w14:paraId="18524902">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8.负责学生学籍管理，协助教务室做好教务考务管理工作。</w:t>
      </w:r>
    </w:p>
    <w:p w14:paraId="36785E0E">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9.负责招生工作，妥善保管招生资料。具体工作如下：</w:t>
      </w:r>
    </w:p>
    <w:p w14:paraId="24E1CC84">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（1)执行教育部和省教育厅有关招生工作的政策和法规，落实省、市招生委员会相关工作方案和实施细则。</w:t>
      </w:r>
    </w:p>
    <w:p w14:paraId="60BE1BBC">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(2)深入研究学校招生工作规律和特点，制定切实可行的学校招生工作规程和年度工作计划。在充分调研论证的基础上，为学校制定年度招生计划提供工作预案。</w:t>
      </w:r>
    </w:p>
    <w:p w14:paraId="11CC55E0">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(3)具体负责学校招生组织网络的构建，并负责实施相关人员的岗前培训等。</w:t>
      </w:r>
    </w:p>
    <w:p w14:paraId="37282C94">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(4)充分利用现代媒体，拓展招生宣传渠道，负责编印、寄发相关宣传材料，举办招生宣传专题活动。</w:t>
      </w:r>
    </w:p>
    <w:p w14:paraId="5141EBE5">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(5)做好日常接待和招生咨询工作，采取积极有效的方式，为学生、家长及基层学校提供高效优质的招生服务。</w:t>
      </w:r>
    </w:p>
    <w:p w14:paraId="287524E2">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(6)具体负责新生的资格审查、报名注册和分类造册等工作，协助教务处做好新生入学进班工作。</w:t>
      </w:r>
    </w:p>
    <w:p w14:paraId="1D37FD29">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10.负责学校资产管理、绿化管理、校园网络建设及管理等，做好如下后勤保障工作：</w:t>
      </w:r>
    </w:p>
    <w:p w14:paraId="4A422D1A">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(1)根据学校教育、教学需要，做好提供各种教学设备和办公用品等服务性工作；积极参与学校现代化教学设施设备的建设工作；负责学校网络建设运行工作。</w:t>
      </w:r>
    </w:p>
    <w:p w14:paraId="2C0DDA7C">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(2)做好供水、供电、卫生医疗工作，努力创造良好的生活环境，方便师生生活；定期进行卫生检查，预防事故发生，不断提高服务质量。</w:t>
      </w:r>
    </w:p>
    <w:p w14:paraId="473D5152">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(3)负责校舍、校园的建设和管理，做好学校功能室建设、运用和管理工作。协助学校领导制订并实施校园整体建设规划，做好校舍维修以及校园净化、绿化和美化等工作。</w:t>
      </w:r>
    </w:p>
    <w:p w14:paraId="323FC5EA">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(4)加强学校固定资产管理工作，建立健全固定资产账目，严格执行国家有关财产物资管理制度。</w:t>
      </w:r>
    </w:p>
    <w:p w14:paraId="02C55E54">
      <w:pPr>
        <w:pStyle w:val="3"/>
        <w:keepNext w:val="0"/>
        <w:keepLines w:val="0"/>
        <w:pageBreakBefore w:val="0"/>
        <w:numPr>
          <w:ilvl w:val="0"/>
          <w:numId w:val="0"/>
        </w:numPr>
        <w:suppressAutoHyphens/>
        <w:kinsoku/>
        <w:wordWrap/>
        <w:overflowPunct/>
        <w:topLinePunct w:val="0"/>
        <w:autoSpaceDE/>
        <w:autoSpaceDN/>
        <w:bidi w:val="0"/>
        <w:spacing w:line="560" w:lineRule="exact"/>
        <w:ind w:firstLine="643" w:firstLineChars="200"/>
        <w:textAlignment w:val="auto"/>
        <w:rPr>
          <w:rFonts w:hint="eastAsia" w:ascii="新宋体" w:hAnsi="新宋体" w:eastAsia="新宋体" w:cs="新宋体"/>
          <w:sz w:val="32"/>
          <w:szCs w:val="32"/>
        </w:rPr>
      </w:pPr>
      <w:r>
        <w:rPr>
          <w:rFonts w:hint="eastAsia" w:ascii="仿宋_GB2312" w:hAnsi="Calibri" w:eastAsia="仿宋_GB2312" w:cs="Times New Roman"/>
          <w:b/>
          <w:bCs/>
          <w:color w:val="auto"/>
          <w:sz w:val="32"/>
          <w:szCs w:val="32"/>
          <w:highlight w:val="none"/>
          <w:lang w:val="en-US" w:eastAsia="zh-CN"/>
        </w:rPr>
        <w:t>财务室工作职责</w:t>
      </w:r>
    </w:p>
    <w:p w14:paraId="36EBC8D5">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1.在校长的领导和上级财务部门的指导下，遵守国家财经法纪和财务制度，组织全校财务管理与会计核算工作。</w:t>
      </w:r>
    </w:p>
    <w:p w14:paraId="71AF7B3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2.负责组织制订、完善学校内部财务会计规章制度，并监督各部门贯彻执行。</w:t>
      </w:r>
    </w:p>
    <w:p w14:paraId="5A12DBF2">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3.积极筹集资金，广开筹资渠道，保证学校各项收入足额收缴，各项拨款及其他资金及时到位。</w:t>
      </w:r>
    </w:p>
    <w:p w14:paraId="5BF3FD84">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4.负责组织编制学校各项财务收支计划、经费预决算，监督检查计划、预算的执行情况。</w:t>
      </w:r>
    </w:p>
    <w:p w14:paraId="3EF52A9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5.根据审核后的学校财务预算，负责合理安排财务支出和财务核算，保证学校各项工作顺利进行。</w:t>
      </w:r>
    </w:p>
    <w:p w14:paraId="18AAF7E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6.负责组织开展学校财产清查的具体工作和会计核算工作。</w:t>
      </w:r>
    </w:p>
    <w:p w14:paraId="5CA5F80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7.负责组织开展财务分析，及时查找并改进财务工作的漏洞与不足，努力提高资金使用效益。</w:t>
      </w:r>
    </w:p>
    <w:p w14:paraId="72DF614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8.负责学校日常收支具体业务工作，组织收入，合理支出，做好相关收支票据审核工作，保障学校一切工作正常运行。</w:t>
      </w:r>
    </w:p>
    <w:p w14:paraId="50D8B3C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9.参与学校工作人员绩效考核、教育教学质量考核、课后服务考核岗位系数的调整、论证工作，协助教学管理部和办公室做好考核档案归档管理工作，组织发放相关待遇。</w:t>
      </w:r>
    </w:p>
    <w:p w14:paraId="3C2D7264">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10.负责学校教职工工资发放等一切福利待遇保障工作。</w:t>
      </w:r>
    </w:p>
    <w:p w14:paraId="454C0945">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11.参与学校重要收支事项的会议研讨工作，提出财务制度要求范围内的合理实施建议和意见。</w:t>
      </w:r>
    </w:p>
    <w:p w14:paraId="1786835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12.负责组织会计人员进行政治学习与业务学习，检查协调各岗位的工作，不断提高财务人员的业务水平与服务质量。</w:t>
      </w:r>
    </w:p>
    <w:p w14:paraId="5CFA78F2">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13.积极完成校领导交办的其他工作。</w:t>
      </w:r>
    </w:p>
    <w:p w14:paraId="4FD18963">
      <w:pPr>
        <w:pStyle w:val="3"/>
        <w:keepNext w:val="0"/>
        <w:keepLines w:val="0"/>
        <w:pageBreakBefore w:val="0"/>
        <w:numPr>
          <w:ilvl w:val="0"/>
          <w:numId w:val="0"/>
        </w:numPr>
        <w:suppressAutoHyphens/>
        <w:kinsoku/>
        <w:wordWrap/>
        <w:overflowPunct/>
        <w:topLinePunct w:val="0"/>
        <w:autoSpaceDE/>
        <w:autoSpaceDN/>
        <w:bidi w:val="0"/>
        <w:spacing w:line="560" w:lineRule="exact"/>
        <w:ind w:firstLine="643" w:firstLineChars="200"/>
        <w:textAlignment w:val="auto"/>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highlight w:val="none"/>
          <w:lang w:val="en-US" w:eastAsia="zh-CN"/>
        </w:rPr>
        <w:t>教导处工作职责</w:t>
      </w:r>
    </w:p>
    <w:p w14:paraId="190E9D2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1.认真完成上级及校长下达的各项工作任务；根据学校工作计划制定教务工作计划并组织实施；提出各学科教学、教辅人员工作安排方案，经校长办公会议审定后具体组织落实。</w:t>
      </w:r>
    </w:p>
    <w:p w14:paraId="3A71D32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2.健全教师业务档案、学生档案，教务、考务、考勤、成绩统计等管理工作；编班、排课、调课、安排代课，编制课程表、作息时间表以及其他教学用表；积累教学资料，并整理归档；对教务处工作人员进行考核评估。</w:t>
      </w:r>
    </w:p>
    <w:p w14:paraId="612AF1EE">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3.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6DB6BD0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4.做好学生课外活动和学科竞赛活动的指导、组织和检查工作；组织落实各级教育行政部门举行的各类学科竞赛。</w:t>
      </w:r>
    </w:p>
    <w:p w14:paraId="68D9B4C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5.协助校长制定教师进修规划并组织实施，努力发挥老教师的作用，加强对教学骨干和新生力量的培养。</w:t>
      </w:r>
    </w:p>
    <w:p w14:paraId="05104D1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6.注重培养青年教师，搞好青年教师的拜师结对工作和举行青年教师的教学大奖赛活动。</w:t>
      </w:r>
    </w:p>
    <w:p w14:paraId="3B21C15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新宋体" w:hAnsi="新宋体" w:eastAsia="新宋体" w:cs="新宋体"/>
          <w:sz w:val="32"/>
          <w:szCs w:val="32"/>
        </w:rPr>
      </w:pPr>
      <w:r>
        <w:rPr>
          <w:rFonts w:hint="eastAsia" w:ascii="仿宋_GB2312" w:hAnsi="Calibri" w:eastAsia="仿宋_GB2312" w:cs="Times New Roman"/>
          <w:color w:val="auto"/>
          <w:kern w:val="2"/>
          <w:sz w:val="32"/>
          <w:szCs w:val="32"/>
          <w:highlight w:val="none"/>
          <w:lang w:val="en-US" w:eastAsia="zh-CN" w:bidi="ar-SA"/>
        </w:rPr>
        <w:t>7.完成校长会议布置的其他工作。</w:t>
      </w:r>
    </w:p>
    <w:p w14:paraId="202BEACC">
      <w:pPr>
        <w:pStyle w:val="3"/>
        <w:keepNext w:val="0"/>
        <w:keepLines w:val="0"/>
        <w:pageBreakBefore w:val="0"/>
        <w:numPr>
          <w:ilvl w:val="0"/>
          <w:numId w:val="0"/>
        </w:numPr>
        <w:suppressAutoHyphens/>
        <w:kinsoku/>
        <w:wordWrap/>
        <w:overflowPunct/>
        <w:topLinePunct w:val="0"/>
        <w:autoSpaceDE/>
        <w:autoSpaceDN/>
        <w:bidi w:val="0"/>
        <w:spacing w:line="560" w:lineRule="exact"/>
        <w:ind w:firstLine="643" w:firstLineChars="200"/>
        <w:textAlignment w:val="auto"/>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highlight w:val="none"/>
          <w:lang w:val="en-US" w:eastAsia="zh-CN"/>
        </w:rPr>
        <w:t>教研室工作职责</w:t>
      </w:r>
    </w:p>
    <w:p w14:paraId="406DAAD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教研室是学校负责教育教学研究工作的机构，为学校的教育教学及其他管理提供业务指导和信息服务，其主要职责：</w:t>
      </w:r>
    </w:p>
    <w:p w14:paraId="3748BC7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1.制定明确的教研工作计划，探索教学特色和教学方法，不断提高教师业务水平和整体素质；对各学科教研组提出教研目标，进行业务指导与评估验收。</w:t>
      </w:r>
    </w:p>
    <w:p w14:paraId="0EE4DE72">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2.负责校本课题的立项、审定、管理及评估，负责其他研究课题的申报、立项、督办及管理。</w:t>
      </w:r>
    </w:p>
    <w:p w14:paraId="04B4AAE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3.收集教育科研信息，组织教师学习研讨教育理论，负责教师继续教育培训的组织工作。</w:t>
      </w:r>
    </w:p>
    <w:p w14:paraId="380A142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4.负责组织教师科研论文的撰写与评审，并向各级报刊及学术会议推荐。</w:t>
      </w:r>
    </w:p>
    <w:p w14:paraId="412C0D3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5.负责组织学校领导及专家深入教学一线听课、评课，指导教师的教学。</w:t>
      </w:r>
    </w:p>
    <w:p w14:paraId="4FCF36AE">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6.负责领导教研组长及教研员。指导教研组、备课组进行教材教法的研究，开展教研活动并对其工作进行督导、检查和指导。</w:t>
      </w:r>
    </w:p>
    <w:p w14:paraId="4B740555">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7.负责组织学校期中期末考试的命题工作。</w:t>
      </w:r>
    </w:p>
    <w:p w14:paraId="318ED5A2">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8.负责组织应聘教师的试教和评议工作。</w:t>
      </w:r>
    </w:p>
    <w:p w14:paraId="2A685FC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9.负责指导各教研组开展各种研究课、公开课、观摩课、示范课活动；负责国家、省、市、校各级赛课活动的组织及选送。</w:t>
      </w:r>
    </w:p>
    <w:p w14:paraId="646EB5E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10.负责组织教师参加各类学术、教研交流活动。</w:t>
      </w:r>
    </w:p>
    <w:p w14:paraId="0A783F1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11.负责学生课外兴趣活动小组的组建及活动开展的组织工作。加强各项学科竞赛活动的培训及组织工作。</w:t>
      </w:r>
    </w:p>
    <w:p w14:paraId="3CF7D8A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12.建立及保管教师的业务档案。</w:t>
      </w:r>
    </w:p>
    <w:p w14:paraId="2072C55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13.会同教务处组织课堂教学研究和评价活动。</w:t>
      </w:r>
    </w:p>
    <w:p w14:paraId="7DDDC6A7">
      <w:pPr>
        <w:pStyle w:val="3"/>
        <w:keepNext w:val="0"/>
        <w:keepLines w:val="0"/>
        <w:pageBreakBefore w:val="0"/>
        <w:numPr>
          <w:ilvl w:val="0"/>
          <w:numId w:val="0"/>
        </w:numPr>
        <w:suppressAutoHyphens/>
        <w:kinsoku/>
        <w:wordWrap/>
        <w:overflowPunct/>
        <w:topLinePunct w:val="0"/>
        <w:autoSpaceDE/>
        <w:autoSpaceDN/>
        <w:bidi w:val="0"/>
        <w:spacing w:line="560" w:lineRule="exact"/>
        <w:ind w:firstLine="643" w:firstLineChars="200"/>
        <w:textAlignment w:val="auto"/>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highlight w:val="none"/>
          <w:lang w:val="en-US" w:eastAsia="zh-CN"/>
        </w:rPr>
        <w:t>德育处工作职责</w:t>
      </w:r>
    </w:p>
    <w:p w14:paraId="6770FBA0">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德育处是具体组织学校德育实施的职能部门，其常规工作及职责如下：</w:t>
      </w:r>
    </w:p>
    <w:p w14:paraId="1A704FE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《一》、负责全校德育工作</w:t>
      </w:r>
    </w:p>
    <w:p w14:paraId="69FF3F4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1.在分管德育工作的校长领导下，组织全校德育工作，努力树立良好的校风和学风。</w:t>
      </w:r>
    </w:p>
    <w:p w14:paraId="48DA1CC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2.协助校长制定全校德育工作计划。</w:t>
      </w:r>
    </w:p>
    <w:p w14:paraId="208150C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3.研究德育工作的要求、内容、方法，努力探索新时期德育工作规律，努力做好德育工作。</w:t>
      </w:r>
    </w:p>
    <w:p w14:paraId="003CE78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4.不断改进和完善德育管理制度，加强德育管理。</w:t>
      </w:r>
    </w:p>
    <w:p w14:paraId="17EA8B7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5.组织开展全校性的学生思想教育活动，加强对学生的思想品德教育和文明行为常规训练。</w:t>
      </w:r>
    </w:p>
    <w:p w14:paraId="384DDF10">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6.指导共青团、少先队、少代会开展工作，做好健康教育、国防教育、班级文化建设等工作。</w:t>
      </w:r>
    </w:p>
    <w:p w14:paraId="38A4E81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7.加强与教务处联系，作为共同教育学生的协调工作。</w:t>
      </w:r>
    </w:p>
    <w:p w14:paraId="0EB42EC4">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8.注意收集和交流德育工作信息。</w:t>
      </w:r>
    </w:p>
    <w:p w14:paraId="350A2FB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9.主持每周一的升旗仪式，对学生进行爱国主义教育、行为习惯养成教育，指导中队辅导员完成学生个性评价，对各中队德育工作开展情况进行考核、评价。</w:t>
      </w:r>
    </w:p>
    <w:p w14:paraId="305C6BC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《二》、领导年级组长，安排年级组长、班主任工作</w:t>
      </w:r>
    </w:p>
    <w:p w14:paraId="0FB47B75">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1.协助校长选定、安排年级组长、班主任。</w:t>
      </w:r>
    </w:p>
    <w:p w14:paraId="0BB42BD0">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2.指导年级组、班级制定工作计划并实施工作计划，检查、考评年级组、班级工作。</w:t>
      </w:r>
    </w:p>
    <w:p w14:paraId="2B3CCB4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3.协助校长和班主任召开家长会、定期举办家长学校、办好家庭教育讲座，努力把学校、家庭、社会教育结合起来。</w:t>
      </w:r>
    </w:p>
    <w:p w14:paraId="46B3A51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4.召开年级组长、班主任工作会议，组织学习、总结、交流班主任工作经验。努力提高班主任工作水平。</w:t>
      </w:r>
    </w:p>
    <w:p w14:paraId="43CD937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5.协助年级组长、班主任处理年级、班级中的重大问题和偶发事件。</w:t>
      </w:r>
    </w:p>
    <w:p w14:paraId="37D7CCB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6.做好青年班主任的培养工作。</w:t>
      </w:r>
    </w:p>
    <w:p w14:paraId="5380A46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7.指导班主任探索学生思想品德考评的科学化方法。</w:t>
      </w:r>
    </w:p>
    <w:p w14:paraId="57482DF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《三》、其他工作</w:t>
      </w:r>
    </w:p>
    <w:p w14:paraId="02ECAEC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1.对我校德育工作实施情况进行研究。</w:t>
      </w:r>
    </w:p>
    <w:p w14:paraId="1C6C0FF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2.建立学生奖惩制度并严格执行。</w:t>
      </w:r>
    </w:p>
    <w:p w14:paraId="264419DE">
      <w:pPr>
        <w:pStyle w:val="3"/>
        <w:keepNext w:val="0"/>
        <w:keepLines w:val="0"/>
        <w:pageBreakBefore w:val="0"/>
        <w:numPr>
          <w:ilvl w:val="0"/>
          <w:numId w:val="0"/>
        </w:numPr>
        <w:suppressAutoHyphens/>
        <w:kinsoku/>
        <w:wordWrap/>
        <w:overflowPunct/>
        <w:topLinePunct w:val="0"/>
        <w:autoSpaceDE/>
        <w:autoSpaceDN/>
        <w:bidi w:val="0"/>
        <w:spacing w:line="560" w:lineRule="exact"/>
        <w:ind w:firstLine="643" w:firstLineChars="200"/>
        <w:textAlignment w:val="auto"/>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highlight w:val="none"/>
          <w:lang w:val="en-US" w:eastAsia="zh-CN"/>
        </w:rPr>
        <w:t>安全办工作职责</w:t>
      </w:r>
    </w:p>
    <w:p w14:paraId="69AD6FE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1.贯彻“预防为主、确保重点、维护稳定、保障安全”的方针，保持校园良好的教育、教学和生活秩序。</w:t>
      </w:r>
    </w:p>
    <w:p w14:paraId="1E615B5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2.负责全校的安全防火工作，建立消防制度、健全消防组织、定期进行业务训练，管理消防设备，开展防火宣传，进行防火检查，对火灾隐患提出整改意见。</w:t>
      </w:r>
    </w:p>
    <w:p w14:paraId="550850C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3.加大门卫管理力度，严禁一切机动车辆、外来三轮车、摩托车、电动车等进入校园，预防发生交通事故，对外来人员实行严格登记制度。</w:t>
      </w:r>
    </w:p>
    <w:p w14:paraId="0C0E57A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4.加强治安秩序管理，开展法治宣传教育，增强师生员工法治观念，预防和减少违法犯罪行为。</w:t>
      </w:r>
    </w:p>
    <w:p w14:paraId="1FA5235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5.负责制定治安保卫、安全检查防火等工作的规章制度，制度要害和重点部位的安全保卫措施，经常经常执行情况。</w:t>
      </w:r>
    </w:p>
    <w:p w14:paraId="1FC3DD24">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6.负责落实安全保卫责任制和安全技术防范措施，做好防止盗窃、火灾、破坏和其他治安灾害事故的工作。</w:t>
      </w:r>
    </w:p>
    <w:p w14:paraId="32E8D6F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7.协助有关处室，做好学校重大活动的安全保卫工作，会同有关单位加强重点要害部门的保卫，确保重点要害部门的安全。</w:t>
      </w:r>
    </w:p>
    <w:p w14:paraId="3E391F92">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8.岗位值班人员，要坚守工作岗位，不得擅离职守，当班时间严禁饮酒，不做与值班工作无关的事情。</w:t>
      </w:r>
    </w:p>
    <w:p w14:paraId="0A30D7FF">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9.加强对门卫的领导与管理，建立值班制度，做好接待和来访登记工作。</w:t>
      </w:r>
    </w:p>
    <w:p w14:paraId="0527399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新宋体" w:hAnsi="新宋体" w:eastAsia="新宋体" w:cs="新宋体"/>
          <w:sz w:val="32"/>
          <w:szCs w:val="32"/>
        </w:rPr>
      </w:pPr>
      <w:r>
        <w:rPr>
          <w:rFonts w:hint="eastAsia" w:ascii="仿宋_GB2312" w:hAnsi="Calibri" w:eastAsia="仿宋_GB2312" w:cs="Times New Roman"/>
          <w:color w:val="auto"/>
          <w:kern w:val="2"/>
          <w:sz w:val="32"/>
          <w:szCs w:val="32"/>
          <w:highlight w:val="none"/>
          <w:lang w:val="en-US" w:eastAsia="zh-CN" w:bidi="ar-SA"/>
        </w:rPr>
        <w:t>10.负责办理校长会议和公安机关交办的其他工作</w:t>
      </w:r>
      <w:r>
        <w:rPr>
          <w:rFonts w:hint="eastAsia" w:ascii="新宋体" w:hAnsi="新宋体" w:eastAsia="新宋体" w:cs="新宋体"/>
          <w:sz w:val="32"/>
          <w:szCs w:val="32"/>
        </w:rPr>
        <w:t>。</w:t>
      </w:r>
    </w:p>
    <w:p w14:paraId="1B18D899">
      <w:pPr>
        <w:pStyle w:val="3"/>
        <w:keepNext w:val="0"/>
        <w:keepLines w:val="0"/>
        <w:pageBreakBefore w:val="0"/>
        <w:numPr>
          <w:ilvl w:val="0"/>
          <w:numId w:val="0"/>
        </w:numPr>
        <w:suppressAutoHyphens/>
        <w:kinsoku/>
        <w:wordWrap/>
        <w:overflowPunct/>
        <w:topLinePunct w:val="0"/>
        <w:autoSpaceDE/>
        <w:autoSpaceDN/>
        <w:bidi w:val="0"/>
        <w:spacing w:line="560" w:lineRule="exact"/>
        <w:ind w:firstLine="643" w:firstLineChars="200"/>
        <w:textAlignment w:val="auto"/>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highlight w:val="none"/>
          <w:lang w:val="en-US" w:eastAsia="zh-CN"/>
        </w:rPr>
        <w:t>（三）人员情况</w:t>
      </w:r>
    </w:p>
    <w:p w14:paraId="0E0882A1">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遂宁市安居区白马镇中心幼儿园年初在职教师18人，年末在职教师18人，调出0人,调入0人，年末教师18人。</w:t>
      </w:r>
    </w:p>
    <w:p w14:paraId="6AF5B367">
      <w:pPr>
        <w:pStyle w:val="3"/>
        <w:keepNext w:val="0"/>
        <w:keepLines w:val="0"/>
        <w:pageBreakBefore w:val="0"/>
        <w:numPr>
          <w:ilvl w:val="0"/>
          <w:numId w:val="0"/>
        </w:numPr>
        <w:suppressAutoHyphens/>
        <w:kinsoku/>
        <w:wordWrap/>
        <w:overflowPunct/>
        <w:topLinePunct w:val="0"/>
        <w:autoSpaceDE/>
        <w:autoSpaceDN/>
        <w:bidi w:val="0"/>
        <w:spacing w:line="560" w:lineRule="exact"/>
        <w:ind w:firstLine="643" w:firstLineChars="200"/>
        <w:textAlignment w:val="auto"/>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highlight w:val="none"/>
          <w:lang w:val="en-US" w:eastAsia="zh-CN"/>
        </w:rPr>
        <w:t>二、部门财政资金收支情况</w:t>
      </w:r>
    </w:p>
    <w:p w14:paraId="67BA2BD1">
      <w:pPr>
        <w:pStyle w:val="3"/>
        <w:keepNext w:val="0"/>
        <w:keepLines w:val="0"/>
        <w:pageBreakBefore w:val="0"/>
        <w:numPr>
          <w:ilvl w:val="0"/>
          <w:numId w:val="0"/>
        </w:numPr>
        <w:suppressAutoHyphens/>
        <w:kinsoku/>
        <w:wordWrap/>
        <w:overflowPunct/>
        <w:topLinePunct w:val="0"/>
        <w:autoSpaceDE/>
        <w:autoSpaceDN/>
        <w:bidi w:val="0"/>
        <w:spacing w:line="560" w:lineRule="exact"/>
        <w:ind w:firstLine="643" w:firstLineChars="200"/>
        <w:textAlignment w:val="auto"/>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highlight w:val="none"/>
          <w:lang w:val="en-US" w:eastAsia="zh-CN"/>
        </w:rPr>
        <w:t>（一）部门财政资金收入情况。</w:t>
      </w:r>
    </w:p>
    <w:p w14:paraId="7DD5AC6B">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2024年本年收入合计318.10万元，其中：一般公共预算财政拨款收入318.10万元，占100%。</w:t>
      </w:r>
    </w:p>
    <w:p w14:paraId="202BFBC7">
      <w:pPr>
        <w:pStyle w:val="3"/>
        <w:keepNext w:val="0"/>
        <w:keepLines w:val="0"/>
        <w:pageBreakBefore w:val="0"/>
        <w:numPr>
          <w:ilvl w:val="0"/>
          <w:numId w:val="0"/>
        </w:numPr>
        <w:suppressAutoHyphens/>
        <w:kinsoku/>
        <w:wordWrap/>
        <w:overflowPunct/>
        <w:topLinePunct w:val="0"/>
        <w:autoSpaceDE/>
        <w:autoSpaceDN/>
        <w:bidi w:val="0"/>
        <w:spacing w:line="560" w:lineRule="exact"/>
        <w:ind w:firstLine="643" w:firstLineChars="200"/>
        <w:textAlignment w:val="auto"/>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highlight w:val="none"/>
          <w:lang w:val="en-US" w:eastAsia="zh-CN"/>
        </w:rPr>
        <w:t>（二）部门财政资金支出情况。</w:t>
      </w:r>
    </w:p>
    <w:p w14:paraId="0978B0EA">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2024年本年支出合计318.10万元，其中：教育支出254.58万元，占80%；社会保障和就业支出30.20万元，占10%；卫生健康支出12.87万元，占4%；住房保障支出20.45万元，占6%。</w:t>
      </w:r>
    </w:p>
    <w:p w14:paraId="71B9D280">
      <w:pPr>
        <w:pStyle w:val="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（三）结余分配和结转结余情况。</w:t>
      </w:r>
    </w:p>
    <w:p w14:paraId="1CD13588">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4</w:t>
      </w:r>
      <w:r>
        <w:rPr>
          <w:rFonts w:hint="eastAsia" w:ascii="仿宋_GB2312" w:eastAsia="仿宋_GB2312" w:cs="Times New Roman"/>
          <w:sz w:val="32"/>
          <w:szCs w:val="32"/>
          <w:highlight w:val="none"/>
          <w:lang w:val="en-US" w:eastAsia="zh-CN"/>
        </w:rPr>
        <w:t>年决算报表无结转结余情况。</w:t>
      </w:r>
    </w:p>
    <w:p w14:paraId="78A48545">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p>
    <w:p w14:paraId="12FE3EBD">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p>
    <w:p w14:paraId="6E939804">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仿宋_GB2312" w:hAnsi="Calibri" w:eastAsia="仿宋_GB2312" w:cs="Times New Roman"/>
          <w:color w:val="auto"/>
          <w:sz w:val="32"/>
          <w:szCs w:val="32"/>
          <w:highlight w:val="none"/>
          <w:lang w:val="en-US" w:eastAsia="zh-CN"/>
        </w:rPr>
      </w:pPr>
    </w:p>
    <w:p w14:paraId="6E9FD74A">
      <w:pPr>
        <w:pStyle w:val="3"/>
        <w:keepNext w:val="0"/>
        <w:keepLines w:val="0"/>
        <w:pageBreakBefore w:val="0"/>
        <w:numPr>
          <w:ilvl w:val="0"/>
          <w:numId w:val="0"/>
        </w:numPr>
        <w:suppressAutoHyphens/>
        <w:kinsoku/>
        <w:wordWrap/>
        <w:overflowPunct/>
        <w:topLinePunct w:val="0"/>
        <w:autoSpaceDE/>
        <w:autoSpaceDN/>
        <w:bidi w:val="0"/>
        <w:spacing w:line="560" w:lineRule="exact"/>
        <w:textAlignment w:val="auto"/>
        <w:rPr>
          <w:rFonts w:hint="eastAsia" w:ascii="仿宋_GB2312" w:hAnsi="Calibri" w:eastAsia="仿宋_GB2312" w:cs="Times New Roman"/>
          <w:color w:val="auto"/>
          <w:sz w:val="32"/>
          <w:szCs w:val="32"/>
          <w:highlight w:val="none"/>
          <w:lang w:val="en-US" w:eastAsia="zh-CN"/>
        </w:rPr>
      </w:pPr>
    </w:p>
    <w:p w14:paraId="334AC943">
      <w:pPr>
        <w:pStyle w:val="3"/>
        <w:keepNext w:val="0"/>
        <w:keepLines w:val="0"/>
        <w:pageBreakBefore w:val="0"/>
        <w:numPr>
          <w:ilvl w:val="0"/>
          <w:numId w:val="0"/>
        </w:numPr>
        <w:suppressAutoHyphens/>
        <w:kinsoku/>
        <w:wordWrap/>
        <w:overflowPunct/>
        <w:topLinePunct w:val="0"/>
        <w:autoSpaceDE/>
        <w:autoSpaceDN/>
        <w:bidi w:val="0"/>
        <w:spacing w:line="560" w:lineRule="exact"/>
        <w:ind w:firstLine="643" w:firstLineChars="200"/>
        <w:textAlignment w:val="auto"/>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highlight w:val="none"/>
          <w:lang w:val="en-US" w:eastAsia="zh-CN"/>
        </w:rPr>
        <w:t>三、部门整体预算绩效管理情况</w:t>
      </w:r>
    </w:p>
    <w:p w14:paraId="0844CDC7">
      <w:pPr>
        <w:pStyle w:val="3"/>
        <w:keepNext w:val="0"/>
        <w:keepLines w:val="0"/>
        <w:pageBreakBefore w:val="0"/>
        <w:numPr>
          <w:ilvl w:val="0"/>
          <w:numId w:val="0"/>
        </w:numPr>
        <w:suppressAutoHyphens/>
        <w:kinsoku/>
        <w:wordWrap/>
        <w:overflowPunct/>
        <w:topLinePunct w:val="0"/>
        <w:autoSpaceDE/>
        <w:autoSpaceDN/>
        <w:bidi w:val="0"/>
        <w:spacing w:line="560" w:lineRule="exact"/>
        <w:ind w:firstLine="643" w:firstLineChars="200"/>
        <w:textAlignment w:val="auto"/>
        <w:rPr>
          <w:rFonts w:hint="eastAsia" w:ascii="仿宋_GB2312" w:hAnsi="Calibri" w:eastAsia="仿宋_GB2312" w:cs="Times New Roman"/>
          <w:b/>
          <w:bCs/>
          <w:color w:val="auto"/>
          <w:sz w:val="32"/>
          <w:szCs w:val="32"/>
          <w:highlight w:val="none"/>
          <w:lang w:val="en-US" w:eastAsia="zh-CN"/>
        </w:rPr>
      </w:pPr>
      <w:r>
        <w:rPr>
          <w:rFonts w:hint="eastAsia" w:ascii="仿宋_GB2312" w:hAnsi="Calibri" w:eastAsia="仿宋_GB2312" w:cs="Times New Roman"/>
          <w:b/>
          <w:bCs/>
          <w:color w:val="auto"/>
          <w:sz w:val="32"/>
          <w:szCs w:val="32"/>
          <w:highlight w:val="none"/>
          <w:lang w:val="en-US" w:eastAsia="zh-CN"/>
        </w:rPr>
        <w:t>（一）部门预算管理。</w:t>
      </w:r>
    </w:p>
    <w:p w14:paraId="3AD37D6A">
      <w:pPr>
        <w:pStyle w:val="3"/>
        <w:keepNext w:val="0"/>
        <w:keepLines w:val="0"/>
        <w:pageBreakBefore w:val="0"/>
        <w:numPr>
          <w:ilvl w:val="0"/>
          <w:numId w:val="0"/>
        </w:numPr>
        <w:suppressAutoHyphens/>
        <w:kinsoku/>
        <w:wordWrap/>
        <w:overflowPunct/>
        <w:topLinePunct w:val="0"/>
        <w:autoSpaceDE/>
        <w:autoSpaceDN/>
        <w:bidi w:val="0"/>
        <w:spacing w:line="560" w:lineRule="exact"/>
        <w:ind w:firstLine="640" w:firstLineChars="200"/>
        <w:textAlignment w:val="auto"/>
        <w:rPr>
          <w:rFonts w:hint="eastAsia" w:ascii="新宋体" w:hAnsi="新宋体" w:eastAsia="新宋体" w:cs="新宋体"/>
          <w:color w:val="000000"/>
          <w:sz w:val="32"/>
          <w:szCs w:val="32"/>
        </w:rPr>
      </w:pPr>
      <w:r>
        <w:rPr>
          <w:rFonts w:hint="eastAsia" w:ascii="仿宋_GB2312" w:hAnsi="Calibri" w:eastAsia="仿宋_GB2312" w:cs="Times New Roman"/>
          <w:color w:val="auto"/>
          <w:sz w:val="32"/>
          <w:szCs w:val="32"/>
          <w:highlight w:val="none"/>
          <w:lang w:val="en-US" w:eastAsia="zh-CN"/>
        </w:rPr>
        <w:t>遂宁市安居区白马镇中心幼儿园2024年度预算编制，是根据安居区财政局的安排，在区财政局教科文卫股、预算股的指导下，组织财务方面的相关工作人员，进行预算编制，预算编制质量好，受到区财政局的好评。绩效目标按照区财政要求进行填报。</w:t>
      </w:r>
    </w:p>
    <w:p w14:paraId="2491A282">
      <w:pPr>
        <w:pStyle w:val="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（二）部门预算项目绩效分析。</w:t>
      </w:r>
    </w:p>
    <w:p w14:paraId="021DD44B">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1.项目决策。</w:t>
      </w:r>
    </w:p>
    <w:p w14:paraId="2E68F6D4">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严格遵守项目决策程序，根据单位实际情况设置项目目标，按要求入库。</w:t>
      </w:r>
    </w:p>
    <w:p w14:paraId="66B45AED">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2.项目执行。</w:t>
      </w:r>
    </w:p>
    <w:p w14:paraId="0671117C">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制定合理、合规的执行计划，根据目标严格按照计划执行资金支出。</w:t>
      </w:r>
    </w:p>
    <w:p w14:paraId="34123E4F">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3.目标实现。</w:t>
      </w:r>
    </w:p>
    <w:p w14:paraId="7D4FF95B">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所有项目实现项目目标，偏离度较小，项目实际取得的效果好。</w:t>
      </w:r>
    </w:p>
    <w:p w14:paraId="085F110D">
      <w:pPr>
        <w:pStyle w:val="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四、评价结论及建议</w:t>
      </w:r>
    </w:p>
    <w:p w14:paraId="639B12E5">
      <w:pPr>
        <w:pStyle w:val="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（一）评价结论。</w:t>
      </w:r>
    </w:p>
    <w:p w14:paraId="616F317A">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4</w:t>
      </w:r>
      <w:r>
        <w:rPr>
          <w:rFonts w:hint="eastAsia" w:ascii="仿宋_GB2312" w:eastAsia="仿宋_GB2312" w:cs="Times New Roman"/>
          <w:sz w:val="32"/>
          <w:szCs w:val="32"/>
          <w:highlight w:val="none"/>
          <w:lang w:val="en-US" w:eastAsia="zh-CN"/>
        </w:rPr>
        <w:t>年度，部门根据年初预算情况按要求、按程序实施项目步骤，取得了较好的成效</w:t>
      </w:r>
      <w:r>
        <w:rPr>
          <w:rFonts w:hint="eastAsia" w:eastAsia="仿宋_GB2312" w:cs="Times New Roman"/>
          <w:sz w:val="32"/>
          <w:szCs w:val="32"/>
          <w:highlight w:val="none"/>
          <w:lang w:val="en-US" w:eastAsia="zh-CN"/>
        </w:rPr>
        <w:t>；</w:t>
      </w:r>
      <w:r>
        <w:rPr>
          <w:rFonts w:hint="eastAsia" w:ascii="仿宋_GB2312" w:eastAsia="仿宋_GB2312" w:cs="Times New Roman"/>
          <w:sz w:val="32"/>
          <w:szCs w:val="32"/>
          <w:highlight w:val="none"/>
          <w:lang w:val="en-US" w:eastAsia="zh-CN"/>
        </w:rPr>
        <w:t>校园环境</w:t>
      </w:r>
      <w:r>
        <w:rPr>
          <w:rFonts w:hint="eastAsia" w:eastAsia="仿宋_GB2312" w:cs="Times New Roman"/>
          <w:sz w:val="32"/>
          <w:szCs w:val="32"/>
          <w:highlight w:val="none"/>
          <w:lang w:val="en-US" w:eastAsia="zh-CN"/>
        </w:rPr>
        <w:t>得到了</w:t>
      </w:r>
      <w:r>
        <w:rPr>
          <w:rFonts w:hint="eastAsia" w:ascii="仿宋_GB2312" w:eastAsia="仿宋_GB2312" w:cs="Times New Roman"/>
          <w:sz w:val="32"/>
          <w:szCs w:val="32"/>
          <w:highlight w:val="none"/>
          <w:lang w:val="en-US" w:eastAsia="zh-CN"/>
        </w:rPr>
        <w:t>美化，员工的综合素养及教学水平</w:t>
      </w:r>
      <w:r>
        <w:rPr>
          <w:rFonts w:hint="eastAsia" w:eastAsia="仿宋_GB2312" w:cs="Times New Roman"/>
          <w:sz w:val="32"/>
          <w:szCs w:val="32"/>
          <w:highlight w:val="none"/>
          <w:lang w:val="en-US" w:eastAsia="zh-CN"/>
        </w:rPr>
        <w:t>得到了</w:t>
      </w:r>
      <w:r>
        <w:rPr>
          <w:rFonts w:hint="eastAsia" w:ascii="仿宋_GB2312" w:eastAsia="仿宋_GB2312" w:cs="Times New Roman"/>
          <w:sz w:val="32"/>
          <w:szCs w:val="32"/>
          <w:highlight w:val="none"/>
          <w:lang w:val="en-US" w:eastAsia="zh-CN"/>
        </w:rPr>
        <w:t>提高</w:t>
      </w:r>
      <w:r>
        <w:rPr>
          <w:rFonts w:hint="eastAsia" w:eastAsia="仿宋_GB2312" w:cs="Times New Roman"/>
          <w:sz w:val="32"/>
          <w:szCs w:val="32"/>
          <w:highlight w:val="none"/>
          <w:lang w:val="en-US" w:eastAsia="zh-CN"/>
        </w:rPr>
        <w:t>，学生各方面的素质得了</w:t>
      </w:r>
      <w:r>
        <w:rPr>
          <w:rFonts w:hint="eastAsia" w:ascii="仿宋_GB2312" w:eastAsia="仿宋_GB2312" w:cs="Times New Roman"/>
          <w:sz w:val="32"/>
          <w:szCs w:val="32"/>
          <w:highlight w:val="none"/>
          <w:lang w:val="en-US" w:eastAsia="zh-CN"/>
        </w:rPr>
        <w:t>培养，学校教学质量</w:t>
      </w:r>
      <w:r>
        <w:rPr>
          <w:rFonts w:hint="eastAsia" w:eastAsia="仿宋_GB2312" w:cs="Times New Roman"/>
          <w:sz w:val="32"/>
          <w:szCs w:val="32"/>
          <w:highlight w:val="none"/>
          <w:lang w:val="en-US" w:eastAsia="zh-CN"/>
        </w:rPr>
        <w:t>等都得到了</w:t>
      </w:r>
      <w:r>
        <w:rPr>
          <w:rFonts w:hint="eastAsia" w:ascii="仿宋_GB2312" w:eastAsia="仿宋_GB2312" w:cs="Times New Roman"/>
          <w:sz w:val="32"/>
          <w:szCs w:val="32"/>
          <w:highlight w:val="none"/>
          <w:lang w:val="en-US" w:eastAsia="zh-CN"/>
        </w:rPr>
        <w:t>提升，部门自评得分100分。</w:t>
      </w:r>
    </w:p>
    <w:p w14:paraId="55AE5515">
      <w:pPr>
        <w:pStyle w:val="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w:t>
      </w:r>
      <w:r>
        <w:rPr>
          <w:rFonts w:hint="eastAsia" w:eastAsia="仿宋_GB2312" w:cs="Times New Roman"/>
          <w:b/>
          <w:bCs/>
          <w:sz w:val="32"/>
          <w:szCs w:val="32"/>
          <w:highlight w:val="none"/>
          <w:lang w:val="en-US" w:eastAsia="zh-CN"/>
        </w:rPr>
        <w:t>二</w:t>
      </w:r>
      <w:r>
        <w:rPr>
          <w:rFonts w:hint="eastAsia" w:ascii="仿宋_GB2312" w:eastAsia="仿宋_GB2312" w:cs="Times New Roman"/>
          <w:b/>
          <w:bCs/>
          <w:sz w:val="32"/>
          <w:szCs w:val="32"/>
          <w:highlight w:val="none"/>
          <w:lang w:val="en-US" w:eastAsia="zh-CN"/>
        </w:rPr>
        <w:t>）存在问题。</w:t>
      </w:r>
    </w:p>
    <w:p w14:paraId="6B56771C">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cs="Times New Roman"/>
          <w:sz w:val="32"/>
          <w:szCs w:val="32"/>
          <w:highlight w:val="none"/>
          <w:lang w:val="en-US" w:eastAsia="zh-CN"/>
        </w:rPr>
      </w:pPr>
      <w:r>
        <w:rPr>
          <w:rFonts w:hint="eastAsia" w:eastAsia="仿宋_GB2312" w:cs="Times New Roman"/>
          <w:sz w:val="32"/>
          <w:szCs w:val="32"/>
          <w:highlight w:val="none"/>
          <w:lang w:val="en-US" w:eastAsia="zh-CN"/>
        </w:rPr>
        <w:t>学校办学规模在变小，</w:t>
      </w:r>
      <w:r>
        <w:rPr>
          <w:rFonts w:hint="eastAsia" w:ascii="仿宋_GB2312" w:eastAsia="仿宋_GB2312" w:cs="Times New Roman"/>
          <w:sz w:val="32"/>
          <w:szCs w:val="32"/>
          <w:highlight w:val="none"/>
          <w:lang w:val="en-US" w:eastAsia="zh-CN"/>
        </w:rPr>
        <w:t>同时学校收入在减少。</w:t>
      </w:r>
    </w:p>
    <w:p w14:paraId="79C834CB">
      <w:pPr>
        <w:pStyle w:val="3"/>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eastAsia="仿宋_GB2312" w:cs="Times New Roman"/>
          <w:sz w:val="32"/>
          <w:szCs w:val="32"/>
          <w:highlight w:val="none"/>
          <w:lang w:val="en-US" w:eastAsia="zh-CN"/>
        </w:rPr>
      </w:pPr>
      <w:r>
        <w:rPr>
          <w:rFonts w:hint="eastAsia" w:ascii="仿宋_GB2312" w:eastAsia="仿宋_GB2312" w:cs="Times New Roman"/>
          <w:b/>
          <w:bCs/>
          <w:sz w:val="32"/>
          <w:szCs w:val="32"/>
          <w:highlight w:val="none"/>
          <w:lang w:val="en-US" w:eastAsia="zh-CN"/>
        </w:rPr>
        <w:t>（</w:t>
      </w:r>
      <w:r>
        <w:rPr>
          <w:rFonts w:hint="eastAsia" w:eastAsia="仿宋_GB2312" w:cs="Times New Roman"/>
          <w:b/>
          <w:bCs/>
          <w:sz w:val="32"/>
          <w:szCs w:val="32"/>
          <w:highlight w:val="none"/>
          <w:lang w:val="en-US" w:eastAsia="zh-CN"/>
        </w:rPr>
        <w:t>三</w:t>
      </w:r>
      <w:r>
        <w:rPr>
          <w:rFonts w:hint="eastAsia" w:ascii="仿宋_GB2312" w:eastAsia="仿宋_GB2312" w:cs="Times New Roman"/>
          <w:b/>
          <w:bCs/>
          <w:sz w:val="32"/>
          <w:szCs w:val="32"/>
          <w:highlight w:val="none"/>
          <w:lang w:val="en-US" w:eastAsia="zh-CN"/>
        </w:rPr>
        <w:t>）改进</w:t>
      </w:r>
      <w:r>
        <w:rPr>
          <w:rFonts w:hint="eastAsia" w:eastAsia="仿宋_GB2312" w:cs="Times New Roman"/>
          <w:b/>
          <w:bCs/>
          <w:sz w:val="32"/>
          <w:szCs w:val="32"/>
          <w:highlight w:val="none"/>
          <w:lang w:val="en-US" w:eastAsia="zh-CN"/>
        </w:rPr>
        <w:t>建议</w:t>
      </w:r>
      <w:r>
        <w:rPr>
          <w:rFonts w:hint="eastAsia" w:ascii="仿宋_GB2312" w:eastAsia="仿宋_GB2312" w:cs="Times New Roman"/>
          <w:b/>
          <w:bCs/>
          <w:sz w:val="32"/>
          <w:szCs w:val="32"/>
          <w:highlight w:val="none"/>
          <w:lang w:val="en-US" w:eastAsia="zh-CN"/>
        </w:rPr>
        <w:t>。</w:t>
      </w:r>
    </w:p>
    <w:p w14:paraId="774B59EE">
      <w:pPr>
        <w:widowControl/>
        <w:adjustRightInd w:val="0"/>
        <w:snapToGrid w:val="0"/>
        <w:spacing w:line="560" w:lineRule="exact"/>
        <w:ind w:firstLine="640" w:firstLineChars="200"/>
        <w:contextualSpacing/>
        <w:jc w:val="left"/>
        <w:rPr>
          <w:rFonts w:hint="eastAsia" w:ascii="新宋体" w:hAnsi="新宋体" w:eastAsia="新宋体" w:cs="新宋体"/>
          <w:color w:val="000000"/>
          <w:kern w:val="2"/>
          <w:sz w:val="32"/>
          <w:szCs w:val="32"/>
          <w:lang w:val="en-US" w:eastAsia="zh-CN" w:bidi="ar-SA"/>
        </w:rPr>
      </w:pPr>
      <w:r>
        <w:rPr>
          <w:rFonts w:hint="eastAsia" w:ascii="仿宋_GB2312" w:eastAsia="仿宋_GB2312" w:cs="Times New Roman"/>
          <w:sz w:val="32"/>
          <w:szCs w:val="32"/>
          <w:highlight w:val="none"/>
          <w:lang w:val="en-US" w:eastAsia="zh-CN"/>
        </w:rPr>
        <w:t>向主管部门汇报情况，争取上级或本级资金，加快校园建设，完善教学基础设施，更新教学理念</w:t>
      </w:r>
      <w:r>
        <w:rPr>
          <w:rFonts w:hint="eastAsia" w:eastAsia="仿宋_GB2312" w:cs="Times New Roman"/>
          <w:sz w:val="32"/>
          <w:szCs w:val="32"/>
          <w:highlight w:val="none"/>
          <w:lang w:val="en-US" w:eastAsia="zh-CN"/>
        </w:rPr>
        <w:t>；</w:t>
      </w:r>
      <w:r>
        <w:rPr>
          <w:rFonts w:hint="eastAsia" w:ascii="仿宋_GB2312" w:eastAsia="仿宋_GB2312" w:cs="Times New Roman"/>
          <w:sz w:val="32"/>
          <w:szCs w:val="32"/>
          <w:highlight w:val="none"/>
          <w:lang w:val="en-US" w:eastAsia="zh-CN"/>
        </w:rPr>
        <w:t>提高学生的竞争能力，</w:t>
      </w:r>
      <w:r>
        <w:rPr>
          <w:rFonts w:hint="eastAsia" w:eastAsia="仿宋_GB2312" w:cs="Times New Roman"/>
          <w:sz w:val="32"/>
          <w:szCs w:val="32"/>
          <w:highlight w:val="none"/>
          <w:lang w:val="en-US" w:eastAsia="zh-CN"/>
        </w:rPr>
        <w:t>巩固</w:t>
      </w:r>
      <w:r>
        <w:rPr>
          <w:rFonts w:hint="eastAsia" w:ascii="仿宋_GB2312" w:eastAsia="仿宋_GB2312" w:cs="Times New Roman"/>
          <w:sz w:val="32"/>
          <w:szCs w:val="32"/>
          <w:highlight w:val="none"/>
          <w:lang w:val="en-US" w:eastAsia="zh-CN"/>
        </w:rPr>
        <w:t>生源。</w:t>
      </w:r>
    </w:p>
    <w:p w14:paraId="695DABBF">
      <w:pPr>
        <w:pStyle w:val="3"/>
        <w:keepNext w:val="0"/>
        <w:keepLines w:val="0"/>
        <w:pageBreakBefore w:val="0"/>
        <w:widowControl w:val="0"/>
        <w:numPr>
          <w:ilvl w:val="0"/>
          <w:numId w:val="0"/>
        </w:numPr>
        <w:kinsoku/>
        <w:wordWrap/>
        <w:overflowPunct/>
        <w:topLinePunct w:val="0"/>
        <w:autoSpaceDE/>
        <w:autoSpaceDN/>
        <w:bidi w:val="0"/>
        <w:adjustRightInd/>
        <w:snapToGrid/>
        <w:spacing w:before="625" w:beforeLines="200" w:line="560" w:lineRule="exact"/>
        <w:ind w:firstLine="640" w:firstLineChars="200"/>
        <w:textAlignment w:val="auto"/>
        <w:rPr>
          <w:rFonts w:hint="eastAsia" w:ascii="Times New Roman" w:hAnsi="Times New Roman" w:eastAsia="仿宋_GB2312" w:cs="Times New Roman"/>
          <w:kern w:val="2"/>
          <w:sz w:val="32"/>
          <w:szCs w:val="32"/>
          <w:highlight w:val="none"/>
          <w:u w:val="none"/>
          <w:lang w:val="zh-CN" w:eastAsia="zh-CN" w:bidi="ar"/>
        </w:rPr>
      </w:pPr>
      <w:r>
        <w:rPr>
          <w:rFonts w:hint="eastAsia" w:ascii="Times New Roman" w:hAnsi="Times New Roman" w:eastAsia="仿宋_GB2312" w:cs="Times New Roman"/>
          <w:kern w:val="2"/>
          <w:sz w:val="32"/>
          <w:szCs w:val="32"/>
          <w:highlight w:val="none"/>
          <w:u w:val="none"/>
          <w:lang w:val="zh-CN" w:eastAsia="zh-CN" w:bidi="ar"/>
        </w:rPr>
        <w:t>附</w:t>
      </w:r>
      <w:r>
        <w:rPr>
          <w:rFonts w:hint="eastAsia" w:ascii="Times New Roman" w:hAnsi="Times New Roman" w:eastAsia="仿宋_GB2312" w:cs="Times New Roman"/>
          <w:kern w:val="2"/>
          <w:sz w:val="32"/>
          <w:szCs w:val="32"/>
          <w:highlight w:val="none"/>
          <w:u w:val="none"/>
          <w:lang w:val="en-US" w:eastAsia="zh-CN" w:bidi="ar"/>
        </w:rPr>
        <w:t>件</w:t>
      </w:r>
      <w:r>
        <w:rPr>
          <w:rFonts w:hint="eastAsia" w:ascii="Times New Roman" w:hAnsi="Times New Roman" w:eastAsia="仿宋_GB2312" w:cs="Times New Roman"/>
          <w:kern w:val="2"/>
          <w:sz w:val="32"/>
          <w:szCs w:val="32"/>
          <w:highlight w:val="none"/>
          <w:u w:val="none"/>
          <w:lang w:val="zh-CN" w:eastAsia="zh-CN" w:bidi="ar"/>
        </w:rPr>
        <w:t>：</w:t>
      </w:r>
      <w:r>
        <w:rPr>
          <w:rFonts w:hint="eastAsia" w:ascii="Times New Roman" w:hAnsi="Times New Roman" w:eastAsia="仿宋_GB2312" w:cs="Times New Roman"/>
          <w:kern w:val="2"/>
          <w:sz w:val="32"/>
          <w:szCs w:val="32"/>
          <w:highlight w:val="none"/>
          <w:u w:val="none"/>
          <w:lang w:val="en-US" w:eastAsia="zh-CN" w:bidi="ar"/>
        </w:rPr>
        <w:t>1.</w:t>
      </w:r>
      <w:r>
        <w:rPr>
          <w:rFonts w:hint="default" w:ascii="Times New Roman" w:hAnsi="Times New Roman" w:eastAsia="仿宋_GB2312" w:cs="Times New Roman"/>
          <w:kern w:val="2"/>
          <w:sz w:val="32"/>
          <w:szCs w:val="32"/>
          <w:highlight w:val="none"/>
          <w:u w:val="none"/>
          <w:lang w:val="en-US" w:eastAsia="zh-CN" w:bidi="ar"/>
        </w:rPr>
        <w:t>部门整体支出绩效自评表</w:t>
      </w:r>
    </w:p>
    <w:p w14:paraId="7DAA0C93">
      <w:pPr>
        <w:pStyle w:val="2"/>
        <w:widowControl w:val="0"/>
        <w:numPr>
          <w:ilvl w:val="0"/>
          <w:numId w:val="0"/>
        </w:numPr>
        <w:snapToGrid w:val="0"/>
        <w:ind w:firstLine="1600" w:firstLineChars="500"/>
        <w:jc w:val="both"/>
        <w:rPr>
          <w:rFonts w:hint="eastAsia"/>
          <w:lang w:val="en-US" w:eastAsia="zh-CN"/>
        </w:rPr>
      </w:pPr>
      <w:r>
        <w:rPr>
          <w:rFonts w:hint="eastAsia" w:ascii="Times New Roman" w:hAnsi="Times New Roman" w:eastAsia="仿宋_GB2312" w:cs="Times New Roman"/>
          <w:kern w:val="2"/>
          <w:sz w:val="32"/>
          <w:szCs w:val="32"/>
          <w:highlight w:val="none"/>
          <w:u w:val="none"/>
          <w:lang w:val="en-US" w:eastAsia="zh-CN" w:bidi="ar"/>
        </w:rPr>
        <w:t>2.部门预算项目支出绩效自评表（2024年度）</w:t>
      </w:r>
    </w:p>
    <w:p w14:paraId="7A494FE4">
      <w:pPr>
        <w:pStyle w:val="3"/>
        <w:rPr>
          <w:rFonts w:hint="eastAsia"/>
          <w:lang w:val="en-US" w:eastAsia="zh-CN"/>
        </w:rPr>
      </w:pPr>
    </w:p>
    <w:tbl>
      <w:tblPr>
        <w:tblStyle w:val="16"/>
        <w:tblW w:w="8720" w:type="dxa"/>
        <w:jc w:val="center"/>
        <w:tblLayout w:type="autofit"/>
        <w:tblCellMar>
          <w:top w:w="0" w:type="dxa"/>
          <w:left w:w="108" w:type="dxa"/>
          <w:bottom w:w="0" w:type="dxa"/>
          <w:right w:w="108" w:type="dxa"/>
        </w:tblCellMar>
      </w:tblPr>
      <w:tblGrid>
        <w:gridCol w:w="712"/>
        <w:gridCol w:w="727"/>
        <w:gridCol w:w="1152"/>
        <w:gridCol w:w="467"/>
        <w:gridCol w:w="1377"/>
        <w:gridCol w:w="3133"/>
        <w:gridCol w:w="601"/>
        <w:gridCol w:w="551"/>
      </w:tblGrid>
      <w:tr w14:paraId="624BC911">
        <w:tblPrEx>
          <w:tblCellMar>
            <w:top w:w="0" w:type="dxa"/>
            <w:left w:w="108" w:type="dxa"/>
            <w:bottom w:w="0" w:type="dxa"/>
            <w:right w:w="108" w:type="dxa"/>
          </w:tblCellMar>
        </w:tblPrEx>
        <w:trPr>
          <w:trHeight w:val="1070" w:hRule="atLeast"/>
          <w:jc w:val="center"/>
        </w:trPr>
        <w:tc>
          <w:tcPr>
            <w:tcW w:w="8720" w:type="dxa"/>
            <w:gridSpan w:val="8"/>
            <w:tcBorders>
              <w:top w:val="nil"/>
              <w:left w:val="nil"/>
              <w:bottom w:val="nil"/>
              <w:right w:val="nil"/>
            </w:tcBorders>
            <w:shd w:val="clear" w:color="auto" w:fill="auto"/>
            <w:vAlign w:val="center"/>
          </w:tcPr>
          <w:p w14:paraId="28BF44B6">
            <w:pPr>
              <w:ind w:firstLine="1280" w:firstLineChars="400"/>
              <w:rPr>
                <w:rFonts w:hint="eastAsia" w:eastAsia="黑体" w:cs="黑体"/>
                <w:kern w:val="0"/>
                <w:sz w:val="32"/>
                <w:szCs w:val="32"/>
                <w:highlight w:val="none"/>
                <w:shd w:val="clear" w:color="auto" w:fill="FFFFFF"/>
                <w:lang w:val="zh-CN"/>
              </w:rPr>
            </w:pPr>
          </w:p>
          <w:p w14:paraId="5D265E57">
            <w:pPr>
              <w:ind w:firstLine="1280" w:firstLineChars="400"/>
              <w:rPr>
                <w:rFonts w:hint="eastAsia" w:ascii="新宋体" w:hAnsi="新宋体" w:eastAsia="新宋体" w:cs="新宋体"/>
                <w:b w:val="0"/>
                <w:bCs w:val="0"/>
                <w:kern w:val="0"/>
                <w:sz w:val="48"/>
                <w:szCs w:val="48"/>
              </w:rPr>
            </w:pPr>
            <w:r>
              <w:rPr>
                <w:rFonts w:hint="eastAsia" w:eastAsia="黑体" w:cs="黑体"/>
                <w:kern w:val="0"/>
                <w:sz w:val="32"/>
                <w:szCs w:val="32"/>
                <w:highlight w:val="none"/>
                <w:shd w:val="clear" w:color="auto" w:fill="FFFFFF"/>
                <w:lang w:val="zh-CN"/>
              </w:rPr>
              <w:br w:type="page"/>
            </w:r>
            <w:r>
              <w:rPr>
                <w:rFonts w:eastAsia="黑体" w:cs="黑体"/>
                <w:kern w:val="0"/>
                <w:sz w:val="32"/>
                <w:szCs w:val="32"/>
                <w:highlight w:val="none"/>
                <w:shd w:val="clear" w:color="auto" w:fill="FFFFFF"/>
                <w:lang w:val="zh-CN"/>
              </w:rPr>
              <w:br w:type="page"/>
            </w:r>
            <w:r>
              <w:rPr>
                <w:rFonts w:hint="eastAsia" w:ascii="方正小标宋简体" w:hAnsi="方正小标宋简体" w:eastAsia="方正小标宋简体" w:cs="宋体"/>
                <w:kern w:val="0"/>
                <w:sz w:val="48"/>
                <w:szCs w:val="48"/>
                <w:highlight w:val="none"/>
              </w:rPr>
              <w:t>部门整体支出绩效自评表</w:t>
            </w:r>
          </w:p>
        </w:tc>
      </w:tr>
      <w:tr w14:paraId="6471C5DE">
        <w:tblPrEx>
          <w:tblCellMar>
            <w:top w:w="0" w:type="dxa"/>
            <w:left w:w="108" w:type="dxa"/>
            <w:bottom w:w="0" w:type="dxa"/>
            <w:right w:w="108" w:type="dxa"/>
          </w:tblCellMar>
        </w:tblPrEx>
        <w:trPr>
          <w:trHeight w:val="466" w:hRule="atLeast"/>
          <w:jc w:val="center"/>
        </w:trPr>
        <w:tc>
          <w:tcPr>
            <w:tcW w:w="3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4094029">
            <w:pPr>
              <w:widowControl/>
              <w:jc w:val="center"/>
              <w:rPr>
                <w:rFonts w:hint="eastAsia" w:ascii="新宋体" w:hAnsi="新宋体" w:eastAsia="新宋体" w:cs="新宋体"/>
                <w:b w:val="0"/>
                <w:bCs w:val="0"/>
                <w:kern w:val="0"/>
                <w:sz w:val="24"/>
              </w:rPr>
            </w:pPr>
            <w:r>
              <w:rPr>
                <w:rFonts w:hint="eastAsia" w:ascii="黑体" w:hAnsi="黑体" w:eastAsia="黑体" w:cs="宋体"/>
                <w:kern w:val="0"/>
                <w:sz w:val="24"/>
                <w:highlight w:val="none"/>
              </w:rPr>
              <w:t>绩效指标</w:t>
            </w:r>
          </w:p>
        </w:tc>
        <w:tc>
          <w:tcPr>
            <w:tcW w:w="13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BAC619">
            <w:pPr>
              <w:widowControl/>
              <w:jc w:val="center"/>
              <w:rPr>
                <w:rFonts w:hint="eastAsia" w:ascii="新宋体" w:hAnsi="新宋体" w:eastAsia="新宋体" w:cs="新宋体"/>
                <w:b w:val="0"/>
                <w:bCs w:val="0"/>
                <w:kern w:val="0"/>
                <w:sz w:val="24"/>
              </w:rPr>
            </w:pPr>
            <w:r>
              <w:rPr>
                <w:rFonts w:hint="eastAsia" w:ascii="黑体" w:hAnsi="黑体" w:eastAsia="黑体" w:cs="宋体"/>
                <w:kern w:val="0"/>
                <w:sz w:val="24"/>
                <w:highlight w:val="none"/>
              </w:rPr>
              <w:t>指标解释</w:t>
            </w:r>
          </w:p>
        </w:tc>
        <w:tc>
          <w:tcPr>
            <w:tcW w:w="31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B4472A">
            <w:pPr>
              <w:widowControl/>
              <w:jc w:val="center"/>
              <w:rPr>
                <w:rFonts w:hint="eastAsia" w:ascii="新宋体" w:hAnsi="新宋体" w:eastAsia="新宋体" w:cs="新宋体"/>
                <w:b w:val="0"/>
                <w:bCs w:val="0"/>
                <w:kern w:val="0"/>
                <w:sz w:val="24"/>
              </w:rPr>
            </w:pPr>
            <w:r>
              <w:rPr>
                <w:rFonts w:hint="eastAsia" w:ascii="黑体" w:hAnsi="黑体" w:eastAsia="黑体" w:cs="宋体"/>
                <w:kern w:val="0"/>
                <w:sz w:val="24"/>
                <w:highlight w:val="none"/>
              </w:rPr>
              <w:t>评分说明</w:t>
            </w:r>
          </w:p>
        </w:tc>
        <w:tc>
          <w:tcPr>
            <w:tcW w:w="60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C17644A">
            <w:pPr>
              <w:widowControl/>
              <w:jc w:val="center"/>
              <w:rPr>
                <w:rFonts w:hint="eastAsia" w:ascii="新宋体" w:hAnsi="新宋体" w:eastAsia="新宋体" w:cs="新宋体"/>
                <w:b w:val="0"/>
                <w:bCs w:val="0"/>
                <w:kern w:val="0"/>
                <w:sz w:val="24"/>
              </w:rPr>
            </w:pPr>
            <w:r>
              <w:rPr>
                <w:rFonts w:hint="eastAsia" w:ascii="黑体" w:hAnsi="黑体" w:eastAsia="黑体" w:cs="宋体"/>
                <w:kern w:val="0"/>
                <w:sz w:val="24"/>
                <w:highlight w:val="none"/>
              </w:rPr>
              <w:t>自评得分</w:t>
            </w:r>
          </w:p>
        </w:tc>
        <w:tc>
          <w:tcPr>
            <w:tcW w:w="5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FA8A249">
            <w:pPr>
              <w:widowControl/>
              <w:jc w:val="center"/>
              <w:rPr>
                <w:rFonts w:hint="eastAsia" w:ascii="新宋体" w:hAnsi="新宋体" w:eastAsia="新宋体" w:cs="新宋体"/>
                <w:b w:val="0"/>
                <w:bCs w:val="0"/>
                <w:kern w:val="0"/>
                <w:sz w:val="24"/>
              </w:rPr>
            </w:pPr>
            <w:r>
              <w:rPr>
                <w:rFonts w:hint="eastAsia" w:ascii="黑体" w:hAnsi="黑体" w:eastAsia="黑体" w:cs="宋体"/>
                <w:kern w:val="0"/>
                <w:sz w:val="24"/>
                <w:highlight w:val="none"/>
              </w:rPr>
              <w:t>备注</w:t>
            </w:r>
          </w:p>
        </w:tc>
      </w:tr>
      <w:tr w14:paraId="087F278E">
        <w:tblPrEx>
          <w:tblCellMar>
            <w:top w:w="0" w:type="dxa"/>
            <w:left w:w="108" w:type="dxa"/>
            <w:bottom w:w="0" w:type="dxa"/>
            <w:right w:w="108" w:type="dxa"/>
          </w:tblCellMar>
        </w:tblPrEx>
        <w:trPr>
          <w:trHeight w:val="1241" w:hRule="atLeast"/>
          <w:jc w:val="center"/>
        </w:trPr>
        <w:tc>
          <w:tcPr>
            <w:tcW w:w="715" w:type="dxa"/>
            <w:tcBorders>
              <w:top w:val="nil"/>
              <w:left w:val="single" w:color="auto" w:sz="4" w:space="0"/>
              <w:bottom w:val="single" w:color="auto" w:sz="4" w:space="0"/>
              <w:right w:val="nil"/>
            </w:tcBorders>
            <w:shd w:val="clear" w:color="auto" w:fill="auto"/>
            <w:vAlign w:val="center"/>
          </w:tcPr>
          <w:p w14:paraId="31DCDA2C">
            <w:pPr>
              <w:widowControl/>
              <w:jc w:val="center"/>
              <w:rPr>
                <w:rFonts w:hint="eastAsia" w:ascii="新宋体" w:hAnsi="新宋体" w:eastAsia="新宋体" w:cs="新宋体"/>
                <w:b w:val="0"/>
                <w:bCs w:val="0"/>
                <w:kern w:val="0"/>
                <w:sz w:val="24"/>
              </w:rPr>
            </w:pPr>
            <w:r>
              <w:rPr>
                <w:rFonts w:hint="eastAsia" w:ascii="黑体" w:hAnsi="黑体" w:eastAsia="黑体" w:cs="宋体"/>
                <w:kern w:val="0"/>
                <w:sz w:val="24"/>
                <w:highlight w:val="none"/>
              </w:rPr>
              <w:t>一级指标</w:t>
            </w:r>
          </w:p>
        </w:tc>
        <w:tc>
          <w:tcPr>
            <w:tcW w:w="727" w:type="dxa"/>
            <w:tcBorders>
              <w:top w:val="nil"/>
              <w:left w:val="single" w:color="auto" w:sz="4" w:space="0"/>
              <w:bottom w:val="single" w:color="auto" w:sz="4" w:space="0"/>
              <w:right w:val="single" w:color="auto" w:sz="4" w:space="0"/>
            </w:tcBorders>
            <w:shd w:val="clear" w:color="auto" w:fill="auto"/>
            <w:vAlign w:val="center"/>
          </w:tcPr>
          <w:p w14:paraId="54C98DE8">
            <w:pPr>
              <w:widowControl/>
              <w:jc w:val="center"/>
              <w:rPr>
                <w:rFonts w:hint="eastAsia" w:ascii="新宋体" w:hAnsi="新宋体" w:eastAsia="新宋体" w:cs="新宋体"/>
                <w:b w:val="0"/>
                <w:bCs w:val="0"/>
                <w:kern w:val="0"/>
                <w:sz w:val="24"/>
              </w:rPr>
            </w:pPr>
            <w:r>
              <w:rPr>
                <w:rFonts w:hint="eastAsia" w:ascii="黑体" w:hAnsi="黑体" w:eastAsia="黑体" w:cs="宋体"/>
                <w:kern w:val="0"/>
                <w:sz w:val="24"/>
                <w:highlight w:val="none"/>
              </w:rPr>
              <w:t>二级指标</w:t>
            </w:r>
          </w:p>
        </w:tc>
        <w:tc>
          <w:tcPr>
            <w:tcW w:w="1152" w:type="dxa"/>
            <w:tcBorders>
              <w:top w:val="nil"/>
              <w:left w:val="nil"/>
              <w:bottom w:val="single" w:color="auto" w:sz="4" w:space="0"/>
              <w:right w:val="single" w:color="auto" w:sz="4" w:space="0"/>
            </w:tcBorders>
            <w:shd w:val="clear" w:color="auto" w:fill="auto"/>
            <w:vAlign w:val="center"/>
          </w:tcPr>
          <w:p w14:paraId="4BD9744B">
            <w:pPr>
              <w:widowControl/>
              <w:jc w:val="center"/>
              <w:rPr>
                <w:rFonts w:hint="eastAsia" w:ascii="新宋体" w:hAnsi="新宋体" w:eastAsia="新宋体" w:cs="新宋体"/>
                <w:b w:val="0"/>
                <w:bCs w:val="0"/>
                <w:kern w:val="0"/>
                <w:sz w:val="24"/>
              </w:rPr>
            </w:pPr>
            <w:r>
              <w:rPr>
                <w:rFonts w:hint="eastAsia" w:ascii="黑体" w:hAnsi="黑体" w:eastAsia="黑体" w:cs="宋体"/>
                <w:kern w:val="0"/>
                <w:sz w:val="24"/>
                <w:highlight w:val="none"/>
              </w:rPr>
              <w:t>三级指标</w:t>
            </w:r>
          </w:p>
        </w:tc>
        <w:tc>
          <w:tcPr>
            <w:tcW w:w="467" w:type="dxa"/>
            <w:tcBorders>
              <w:top w:val="nil"/>
              <w:left w:val="nil"/>
              <w:bottom w:val="single" w:color="auto" w:sz="4" w:space="0"/>
              <w:right w:val="single" w:color="auto" w:sz="4" w:space="0"/>
            </w:tcBorders>
            <w:shd w:val="clear" w:color="auto" w:fill="auto"/>
            <w:vAlign w:val="center"/>
          </w:tcPr>
          <w:p w14:paraId="742CA4E5">
            <w:pPr>
              <w:widowControl/>
              <w:jc w:val="center"/>
              <w:rPr>
                <w:rFonts w:hint="eastAsia" w:ascii="新宋体" w:hAnsi="新宋体" w:eastAsia="新宋体" w:cs="新宋体"/>
                <w:b w:val="0"/>
                <w:bCs w:val="0"/>
                <w:kern w:val="0"/>
                <w:sz w:val="24"/>
              </w:rPr>
            </w:pPr>
            <w:r>
              <w:rPr>
                <w:rFonts w:hint="eastAsia" w:ascii="黑体" w:hAnsi="黑体" w:eastAsia="黑体" w:cs="宋体"/>
                <w:kern w:val="0"/>
                <w:sz w:val="24"/>
                <w:highlight w:val="none"/>
              </w:rPr>
              <w:t>指标分值</w:t>
            </w:r>
          </w:p>
        </w:tc>
        <w:tc>
          <w:tcPr>
            <w:tcW w:w="1377" w:type="dxa"/>
            <w:vMerge w:val="continue"/>
            <w:tcBorders>
              <w:top w:val="single" w:color="auto" w:sz="4" w:space="0"/>
              <w:left w:val="single" w:color="auto" w:sz="4" w:space="0"/>
              <w:bottom w:val="single" w:color="auto" w:sz="4" w:space="0"/>
              <w:right w:val="single" w:color="auto" w:sz="4" w:space="0"/>
            </w:tcBorders>
            <w:vAlign w:val="center"/>
          </w:tcPr>
          <w:p w14:paraId="10FFC4F6">
            <w:pPr>
              <w:widowControl/>
              <w:jc w:val="left"/>
              <w:rPr>
                <w:rFonts w:hint="eastAsia" w:ascii="新宋体" w:hAnsi="新宋体" w:eastAsia="新宋体" w:cs="新宋体"/>
                <w:b w:val="0"/>
                <w:bCs w:val="0"/>
                <w:kern w:val="0"/>
                <w:sz w:val="24"/>
              </w:rPr>
            </w:pPr>
          </w:p>
        </w:tc>
        <w:tc>
          <w:tcPr>
            <w:tcW w:w="3133" w:type="dxa"/>
            <w:vMerge w:val="continue"/>
            <w:tcBorders>
              <w:top w:val="single" w:color="auto" w:sz="4" w:space="0"/>
              <w:left w:val="single" w:color="auto" w:sz="4" w:space="0"/>
              <w:bottom w:val="single" w:color="auto" w:sz="4" w:space="0"/>
              <w:right w:val="single" w:color="auto" w:sz="4" w:space="0"/>
            </w:tcBorders>
            <w:vAlign w:val="center"/>
          </w:tcPr>
          <w:p w14:paraId="12A94F75">
            <w:pPr>
              <w:widowControl/>
              <w:jc w:val="left"/>
              <w:rPr>
                <w:rFonts w:hint="eastAsia" w:ascii="新宋体" w:hAnsi="新宋体" w:eastAsia="新宋体" w:cs="新宋体"/>
                <w:b w:val="0"/>
                <w:bCs w:val="0"/>
                <w:kern w:val="0"/>
                <w:sz w:val="24"/>
              </w:rPr>
            </w:pPr>
          </w:p>
        </w:tc>
        <w:tc>
          <w:tcPr>
            <w:tcW w:w="601" w:type="dxa"/>
            <w:vMerge w:val="continue"/>
            <w:tcBorders>
              <w:top w:val="single" w:color="auto" w:sz="4" w:space="0"/>
              <w:left w:val="single" w:color="auto" w:sz="4" w:space="0"/>
              <w:bottom w:val="single" w:color="000000" w:sz="4" w:space="0"/>
              <w:right w:val="single" w:color="auto" w:sz="4" w:space="0"/>
            </w:tcBorders>
            <w:vAlign w:val="center"/>
          </w:tcPr>
          <w:p w14:paraId="72FAC830">
            <w:pPr>
              <w:widowControl/>
              <w:jc w:val="left"/>
              <w:rPr>
                <w:rFonts w:hint="eastAsia" w:ascii="新宋体" w:hAnsi="新宋体" w:eastAsia="新宋体" w:cs="新宋体"/>
                <w:b w:val="0"/>
                <w:bCs w:val="0"/>
                <w:kern w:val="0"/>
                <w:sz w:val="24"/>
              </w:rPr>
            </w:pPr>
          </w:p>
        </w:tc>
        <w:tc>
          <w:tcPr>
            <w:tcW w:w="551" w:type="dxa"/>
            <w:vMerge w:val="continue"/>
            <w:tcBorders>
              <w:top w:val="single" w:color="auto" w:sz="4" w:space="0"/>
              <w:left w:val="single" w:color="auto" w:sz="4" w:space="0"/>
              <w:bottom w:val="single" w:color="000000" w:sz="4" w:space="0"/>
              <w:right w:val="single" w:color="auto" w:sz="4" w:space="0"/>
            </w:tcBorders>
            <w:vAlign w:val="center"/>
          </w:tcPr>
          <w:p w14:paraId="4552355A">
            <w:pPr>
              <w:widowControl/>
              <w:jc w:val="left"/>
              <w:rPr>
                <w:rFonts w:hint="eastAsia" w:ascii="新宋体" w:hAnsi="新宋体" w:eastAsia="新宋体" w:cs="新宋体"/>
                <w:b w:val="0"/>
                <w:bCs w:val="0"/>
                <w:kern w:val="0"/>
                <w:sz w:val="24"/>
              </w:rPr>
            </w:pPr>
          </w:p>
        </w:tc>
      </w:tr>
      <w:tr w14:paraId="7A7EA7ED">
        <w:tblPrEx>
          <w:tblCellMar>
            <w:top w:w="0" w:type="dxa"/>
            <w:left w:w="108" w:type="dxa"/>
            <w:bottom w:w="0" w:type="dxa"/>
            <w:right w:w="108" w:type="dxa"/>
          </w:tblCellMar>
        </w:tblPrEx>
        <w:trPr>
          <w:trHeight w:val="471" w:hRule="atLeast"/>
          <w:jc w:val="center"/>
        </w:trPr>
        <w:tc>
          <w:tcPr>
            <w:tcW w:w="715" w:type="dxa"/>
            <w:vMerge w:val="restart"/>
            <w:tcBorders>
              <w:top w:val="nil"/>
              <w:left w:val="single" w:color="auto" w:sz="4" w:space="0"/>
              <w:bottom w:val="single" w:color="000000" w:sz="4" w:space="0"/>
              <w:right w:val="single" w:color="auto" w:sz="4" w:space="0"/>
            </w:tcBorders>
            <w:shd w:val="clear" w:color="auto" w:fill="auto"/>
            <w:vAlign w:val="center"/>
          </w:tcPr>
          <w:p w14:paraId="25599B2F">
            <w:pPr>
              <w:widowControl/>
              <w:jc w:val="center"/>
              <w:rPr>
                <w:rFonts w:hint="eastAsia" w:ascii="新宋体" w:hAnsi="新宋体" w:eastAsia="新宋体" w:cs="新宋体"/>
                <w:b w:val="0"/>
                <w:bCs w:val="0"/>
                <w:kern w:val="0"/>
                <w:sz w:val="24"/>
              </w:rPr>
            </w:pPr>
            <w:r>
              <w:rPr>
                <w:rFonts w:hint="eastAsia" w:ascii="宋体" w:hAnsi="宋体" w:cs="宋体"/>
                <w:b/>
                <w:bCs/>
                <w:kern w:val="0"/>
                <w:sz w:val="24"/>
                <w:highlight w:val="none"/>
              </w:rPr>
              <w:t>总体绩效</w:t>
            </w:r>
            <w:r>
              <w:rPr>
                <w:rFonts w:hint="eastAsia" w:ascii="宋体" w:hAnsi="宋体" w:cs="宋体"/>
                <w:b/>
                <w:bCs/>
                <w:kern w:val="0"/>
                <w:sz w:val="24"/>
                <w:highlight w:val="none"/>
              </w:rPr>
              <w:br w:type="textWrapping"/>
            </w:r>
            <w:r>
              <w:rPr>
                <w:rFonts w:hint="eastAsia" w:ascii="宋体" w:hAnsi="宋体" w:cs="宋体"/>
                <w:b/>
                <w:bCs/>
                <w:kern w:val="0"/>
                <w:sz w:val="24"/>
                <w:highlight w:val="none"/>
              </w:rPr>
              <w:t>（65分）</w:t>
            </w:r>
          </w:p>
        </w:tc>
        <w:tc>
          <w:tcPr>
            <w:tcW w:w="727" w:type="dxa"/>
            <w:vMerge w:val="restart"/>
            <w:tcBorders>
              <w:top w:val="nil"/>
              <w:left w:val="single" w:color="auto" w:sz="4" w:space="0"/>
              <w:bottom w:val="nil"/>
              <w:right w:val="single" w:color="auto" w:sz="4" w:space="0"/>
            </w:tcBorders>
            <w:shd w:val="clear" w:color="auto" w:fill="auto"/>
            <w:vAlign w:val="center"/>
          </w:tcPr>
          <w:p w14:paraId="19E78FDA">
            <w:pPr>
              <w:widowControl/>
              <w:jc w:val="center"/>
              <w:rPr>
                <w:rFonts w:hint="eastAsia" w:ascii="新宋体" w:hAnsi="新宋体" w:eastAsia="新宋体" w:cs="新宋体"/>
                <w:b w:val="0"/>
                <w:bCs w:val="0"/>
                <w:kern w:val="0"/>
                <w:sz w:val="24"/>
              </w:rPr>
            </w:pPr>
            <w:r>
              <w:rPr>
                <w:rFonts w:hint="eastAsia" w:ascii="宋体" w:hAnsi="宋体" w:cs="宋体"/>
                <w:b/>
                <w:bCs/>
                <w:kern w:val="0"/>
                <w:sz w:val="24"/>
                <w:highlight w:val="none"/>
              </w:rPr>
              <w:t>履职效能</w:t>
            </w:r>
            <w:r>
              <w:rPr>
                <w:rFonts w:hint="eastAsia" w:ascii="宋体" w:hAnsi="宋体" w:cs="宋体"/>
                <w:b/>
                <w:bCs/>
                <w:kern w:val="0"/>
                <w:sz w:val="24"/>
                <w:highlight w:val="none"/>
              </w:rPr>
              <w:br w:type="textWrapping"/>
            </w:r>
            <w:r>
              <w:rPr>
                <w:rFonts w:hint="eastAsia" w:ascii="宋体" w:hAnsi="宋体" w:cs="宋体"/>
                <w:b/>
                <w:bCs/>
                <w:kern w:val="0"/>
                <w:sz w:val="24"/>
                <w:highlight w:val="none"/>
              </w:rPr>
              <w:t>（19分）</w:t>
            </w:r>
          </w:p>
        </w:tc>
        <w:tc>
          <w:tcPr>
            <w:tcW w:w="1152" w:type="dxa"/>
            <w:tcBorders>
              <w:top w:val="nil"/>
              <w:left w:val="nil"/>
              <w:bottom w:val="single" w:color="auto" w:sz="4" w:space="0"/>
              <w:right w:val="single" w:color="auto" w:sz="4" w:space="0"/>
            </w:tcBorders>
            <w:shd w:val="clear" w:color="auto" w:fill="auto"/>
            <w:vAlign w:val="center"/>
          </w:tcPr>
          <w:p w14:paraId="1ECDAC74">
            <w:pPr>
              <w:widowControl/>
              <w:jc w:val="left"/>
              <w:rPr>
                <w:rFonts w:hint="eastAsia" w:ascii="新宋体" w:hAnsi="新宋体" w:eastAsia="新宋体" w:cs="新宋体"/>
                <w:b w:val="0"/>
                <w:bCs w:val="0"/>
                <w:color w:val="000000"/>
                <w:kern w:val="0"/>
                <w:sz w:val="18"/>
                <w:szCs w:val="18"/>
                <w:lang w:val="en-US" w:eastAsia="zh-CN"/>
              </w:rPr>
            </w:pPr>
            <w:r>
              <w:rPr>
                <w:rFonts w:hint="eastAsia" w:ascii="宋体" w:hAnsi="宋体" w:cs="宋体"/>
                <w:color w:val="000000"/>
                <w:kern w:val="0"/>
                <w:sz w:val="18"/>
                <w:szCs w:val="18"/>
                <w:highlight w:val="none"/>
                <w:lang w:val="en-US" w:eastAsia="zh-CN"/>
              </w:rPr>
              <w:t>人才培养</w:t>
            </w:r>
          </w:p>
        </w:tc>
        <w:tc>
          <w:tcPr>
            <w:tcW w:w="467" w:type="dxa"/>
            <w:vMerge w:val="restart"/>
            <w:tcBorders>
              <w:top w:val="nil"/>
              <w:left w:val="single" w:color="auto" w:sz="4" w:space="0"/>
              <w:bottom w:val="nil"/>
              <w:right w:val="single" w:color="auto" w:sz="4" w:space="0"/>
            </w:tcBorders>
            <w:shd w:val="clear" w:color="auto" w:fill="auto"/>
            <w:vAlign w:val="center"/>
          </w:tcPr>
          <w:p w14:paraId="2A44AD92">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10</w:t>
            </w:r>
          </w:p>
        </w:tc>
        <w:tc>
          <w:tcPr>
            <w:tcW w:w="1377" w:type="dxa"/>
            <w:vMerge w:val="restart"/>
            <w:tcBorders>
              <w:top w:val="nil"/>
              <w:left w:val="single" w:color="auto" w:sz="4" w:space="0"/>
              <w:bottom w:val="nil"/>
              <w:right w:val="single" w:color="auto" w:sz="4" w:space="0"/>
            </w:tcBorders>
            <w:shd w:val="clear" w:color="auto" w:fill="auto"/>
            <w:vAlign w:val="center"/>
          </w:tcPr>
          <w:p w14:paraId="6F374F87">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评价学校在人才培养、科学研究、社会服务、文化传承等核心职能方面的效果。</w:t>
            </w:r>
          </w:p>
        </w:tc>
        <w:tc>
          <w:tcPr>
            <w:tcW w:w="3133" w:type="dxa"/>
            <w:vMerge w:val="restart"/>
            <w:tcBorders>
              <w:top w:val="nil"/>
              <w:left w:val="single" w:color="auto" w:sz="4" w:space="0"/>
              <w:bottom w:val="nil"/>
              <w:right w:val="single" w:color="auto" w:sz="4" w:space="0"/>
            </w:tcBorders>
            <w:shd w:val="clear" w:color="auto" w:fill="auto"/>
            <w:vAlign w:val="center"/>
          </w:tcPr>
          <w:p w14:paraId="2956B5D9">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人才方面：完成学前教育及小学阶段招送生；教学质量方面：课程建设成果，教研成果，师生满意度等；科学研究方面：教研经费的保障，教学论文的发表等。</w:t>
            </w:r>
          </w:p>
        </w:tc>
        <w:tc>
          <w:tcPr>
            <w:tcW w:w="601" w:type="dxa"/>
            <w:vMerge w:val="restart"/>
            <w:tcBorders>
              <w:top w:val="nil"/>
              <w:left w:val="single" w:color="auto" w:sz="4" w:space="0"/>
              <w:bottom w:val="nil"/>
              <w:right w:val="single" w:color="auto" w:sz="4" w:space="0"/>
            </w:tcBorders>
            <w:shd w:val="clear" w:color="auto" w:fill="auto"/>
            <w:vAlign w:val="center"/>
          </w:tcPr>
          <w:p w14:paraId="006D6ECE">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10</w:t>
            </w:r>
          </w:p>
        </w:tc>
        <w:tc>
          <w:tcPr>
            <w:tcW w:w="551" w:type="dxa"/>
            <w:vMerge w:val="restart"/>
            <w:tcBorders>
              <w:top w:val="nil"/>
              <w:left w:val="single" w:color="auto" w:sz="4" w:space="0"/>
              <w:bottom w:val="nil"/>
              <w:right w:val="single" w:color="auto" w:sz="4" w:space="0"/>
            </w:tcBorders>
            <w:shd w:val="clear" w:color="auto" w:fill="auto"/>
            <w:vAlign w:val="center"/>
          </w:tcPr>
          <w:p w14:paraId="57144365">
            <w:pPr>
              <w:widowControl/>
              <w:jc w:val="center"/>
              <w:rPr>
                <w:rFonts w:hint="eastAsia" w:ascii="新宋体" w:hAnsi="新宋体" w:eastAsia="新宋体" w:cs="新宋体"/>
                <w:b w:val="0"/>
                <w:bCs w:val="0"/>
                <w:kern w:val="0"/>
                <w:sz w:val="24"/>
              </w:rPr>
            </w:pPr>
            <w:r>
              <w:rPr>
                <w:rFonts w:hint="eastAsia" w:ascii="宋体" w:hAnsi="宋体" w:cs="宋体"/>
                <w:kern w:val="0"/>
                <w:sz w:val="24"/>
                <w:highlight w:val="none"/>
              </w:rPr>
              <w:t>　</w:t>
            </w:r>
          </w:p>
        </w:tc>
      </w:tr>
      <w:tr w14:paraId="4A2B0A64">
        <w:tblPrEx>
          <w:tblCellMar>
            <w:top w:w="0" w:type="dxa"/>
            <w:left w:w="108" w:type="dxa"/>
            <w:bottom w:w="0" w:type="dxa"/>
            <w:right w:w="108" w:type="dxa"/>
          </w:tblCellMar>
        </w:tblPrEx>
        <w:trPr>
          <w:trHeight w:val="423" w:hRule="atLeast"/>
          <w:jc w:val="center"/>
        </w:trPr>
        <w:tc>
          <w:tcPr>
            <w:tcW w:w="715" w:type="dxa"/>
            <w:vMerge w:val="continue"/>
            <w:tcBorders>
              <w:top w:val="nil"/>
              <w:left w:val="single" w:color="auto" w:sz="4" w:space="0"/>
              <w:bottom w:val="single" w:color="000000" w:sz="4" w:space="0"/>
              <w:right w:val="single" w:color="auto" w:sz="4" w:space="0"/>
            </w:tcBorders>
            <w:vAlign w:val="center"/>
          </w:tcPr>
          <w:p w14:paraId="52897BD8">
            <w:pPr>
              <w:widowControl/>
              <w:jc w:val="left"/>
              <w:rPr>
                <w:rFonts w:hint="eastAsia" w:ascii="新宋体" w:hAnsi="新宋体" w:eastAsia="新宋体" w:cs="新宋体"/>
                <w:b w:val="0"/>
                <w:bCs w:val="0"/>
                <w:kern w:val="0"/>
                <w:sz w:val="24"/>
              </w:rPr>
            </w:pPr>
          </w:p>
        </w:tc>
        <w:tc>
          <w:tcPr>
            <w:tcW w:w="727" w:type="dxa"/>
            <w:vMerge w:val="continue"/>
            <w:tcBorders>
              <w:top w:val="nil"/>
              <w:left w:val="single" w:color="auto" w:sz="4" w:space="0"/>
              <w:bottom w:val="nil"/>
              <w:right w:val="single" w:color="auto" w:sz="4" w:space="0"/>
            </w:tcBorders>
            <w:vAlign w:val="center"/>
          </w:tcPr>
          <w:p w14:paraId="76CE8BF4">
            <w:pPr>
              <w:widowControl/>
              <w:jc w:val="left"/>
              <w:rPr>
                <w:rFonts w:hint="eastAsia" w:ascii="新宋体" w:hAnsi="新宋体" w:eastAsia="新宋体" w:cs="新宋体"/>
                <w:b w:val="0"/>
                <w:bCs w:val="0"/>
                <w:kern w:val="0"/>
                <w:sz w:val="24"/>
              </w:rPr>
            </w:pPr>
          </w:p>
        </w:tc>
        <w:tc>
          <w:tcPr>
            <w:tcW w:w="1152" w:type="dxa"/>
            <w:tcBorders>
              <w:top w:val="nil"/>
              <w:left w:val="nil"/>
              <w:bottom w:val="single" w:color="auto" w:sz="4" w:space="0"/>
              <w:right w:val="single" w:color="auto" w:sz="4" w:space="0"/>
            </w:tcBorders>
            <w:shd w:val="clear" w:color="auto" w:fill="auto"/>
            <w:vAlign w:val="center"/>
          </w:tcPr>
          <w:p w14:paraId="0F2389B6">
            <w:pPr>
              <w:widowControl/>
              <w:jc w:val="left"/>
              <w:rPr>
                <w:rFonts w:hint="eastAsia" w:ascii="新宋体" w:hAnsi="新宋体" w:eastAsia="新宋体" w:cs="新宋体"/>
                <w:b w:val="0"/>
                <w:bCs w:val="0"/>
                <w:color w:val="000000"/>
                <w:kern w:val="0"/>
                <w:sz w:val="18"/>
                <w:szCs w:val="18"/>
                <w:lang w:val="en-US" w:eastAsia="zh-CN"/>
              </w:rPr>
            </w:pPr>
            <w:r>
              <w:rPr>
                <w:rFonts w:hint="eastAsia" w:ascii="宋体" w:hAnsi="宋体" w:cs="宋体"/>
                <w:color w:val="000000"/>
                <w:kern w:val="0"/>
                <w:sz w:val="18"/>
                <w:szCs w:val="18"/>
                <w:highlight w:val="none"/>
                <w:lang w:val="en-US" w:eastAsia="zh-CN"/>
              </w:rPr>
              <w:t>教学质量</w:t>
            </w:r>
          </w:p>
        </w:tc>
        <w:tc>
          <w:tcPr>
            <w:tcW w:w="467" w:type="dxa"/>
            <w:vMerge w:val="continue"/>
            <w:tcBorders>
              <w:top w:val="nil"/>
              <w:left w:val="single" w:color="auto" w:sz="4" w:space="0"/>
              <w:bottom w:val="nil"/>
              <w:right w:val="single" w:color="auto" w:sz="4" w:space="0"/>
            </w:tcBorders>
            <w:vAlign w:val="center"/>
          </w:tcPr>
          <w:p w14:paraId="410BFB8C">
            <w:pPr>
              <w:widowControl/>
              <w:jc w:val="left"/>
              <w:rPr>
                <w:rFonts w:hint="eastAsia" w:ascii="新宋体" w:hAnsi="新宋体" w:eastAsia="新宋体" w:cs="新宋体"/>
                <w:b w:val="0"/>
                <w:bCs w:val="0"/>
                <w:kern w:val="0"/>
                <w:sz w:val="24"/>
              </w:rPr>
            </w:pPr>
          </w:p>
        </w:tc>
        <w:tc>
          <w:tcPr>
            <w:tcW w:w="1377" w:type="dxa"/>
            <w:vMerge w:val="continue"/>
            <w:tcBorders>
              <w:top w:val="nil"/>
              <w:left w:val="single" w:color="auto" w:sz="4" w:space="0"/>
              <w:bottom w:val="nil"/>
              <w:right w:val="single" w:color="auto" w:sz="4" w:space="0"/>
            </w:tcBorders>
            <w:vAlign w:val="center"/>
          </w:tcPr>
          <w:p w14:paraId="44105078">
            <w:pPr>
              <w:widowControl/>
              <w:jc w:val="left"/>
              <w:rPr>
                <w:rFonts w:hint="eastAsia" w:ascii="新宋体" w:hAnsi="新宋体" w:eastAsia="新宋体" w:cs="新宋体"/>
                <w:b w:val="0"/>
                <w:bCs w:val="0"/>
                <w:kern w:val="0"/>
                <w:sz w:val="24"/>
              </w:rPr>
            </w:pPr>
          </w:p>
        </w:tc>
        <w:tc>
          <w:tcPr>
            <w:tcW w:w="3133" w:type="dxa"/>
            <w:vMerge w:val="continue"/>
            <w:tcBorders>
              <w:top w:val="nil"/>
              <w:left w:val="single" w:color="auto" w:sz="4" w:space="0"/>
              <w:bottom w:val="nil"/>
              <w:right w:val="single" w:color="auto" w:sz="4" w:space="0"/>
            </w:tcBorders>
            <w:vAlign w:val="center"/>
          </w:tcPr>
          <w:p w14:paraId="6AA5F3AC">
            <w:pPr>
              <w:widowControl/>
              <w:jc w:val="left"/>
              <w:rPr>
                <w:rFonts w:hint="eastAsia" w:ascii="新宋体" w:hAnsi="新宋体" w:eastAsia="新宋体" w:cs="新宋体"/>
                <w:b w:val="0"/>
                <w:bCs w:val="0"/>
                <w:kern w:val="0"/>
                <w:sz w:val="24"/>
              </w:rPr>
            </w:pPr>
          </w:p>
        </w:tc>
        <w:tc>
          <w:tcPr>
            <w:tcW w:w="601" w:type="dxa"/>
            <w:vMerge w:val="continue"/>
            <w:tcBorders>
              <w:top w:val="nil"/>
              <w:left w:val="single" w:color="auto" w:sz="4" w:space="0"/>
              <w:bottom w:val="nil"/>
              <w:right w:val="single" w:color="auto" w:sz="4" w:space="0"/>
            </w:tcBorders>
            <w:vAlign w:val="center"/>
          </w:tcPr>
          <w:p w14:paraId="2E30029C">
            <w:pPr>
              <w:widowControl/>
              <w:jc w:val="left"/>
              <w:rPr>
                <w:rFonts w:hint="eastAsia" w:ascii="新宋体" w:hAnsi="新宋体" w:eastAsia="新宋体" w:cs="新宋体"/>
                <w:b w:val="0"/>
                <w:bCs w:val="0"/>
                <w:color w:val="000000"/>
                <w:kern w:val="0"/>
                <w:sz w:val="18"/>
                <w:szCs w:val="18"/>
              </w:rPr>
            </w:pPr>
          </w:p>
        </w:tc>
        <w:tc>
          <w:tcPr>
            <w:tcW w:w="551" w:type="dxa"/>
            <w:vMerge w:val="continue"/>
            <w:tcBorders>
              <w:top w:val="nil"/>
              <w:left w:val="single" w:color="auto" w:sz="4" w:space="0"/>
              <w:bottom w:val="nil"/>
              <w:right w:val="single" w:color="auto" w:sz="4" w:space="0"/>
            </w:tcBorders>
            <w:vAlign w:val="center"/>
          </w:tcPr>
          <w:p w14:paraId="548BC899">
            <w:pPr>
              <w:widowControl/>
              <w:jc w:val="left"/>
              <w:rPr>
                <w:rFonts w:hint="eastAsia" w:ascii="新宋体" w:hAnsi="新宋体" w:eastAsia="新宋体" w:cs="新宋体"/>
                <w:b w:val="0"/>
                <w:bCs w:val="0"/>
                <w:kern w:val="0"/>
                <w:sz w:val="24"/>
              </w:rPr>
            </w:pPr>
          </w:p>
        </w:tc>
      </w:tr>
      <w:tr w14:paraId="2DB50BCC">
        <w:tblPrEx>
          <w:tblCellMar>
            <w:top w:w="0" w:type="dxa"/>
            <w:left w:w="108" w:type="dxa"/>
            <w:bottom w:w="0" w:type="dxa"/>
            <w:right w:w="108" w:type="dxa"/>
          </w:tblCellMar>
        </w:tblPrEx>
        <w:trPr>
          <w:trHeight w:val="471" w:hRule="atLeast"/>
          <w:jc w:val="center"/>
        </w:trPr>
        <w:tc>
          <w:tcPr>
            <w:tcW w:w="715" w:type="dxa"/>
            <w:vMerge w:val="continue"/>
            <w:tcBorders>
              <w:top w:val="nil"/>
              <w:left w:val="single" w:color="auto" w:sz="4" w:space="0"/>
              <w:bottom w:val="single" w:color="000000" w:sz="4" w:space="0"/>
              <w:right w:val="single" w:color="auto" w:sz="4" w:space="0"/>
            </w:tcBorders>
            <w:vAlign w:val="center"/>
          </w:tcPr>
          <w:p w14:paraId="76E464F4">
            <w:pPr>
              <w:widowControl/>
              <w:jc w:val="left"/>
              <w:rPr>
                <w:rFonts w:hint="eastAsia" w:ascii="新宋体" w:hAnsi="新宋体" w:eastAsia="新宋体" w:cs="新宋体"/>
                <w:b w:val="0"/>
                <w:bCs w:val="0"/>
                <w:kern w:val="0"/>
                <w:sz w:val="24"/>
              </w:rPr>
            </w:pPr>
          </w:p>
        </w:tc>
        <w:tc>
          <w:tcPr>
            <w:tcW w:w="727" w:type="dxa"/>
            <w:vMerge w:val="continue"/>
            <w:tcBorders>
              <w:top w:val="nil"/>
              <w:left w:val="single" w:color="auto" w:sz="4" w:space="0"/>
              <w:bottom w:val="nil"/>
              <w:right w:val="single" w:color="auto" w:sz="4" w:space="0"/>
            </w:tcBorders>
            <w:vAlign w:val="center"/>
          </w:tcPr>
          <w:p w14:paraId="26E9DDE7">
            <w:pPr>
              <w:widowControl/>
              <w:jc w:val="left"/>
              <w:rPr>
                <w:rFonts w:hint="eastAsia" w:ascii="新宋体" w:hAnsi="新宋体" w:eastAsia="新宋体" w:cs="新宋体"/>
                <w:b w:val="0"/>
                <w:bCs w:val="0"/>
                <w:kern w:val="0"/>
                <w:sz w:val="24"/>
              </w:rPr>
            </w:pPr>
          </w:p>
        </w:tc>
        <w:tc>
          <w:tcPr>
            <w:tcW w:w="1152" w:type="dxa"/>
            <w:tcBorders>
              <w:top w:val="nil"/>
              <w:left w:val="nil"/>
              <w:bottom w:val="single" w:color="auto" w:sz="4" w:space="0"/>
              <w:right w:val="single" w:color="auto" w:sz="4" w:space="0"/>
            </w:tcBorders>
            <w:shd w:val="clear" w:color="auto" w:fill="auto"/>
            <w:vAlign w:val="center"/>
          </w:tcPr>
          <w:p w14:paraId="058C4D39">
            <w:pPr>
              <w:widowControl/>
              <w:jc w:val="left"/>
              <w:rPr>
                <w:rFonts w:hint="eastAsia" w:ascii="新宋体" w:hAnsi="新宋体" w:eastAsia="新宋体" w:cs="新宋体"/>
                <w:b w:val="0"/>
                <w:bCs w:val="0"/>
                <w:color w:val="000000"/>
                <w:kern w:val="0"/>
                <w:sz w:val="18"/>
                <w:szCs w:val="18"/>
                <w:lang w:val="en-US" w:eastAsia="zh-CN"/>
              </w:rPr>
            </w:pPr>
            <w:r>
              <w:rPr>
                <w:rFonts w:hint="eastAsia" w:ascii="宋体" w:hAnsi="宋体" w:cs="宋体"/>
                <w:color w:val="000000"/>
                <w:kern w:val="0"/>
                <w:sz w:val="18"/>
                <w:szCs w:val="18"/>
                <w:highlight w:val="none"/>
                <w:lang w:val="en-US" w:eastAsia="zh-CN"/>
              </w:rPr>
              <w:t>科学研究</w:t>
            </w:r>
          </w:p>
        </w:tc>
        <w:tc>
          <w:tcPr>
            <w:tcW w:w="467" w:type="dxa"/>
            <w:vMerge w:val="continue"/>
            <w:tcBorders>
              <w:top w:val="nil"/>
              <w:left w:val="single" w:color="auto" w:sz="4" w:space="0"/>
              <w:bottom w:val="nil"/>
              <w:right w:val="single" w:color="auto" w:sz="4" w:space="0"/>
            </w:tcBorders>
            <w:vAlign w:val="center"/>
          </w:tcPr>
          <w:p w14:paraId="73FB3155">
            <w:pPr>
              <w:widowControl/>
              <w:jc w:val="left"/>
              <w:rPr>
                <w:rFonts w:hint="eastAsia" w:ascii="新宋体" w:hAnsi="新宋体" w:eastAsia="新宋体" w:cs="新宋体"/>
                <w:b w:val="0"/>
                <w:bCs w:val="0"/>
                <w:kern w:val="0"/>
                <w:sz w:val="24"/>
              </w:rPr>
            </w:pPr>
          </w:p>
        </w:tc>
        <w:tc>
          <w:tcPr>
            <w:tcW w:w="1377" w:type="dxa"/>
            <w:vMerge w:val="continue"/>
            <w:tcBorders>
              <w:top w:val="nil"/>
              <w:left w:val="single" w:color="auto" w:sz="4" w:space="0"/>
              <w:bottom w:val="nil"/>
              <w:right w:val="single" w:color="auto" w:sz="4" w:space="0"/>
            </w:tcBorders>
            <w:vAlign w:val="center"/>
          </w:tcPr>
          <w:p w14:paraId="1D1B81D8">
            <w:pPr>
              <w:widowControl/>
              <w:jc w:val="left"/>
              <w:rPr>
                <w:rFonts w:hint="eastAsia" w:ascii="新宋体" w:hAnsi="新宋体" w:eastAsia="新宋体" w:cs="新宋体"/>
                <w:b w:val="0"/>
                <w:bCs w:val="0"/>
                <w:kern w:val="0"/>
                <w:sz w:val="24"/>
              </w:rPr>
            </w:pPr>
          </w:p>
        </w:tc>
        <w:tc>
          <w:tcPr>
            <w:tcW w:w="3133" w:type="dxa"/>
            <w:vMerge w:val="continue"/>
            <w:tcBorders>
              <w:top w:val="nil"/>
              <w:left w:val="single" w:color="auto" w:sz="4" w:space="0"/>
              <w:bottom w:val="nil"/>
              <w:right w:val="single" w:color="auto" w:sz="4" w:space="0"/>
            </w:tcBorders>
            <w:vAlign w:val="center"/>
          </w:tcPr>
          <w:p w14:paraId="6D4676E9">
            <w:pPr>
              <w:widowControl/>
              <w:jc w:val="left"/>
              <w:rPr>
                <w:rFonts w:hint="eastAsia" w:ascii="新宋体" w:hAnsi="新宋体" w:eastAsia="新宋体" w:cs="新宋体"/>
                <w:b w:val="0"/>
                <w:bCs w:val="0"/>
                <w:kern w:val="0"/>
                <w:sz w:val="24"/>
              </w:rPr>
            </w:pPr>
          </w:p>
        </w:tc>
        <w:tc>
          <w:tcPr>
            <w:tcW w:w="601" w:type="dxa"/>
            <w:vMerge w:val="continue"/>
            <w:tcBorders>
              <w:top w:val="nil"/>
              <w:left w:val="single" w:color="auto" w:sz="4" w:space="0"/>
              <w:bottom w:val="nil"/>
              <w:right w:val="single" w:color="auto" w:sz="4" w:space="0"/>
            </w:tcBorders>
            <w:vAlign w:val="center"/>
          </w:tcPr>
          <w:p w14:paraId="2B7D828D">
            <w:pPr>
              <w:widowControl/>
              <w:jc w:val="left"/>
              <w:rPr>
                <w:rFonts w:hint="eastAsia" w:ascii="新宋体" w:hAnsi="新宋体" w:eastAsia="新宋体" w:cs="新宋体"/>
                <w:b w:val="0"/>
                <w:bCs w:val="0"/>
                <w:color w:val="000000"/>
                <w:kern w:val="0"/>
                <w:sz w:val="18"/>
                <w:szCs w:val="18"/>
              </w:rPr>
            </w:pPr>
          </w:p>
        </w:tc>
        <w:tc>
          <w:tcPr>
            <w:tcW w:w="551" w:type="dxa"/>
            <w:vMerge w:val="continue"/>
            <w:tcBorders>
              <w:top w:val="nil"/>
              <w:left w:val="single" w:color="auto" w:sz="4" w:space="0"/>
              <w:bottom w:val="nil"/>
              <w:right w:val="single" w:color="auto" w:sz="4" w:space="0"/>
            </w:tcBorders>
            <w:vAlign w:val="center"/>
          </w:tcPr>
          <w:p w14:paraId="06F00FFF">
            <w:pPr>
              <w:widowControl/>
              <w:jc w:val="left"/>
              <w:rPr>
                <w:rFonts w:hint="eastAsia" w:ascii="新宋体" w:hAnsi="新宋体" w:eastAsia="新宋体" w:cs="新宋体"/>
                <w:b w:val="0"/>
                <w:bCs w:val="0"/>
                <w:kern w:val="0"/>
                <w:sz w:val="24"/>
              </w:rPr>
            </w:pPr>
          </w:p>
        </w:tc>
      </w:tr>
      <w:tr w14:paraId="18B8D3BE">
        <w:tblPrEx>
          <w:tblCellMar>
            <w:top w:w="0" w:type="dxa"/>
            <w:left w:w="108" w:type="dxa"/>
            <w:bottom w:w="0" w:type="dxa"/>
            <w:right w:w="108" w:type="dxa"/>
          </w:tblCellMar>
        </w:tblPrEx>
        <w:trPr>
          <w:trHeight w:val="807" w:hRule="atLeast"/>
          <w:jc w:val="center"/>
        </w:trPr>
        <w:tc>
          <w:tcPr>
            <w:tcW w:w="715" w:type="dxa"/>
            <w:vMerge w:val="continue"/>
            <w:tcBorders>
              <w:top w:val="nil"/>
              <w:left w:val="single" w:color="auto" w:sz="4" w:space="0"/>
              <w:bottom w:val="single" w:color="000000" w:sz="4" w:space="0"/>
              <w:right w:val="single" w:color="auto" w:sz="4" w:space="0"/>
            </w:tcBorders>
            <w:vAlign w:val="center"/>
          </w:tcPr>
          <w:p w14:paraId="539D395C">
            <w:pPr>
              <w:widowControl/>
              <w:jc w:val="left"/>
              <w:rPr>
                <w:rFonts w:hint="eastAsia" w:ascii="新宋体" w:hAnsi="新宋体" w:eastAsia="新宋体" w:cs="新宋体"/>
                <w:b w:val="0"/>
                <w:bCs w:val="0"/>
                <w:kern w:val="0"/>
                <w:sz w:val="24"/>
              </w:rPr>
            </w:pPr>
          </w:p>
        </w:tc>
        <w:tc>
          <w:tcPr>
            <w:tcW w:w="7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E7BDE5">
            <w:pPr>
              <w:widowControl/>
              <w:jc w:val="left"/>
              <w:rPr>
                <w:rFonts w:hint="eastAsia" w:ascii="新宋体" w:hAnsi="新宋体" w:eastAsia="新宋体" w:cs="新宋体"/>
                <w:b w:val="0"/>
                <w:bCs w:val="0"/>
                <w:kern w:val="0"/>
                <w:sz w:val="24"/>
              </w:rPr>
            </w:pPr>
          </w:p>
        </w:tc>
        <w:tc>
          <w:tcPr>
            <w:tcW w:w="1152" w:type="dxa"/>
            <w:tcBorders>
              <w:top w:val="nil"/>
              <w:left w:val="nil"/>
              <w:bottom w:val="single" w:color="auto" w:sz="4" w:space="0"/>
              <w:right w:val="single" w:color="auto" w:sz="4" w:space="0"/>
            </w:tcBorders>
            <w:shd w:val="clear" w:color="auto" w:fill="auto"/>
            <w:vAlign w:val="center"/>
          </w:tcPr>
          <w:p w14:paraId="5BB45D9F">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社会服务</w:t>
            </w:r>
          </w:p>
        </w:tc>
        <w:tc>
          <w:tcPr>
            <w:tcW w:w="467" w:type="dxa"/>
            <w:vMerge w:val="continue"/>
            <w:tcBorders>
              <w:top w:val="single" w:color="auto" w:sz="4" w:space="0"/>
              <w:left w:val="nil"/>
              <w:bottom w:val="single" w:color="auto" w:sz="4" w:space="0"/>
              <w:right w:val="single" w:color="auto" w:sz="4" w:space="0"/>
            </w:tcBorders>
            <w:shd w:val="clear" w:color="auto" w:fill="auto"/>
            <w:vAlign w:val="center"/>
          </w:tcPr>
          <w:p w14:paraId="0EC6D097">
            <w:pPr>
              <w:widowControl/>
              <w:jc w:val="left"/>
              <w:rPr>
                <w:rFonts w:hint="eastAsia" w:ascii="新宋体" w:hAnsi="新宋体" w:eastAsia="新宋体" w:cs="新宋体"/>
                <w:b w:val="0"/>
                <w:bCs w:val="0"/>
                <w:color w:val="000000"/>
                <w:kern w:val="0"/>
                <w:sz w:val="18"/>
                <w:szCs w:val="18"/>
              </w:rPr>
            </w:pPr>
          </w:p>
        </w:tc>
        <w:tc>
          <w:tcPr>
            <w:tcW w:w="1377" w:type="dxa"/>
            <w:vMerge w:val="continue"/>
            <w:tcBorders>
              <w:top w:val="single" w:color="auto" w:sz="4" w:space="0"/>
              <w:left w:val="nil"/>
              <w:bottom w:val="single" w:color="auto" w:sz="4" w:space="0"/>
              <w:right w:val="single" w:color="auto" w:sz="4" w:space="0"/>
            </w:tcBorders>
            <w:shd w:val="clear" w:color="auto" w:fill="auto"/>
            <w:vAlign w:val="center"/>
          </w:tcPr>
          <w:p w14:paraId="2B464182">
            <w:pPr>
              <w:widowControl/>
              <w:jc w:val="left"/>
              <w:rPr>
                <w:rFonts w:hint="eastAsia" w:ascii="新宋体" w:hAnsi="新宋体" w:eastAsia="新宋体" w:cs="新宋体"/>
                <w:b w:val="0"/>
                <w:bCs w:val="0"/>
                <w:color w:val="000000"/>
                <w:kern w:val="0"/>
                <w:sz w:val="18"/>
                <w:szCs w:val="18"/>
              </w:rPr>
            </w:pPr>
          </w:p>
        </w:tc>
        <w:tc>
          <w:tcPr>
            <w:tcW w:w="3133" w:type="dxa"/>
            <w:vMerge w:val="continue"/>
            <w:tcBorders>
              <w:top w:val="single" w:color="auto" w:sz="4" w:space="0"/>
              <w:left w:val="nil"/>
              <w:bottom w:val="single" w:color="auto" w:sz="4" w:space="0"/>
              <w:right w:val="single" w:color="auto" w:sz="4" w:space="0"/>
            </w:tcBorders>
            <w:shd w:val="clear" w:color="auto" w:fill="auto"/>
            <w:vAlign w:val="center"/>
          </w:tcPr>
          <w:p w14:paraId="0ED1BB39">
            <w:pPr>
              <w:widowControl/>
              <w:jc w:val="left"/>
              <w:rPr>
                <w:rFonts w:hint="eastAsia" w:ascii="新宋体" w:hAnsi="新宋体" w:eastAsia="新宋体" w:cs="新宋体"/>
                <w:b w:val="0"/>
                <w:bCs w:val="0"/>
                <w:color w:val="000000"/>
                <w:kern w:val="0"/>
                <w:sz w:val="18"/>
                <w:szCs w:val="18"/>
              </w:rPr>
            </w:pPr>
          </w:p>
        </w:tc>
        <w:tc>
          <w:tcPr>
            <w:tcW w:w="601" w:type="dxa"/>
            <w:vMerge w:val="continue"/>
            <w:tcBorders>
              <w:top w:val="single" w:color="auto" w:sz="4" w:space="0"/>
              <w:left w:val="nil"/>
              <w:bottom w:val="single" w:color="auto" w:sz="4" w:space="0"/>
              <w:right w:val="single" w:color="auto" w:sz="4" w:space="0"/>
            </w:tcBorders>
            <w:shd w:val="clear" w:color="auto" w:fill="auto"/>
            <w:vAlign w:val="center"/>
          </w:tcPr>
          <w:p w14:paraId="3E18E2A0">
            <w:pPr>
              <w:widowControl/>
              <w:jc w:val="left"/>
              <w:rPr>
                <w:rFonts w:hint="eastAsia" w:ascii="新宋体" w:hAnsi="新宋体" w:eastAsia="新宋体" w:cs="新宋体"/>
                <w:b w:val="0"/>
                <w:bCs w:val="0"/>
                <w:color w:val="000000"/>
                <w:kern w:val="0"/>
                <w:sz w:val="18"/>
                <w:szCs w:val="18"/>
              </w:rPr>
            </w:pPr>
          </w:p>
        </w:tc>
        <w:tc>
          <w:tcPr>
            <w:tcW w:w="5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ABC44">
            <w:pPr>
              <w:widowControl/>
              <w:jc w:val="left"/>
              <w:rPr>
                <w:rFonts w:hint="eastAsia" w:ascii="新宋体" w:hAnsi="新宋体" w:eastAsia="新宋体" w:cs="新宋体"/>
                <w:b w:val="0"/>
                <w:bCs w:val="0"/>
                <w:kern w:val="0"/>
                <w:sz w:val="24"/>
              </w:rPr>
            </w:pPr>
          </w:p>
        </w:tc>
      </w:tr>
      <w:tr w14:paraId="4AB53C12">
        <w:tblPrEx>
          <w:tblCellMar>
            <w:top w:w="0" w:type="dxa"/>
            <w:left w:w="108" w:type="dxa"/>
            <w:bottom w:w="0" w:type="dxa"/>
            <w:right w:w="108" w:type="dxa"/>
          </w:tblCellMar>
        </w:tblPrEx>
        <w:trPr>
          <w:trHeight w:val="1418" w:hRule="atLeast"/>
          <w:jc w:val="center"/>
        </w:trPr>
        <w:tc>
          <w:tcPr>
            <w:tcW w:w="715" w:type="dxa"/>
            <w:vMerge w:val="continue"/>
            <w:tcBorders>
              <w:top w:val="nil"/>
              <w:left w:val="single" w:color="auto" w:sz="4" w:space="0"/>
              <w:bottom w:val="single" w:color="000000" w:sz="4" w:space="0"/>
              <w:right w:val="single" w:color="auto" w:sz="4" w:space="0"/>
            </w:tcBorders>
            <w:vAlign w:val="center"/>
          </w:tcPr>
          <w:p w14:paraId="30CF8232">
            <w:pPr>
              <w:widowControl/>
              <w:jc w:val="left"/>
              <w:rPr>
                <w:rFonts w:hint="eastAsia" w:ascii="新宋体" w:hAnsi="新宋体" w:eastAsia="新宋体" w:cs="新宋体"/>
                <w:b w:val="0"/>
                <w:bCs w:val="0"/>
                <w:kern w:val="0"/>
                <w:sz w:val="24"/>
              </w:rPr>
            </w:pPr>
          </w:p>
        </w:tc>
        <w:tc>
          <w:tcPr>
            <w:tcW w:w="727" w:type="dxa"/>
            <w:vMerge w:val="continue"/>
            <w:tcBorders>
              <w:top w:val="single" w:color="auto" w:sz="4" w:space="0"/>
              <w:left w:val="single" w:color="auto" w:sz="4" w:space="0"/>
              <w:bottom w:val="single" w:color="auto" w:sz="4" w:space="0"/>
              <w:right w:val="single" w:color="auto" w:sz="4" w:space="0"/>
            </w:tcBorders>
            <w:vAlign w:val="center"/>
          </w:tcPr>
          <w:p w14:paraId="73498752">
            <w:pPr>
              <w:widowControl/>
              <w:jc w:val="left"/>
              <w:rPr>
                <w:rFonts w:hint="eastAsia" w:ascii="新宋体" w:hAnsi="新宋体" w:eastAsia="新宋体" w:cs="新宋体"/>
                <w:b w:val="0"/>
                <w:bCs w:val="0"/>
                <w:kern w:val="0"/>
                <w:sz w:val="24"/>
              </w:rPr>
            </w:pPr>
          </w:p>
        </w:tc>
        <w:tc>
          <w:tcPr>
            <w:tcW w:w="1152" w:type="dxa"/>
            <w:tcBorders>
              <w:top w:val="nil"/>
              <w:left w:val="nil"/>
              <w:bottom w:val="single" w:color="auto" w:sz="4" w:space="0"/>
              <w:right w:val="single" w:color="auto" w:sz="4" w:space="0"/>
            </w:tcBorders>
            <w:shd w:val="clear" w:color="auto" w:fill="auto"/>
            <w:vAlign w:val="center"/>
          </w:tcPr>
          <w:p w14:paraId="738ADBC1">
            <w:pPr>
              <w:widowControl/>
              <w:jc w:val="left"/>
              <w:rPr>
                <w:rFonts w:hint="eastAsia" w:ascii="新宋体" w:hAnsi="新宋体" w:eastAsia="新宋体" w:cs="新宋体"/>
                <w:b w:val="0"/>
                <w:bCs w:val="0"/>
                <w:color w:val="000000"/>
                <w:kern w:val="0"/>
                <w:sz w:val="18"/>
                <w:szCs w:val="18"/>
              </w:rPr>
            </w:pPr>
          </w:p>
        </w:tc>
        <w:tc>
          <w:tcPr>
            <w:tcW w:w="467" w:type="dxa"/>
            <w:vMerge w:val="continue"/>
            <w:tcBorders>
              <w:top w:val="nil"/>
              <w:left w:val="nil"/>
              <w:bottom w:val="single" w:color="auto" w:sz="4" w:space="0"/>
              <w:right w:val="single" w:color="auto" w:sz="4" w:space="0"/>
            </w:tcBorders>
            <w:shd w:val="clear" w:color="auto" w:fill="auto"/>
            <w:vAlign w:val="center"/>
          </w:tcPr>
          <w:p w14:paraId="6C8ECA8A">
            <w:pPr>
              <w:widowControl/>
              <w:jc w:val="left"/>
              <w:rPr>
                <w:rFonts w:hint="eastAsia" w:ascii="新宋体" w:hAnsi="新宋体" w:eastAsia="新宋体" w:cs="新宋体"/>
                <w:b w:val="0"/>
                <w:bCs w:val="0"/>
                <w:color w:val="000000"/>
                <w:kern w:val="0"/>
                <w:sz w:val="18"/>
                <w:szCs w:val="18"/>
              </w:rPr>
            </w:pPr>
          </w:p>
        </w:tc>
        <w:tc>
          <w:tcPr>
            <w:tcW w:w="1377" w:type="dxa"/>
            <w:vMerge w:val="continue"/>
            <w:tcBorders>
              <w:top w:val="nil"/>
              <w:left w:val="nil"/>
              <w:bottom w:val="single" w:color="auto" w:sz="4" w:space="0"/>
              <w:right w:val="single" w:color="auto" w:sz="4" w:space="0"/>
            </w:tcBorders>
            <w:shd w:val="clear" w:color="auto" w:fill="auto"/>
            <w:vAlign w:val="center"/>
          </w:tcPr>
          <w:p w14:paraId="38AF44A1">
            <w:pPr>
              <w:widowControl/>
              <w:jc w:val="left"/>
              <w:rPr>
                <w:rFonts w:hint="eastAsia" w:ascii="新宋体" w:hAnsi="新宋体" w:eastAsia="新宋体" w:cs="新宋体"/>
                <w:b w:val="0"/>
                <w:bCs w:val="0"/>
                <w:color w:val="000000"/>
                <w:kern w:val="0"/>
                <w:sz w:val="18"/>
                <w:szCs w:val="18"/>
              </w:rPr>
            </w:pPr>
          </w:p>
        </w:tc>
        <w:tc>
          <w:tcPr>
            <w:tcW w:w="3133" w:type="dxa"/>
            <w:vMerge w:val="continue"/>
            <w:tcBorders>
              <w:top w:val="nil"/>
              <w:left w:val="nil"/>
              <w:bottom w:val="single" w:color="auto" w:sz="4" w:space="0"/>
              <w:right w:val="single" w:color="auto" w:sz="4" w:space="0"/>
            </w:tcBorders>
            <w:shd w:val="clear" w:color="auto" w:fill="auto"/>
            <w:vAlign w:val="center"/>
          </w:tcPr>
          <w:p w14:paraId="3EC1EA65">
            <w:pPr>
              <w:widowControl/>
              <w:jc w:val="left"/>
              <w:rPr>
                <w:rFonts w:hint="eastAsia" w:ascii="新宋体" w:hAnsi="新宋体" w:eastAsia="新宋体" w:cs="新宋体"/>
                <w:b w:val="0"/>
                <w:bCs w:val="0"/>
                <w:color w:val="000000"/>
                <w:kern w:val="0"/>
                <w:sz w:val="18"/>
                <w:szCs w:val="18"/>
              </w:rPr>
            </w:pPr>
          </w:p>
        </w:tc>
        <w:tc>
          <w:tcPr>
            <w:tcW w:w="601" w:type="dxa"/>
            <w:vMerge w:val="continue"/>
            <w:tcBorders>
              <w:top w:val="nil"/>
              <w:left w:val="nil"/>
              <w:bottom w:val="single" w:color="auto" w:sz="4" w:space="0"/>
              <w:right w:val="single" w:color="auto" w:sz="4" w:space="0"/>
            </w:tcBorders>
            <w:shd w:val="clear" w:color="auto" w:fill="auto"/>
            <w:vAlign w:val="center"/>
          </w:tcPr>
          <w:p w14:paraId="4D26362F">
            <w:pPr>
              <w:widowControl/>
              <w:jc w:val="left"/>
              <w:rPr>
                <w:rFonts w:hint="eastAsia" w:ascii="新宋体" w:hAnsi="新宋体" w:eastAsia="新宋体" w:cs="新宋体"/>
                <w:b w:val="0"/>
                <w:bCs w:val="0"/>
                <w:color w:val="000000"/>
                <w:kern w:val="0"/>
                <w:sz w:val="18"/>
                <w:szCs w:val="18"/>
              </w:rPr>
            </w:pPr>
          </w:p>
        </w:tc>
        <w:tc>
          <w:tcPr>
            <w:tcW w:w="551" w:type="dxa"/>
            <w:vMerge w:val="continue"/>
            <w:tcBorders>
              <w:top w:val="single" w:color="auto" w:sz="4" w:space="0"/>
              <w:left w:val="single" w:color="auto" w:sz="4" w:space="0"/>
              <w:bottom w:val="single" w:color="auto" w:sz="4" w:space="0"/>
              <w:right w:val="single" w:color="auto" w:sz="4" w:space="0"/>
            </w:tcBorders>
            <w:vAlign w:val="center"/>
          </w:tcPr>
          <w:p w14:paraId="67461510">
            <w:pPr>
              <w:widowControl/>
              <w:jc w:val="left"/>
              <w:rPr>
                <w:rFonts w:hint="eastAsia" w:ascii="新宋体" w:hAnsi="新宋体" w:eastAsia="新宋体" w:cs="新宋体"/>
                <w:b w:val="0"/>
                <w:bCs w:val="0"/>
                <w:kern w:val="0"/>
                <w:sz w:val="24"/>
              </w:rPr>
            </w:pPr>
          </w:p>
        </w:tc>
      </w:tr>
      <w:tr w14:paraId="6BD495D8">
        <w:tblPrEx>
          <w:tblCellMar>
            <w:top w:w="0" w:type="dxa"/>
            <w:left w:w="108" w:type="dxa"/>
            <w:bottom w:w="0" w:type="dxa"/>
            <w:right w:w="108" w:type="dxa"/>
          </w:tblCellMar>
        </w:tblPrEx>
        <w:trPr>
          <w:trHeight w:val="958" w:hRule="atLeast"/>
          <w:jc w:val="center"/>
        </w:trPr>
        <w:tc>
          <w:tcPr>
            <w:tcW w:w="715" w:type="dxa"/>
            <w:vMerge w:val="continue"/>
            <w:tcBorders>
              <w:top w:val="nil"/>
              <w:left w:val="single" w:color="auto" w:sz="4" w:space="0"/>
              <w:bottom w:val="single" w:color="000000" w:sz="4" w:space="0"/>
              <w:right w:val="single" w:color="auto" w:sz="4" w:space="0"/>
            </w:tcBorders>
            <w:vAlign w:val="center"/>
          </w:tcPr>
          <w:p w14:paraId="576068CB">
            <w:pPr>
              <w:widowControl/>
              <w:jc w:val="left"/>
              <w:rPr>
                <w:rFonts w:hint="eastAsia" w:ascii="新宋体" w:hAnsi="新宋体" w:eastAsia="新宋体" w:cs="新宋体"/>
                <w:b w:val="0"/>
                <w:bCs w:val="0"/>
                <w:kern w:val="0"/>
                <w:sz w:val="24"/>
              </w:rPr>
            </w:pPr>
          </w:p>
        </w:tc>
        <w:tc>
          <w:tcPr>
            <w:tcW w:w="727" w:type="dxa"/>
            <w:vMerge w:val="restart"/>
            <w:tcBorders>
              <w:top w:val="single" w:color="auto" w:sz="4" w:space="0"/>
              <w:left w:val="single" w:color="auto" w:sz="4" w:space="0"/>
              <w:bottom w:val="single" w:color="auto" w:sz="4" w:space="0"/>
              <w:right w:val="single" w:color="auto" w:sz="4" w:space="0"/>
            </w:tcBorders>
            <w:vAlign w:val="center"/>
          </w:tcPr>
          <w:p w14:paraId="2639A694">
            <w:pPr>
              <w:widowControl/>
              <w:jc w:val="center"/>
              <w:rPr>
                <w:rFonts w:hint="eastAsia" w:ascii="新宋体" w:hAnsi="新宋体" w:eastAsia="新宋体" w:cs="新宋体"/>
                <w:b w:val="0"/>
                <w:bCs w:val="0"/>
                <w:kern w:val="0"/>
                <w:sz w:val="24"/>
              </w:rPr>
            </w:pPr>
            <w:r>
              <w:rPr>
                <w:rFonts w:hint="eastAsia" w:ascii="宋体" w:hAnsi="宋体" w:cs="宋体"/>
                <w:b/>
                <w:bCs/>
                <w:kern w:val="0"/>
                <w:sz w:val="24"/>
                <w:highlight w:val="none"/>
              </w:rPr>
              <w:t>预算管理</w:t>
            </w:r>
            <w:r>
              <w:rPr>
                <w:rFonts w:hint="eastAsia" w:ascii="宋体" w:hAnsi="宋体" w:cs="宋体"/>
                <w:b/>
                <w:bCs/>
                <w:kern w:val="0"/>
                <w:sz w:val="24"/>
                <w:highlight w:val="none"/>
              </w:rPr>
              <w:br w:type="textWrapping"/>
            </w:r>
            <w:r>
              <w:rPr>
                <w:rFonts w:hint="eastAsia" w:ascii="宋体" w:hAnsi="宋体" w:cs="宋体"/>
                <w:b/>
                <w:bCs/>
                <w:kern w:val="0"/>
                <w:sz w:val="24"/>
                <w:highlight w:val="none"/>
              </w:rPr>
              <w:t>（21分）</w:t>
            </w:r>
          </w:p>
        </w:tc>
        <w:tc>
          <w:tcPr>
            <w:tcW w:w="1152" w:type="dxa"/>
            <w:tcBorders>
              <w:top w:val="nil"/>
              <w:left w:val="nil"/>
              <w:bottom w:val="single" w:color="auto" w:sz="4" w:space="0"/>
              <w:right w:val="single" w:color="auto" w:sz="4" w:space="0"/>
            </w:tcBorders>
            <w:shd w:val="clear" w:color="auto" w:fill="auto"/>
            <w:vAlign w:val="center"/>
          </w:tcPr>
          <w:p w14:paraId="5D234BF0">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预算编制质量</w:t>
            </w:r>
          </w:p>
        </w:tc>
        <w:tc>
          <w:tcPr>
            <w:tcW w:w="467" w:type="dxa"/>
            <w:tcBorders>
              <w:top w:val="nil"/>
              <w:left w:val="nil"/>
              <w:bottom w:val="single" w:color="auto" w:sz="4" w:space="0"/>
              <w:right w:val="single" w:color="auto" w:sz="4" w:space="0"/>
            </w:tcBorders>
            <w:shd w:val="clear" w:color="auto" w:fill="auto"/>
            <w:vAlign w:val="center"/>
          </w:tcPr>
          <w:p w14:paraId="60FF4346">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8</w:t>
            </w:r>
          </w:p>
        </w:tc>
        <w:tc>
          <w:tcPr>
            <w:tcW w:w="1377" w:type="dxa"/>
            <w:tcBorders>
              <w:top w:val="nil"/>
              <w:left w:val="nil"/>
              <w:bottom w:val="single" w:color="auto" w:sz="4" w:space="0"/>
              <w:right w:val="single" w:color="auto" w:sz="4" w:space="0"/>
            </w:tcBorders>
            <w:shd w:val="clear" w:color="auto" w:fill="auto"/>
            <w:vAlign w:val="center"/>
          </w:tcPr>
          <w:p w14:paraId="43D19BF3">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证明预算编制科学、精准。</w:t>
            </w:r>
          </w:p>
        </w:tc>
        <w:tc>
          <w:tcPr>
            <w:tcW w:w="3133" w:type="dxa"/>
            <w:tcBorders>
              <w:top w:val="nil"/>
              <w:left w:val="nil"/>
              <w:bottom w:val="single" w:color="auto" w:sz="4" w:space="0"/>
              <w:right w:val="single" w:color="auto" w:sz="4" w:space="0"/>
            </w:tcBorders>
            <w:shd w:val="clear" w:color="auto" w:fill="auto"/>
            <w:vAlign w:val="center"/>
          </w:tcPr>
          <w:p w14:paraId="1136D8E3">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预算编制充分征求各部门意见，经过两上两下程序，预算项目均经过事前绩效评估，与学校年度工作计划紧密相连。</w:t>
            </w:r>
          </w:p>
        </w:tc>
        <w:tc>
          <w:tcPr>
            <w:tcW w:w="601" w:type="dxa"/>
            <w:tcBorders>
              <w:top w:val="nil"/>
              <w:left w:val="nil"/>
              <w:bottom w:val="single" w:color="auto" w:sz="4" w:space="0"/>
              <w:right w:val="single" w:color="auto" w:sz="4" w:space="0"/>
            </w:tcBorders>
            <w:shd w:val="clear" w:color="auto" w:fill="auto"/>
            <w:vAlign w:val="center"/>
          </w:tcPr>
          <w:p w14:paraId="263BB919">
            <w:pPr>
              <w:widowControl/>
              <w:jc w:val="left"/>
              <w:rPr>
                <w:rFonts w:hint="eastAsia" w:ascii="新宋体" w:hAnsi="新宋体" w:eastAsia="新宋体" w:cs="新宋体"/>
                <w:b w:val="0"/>
                <w:bCs w:val="0"/>
                <w:color w:val="000000"/>
                <w:kern w:val="0"/>
                <w:sz w:val="18"/>
                <w:szCs w:val="18"/>
                <w:lang w:val="en-US" w:eastAsia="zh-CN"/>
              </w:rPr>
            </w:pPr>
            <w:r>
              <w:rPr>
                <w:rFonts w:hint="eastAsia" w:ascii="宋体" w:hAnsi="宋体" w:cs="宋体"/>
                <w:color w:val="000000"/>
                <w:kern w:val="0"/>
                <w:sz w:val="18"/>
                <w:szCs w:val="18"/>
                <w:highlight w:val="none"/>
              </w:rPr>
              <w:t>8</w:t>
            </w:r>
          </w:p>
        </w:tc>
        <w:tc>
          <w:tcPr>
            <w:tcW w:w="551" w:type="dxa"/>
            <w:vMerge w:val="restart"/>
            <w:tcBorders>
              <w:top w:val="single" w:color="auto" w:sz="4" w:space="0"/>
              <w:left w:val="single" w:color="auto" w:sz="4" w:space="0"/>
              <w:bottom w:val="single" w:color="auto" w:sz="4" w:space="0"/>
              <w:right w:val="single" w:color="auto" w:sz="4" w:space="0"/>
            </w:tcBorders>
            <w:vAlign w:val="center"/>
          </w:tcPr>
          <w:p w14:paraId="5AEC2BBE">
            <w:pPr>
              <w:widowControl/>
              <w:jc w:val="center"/>
              <w:rPr>
                <w:rFonts w:hint="eastAsia" w:ascii="新宋体" w:hAnsi="新宋体" w:eastAsia="新宋体" w:cs="新宋体"/>
                <w:b w:val="0"/>
                <w:bCs w:val="0"/>
                <w:kern w:val="0"/>
                <w:sz w:val="24"/>
              </w:rPr>
            </w:pPr>
            <w:r>
              <w:rPr>
                <w:rFonts w:hint="eastAsia" w:ascii="宋体" w:hAnsi="宋体" w:cs="宋体"/>
                <w:kern w:val="0"/>
                <w:sz w:val="24"/>
                <w:highlight w:val="none"/>
              </w:rPr>
              <w:t>　</w:t>
            </w:r>
          </w:p>
        </w:tc>
      </w:tr>
      <w:tr w14:paraId="2F0FF0A0">
        <w:tblPrEx>
          <w:tblCellMar>
            <w:top w:w="0" w:type="dxa"/>
            <w:left w:w="108" w:type="dxa"/>
            <w:bottom w:w="0" w:type="dxa"/>
            <w:right w:w="108" w:type="dxa"/>
          </w:tblCellMar>
        </w:tblPrEx>
        <w:trPr>
          <w:trHeight w:val="1078" w:hRule="atLeast"/>
          <w:jc w:val="center"/>
        </w:trPr>
        <w:tc>
          <w:tcPr>
            <w:tcW w:w="715" w:type="dxa"/>
            <w:vMerge w:val="continue"/>
            <w:tcBorders>
              <w:top w:val="nil"/>
              <w:left w:val="single" w:color="auto" w:sz="4" w:space="0"/>
              <w:bottom w:val="single" w:color="000000" w:sz="4" w:space="0"/>
              <w:right w:val="single" w:color="auto" w:sz="4" w:space="0"/>
            </w:tcBorders>
            <w:vAlign w:val="center"/>
          </w:tcPr>
          <w:p w14:paraId="41F9018B">
            <w:pPr>
              <w:widowControl/>
              <w:jc w:val="left"/>
              <w:rPr>
                <w:rFonts w:hint="eastAsia" w:ascii="新宋体" w:hAnsi="新宋体" w:eastAsia="新宋体" w:cs="新宋体"/>
                <w:b w:val="0"/>
                <w:bCs w:val="0"/>
                <w:kern w:val="0"/>
                <w:sz w:val="24"/>
              </w:rPr>
            </w:pPr>
          </w:p>
        </w:tc>
        <w:tc>
          <w:tcPr>
            <w:tcW w:w="727" w:type="dxa"/>
            <w:vMerge w:val="continue"/>
            <w:tcBorders>
              <w:top w:val="single" w:color="auto" w:sz="4" w:space="0"/>
              <w:left w:val="single" w:color="auto" w:sz="4" w:space="0"/>
              <w:bottom w:val="single" w:color="auto" w:sz="4" w:space="0"/>
              <w:right w:val="single" w:color="auto" w:sz="4" w:space="0"/>
            </w:tcBorders>
            <w:vAlign w:val="center"/>
          </w:tcPr>
          <w:p w14:paraId="55B8E9CB">
            <w:pPr>
              <w:widowControl/>
              <w:jc w:val="left"/>
              <w:rPr>
                <w:rFonts w:hint="eastAsia" w:ascii="新宋体" w:hAnsi="新宋体" w:eastAsia="新宋体" w:cs="新宋体"/>
                <w:b w:val="0"/>
                <w:bCs w:val="0"/>
                <w:kern w:val="0"/>
                <w:sz w:val="24"/>
              </w:rPr>
            </w:pPr>
          </w:p>
        </w:tc>
        <w:tc>
          <w:tcPr>
            <w:tcW w:w="1152" w:type="dxa"/>
            <w:tcBorders>
              <w:top w:val="nil"/>
              <w:left w:val="nil"/>
              <w:bottom w:val="single" w:color="auto" w:sz="4" w:space="0"/>
              <w:right w:val="single" w:color="auto" w:sz="4" w:space="0"/>
            </w:tcBorders>
            <w:shd w:val="clear" w:color="auto" w:fill="auto"/>
            <w:vAlign w:val="center"/>
          </w:tcPr>
          <w:p w14:paraId="41C9A56C">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支出执行进度</w:t>
            </w:r>
          </w:p>
        </w:tc>
        <w:tc>
          <w:tcPr>
            <w:tcW w:w="467" w:type="dxa"/>
            <w:tcBorders>
              <w:top w:val="nil"/>
              <w:left w:val="nil"/>
              <w:bottom w:val="single" w:color="auto" w:sz="4" w:space="0"/>
              <w:right w:val="single" w:color="auto" w:sz="4" w:space="0"/>
            </w:tcBorders>
            <w:shd w:val="clear" w:color="auto" w:fill="auto"/>
            <w:vAlign w:val="center"/>
          </w:tcPr>
          <w:p w14:paraId="2D4B1832">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9</w:t>
            </w:r>
          </w:p>
        </w:tc>
        <w:tc>
          <w:tcPr>
            <w:tcW w:w="1377" w:type="dxa"/>
            <w:tcBorders>
              <w:top w:val="nil"/>
              <w:left w:val="nil"/>
              <w:bottom w:val="single" w:color="auto" w:sz="4" w:space="0"/>
              <w:right w:val="single" w:color="auto" w:sz="4" w:space="0"/>
            </w:tcBorders>
            <w:shd w:val="clear" w:color="auto" w:fill="auto"/>
            <w:vAlign w:val="center"/>
          </w:tcPr>
          <w:p w14:paraId="09737301">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预算执行的及时性</w:t>
            </w:r>
          </w:p>
        </w:tc>
        <w:tc>
          <w:tcPr>
            <w:tcW w:w="3133" w:type="dxa"/>
            <w:tcBorders>
              <w:top w:val="nil"/>
              <w:left w:val="nil"/>
              <w:bottom w:val="single" w:color="auto" w:sz="4" w:space="0"/>
              <w:right w:val="single" w:color="auto" w:sz="4" w:space="0"/>
            </w:tcBorders>
            <w:shd w:val="clear" w:color="auto" w:fill="auto"/>
            <w:vAlign w:val="center"/>
          </w:tcPr>
          <w:p w14:paraId="253D2E6F">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全年执行率</w:t>
            </w:r>
            <w:r>
              <w:rPr>
                <w:rFonts w:hint="eastAsia" w:ascii="宋体" w:hAnsi="宋体" w:cs="宋体"/>
                <w:color w:val="000000"/>
                <w:kern w:val="0"/>
                <w:sz w:val="18"/>
                <w:szCs w:val="18"/>
                <w:highlight w:val="none"/>
                <w:lang w:val="en-US" w:eastAsia="zh-CN"/>
              </w:rPr>
              <w:t>100</w:t>
            </w:r>
            <w:r>
              <w:rPr>
                <w:rFonts w:hint="eastAsia" w:ascii="宋体" w:hAnsi="宋体" w:cs="宋体"/>
                <w:color w:val="000000"/>
                <w:kern w:val="0"/>
                <w:sz w:val="18"/>
                <w:szCs w:val="18"/>
                <w:highlight w:val="none"/>
              </w:rPr>
              <w:t>%</w:t>
            </w:r>
          </w:p>
        </w:tc>
        <w:tc>
          <w:tcPr>
            <w:tcW w:w="601" w:type="dxa"/>
            <w:tcBorders>
              <w:top w:val="nil"/>
              <w:left w:val="nil"/>
              <w:bottom w:val="single" w:color="auto" w:sz="4" w:space="0"/>
              <w:right w:val="single" w:color="auto" w:sz="4" w:space="0"/>
            </w:tcBorders>
            <w:shd w:val="clear" w:color="auto" w:fill="auto"/>
            <w:vAlign w:val="center"/>
          </w:tcPr>
          <w:p w14:paraId="6DD46902">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9</w:t>
            </w:r>
          </w:p>
        </w:tc>
        <w:tc>
          <w:tcPr>
            <w:tcW w:w="551" w:type="dxa"/>
            <w:vMerge w:val="continue"/>
            <w:tcBorders>
              <w:top w:val="single" w:color="auto" w:sz="4" w:space="0"/>
              <w:left w:val="single" w:color="auto" w:sz="4" w:space="0"/>
              <w:bottom w:val="single" w:color="auto" w:sz="4" w:space="0"/>
              <w:right w:val="single" w:color="auto" w:sz="4" w:space="0"/>
            </w:tcBorders>
            <w:vAlign w:val="center"/>
          </w:tcPr>
          <w:p w14:paraId="33441D6B">
            <w:pPr>
              <w:widowControl/>
              <w:jc w:val="left"/>
              <w:rPr>
                <w:rFonts w:hint="eastAsia" w:ascii="新宋体" w:hAnsi="新宋体" w:eastAsia="新宋体" w:cs="新宋体"/>
                <w:b w:val="0"/>
                <w:bCs w:val="0"/>
                <w:kern w:val="0"/>
                <w:sz w:val="24"/>
              </w:rPr>
            </w:pPr>
          </w:p>
        </w:tc>
      </w:tr>
      <w:tr w14:paraId="1DCA002E">
        <w:tblPrEx>
          <w:tblCellMar>
            <w:top w:w="0" w:type="dxa"/>
            <w:left w:w="108" w:type="dxa"/>
            <w:bottom w:w="0" w:type="dxa"/>
            <w:right w:w="108" w:type="dxa"/>
          </w:tblCellMar>
        </w:tblPrEx>
        <w:trPr>
          <w:trHeight w:val="1931" w:hRule="atLeast"/>
          <w:jc w:val="center"/>
        </w:trPr>
        <w:tc>
          <w:tcPr>
            <w:tcW w:w="715" w:type="dxa"/>
            <w:vMerge w:val="continue"/>
            <w:tcBorders>
              <w:top w:val="nil"/>
              <w:left w:val="single" w:color="auto" w:sz="4" w:space="0"/>
              <w:bottom w:val="single" w:color="000000" w:sz="4" w:space="0"/>
              <w:right w:val="single" w:color="auto" w:sz="4" w:space="0"/>
            </w:tcBorders>
            <w:vAlign w:val="center"/>
          </w:tcPr>
          <w:p w14:paraId="0FE46CF5">
            <w:pPr>
              <w:widowControl/>
              <w:jc w:val="left"/>
              <w:rPr>
                <w:rFonts w:hint="eastAsia" w:ascii="新宋体" w:hAnsi="新宋体" w:eastAsia="新宋体" w:cs="新宋体"/>
                <w:b w:val="0"/>
                <w:bCs w:val="0"/>
                <w:kern w:val="0"/>
                <w:sz w:val="24"/>
              </w:rPr>
            </w:pPr>
          </w:p>
        </w:tc>
        <w:tc>
          <w:tcPr>
            <w:tcW w:w="727" w:type="dxa"/>
            <w:vMerge w:val="continue"/>
            <w:tcBorders>
              <w:top w:val="nil"/>
              <w:left w:val="single" w:color="auto" w:sz="4" w:space="0"/>
              <w:right w:val="single" w:color="auto" w:sz="4" w:space="0"/>
            </w:tcBorders>
            <w:shd w:val="clear" w:color="auto" w:fill="auto"/>
            <w:vAlign w:val="center"/>
          </w:tcPr>
          <w:p w14:paraId="3FAD9429">
            <w:pPr>
              <w:widowControl/>
              <w:jc w:val="left"/>
              <w:rPr>
                <w:rFonts w:hint="eastAsia" w:ascii="新宋体" w:hAnsi="新宋体" w:eastAsia="新宋体" w:cs="新宋体"/>
                <w:b w:val="0"/>
                <w:bCs w:val="0"/>
                <w:kern w:val="0"/>
                <w:sz w:val="24"/>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AB6B">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预算年终结余</w:t>
            </w:r>
          </w:p>
        </w:tc>
        <w:tc>
          <w:tcPr>
            <w:tcW w:w="467" w:type="dxa"/>
            <w:tcBorders>
              <w:top w:val="single" w:color="000000" w:sz="4" w:space="0"/>
              <w:left w:val="nil"/>
              <w:bottom w:val="single" w:color="000000" w:sz="4" w:space="0"/>
              <w:right w:val="single" w:color="000000" w:sz="4" w:space="0"/>
            </w:tcBorders>
            <w:shd w:val="clear" w:color="auto" w:fill="auto"/>
            <w:vAlign w:val="center"/>
          </w:tcPr>
          <w:p w14:paraId="06D1EEF4">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8</w:t>
            </w:r>
          </w:p>
        </w:tc>
        <w:tc>
          <w:tcPr>
            <w:tcW w:w="1377" w:type="dxa"/>
            <w:tcBorders>
              <w:top w:val="single" w:color="000000" w:sz="4" w:space="0"/>
              <w:left w:val="nil"/>
              <w:bottom w:val="single" w:color="000000" w:sz="4" w:space="0"/>
              <w:right w:val="single" w:color="000000" w:sz="4" w:space="0"/>
            </w:tcBorders>
            <w:shd w:val="clear" w:color="auto" w:fill="auto"/>
            <w:vAlign w:val="center"/>
          </w:tcPr>
          <w:p w14:paraId="74A7678A">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年终无结余</w:t>
            </w:r>
          </w:p>
        </w:tc>
        <w:tc>
          <w:tcPr>
            <w:tcW w:w="3133" w:type="dxa"/>
            <w:tcBorders>
              <w:top w:val="single" w:color="000000" w:sz="4" w:space="0"/>
              <w:left w:val="nil"/>
              <w:bottom w:val="single" w:color="000000" w:sz="4" w:space="0"/>
              <w:right w:val="single" w:color="000000" w:sz="4" w:space="0"/>
            </w:tcBorders>
            <w:shd w:val="clear" w:color="auto" w:fill="auto"/>
            <w:vAlign w:val="center"/>
          </w:tcPr>
          <w:p w14:paraId="0E315923">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年终无结余</w:t>
            </w:r>
          </w:p>
        </w:tc>
        <w:tc>
          <w:tcPr>
            <w:tcW w:w="601" w:type="dxa"/>
            <w:tcBorders>
              <w:top w:val="nil"/>
              <w:left w:val="single" w:color="auto" w:sz="4" w:space="0"/>
              <w:bottom w:val="single" w:color="auto" w:sz="4" w:space="0"/>
              <w:right w:val="single" w:color="auto" w:sz="4" w:space="0"/>
            </w:tcBorders>
            <w:shd w:val="clear" w:color="auto" w:fill="auto"/>
            <w:vAlign w:val="center"/>
          </w:tcPr>
          <w:p w14:paraId="7A24EFAF">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8</w:t>
            </w:r>
          </w:p>
        </w:tc>
        <w:tc>
          <w:tcPr>
            <w:tcW w:w="551" w:type="dxa"/>
            <w:vMerge w:val="continue"/>
            <w:tcBorders>
              <w:top w:val="nil"/>
              <w:left w:val="single" w:color="auto" w:sz="4" w:space="0"/>
              <w:bottom w:val="single" w:color="auto" w:sz="4" w:space="0"/>
              <w:right w:val="single" w:color="auto" w:sz="4" w:space="0"/>
            </w:tcBorders>
            <w:shd w:val="clear" w:color="auto" w:fill="auto"/>
            <w:vAlign w:val="center"/>
          </w:tcPr>
          <w:p w14:paraId="39CA213C">
            <w:pPr>
              <w:widowControl/>
              <w:jc w:val="left"/>
              <w:rPr>
                <w:rFonts w:hint="eastAsia" w:ascii="新宋体" w:hAnsi="新宋体" w:eastAsia="新宋体" w:cs="新宋体"/>
                <w:b w:val="0"/>
                <w:bCs w:val="0"/>
                <w:kern w:val="0"/>
                <w:sz w:val="24"/>
              </w:rPr>
            </w:pPr>
          </w:p>
        </w:tc>
      </w:tr>
      <w:tr w14:paraId="2FED11AB">
        <w:tblPrEx>
          <w:tblCellMar>
            <w:top w:w="0" w:type="dxa"/>
            <w:left w:w="108" w:type="dxa"/>
            <w:bottom w:w="0" w:type="dxa"/>
            <w:right w:w="108" w:type="dxa"/>
          </w:tblCellMar>
        </w:tblPrEx>
        <w:trPr>
          <w:trHeight w:val="807" w:hRule="atLeast"/>
          <w:jc w:val="center"/>
        </w:trPr>
        <w:tc>
          <w:tcPr>
            <w:tcW w:w="715" w:type="dxa"/>
            <w:vMerge w:val="continue"/>
            <w:tcBorders>
              <w:top w:val="nil"/>
              <w:left w:val="single" w:color="auto" w:sz="4" w:space="0"/>
              <w:bottom w:val="single" w:color="000000" w:sz="4" w:space="0"/>
              <w:right w:val="single" w:color="auto" w:sz="4" w:space="0"/>
            </w:tcBorders>
            <w:vAlign w:val="center"/>
          </w:tcPr>
          <w:p w14:paraId="7F294751">
            <w:pPr>
              <w:widowControl/>
              <w:jc w:val="left"/>
              <w:rPr>
                <w:rFonts w:hint="eastAsia" w:ascii="新宋体" w:hAnsi="新宋体" w:eastAsia="新宋体" w:cs="新宋体"/>
                <w:b w:val="0"/>
                <w:bCs w:val="0"/>
                <w:kern w:val="0"/>
                <w:sz w:val="24"/>
              </w:rPr>
            </w:pPr>
          </w:p>
        </w:tc>
        <w:tc>
          <w:tcPr>
            <w:tcW w:w="727" w:type="dxa"/>
            <w:vMerge w:val="continue"/>
            <w:tcBorders>
              <w:left w:val="single" w:color="auto" w:sz="4" w:space="0"/>
              <w:right w:val="single" w:color="auto" w:sz="4" w:space="0"/>
            </w:tcBorders>
            <w:vAlign w:val="center"/>
          </w:tcPr>
          <w:p w14:paraId="369A3D56">
            <w:pPr>
              <w:widowControl/>
              <w:jc w:val="left"/>
              <w:rPr>
                <w:rFonts w:hint="eastAsia" w:ascii="新宋体" w:hAnsi="新宋体" w:eastAsia="新宋体" w:cs="新宋体"/>
                <w:b w:val="0"/>
                <w:bCs w:val="0"/>
                <w:kern w:val="0"/>
                <w:sz w:val="24"/>
              </w:rPr>
            </w:pPr>
          </w:p>
        </w:tc>
        <w:tc>
          <w:tcPr>
            <w:tcW w:w="1152" w:type="dxa"/>
            <w:tcBorders>
              <w:top w:val="nil"/>
              <w:left w:val="single" w:color="000000" w:sz="4" w:space="0"/>
              <w:bottom w:val="single" w:color="000000" w:sz="4" w:space="0"/>
              <w:right w:val="single" w:color="000000" w:sz="4" w:space="0"/>
            </w:tcBorders>
            <w:shd w:val="clear" w:color="auto" w:fill="auto"/>
            <w:vAlign w:val="center"/>
          </w:tcPr>
          <w:p w14:paraId="74D167CA">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严控一般性支出</w:t>
            </w:r>
          </w:p>
        </w:tc>
        <w:tc>
          <w:tcPr>
            <w:tcW w:w="467" w:type="dxa"/>
            <w:tcBorders>
              <w:top w:val="nil"/>
              <w:left w:val="nil"/>
              <w:bottom w:val="single" w:color="000000" w:sz="4" w:space="0"/>
              <w:right w:val="single" w:color="000000" w:sz="4" w:space="0"/>
            </w:tcBorders>
            <w:shd w:val="clear" w:color="auto" w:fill="auto"/>
            <w:vAlign w:val="center"/>
          </w:tcPr>
          <w:p w14:paraId="7EAFC269">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6</w:t>
            </w:r>
          </w:p>
        </w:tc>
        <w:tc>
          <w:tcPr>
            <w:tcW w:w="1377" w:type="dxa"/>
            <w:tcBorders>
              <w:top w:val="nil"/>
              <w:left w:val="nil"/>
              <w:bottom w:val="single" w:color="000000" w:sz="4" w:space="0"/>
              <w:right w:val="single" w:color="000000" w:sz="4" w:space="0"/>
            </w:tcBorders>
            <w:shd w:val="clear" w:color="auto" w:fill="auto"/>
            <w:vAlign w:val="center"/>
          </w:tcPr>
          <w:p w14:paraId="31A14C09">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对三公经费的严控度</w:t>
            </w:r>
          </w:p>
        </w:tc>
        <w:tc>
          <w:tcPr>
            <w:tcW w:w="3133" w:type="dxa"/>
            <w:tcBorders>
              <w:top w:val="nil"/>
              <w:left w:val="nil"/>
              <w:bottom w:val="single" w:color="000000" w:sz="4" w:space="0"/>
              <w:right w:val="single" w:color="000000" w:sz="4" w:space="0"/>
            </w:tcBorders>
            <w:shd w:val="clear" w:color="auto" w:fill="auto"/>
            <w:vAlign w:val="center"/>
          </w:tcPr>
          <w:p w14:paraId="0210D78C">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“严格执行‘过紧日子’要求，202</w:t>
            </w:r>
            <w:r>
              <w:rPr>
                <w:rFonts w:hint="eastAsia" w:ascii="宋体" w:hAnsi="宋体" w:cs="宋体"/>
                <w:color w:val="000000"/>
                <w:kern w:val="0"/>
                <w:sz w:val="18"/>
                <w:szCs w:val="18"/>
                <w:highlight w:val="none"/>
                <w:lang w:val="en-US" w:eastAsia="zh-CN"/>
              </w:rPr>
              <w:t>4</w:t>
            </w:r>
            <w:r>
              <w:rPr>
                <w:rFonts w:hint="eastAsia" w:ascii="宋体" w:hAnsi="宋体" w:cs="宋体"/>
                <w:color w:val="000000"/>
                <w:kern w:val="0"/>
                <w:sz w:val="18"/>
                <w:szCs w:val="18"/>
                <w:highlight w:val="none"/>
              </w:rPr>
              <w:t>年‘三公’经费零支出。</w:t>
            </w:r>
            <w:r>
              <w:rPr>
                <w:rFonts w:hint="eastAsia" w:ascii="宋体" w:hAnsi="宋体" w:cs="宋体"/>
                <w:color w:val="000000"/>
                <w:kern w:val="0"/>
                <w:sz w:val="18"/>
                <w:szCs w:val="18"/>
                <w:highlight w:val="none"/>
                <w:lang w:val="en-US" w:eastAsia="zh-CN"/>
              </w:rPr>
              <w:t>与2023年持平。</w:t>
            </w:r>
            <w:r>
              <w:rPr>
                <w:rFonts w:hint="eastAsia" w:ascii="宋体" w:hAnsi="宋体" w:cs="宋体"/>
                <w:color w:val="000000"/>
                <w:kern w:val="0"/>
                <w:sz w:val="18"/>
                <w:szCs w:val="18"/>
                <w:highlight w:val="none"/>
              </w:rPr>
              <w:t>”</w:t>
            </w:r>
          </w:p>
        </w:tc>
        <w:tc>
          <w:tcPr>
            <w:tcW w:w="601" w:type="dxa"/>
            <w:tcBorders>
              <w:top w:val="nil"/>
              <w:left w:val="single" w:color="auto" w:sz="4" w:space="0"/>
              <w:bottom w:val="single" w:color="auto" w:sz="4" w:space="0"/>
              <w:right w:val="single" w:color="auto" w:sz="4" w:space="0"/>
            </w:tcBorders>
            <w:shd w:val="clear" w:color="auto" w:fill="auto"/>
            <w:vAlign w:val="center"/>
          </w:tcPr>
          <w:p w14:paraId="350D883B">
            <w:pPr>
              <w:widowControl/>
              <w:jc w:val="left"/>
              <w:rPr>
                <w:rFonts w:hint="eastAsia" w:ascii="新宋体" w:hAnsi="新宋体" w:eastAsia="新宋体" w:cs="新宋体"/>
                <w:b w:val="0"/>
                <w:bCs w:val="0"/>
                <w:color w:val="000000"/>
                <w:kern w:val="0"/>
                <w:sz w:val="18"/>
                <w:szCs w:val="18"/>
                <w:lang w:val="en-US" w:eastAsia="zh-CN"/>
              </w:rPr>
            </w:pPr>
            <w:r>
              <w:rPr>
                <w:rFonts w:hint="eastAsia" w:ascii="宋体" w:hAnsi="宋体" w:cs="宋体"/>
                <w:color w:val="000000"/>
                <w:kern w:val="0"/>
                <w:sz w:val="18"/>
                <w:szCs w:val="18"/>
                <w:highlight w:val="none"/>
              </w:rPr>
              <w:t>6</w:t>
            </w:r>
          </w:p>
        </w:tc>
        <w:tc>
          <w:tcPr>
            <w:tcW w:w="551" w:type="dxa"/>
            <w:vMerge w:val="continue"/>
            <w:tcBorders>
              <w:top w:val="nil"/>
              <w:left w:val="single" w:color="auto" w:sz="4" w:space="0"/>
              <w:bottom w:val="single" w:color="auto" w:sz="4" w:space="0"/>
              <w:right w:val="single" w:color="auto" w:sz="4" w:space="0"/>
            </w:tcBorders>
            <w:vAlign w:val="center"/>
          </w:tcPr>
          <w:p w14:paraId="7A8321D0">
            <w:pPr>
              <w:widowControl/>
              <w:jc w:val="left"/>
              <w:rPr>
                <w:rFonts w:hint="eastAsia" w:ascii="新宋体" w:hAnsi="新宋体" w:eastAsia="新宋体" w:cs="新宋体"/>
                <w:b w:val="0"/>
                <w:bCs w:val="0"/>
                <w:kern w:val="0"/>
                <w:sz w:val="24"/>
              </w:rPr>
            </w:pPr>
          </w:p>
        </w:tc>
      </w:tr>
      <w:tr w14:paraId="1141A8AD">
        <w:tblPrEx>
          <w:tblCellMar>
            <w:top w:w="0" w:type="dxa"/>
            <w:left w:w="108" w:type="dxa"/>
            <w:bottom w:w="0" w:type="dxa"/>
            <w:right w:w="108" w:type="dxa"/>
          </w:tblCellMar>
        </w:tblPrEx>
        <w:trPr>
          <w:trHeight w:val="1091" w:hRule="atLeast"/>
          <w:jc w:val="center"/>
        </w:trPr>
        <w:tc>
          <w:tcPr>
            <w:tcW w:w="715" w:type="dxa"/>
            <w:vMerge w:val="continue"/>
            <w:tcBorders>
              <w:top w:val="nil"/>
              <w:left w:val="single" w:color="auto" w:sz="4" w:space="0"/>
              <w:bottom w:val="single" w:color="000000" w:sz="4" w:space="0"/>
              <w:right w:val="single" w:color="auto" w:sz="4" w:space="0"/>
            </w:tcBorders>
            <w:shd w:val="clear" w:color="auto" w:fill="auto"/>
            <w:vAlign w:val="center"/>
          </w:tcPr>
          <w:p w14:paraId="611C5BF6">
            <w:pPr>
              <w:widowControl/>
              <w:jc w:val="left"/>
              <w:rPr>
                <w:rFonts w:hint="eastAsia" w:ascii="新宋体" w:hAnsi="新宋体" w:eastAsia="新宋体" w:cs="新宋体"/>
                <w:b w:val="0"/>
                <w:bCs w:val="0"/>
                <w:kern w:val="0"/>
                <w:sz w:val="24"/>
              </w:rPr>
            </w:pPr>
          </w:p>
        </w:tc>
        <w:tc>
          <w:tcPr>
            <w:tcW w:w="727" w:type="dxa"/>
            <w:vMerge w:val="restart"/>
            <w:tcBorders>
              <w:left w:val="single" w:color="auto" w:sz="4" w:space="0"/>
              <w:bottom w:val="single" w:color="auto" w:sz="4" w:space="0"/>
              <w:right w:val="single" w:color="auto" w:sz="4" w:space="0"/>
            </w:tcBorders>
            <w:shd w:val="clear" w:color="auto" w:fill="auto"/>
            <w:vAlign w:val="center"/>
          </w:tcPr>
          <w:p w14:paraId="6AB2F393">
            <w:pPr>
              <w:widowControl/>
              <w:jc w:val="center"/>
              <w:rPr>
                <w:rFonts w:hint="eastAsia" w:ascii="新宋体" w:hAnsi="新宋体" w:eastAsia="新宋体" w:cs="新宋体"/>
                <w:b w:val="0"/>
                <w:bCs w:val="0"/>
                <w:kern w:val="0"/>
                <w:sz w:val="24"/>
              </w:rPr>
            </w:pPr>
            <w:r>
              <w:rPr>
                <w:rFonts w:hint="eastAsia" w:ascii="宋体" w:hAnsi="宋体" w:cs="宋体"/>
                <w:b/>
                <w:bCs/>
                <w:kern w:val="0"/>
                <w:sz w:val="24"/>
                <w:highlight w:val="none"/>
              </w:rPr>
              <w:t>资产管理</w:t>
            </w:r>
            <w:r>
              <w:rPr>
                <w:rFonts w:hint="eastAsia" w:ascii="宋体" w:hAnsi="宋体" w:cs="宋体"/>
                <w:b/>
                <w:bCs/>
                <w:kern w:val="0"/>
                <w:sz w:val="24"/>
                <w:highlight w:val="none"/>
              </w:rPr>
              <w:br w:type="textWrapping"/>
            </w:r>
            <w:r>
              <w:rPr>
                <w:rFonts w:hint="eastAsia" w:ascii="宋体" w:hAnsi="宋体" w:cs="宋体"/>
                <w:b/>
                <w:bCs/>
                <w:kern w:val="0"/>
                <w:sz w:val="24"/>
                <w:highlight w:val="none"/>
              </w:rPr>
              <w:t>（9分）</w:t>
            </w:r>
          </w:p>
        </w:tc>
        <w:tc>
          <w:tcPr>
            <w:tcW w:w="1152" w:type="dxa"/>
            <w:tcBorders>
              <w:top w:val="single" w:color="auto" w:sz="4" w:space="0"/>
              <w:left w:val="nil"/>
              <w:bottom w:val="single" w:color="auto" w:sz="4" w:space="0"/>
              <w:right w:val="single" w:color="auto" w:sz="4" w:space="0"/>
            </w:tcBorders>
            <w:shd w:val="clear" w:color="auto" w:fill="auto"/>
            <w:vAlign w:val="center"/>
          </w:tcPr>
          <w:p w14:paraId="1DF79D75">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人均资产变化率</w:t>
            </w:r>
          </w:p>
        </w:tc>
        <w:tc>
          <w:tcPr>
            <w:tcW w:w="467" w:type="dxa"/>
            <w:tcBorders>
              <w:top w:val="single" w:color="auto" w:sz="4" w:space="0"/>
              <w:left w:val="nil"/>
              <w:bottom w:val="single" w:color="auto" w:sz="4" w:space="0"/>
              <w:right w:val="single" w:color="auto" w:sz="4" w:space="0"/>
            </w:tcBorders>
            <w:shd w:val="clear" w:color="auto" w:fill="auto"/>
            <w:vAlign w:val="center"/>
          </w:tcPr>
          <w:p w14:paraId="55208645">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3</w:t>
            </w:r>
          </w:p>
        </w:tc>
        <w:tc>
          <w:tcPr>
            <w:tcW w:w="1377" w:type="dxa"/>
            <w:tcBorders>
              <w:top w:val="single" w:color="auto" w:sz="4" w:space="0"/>
              <w:left w:val="nil"/>
              <w:bottom w:val="single" w:color="auto" w:sz="4" w:space="0"/>
              <w:right w:val="single" w:color="auto" w:sz="4" w:space="0"/>
            </w:tcBorders>
            <w:shd w:val="clear" w:color="auto" w:fill="auto"/>
            <w:vAlign w:val="center"/>
          </w:tcPr>
          <w:p w14:paraId="61D15187">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反映资产配置效率。</w:t>
            </w:r>
          </w:p>
        </w:tc>
        <w:tc>
          <w:tcPr>
            <w:tcW w:w="3133" w:type="dxa"/>
            <w:tcBorders>
              <w:top w:val="single" w:color="auto" w:sz="4" w:space="0"/>
              <w:left w:val="nil"/>
              <w:bottom w:val="single" w:color="auto" w:sz="4" w:space="0"/>
              <w:right w:val="single" w:color="auto" w:sz="4" w:space="0"/>
            </w:tcBorders>
            <w:shd w:val="clear" w:color="auto" w:fill="auto"/>
            <w:vAlign w:val="center"/>
          </w:tcPr>
          <w:p w14:paraId="6B077C63">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计算总资产 / 教职工人数，与上年对比，合理增</w:t>
            </w:r>
            <w:r>
              <w:rPr>
                <w:rFonts w:hint="eastAsia" w:ascii="宋体" w:hAnsi="宋体" w:cs="宋体"/>
                <w:color w:val="000000"/>
                <w:kern w:val="0"/>
                <w:sz w:val="18"/>
                <w:szCs w:val="18"/>
                <w:highlight w:val="none"/>
                <w:lang w:val="en-US" w:eastAsia="zh-CN"/>
              </w:rPr>
              <w:t>长。</w:t>
            </w:r>
          </w:p>
        </w:tc>
        <w:tc>
          <w:tcPr>
            <w:tcW w:w="601" w:type="dxa"/>
            <w:tcBorders>
              <w:top w:val="nil"/>
              <w:left w:val="nil"/>
              <w:bottom w:val="single" w:color="auto" w:sz="4" w:space="0"/>
              <w:right w:val="single" w:color="auto" w:sz="4" w:space="0"/>
            </w:tcBorders>
            <w:shd w:val="clear" w:color="auto" w:fill="auto"/>
            <w:vAlign w:val="center"/>
          </w:tcPr>
          <w:p w14:paraId="69C09764">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3</w:t>
            </w:r>
          </w:p>
        </w:tc>
        <w:tc>
          <w:tcPr>
            <w:tcW w:w="551" w:type="dxa"/>
            <w:vMerge w:val="restart"/>
            <w:tcBorders>
              <w:top w:val="nil"/>
              <w:left w:val="nil"/>
              <w:bottom w:val="single" w:color="auto" w:sz="4" w:space="0"/>
              <w:right w:val="single" w:color="auto" w:sz="4" w:space="0"/>
            </w:tcBorders>
            <w:shd w:val="clear" w:color="auto" w:fill="auto"/>
            <w:vAlign w:val="center"/>
          </w:tcPr>
          <w:p w14:paraId="7EE631E8">
            <w:pPr>
              <w:widowControl/>
              <w:jc w:val="center"/>
              <w:rPr>
                <w:rFonts w:hint="eastAsia" w:ascii="新宋体" w:hAnsi="新宋体" w:eastAsia="新宋体" w:cs="新宋体"/>
                <w:b w:val="0"/>
                <w:bCs w:val="0"/>
                <w:kern w:val="0"/>
                <w:sz w:val="24"/>
              </w:rPr>
            </w:pPr>
            <w:r>
              <w:rPr>
                <w:rFonts w:hint="eastAsia" w:ascii="宋体" w:hAnsi="宋体" w:cs="宋体"/>
                <w:kern w:val="0"/>
                <w:sz w:val="24"/>
                <w:highlight w:val="none"/>
              </w:rPr>
              <w:t>　</w:t>
            </w:r>
          </w:p>
        </w:tc>
      </w:tr>
      <w:tr w14:paraId="3DD6116A">
        <w:tblPrEx>
          <w:tblCellMar>
            <w:top w:w="0" w:type="dxa"/>
            <w:left w:w="108" w:type="dxa"/>
            <w:bottom w:w="0" w:type="dxa"/>
            <w:right w:w="108" w:type="dxa"/>
          </w:tblCellMar>
        </w:tblPrEx>
        <w:trPr>
          <w:trHeight w:val="697" w:hRule="atLeast"/>
          <w:jc w:val="center"/>
        </w:trPr>
        <w:tc>
          <w:tcPr>
            <w:tcW w:w="715" w:type="dxa"/>
            <w:vMerge w:val="continue"/>
            <w:tcBorders>
              <w:top w:val="nil"/>
              <w:left w:val="single" w:color="auto" w:sz="4" w:space="0"/>
              <w:bottom w:val="single" w:color="000000" w:sz="4" w:space="0"/>
              <w:right w:val="single" w:color="auto" w:sz="4" w:space="0"/>
            </w:tcBorders>
            <w:vAlign w:val="center"/>
          </w:tcPr>
          <w:p w14:paraId="7DF6CB48">
            <w:pPr>
              <w:widowControl/>
              <w:jc w:val="left"/>
              <w:rPr>
                <w:rFonts w:hint="eastAsia" w:ascii="新宋体" w:hAnsi="新宋体" w:eastAsia="新宋体" w:cs="新宋体"/>
                <w:b w:val="0"/>
                <w:bCs w:val="0"/>
                <w:kern w:val="0"/>
                <w:sz w:val="24"/>
              </w:rPr>
            </w:pPr>
          </w:p>
        </w:tc>
        <w:tc>
          <w:tcPr>
            <w:tcW w:w="727" w:type="dxa"/>
            <w:vMerge w:val="continue"/>
            <w:tcBorders>
              <w:top w:val="nil"/>
              <w:left w:val="single" w:color="auto" w:sz="4" w:space="0"/>
              <w:bottom w:val="single" w:color="auto" w:sz="4" w:space="0"/>
              <w:right w:val="single" w:color="auto" w:sz="4" w:space="0"/>
            </w:tcBorders>
            <w:shd w:val="clear" w:color="auto" w:fill="auto"/>
            <w:vAlign w:val="center"/>
          </w:tcPr>
          <w:p w14:paraId="7DDFC21B">
            <w:pPr>
              <w:widowControl/>
              <w:jc w:val="left"/>
              <w:rPr>
                <w:rFonts w:hint="eastAsia" w:ascii="新宋体" w:hAnsi="新宋体" w:eastAsia="新宋体" w:cs="新宋体"/>
                <w:b w:val="0"/>
                <w:bCs w:val="0"/>
                <w:kern w:val="0"/>
                <w:sz w:val="24"/>
              </w:rPr>
            </w:pPr>
          </w:p>
        </w:tc>
        <w:tc>
          <w:tcPr>
            <w:tcW w:w="1152" w:type="dxa"/>
            <w:tcBorders>
              <w:top w:val="nil"/>
              <w:left w:val="nil"/>
              <w:bottom w:val="single" w:color="auto" w:sz="4" w:space="0"/>
              <w:right w:val="single" w:color="auto" w:sz="4" w:space="0"/>
            </w:tcBorders>
            <w:shd w:val="clear" w:color="auto" w:fill="auto"/>
            <w:vAlign w:val="center"/>
          </w:tcPr>
          <w:p w14:paraId="4E5F203D">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资产利用率</w:t>
            </w:r>
          </w:p>
        </w:tc>
        <w:tc>
          <w:tcPr>
            <w:tcW w:w="467" w:type="dxa"/>
            <w:tcBorders>
              <w:top w:val="nil"/>
              <w:left w:val="nil"/>
              <w:bottom w:val="single" w:color="auto" w:sz="4" w:space="0"/>
              <w:right w:val="single" w:color="auto" w:sz="4" w:space="0"/>
            </w:tcBorders>
            <w:shd w:val="clear" w:color="auto" w:fill="auto"/>
            <w:vAlign w:val="center"/>
          </w:tcPr>
          <w:p w14:paraId="73780CC4">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3</w:t>
            </w:r>
          </w:p>
        </w:tc>
        <w:tc>
          <w:tcPr>
            <w:tcW w:w="1377" w:type="dxa"/>
            <w:tcBorders>
              <w:top w:val="nil"/>
              <w:left w:val="nil"/>
              <w:bottom w:val="single" w:color="auto" w:sz="4" w:space="0"/>
              <w:right w:val="single" w:color="auto" w:sz="4" w:space="0"/>
            </w:tcBorders>
            <w:shd w:val="clear" w:color="auto" w:fill="auto"/>
            <w:vAlign w:val="center"/>
          </w:tcPr>
          <w:p w14:paraId="4DA1C0B8">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反映资产的使用情况</w:t>
            </w:r>
          </w:p>
        </w:tc>
        <w:tc>
          <w:tcPr>
            <w:tcW w:w="3133" w:type="dxa"/>
            <w:tcBorders>
              <w:top w:val="nil"/>
              <w:left w:val="nil"/>
              <w:bottom w:val="single" w:color="auto" w:sz="4" w:space="0"/>
              <w:right w:val="single" w:color="auto" w:sz="4" w:space="0"/>
            </w:tcBorders>
            <w:shd w:val="clear" w:color="auto" w:fill="auto"/>
            <w:vAlign w:val="center"/>
          </w:tcPr>
          <w:p w14:paraId="4EEA0D80">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学校对教学设备的使用情况及周期合理</w:t>
            </w:r>
          </w:p>
        </w:tc>
        <w:tc>
          <w:tcPr>
            <w:tcW w:w="601" w:type="dxa"/>
            <w:tcBorders>
              <w:top w:val="nil"/>
              <w:left w:val="nil"/>
              <w:bottom w:val="single" w:color="auto" w:sz="4" w:space="0"/>
              <w:right w:val="single" w:color="auto" w:sz="4" w:space="0"/>
            </w:tcBorders>
            <w:shd w:val="clear" w:color="auto" w:fill="auto"/>
            <w:vAlign w:val="center"/>
          </w:tcPr>
          <w:p w14:paraId="6739D639">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3</w:t>
            </w:r>
          </w:p>
        </w:tc>
        <w:tc>
          <w:tcPr>
            <w:tcW w:w="551" w:type="dxa"/>
            <w:vMerge w:val="continue"/>
            <w:tcBorders>
              <w:top w:val="nil"/>
              <w:left w:val="single" w:color="auto" w:sz="4" w:space="0"/>
              <w:bottom w:val="single" w:color="auto" w:sz="4" w:space="0"/>
              <w:right w:val="single" w:color="auto" w:sz="4" w:space="0"/>
            </w:tcBorders>
            <w:shd w:val="clear" w:color="auto" w:fill="auto"/>
            <w:vAlign w:val="center"/>
          </w:tcPr>
          <w:p w14:paraId="3936A60D">
            <w:pPr>
              <w:widowControl/>
              <w:jc w:val="left"/>
              <w:rPr>
                <w:rFonts w:hint="eastAsia" w:ascii="新宋体" w:hAnsi="新宋体" w:eastAsia="新宋体" w:cs="新宋体"/>
                <w:b w:val="0"/>
                <w:bCs w:val="0"/>
                <w:kern w:val="0"/>
                <w:sz w:val="24"/>
              </w:rPr>
            </w:pPr>
          </w:p>
        </w:tc>
      </w:tr>
      <w:tr w14:paraId="337063E7">
        <w:tblPrEx>
          <w:tblCellMar>
            <w:top w:w="0" w:type="dxa"/>
            <w:left w:w="108" w:type="dxa"/>
            <w:bottom w:w="0" w:type="dxa"/>
            <w:right w:w="108" w:type="dxa"/>
          </w:tblCellMar>
        </w:tblPrEx>
        <w:trPr>
          <w:trHeight w:val="630" w:hRule="atLeast"/>
          <w:jc w:val="center"/>
        </w:trPr>
        <w:tc>
          <w:tcPr>
            <w:tcW w:w="715" w:type="dxa"/>
            <w:vMerge w:val="restart"/>
            <w:tcBorders>
              <w:top w:val="nil"/>
              <w:left w:val="single" w:color="auto" w:sz="4" w:space="0"/>
              <w:bottom w:val="single" w:color="000000" w:sz="4" w:space="0"/>
              <w:right w:val="single" w:color="auto" w:sz="4" w:space="0"/>
            </w:tcBorders>
            <w:vAlign w:val="center"/>
          </w:tcPr>
          <w:p w14:paraId="0E1EA0BC">
            <w:pPr>
              <w:widowControl/>
              <w:jc w:val="center"/>
              <w:rPr>
                <w:rFonts w:hint="eastAsia" w:ascii="新宋体" w:hAnsi="新宋体" w:eastAsia="新宋体" w:cs="新宋体"/>
                <w:b w:val="0"/>
                <w:bCs w:val="0"/>
                <w:kern w:val="0"/>
                <w:sz w:val="24"/>
              </w:rPr>
            </w:pPr>
            <w:r>
              <w:rPr>
                <w:rFonts w:hint="eastAsia" w:ascii="宋体" w:hAnsi="宋体" w:cs="宋体"/>
                <w:b/>
                <w:bCs/>
                <w:kern w:val="0"/>
                <w:sz w:val="24"/>
                <w:highlight w:val="none"/>
              </w:rPr>
              <w:t>总体绩效</w:t>
            </w:r>
            <w:r>
              <w:rPr>
                <w:rFonts w:hint="eastAsia" w:ascii="宋体" w:hAnsi="宋体" w:cs="宋体"/>
                <w:b/>
                <w:bCs/>
                <w:kern w:val="0"/>
                <w:sz w:val="24"/>
                <w:highlight w:val="none"/>
              </w:rPr>
              <w:br w:type="textWrapping"/>
            </w:r>
            <w:r>
              <w:rPr>
                <w:rFonts w:hint="eastAsia" w:ascii="宋体" w:hAnsi="宋体" w:cs="宋体"/>
                <w:b/>
                <w:bCs/>
                <w:kern w:val="0"/>
                <w:sz w:val="24"/>
                <w:highlight w:val="none"/>
              </w:rPr>
              <w:t>（65分）</w:t>
            </w:r>
          </w:p>
        </w:tc>
        <w:tc>
          <w:tcPr>
            <w:tcW w:w="727" w:type="dxa"/>
            <w:tcBorders>
              <w:top w:val="nil"/>
              <w:left w:val="single" w:color="auto" w:sz="4" w:space="0"/>
              <w:bottom w:val="single" w:color="auto" w:sz="4" w:space="0"/>
              <w:right w:val="single" w:color="auto" w:sz="4" w:space="0"/>
            </w:tcBorders>
            <w:vAlign w:val="center"/>
          </w:tcPr>
          <w:p w14:paraId="6DF0C853">
            <w:pPr>
              <w:widowControl/>
              <w:jc w:val="center"/>
              <w:rPr>
                <w:rFonts w:hint="eastAsia" w:ascii="新宋体" w:hAnsi="新宋体" w:eastAsia="新宋体" w:cs="新宋体"/>
                <w:b w:val="0"/>
                <w:bCs w:val="0"/>
                <w:kern w:val="0"/>
                <w:sz w:val="24"/>
              </w:rPr>
            </w:pPr>
            <w:r>
              <w:rPr>
                <w:rFonts w:hint="eastAsia" w:ascii="宋体" w:hAnsi="宋体" w:cs="宋体"/>
                <w:b/>
                <w:bCs/>
                <w:kern w:val="0"/>
                <w:sz w:val="24"/>
                <w:highlight w:val="none"/>
              </w:rPr>
              <w:t>资产管理</w:t>
            </w:r>
            <w:r>
              <w:rPr>
                <w:rFonts w:hint="eastAsia" w:ascii="宋体" w:hAnsi="宋体" w:cs="宋体"/>
                <w:b/>
                <w:bCs/>
                <w:kern w:val="0"/>
                <w:sz w:val="24"/>
                <w:highlight w:val="none"/>
              </w:rPr>
              <w:br w:type="textWrapping"/>
            </w:r>
            <w:r>
              <w:rPr>
                <w:rFonts w:hint="eastAsia" w:ascii="宋体" w:hAnsi="宋体" w:cs="宋体"/>
                <w:b/>
                <w:bCs/>
                <w:kern w:val="0"/>
                <w:sz w:val="24"/>
                <w:highlight w:val="none"/>
              </w:rPr>
              <w:t>（9分）</w:t>
            </w:r>
          </w:p>
        </w:tc>
        <w:tc>
          <w:tcPr>
            <w:tcW w:w="1152" w:type="dxa"/>
            <w:tcBorders>
              <w:top w:val="nil"/>
              <w:left w:val="nil"/>
              <w:bottom w:val="single" w:color="auto" w:sz="4" w:space="0"/>
              <w:right w:val="single" w:color="auto" w:sz="4" w:space="0"/>
            </w:tcBorders>
            <w:shd w:val="clear" w:color="auto" w:fill="auto"/>
            <w:vAlign w:val="center"/>
          </w:tcPr>
          <w:p w14:paraId="1F8B8139">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资产盘活率</w:t>
            </w:r>
          </w:p>
        </w:tc>
        <w:tc>
          <w:tcPr>
            <w:tcW w:w="467" w:type="dxa"/>
            <w:tcBorders>
              <w:top w:val="nil"/>
              <w:left w:val="nil"/>
              <w:bottom w:val="single" w:color="auto" w:sz="4" w:space="0"/>
              <w:right w:val="single" w:color="auto" w:sz="4" w:space="0"/>
            </w:tcBorders>
            <w:shd w:val="clear" w:color="auto" w:fill="auto"/>
            <w:vAlign w:val="center"/>
          </w:tcPr>
          <w:p w14:paraId="1901B9DE">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3</w:t>
            </w:r>
          </w:p>
        </w:tc>
        <w:tc>
          <w:tcPr>
            <w:tcW w:w="1377" w:type="dxa"/>
            <w:tcBorders>
              <w:top w:val="nil"/>
              <w:left w:val="nil"/>
              <w:bottom w:val="single" w:color="auto" w:sz="4" w:space="0"/>
              <w:right w:val="single" w:color="auto" w:sz="4" w:space="0"/>
            </w:tcBorders>
            <w:shd w:val="clear" w:color="auto" w:fill="auto"/>
            <w:vAlign w:val="center"/>
          </w:tcPr>
          <w:p w14:paraId="25A1E8F8">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无闲置资产</w:t>
            </w:r>
          </w:p>
        </w:tc>
        <w:tc>
          <w:tcPr>
            <w:tcW w:w="3133" w:type="dxa"/>
            <w:tcBorders>
              <w:top w:val="nil"/>
              <w:left w:val="nil"/>
              <w:bottom w:val="single" w:color="auto" w:sz="4" w:space="0"/>
              <w:right w:val="single" w:color="auto" w:sz="4" w:space="0"/>
            </w:tcBorders>
            <w:shd w:val="clear" w:color="auto" w:fill="auto"/>
            <w:vAlign w:val="center"/>
          </w:tcPr>
          <w:p w14:paraId="4990218B">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无闲置资产</w:t>
            </w:r>
          </w:p>
        </w:tc>
        <w:tc>
          <w:tcPr>
            <w:tcW w:w="601" w:type="dxa"/>
            <w:tcBorders>
              <w:top w:val="nil"/>
              <w:left w:val="nil"/>
              <w:bottom w:val="single" w:color="auto" w:sz="4" w:space="0"/>
              <w:right w:val="single" w:color="auto" w:sz="4" w:space="0"/>
            </w:tcBorders>
            <w:shd w:val="clear" w:color="auto" w:fill="auto"/>
            <w:vAlign w:val="center"/>
          </w:tcPr>
          <w:p w14:paraId="14D525D6">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3</w:t>
            </w:r>
          </w:p>
        </w:tc>
        <w:tc>
          <w:tcPr>
            <w:tcW w:w="551" w:type="dxa"/>
            <w:tcBorders>
              <w:top w:val="nil"/>
              <w:left w:val="single" w:color="auto" w:sz="4" w:space="0"/>
              <w:bottom w:val="single" w:color="auto" w:sz="4" w:space="0"/>
              <w:right w:val="single" w:color="auto" w:sz="4" w:space="0"/>
            </w:tcBorders>
            <w:vAlign w:val="center"/>
          </w:tcPr>
          <w:p w14:paraId="1CF82704">
            <w:pPr>
              <w:widowControl/>
              <w:jc w:val="center"/>
              <w:rPr>
                <w:rFonts w:hint="eastAsia" w:ascii="新宋体" w:hAnsi="新宋体" w:eastAsia="新宋体" w:cs="新宋体"/>
                <w:b w:val="0"/>
                <w:bCs w:val="0"/>
                <w:kern w:val="0"/>
                <w:sz w:val="24"/>
              </w:rPr>
            </w:pPr>
            <w:r>
              <w:rPr>
                <w:rFonts w:hint="eastAsia" w:ascii="宋体" w:hAnsi="宋体" w:cs="宋体"/>
                <w:kern w:val="0"/>
                <w:sz w:val="24"/>
                <w:highlight w:val="none"/>
              </w:rPr>
              <w:t>　</w:t>
            </w:r>
          </w:p>
        </w:tc>
      </w:tr>
      <w:tr w14:paraId="14FFB983">
        <w:tblPrEx>
          <w:tblCellMar>
            <w:top w:w="0" w:type="dxa"/>
            <w:left w:w="108" w:type="dxa"/>
            <w:bottom w:w="0" w:type="dxa"/>
            <w:right w:w="108" w:type="dxa"/>
          </w:tblCellMar>
        </w:tblPrEx>
        <w:trPr>
          <w:trHeight w:val="1124" w:hRule="atLeast"/>
          <w:jc w:val="center"/>
        </w:trPr>
        <w:tc>
          <w:tcPr>
            <w:tcW w:w="715" w:type="dxa"/>
            <w:vMerge w:val="continue"/>
            <w:tcBorders>
              <w:top w:val="nil"/>
              <w:left w:val="single" w:color="auto" w:sz="4" w:space="0"/>
              <w:bottom w:val="single" w:color="auto" w:sz="4" w:space="0"/>
              <w:right w:val="single" w:color="auto" w:sz="4" w:space="0"/>
            </w:tcBorders>
            <w:shd w:val="clear" w:color="auto" w:fill="auto"/>
            <w:vAlign w:val="center"/>
          </w:tcPr>
          <w:p w14:paraId="03CE9540">
            <w:pPr>
              <w:widowControl/>
              <w:jc w:val="left"/>
              <w:rPr>
                <w:rFonts w:hint="eastAsia" w:ascii="新宋体" w:hAnsi="新宋体" w:eastAsia="新宋体" w:cs="新宋体"/>
                <w:b w:val="0"/>
                <w:bCs w:val="0"/>
                <w:kern w:val="0"/>
                <w:sz w:val="24"/>
              </w:rPr>
            </w:pPr>
          </w:p>
        </w:tc>
        <w:tc>
          <w:tcPr>
            <w:tcW w:w="727" w:type="dxa"/>
            <w:vMerge w:val="restart"/>
            <w:tcBorders>
              <w:top w:val="nil"/>
              <w:left w:val="single" w:color="auto" w:sz="4" w:space="0"/>
              <w:bottom w:val="nil"/>
              <w:right w:val="single" w:color="auto" w:sz="4" w:space="0"/>
            </w:tcBorders>
            <w:shd w:val="clear" w:color="auto" w:fill="auto"/>
            <w:vAlign w:val="center"/>
          </w:tcPr>
          <w:p w14:paraId="4477004E">
            <w:pPr>
              <w:widowControl/>
              <w:jc w:val="center"/>
              <w:rPr>
                <w:rFonts w:hint="eastAsia" w:ascii="新宋体" w:hAnsi="新宋体" w:eastAsia="新宋体" w:cs="新宋体"/>
                <w:b w:val="0"/>
                <w:bCs w:val="0"/>
                <w:kern w:val="0"/>
                <w:sz w:val="24"/>
              </w:rPr>
            </w:pPr>
            <w:r>
              <w:rPr>
                <w:rFonts w:hint="eastAsia" w:ascii="宋体" w:hAnsi="宋体" w:cs="宋体"/>
                <w:b/>
                <w:bCs/>
                <w:kern w:val="0"/>
                <w:sz w:val="24"/>
                <w:highlight w:val="none"/>
              </w:rPr>
              <w:t>采购管理</w:t>
            </w:r>
            <w:r>
              <w:rPr>
                <w:rFonts w:hint="eastAsia" w:ascii="宋体" w:hAnsi="宋体" w:cs="宋体"/>
                <w:b/>
                <w:bCs/>
                <w:kern w:val="0"/>
                <w:sz w:val="24"/>
                <w:highlight w:val="none"/>
              </w:rPr>
              <w:br w:type="textWrapping"/>
            </w:r>
            <w:r>
              <w:rPr>
                <w:rFonts w:hint="eastAsia" w:ascii="宋体" w:hAnsi="宋体" w:cs="宋体"/>
                <w:b/>
                <w:bCs/>
                <w:kern w:val="0"/>
                <w:sz w:val="24"/>
                <w:highlight w:val="none"/>
              </w:rPr>
              <w:t>（6分）</w:t>
            </w:r>
          </w:p>
        </w:tc>
        <w:tc>
          <w:tcPr>
            <w:tcW w:w="1152" w:type="dxa"/>
            <w:tcBorders>
              <w:top w:val="nil"/>
              <w:left w:val="nil"/>
              <w:bottom w:val="single" w:color="auto" w:sz="4" w:space="0"/>
              <w:right w:val="single" w:color="auto" w:sz="4" w:space="0"/>
            </w:tcBorders>
            <w:shd w:val="clear" w:color="auto" w:fill="auto"/>
            <w:vAlign w:val="center"/>
          </w:tcPr>
          <w:p w14:paraId="758DA891">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支持中小企业发展</w:t>
            </w:r>
          </w:p>
        </w:tc>
        <w:tc>
          <w:tcPr>
            <w:tcW w:w="467" w:type="dxa"/>
            <w:tcBorders>
              <w:top w:val="nil"/>
              <w:left w:val="nil"/>
              <w:bottom w:val="single" w:color="auto" w:sz="4" w:space="0"/>
              <w:right w:val="single" w:color="auto" w:sz="4" w:space="0"/>
            </w:tcBorders>
            <w:shd w:val="clear" w:color="auto" w:fill="auto"/>
            <w:vAlign w:val="center"/>
          </w:tcPr>
          <w:p w14:paraId="61138CB0">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3</w:t>
            </w:r>
          </w:p>
        </w:tc>
        <w:tc>
          <w:tcPr>
            <w:tcW w:w="1377" w:type="dxa"/>
            <w:tcBorders>
              <w:top w:val="nil"/>
              <w:left w:val="nil"/>
              <w:bottom w:val="single" w:color="auto" w:sz="4" w:space="0"/>
              <w:right w:val="single" w:color="auto" w:sz="4" w:space="0"/>
            </w:tcBorders>
            <w:shd w:val="clear" w:color="auto" w:fill="auto"/>
            <w:vAlign w:val="center"/>
          </w:tcPr>
          <w:p w14:paraId="728B1110">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采购中专门对中小企业的扶持</w:t>
            </w:r>
          </w:p>
        </w:tc>
        <w:tc>
          <w:tcPr>
            <w:tcW w:w="3133" w:type="dxa"/>
            <w:tcBorders>
              <w:top w:val="nil"/>
              <w:left w:val="nil"/>
              <w:bottom w:val="single" w:color="auto" w:sz="4" w:space="0"/>
              <w:right w:val="single" w:color="auto" w:sz="4" w:space="0"/>
            </w:tcBorders>
            <w:shd w:val="clear" w:color="auto" w:fill="auto"/>
            <w:vAlign w:val="center"/>
          </w:tcPr>
          <w:p w14:paraId="4393D99F">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2024年在832平台支持中小企业购物达标</w:t>
            </w:r>
          </w:p>
        </w:tc>
        <w:tc>
          <w:tcPr>
            <w:tcW w:w="601" w:type="dxa"/>
            <w:tcBorders>
              <w:top w:val="nil"/>
              <w:left w:val="nil"/>
              <w:bottom w:val="single" w:color="auto" w:sz="4" w:space="0"/>
              <w:right w:val="single" w:color="auto" w:sz="4" w:space="0"/>
            </w:tcBorders>
            <w:shd w:val="clear" w:color="auto" w:fill="auto"/>
            <w:vAlign w:val="center"/>
          </w:tcPr>
          <w:p w14:paraId="6CB36746">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3</w:t>
            </w:r>
          </w:p>
        </w:tc>
        <w:tc>
          <w:tcPr>
            <w:tcW w:w="551" w:type="dxa"/>
            <w:vMerge w:val="restart"/>
            <w:tcBorders>
              <w:top w:val="nil"/>
              <w:left w:val="nil"/>
              <w:bottom w:val="single" w:color="auto" w:sz="4" w:space="0"/>
              <w:right w:val="single" w:color="auto" w:sz="4" w:space="0"/>
            </w:tcBorders>
            <w:shd w:val="clear" w:color="auto" w:fill="auto"/>
            <w:vAlign w:val="center"/>
          </w:tcPr>
          <w:p w14:paraId="31E11965">
            <w:pPr>
              <w:widowControl/>
              <w:jc w:val="center"/>
              <w:rPr>
                <w:rFonts w:hint="eastAsia" w:ascii="新宋体" w:hAnsi="新宋体" w:eastAsia="新宋体" w:cs="新宋体"/>
                <w:b w:val="0"/>
                <w:bCs w:val="0"/>
                <w:kern w:val="0"/>
                <w:sz w:val="24"/>
              </w:rPr>
            </w:pPr>
            <w:r>
              <w:rPr>
                <w:rFonts w:hint="eastAsia" w:ascii="宋体" w:hAnsi="宋体" w:cs="宋体"/>
                <w:kern w:val="0"/>
                <w:sz w:val="24"/>
                <w:highlight w:val="none"/>
              </w:rPr>
              <w:t>　</w:t>
            </w:r>
          </w:p>
        </w:tc>
      </w:tr>
      <w:tr w14:paraId="76824134">
        <w:tblPrEx>
          <w:tblCellMar>
            <w:top w:w="0" w:type="dxa"/>
            <w:left w:w="108" w:type="dxa"/>
            <w:bottom w:w="0" w:type="dxa"/>
            <w:right w:w="108" w:type="dxa"/>
          </w:tblCellMar>
        </w:tblPrEx>
        <w:trPr>
          <w:trHeight w:val="1024" w:hRule="atLeast"/>
          <w:jc w:val="center"/>
        </w:trPr>
        <w:tc>
          <w:tcPr>
            <w:tcW w:w="715" w:type="dxa"/>
            <w:vMerge w:val="continue"/>
            <w:tcBorders>
              <w:top w:val="nil"/>
              <w:left w:val="single" w:color="auto" w:sz="4" w:space="0"/>
              <w:bottom w:val="single" w:color="auto" w:sz="4" w:space="0"/>
              <w:right w:val="single" w:color="auto" w:sz="4" w:space="0"/>
            </w:tcBorders>
            <w:vAlign w:val="center"/>
          </w:tcPr>
          <w:p w14:paraId="0887014D">
            <w:pPr>
              <w:widowControl/>
              <w:jc w:val="left"/>
              <w:rPr>
                <w:rFonts w:hint="eastAsia" w:ascii="新宋体" w:hAnsi="新宋体" w:eastAsia="新宋体" w:cs="新宋体"/>
                <w:b w:val="0"/>
                <w:bCs w:val="0"/>
                <w:kern w:val="0"/>
                <w:sz w:val="24"/>
              </w:rPr>
            </w:pPr>
          </w:p>
        </w:tc>
        <w:tc>
          <w:tcPr>
            <w:tcW w:w="727" w:type="dxa"/>
            <w:vMerge w:val="continue"/>
            <w:tcBorders>
              <w:top w:val="nil"/>
              <w:left w:val="single" w:color="auto" w:sz="4" w:space="0"/>
              <w:bottom w:val="nil"/>
              <w:right w:val="single" w:color="auto" w:sz="4" w:space="0"/>
            </w:tcBorders>
            <w:vAlign w:val="center"/>
          </w:tcPr>
          <w:p w14:paraId="4B6F8D3E">
            <w:pPr>
              <w:widowControl/>
              <w:jc w:val="left"/>
              <w:rPr>
                <w:rFonts w:hint="eastAsia" w:ascii="新宋体" w:hAnsi="新宋体" w:eastAsia="新宋体" w:cs="新宋体"/>
                <w:b w:val="0"/>
                <w:bCs w:val="0"/>
                <w:kern w:val="0"/>
                <w:sz w:val="24"/>
              </w:rPr>
            </w:pPr>
          </w:p>
        </w:tc>
        <w:tc>
          <w:tcPr>
            <w:tcW w:w="1152" w:type="dxa"/>
            <w:tcBorders>
              <w:top w:val="nil"/>
              <w:left w:val="nil"/>
              <w:bottom w:val="single" w:color="auto" w:sz="4" w:space="0"/>
              <w:right w:val="single" w:color="auto" w:sz="4" w:space="0"/>
            </w:tcBorders>
            <w:shd w:val="clear" w:color="auto" w:fill="auto"/>
            <w:vAlign w:val="center"/>
          </w:tcPr>
          <w:p w14:paraId="68196118">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采购执行率</w:t>
            </w:r>
          </w:p>
        </w:tc>
        <w:tc>
          <w:tcPr>
            <w:tcW w:w="467" w:type="dxa"/>
            <w:tcBorders>
              <w:top w:val="nil"/>
              <w:left w:val="nil"/>
              <w:bottom w:val="single" w:color="auto" w:sz="4" w:space="0"/>
              <w:right w:val="single" w:color="auto" w:sz="4" w:space="0"/>
            </w:tcBorders>
            <w:shd w:val="clear" w:color="auto" w:fill="auto"/>
            <w:vAlign w:val="center"/>
          </w:tcPr>
          <w:p w14:paraId="3AA6D9EF">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3</w:t>
            </w:r>
          </w:p>
        </w:tc>
        <w:tc>
          <w:tcPr>
            <w:tcW w:w="1377" w:type="dxa"/>
            <w:tcBorders>
              <w:top w:val="nil"/>
              <w:left w:val="nil"/>
              <w:bottom w:val="single" w:color="auto" w:sz="4" w:space="0"/>
              <w:right w:val="single" w:color="auto" w:sz="4" w:space="0"/>
            </w:tcBorders>
            <w:shd w:val="clear" w:color="auto" w:fill="auto"/>
            <w:vAlign w:val="center"/>
          </w:tcPr>
          <w:p w14:paraId="08E22960">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无采购</w:t>
            </w:r>
          </w:p>
        </w:tc>
        <w:tc>
          <w:tcPr>
            <w:tcW w:w="3133" w:type="dxa"/>
            <w:tcBorders>
              <w:top w:val="nil"/>
              <w:left w:val="nil"/>
              <w:bottom w:val="single" w:color="auto" w:sz="4" w:space="0"/>
              <w:right w:val="single" w:color="auto" w:sz="4" w:space="0"/>
            </w:tcBorders>
            <w:shd w:val="clear" w:color="auto" w:fill="auto"/>
            <w:vAlign w:val="center"/>
          </w:tcPr>
          <w:p w14:paraId="16074073">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无政府采购</w:t>
            </w:r>
          </w:p>
        </w:tc>
        <w:tc>
          <w:tcPr>
            <w:tcW w:w="601" w:type="dxa"/>
            <w:tcBorders>
              <w:top w:val="nil"/>
              <w:left w:val="nil"/>
              <w:bottom w:val="single" w:color="auto" w:sz="4" w:space="0"/>
              <w:right w:val="single" w:color="auto" w:sz="4" w:space="0"/>
            </w:tcBorders>
            <w:shd w:val="clear" w:color="auto" w:fill="auto"/>
            <w:vAlign w:val="center"/>
          </w:tcPr>
          <w:p w14:paraId="462D80EB">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3</w:t>
            </w:r>
          </w:p>
        </w:tc>
        <w:tc>
          <w:tcPr>
            <w:tcW w:w="551" w:type="dxa"/>
            <w:vMerge w:val="continue"/>
            <w:tcBorders>
              <w:top w:val="nil"/>
              <w:left w:val="nil"/>
              <w:bottom w:val="single" w:color="auto" w:sz="4" w:space="0"/>
              <w:right w:val="single" w:color="auto" w:sz="4" w:space="0"/>
            </w:tcBorders>
            <w:shd w:val="clear" w:color="auto" w:fill="auto"/>
            <w:vAlign w:val="center"/>
          </w:tcPr>
          <w:p w14:paraId="0268A0BE">
            <w:pPr>
              <w:widowControl/>
              <w:jc w:val="left"/>
              <w:rPr>
                <w:rFonts w:hint="eastAsia" w:ascii="新宋体" w:hAnsi="新宋体" w:eastAsia="新宋体" w:cs="新宋体"/>
                <w:b w:val="0"/>
                <w:bCs w:val="0"/>
                <w:kern w:val="0"/>
                <w:sz w:val="24"/>
              </w:rPr>
            </w:pPr>
          </w:p>
        </w:tc>
      </w:tr>
      <w:tr w14:paraId="31A371B4">
        <w:tblPrEx>
          <w:tblCellMar>
            <w:top w:w="0" w:type="dxa"/>
            <w:left w:w="108" w:type="dxa"/>
            <w:bottom w:w="0" w:type="dxa"/>
            <w:right w:w="108" w:type="dxa"/>
          </w:tblCellMar>
        </w:tblPrEx>
        <w:trPr>
          <w:trHeight w:val="893" w:hRule="atLeast"/>
          <w:jc w:val="center"/>
        </w:trPr>
        <w:tc>
          <w:tcPr>
            <w:tcW w:w="715" w:type="dxa"/>
            <w:vMerge w:val="restart"/>
            <w:tcBorders>
              <w:top w:val="nil"/>
              <w:left w:val="single" w:color="auto" w:sz="4" w:space="0"/>
              <w:bottom w:val="single" w:color="auto" w:sz="4" w:space="0"/>
              <w:right w:val="single" w:color="auto" w:sz="4" w:space="0"/>
            </w:tcBorders>
            <w:vAlign w:val="center"/>
          </w:tcPr>
          <w:p w14:paraId="4A45C9B6">
            <w:pPr>
              <w:widowControl/>
              <w:jc w:val="center"/>
              <w:rPr>
                <w:rFonts w:hint="eastAsia" w:ascii="新宋体" w:hAnsi="新宋体" w:eastAsia="新宋体" w:cs="新宋体"/>
                <w:b w:val="0"/>
                <w:bCs w:val="0"/>
                <w:kern w:val="0"/>
                <w:sz w:val="24"/>
              </w:rPr>
            </w:pPr>
            <w:r>
              <w:rPr>
                <w:rFonts w:hint="eastAsia" w:ascii="宋体" w:hAnsi="宋体" w:cs="宋体"/>
                <w:b/>
                <w:bCs/>
                <w:kern w:val="0"/>
                <w:sz w:val="24"/>
                <w:highlight w:val="none"/>
              </w:rPr>
              <w:t>项目绩效</w:t>
            </w:r>
            <w:r>
              <w:rPr>
                <w:rFonts w:hint="eastAsia" w:ascii="宋体" w:hAnsi="宋体" w:cs="宋体"/>
                <w:b/>
                <w:bCs/>
                <w:kern w:val="0"/>
                <w:sz w:val="24"/>
                <w:highlight w:val="none"/>
              </w:rPr>
              <w:br w:type="textWrapping"/>
            </w:r>
            <w:r>
              <w:rPr>
                <w:rFonts w:hint="eastAsia" w:ascii="宋体" w:hAnsi="宋体" w:cs="宋体"/>
                <w:b/>
                <w:bCs/>
                <w:kern w:val="0"/>
                <w:sz w:val="24"/>
                <w:highlight w:val="none"/>
              </w:rPr>
              <w:t>（35分）</w:t>
            </w:r>
          </w:p>
        </w:tc>
        <w:tc>
          <w:tcPr>
            <w:tcW w:w="727" w:type="dxa"/>
            <w:vMerge w:val="restart"/>
            <w:tcBorders>
              <w:top w:val="nil"/>
              <w:left w:val="single" w:color="auto" w:sz="4" w:space="0"/>
              <w:bottom w:val="nil"/>
              <w:right w:val="single" w:color="auto" w:sz="4" w:space="0"/>
            </w:tcBorders>
            <w:vAlign w:val="center"/>
          </w:tcPr>
          <w:p w14:paraId="5049558D">
            <w:pPr>
              <w:widowControl/>
              <w:jc w:val="center"/>
              <w:rPr>
                <w:rFonts w:hint="eastAsia" w:ascii="新宋体" w:hAnsi="新宋体" w:eastAsia="新宋体" w:cs="新宋体"/>
                <w:b w:val="0"/>
                <w:bCs w:val="0"/>
                <w:kern w:val="0"/>
                <w:sz w:val="24"/>
              </w:rPr>
            </w:pPr>
            <w:r>
              <w:rPr>
                <w:rFonts w:hint="eastAsia" w:ascii="宋体" w:hAnsi="宋体" w:cs="宋体"/>
                <w:b/>
                <w:bCs/>
                <w:kern w:val="0"/>
                <w:sz w:val="24"/>
                <w:highlight w:val="none"/>
              </w:rPr>
              <w:t>项目决策</w:t>
            </w:r>
            <w:r>
              <w:rPr>
                <w:rFonts w:hint="eastAsia" w:ascii="宋体" w:hAnsi="宋体" w:cs="宋体"/>
                <w:b/>
                <w:bCs/>
                <w:kern w:val="0"/>
                <w:sz w:val="24"/>
                <w:highlight w:val="none"/>
              </w:rPr>
              <w:br w:type="textWrapping"/>
            </w:r>
            <w:r>
              <w:rPr>
                <w:rFonts w:hint="eastAsia" w:ascii="宋体" w:hAnsi="宋体" w:cs="宋体"/>
                <w:b/>
                <w:bCs/>
                <w:kern w:val="0"/>
                <w:sz w:val="24"/>
                <w:highlight w:val="none"/>
              </w:rPr>
              <w:t>（12分）</w:t>
            </w:r>
          </w:p>
        </w:tc>
        <w:tc>
          <w:tcPr>
            <w:tcW w:w="1152" w:type="dxa"/>
            <w:tcBorders>
              <w:top w:val="nil"/>
              <w:left w:val="nil"/>
              <w:bottom w:val="single" w:color="auto" w:sz="4" w:space="0"/>
              <w:right w:val="single" w:color="auto" w:sz="4" w:space="0"/>
            </w:tcBorders>
            <w:shd w:val="clear" w:color="auto" w:fill="auto"/>
            <w:vAlign w:val="center"/>
          </w:tcPr>
          <w:p w14:paraId="481A172F">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决策程序</w:t>
            </w:r>
          </w:p>
        </w:tc>
        <w:tc>
          <w:tcPr>
            <w:tcW w:w="467" w:type="dxa"/>
            <w:tcBorders>
              <w:top w:val="nil"/>
              <w:left w:val="nil"/>
              <w:bottom w:val="single" w:color="auto" w:sz="4" w:space="0"/>
              <w:right w:val="single" w:color="auto" w:sz="4" w:space="0"/>
            </w:tcBorders>
            <w:shd w:val="clear" w:color="auto" w:fill="auto"/>
            <w:vAlign w:val="center"/>
          </w:tcPr>
          <w:p w14:paraId="06564855">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4</w:t>
            </w:r>
          </w:p>
        </w:tc>
        <w:tc>
          <w:tcPr>
            <w:tcW w:w="1377" w:type="dxa"/>
            <w:tcBorders>
              <w:top w:val="nil"/>
              <w:left w:val="nil"/>
              <w:bottom w:val="single" w:color="auto" w:sz="4" w:space="0"/>
              <w:right w:val="single" w:color="auto" w:sz="4" w:space="0"/>
            </w:tcBorders>
            <w:shd w:val="clear" w:color="auto" w:fill="auto"/>
            <w:vAlign w:val="center"/>
          </w:tcPr>
          <w:p w14:paraId="73993039">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证明项目立项规范、目标明确</w:t>
            </w:r>
          </w:p>
        </w:tc>
        <w:tc>
          <w:tcPr>
            <w:tcW w:w="3133" w:type="dxa"/>
            <w:tcBorders>
              <w:top w:val="nil"/>
              <w:left w:val="nil"/>
              <w:bottom w:val="single" w:color="auto" w:sz="4" w:space="0"/>
              <w:right w:val="single" w:color="auto" w:sz="4" w:space="0"/>
            </w:tcBorders>
            <w:shd w:val="clear" w:color="auto" w:fill="auto"/>
            <w:vAlign w:val="center"/>
          </w:tcPr>
          <w:p w14:paraId="6B434196">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所有项目均经过</w:t>
            </w:r>
            <w:r>
              <w:rPr>
                <w:rFonts w:hint="eastAsia" w:ascii="宋体" w:hAnsi="宋体" w:cs="宋体"/>
                <w:color w:val="000000"/>
                <w:kern w:val="0"/>
                <w:sz w:val="18"/>
                <w:szCs w:val="18"/>
                <w:highlight w:val="none"/>
                <w:lang w:val="en-US" w:eastAsia="zh-CN"/>
              </w:rPr>
              <w:t>支部</w:t>
            </w:r>
            <w:r>
              <w:rPr>
                <w:rFonts w:hint="eastAsia" w:ascii="宋体" w:hAnsi="宋体" w:cs="宋体"/>
                <w:color w:val="000000"/>
                <w:kern w:val="0"/>
                <w:sz w:val="18"/>
                <w:szCs w:val="18"/>
                <w:highlight w:val="none"/>
              </w:rPr>
              <w:t>会审议</w:t>
            </w:r>
          </w:p>
        </w:tc>
        <w:tc>
          <w:tcPr>
            <w:tcW w:w="601" w:type="dxa"/>
            <w:tcBorders>
              <w:top w:val="nil"/>
              <w:left w:val="nil"/>
              <w:bottom w:val="single" w:color="auto" w:sz="4" w:space="0"/>
              <w:right w:val="single" w:color="auto" w:sz="4" w:space="0"/>
            </w:tcBorders>
            <w:shd w:val="clear" w:color="auto" w:fill="auto"/>
            <w:vAlign w:val="center"/>
          </w:tcPr>
          <w:p w14:paraId="005A8849">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4</w:t>
            </w:r>
          </w:p>
        </w:tc>
        <w:tc>
          <w:tcPr>
            <w:tcW w:w="551" w:type="dxa"/>
            <w:tcBorders>
              <w:top w:val="nil"/>
              <w:left w:val="nil"/>
              <w:bottom w:val="single" w:color="auto" w:sz="4" w:space="0"/>
              <w:right w:val="single" w:color="auto" w:sz="4" w:space="0"/>
            </w:tcBorders>
            <w:shd w:val="clear" w:color="auto" w:fill="auto"/>
            <w:vAlign w:val="center"/>
          </w:tcPr>
          <w:p w14:paraId="0E1AD9BD">
            <w:pPr>
              <w:widowControl/>
              <w:jc w:val="center"/>
              <w:rPr>
                <w:rFonts w:hint="eastAsia" w:ascii="新宋体" w:hAnsi="新宋体" w:eastAsia="新宋体" w:cs="新宋体"/>
                <w:b w:val="0"/>
                <w:bCs w:val="0"/>
                <w:kern w:val="0"/>
                <w:sz w:val="24"/>
              </w:rPr>
            </w:pPr>
            <w:r>
              <w:rPr>
                <w:rFonts w:hint="eastAsia" w:ascii="宋体" w:hAnsi="宋体" w:cs="宋体"/>
                <w:kern w:val="0"/>
                <w:sz w:val="24"/>
                <w:highlight w:val="none"/>
              </w:rPr>
              <w:t>　</w:t>
            </w:r>
          </w:p>
        </w:tc>
      </w:tr>
      <w:tr w14:paraId="4AE5178D">
        <w:tblPrEx>
          <w:tblCellMar>
            <w:top w:w="0" w:type="dxa"/>
            <w:left w:w="108" w:type="dxa"/>
            <w:bottom w:w="0" w:type="dxa"/>
            <w:right w:w="108" w:type="dxa"/>
          </w:tblCellMar>
        </w:tblPrEx>
        <w:trPr>
          <w:trHeight w:val="679" w:hRule="atLeast"/>
          <w:jc w:val="center"/>
        </w:trPr>
        <w:tc>
          <w:tcPr>
            <w:tcW w:w="715" w:type="dxa"/>
            <w:vMerge w:val="continue"/>
            <w:tcBorders>
              <w:top w:val="nil"/>
              <w:left w:val="single" w:color="auto" w:sz="4" w:space="0"/>
              <w:bottom w:val="single" w:color="auto" w:sz="4" w:space="0"/>
              <w:right w:val="single" w:color="auto" w:sz="4" w:space="0"/>
            </w:tcBorders>
            <w:vAlign w:val="center"/>
          </w:tcPr>
          <w:p w14:paraId="4A2599FA">
            <w:pPr>
              <w:widowControl/>
              <w:jc w:val="left"/>
              <w:rPr>
                <w:rFonts w:hint="eastAsia" w:ascii="新宋体" w:hAnsi="新宋体" w:eastAsia="新宋体" w:cs="新宋体"/>
                <w:b w:val="0"/>
                <w:bCs w:val="0"/>
                <w:kern w:val="0"/>
                <w:sz w:val="24"/>
              </w:rPr>
            </w:pPr>
          </w:p>
        </w:tc>
        <w:tc>
          <w:tcPr>
            <w:tcW w:w="727" w:type="dxa"/>
            <w:vMerge w:val="continue"/>
            <w:tcBorders>
              <w:top w:val="single" w:color="auto" w:sz="4" w:space="0"/>
              <w:left w:val="single" w:color="auto" w:sz="4" w:space="0"/>
              <w:bottom w:val="nil"/>
              <w:right w:val="single" w:color="auto" w:sz="4" w:space="0"/>
            </w:tcBorders>
            <w:shd w:val="clear" w:color="auto" w:fill="auto"/>
            <w:vAlign w:val="center"/>
          </w:tcPr>
          <w:p w14:paraId="449F7169">
            <w:pPr>
              <w:widowControl/>
              <w:jc w:val="left"/>
              <w:rPr>
                <w:rFonts w:hint="eastAsia" w:ascii="新宋体" w:hAnsi="新宋体" w:eastAsia="新宋体" w:cs="新宋体"/>
                <w:b w:val="0"/>
                <w:bCs w:val="0"/>
                <w:kern w:val="0"/>
                <w:sz w:val="24"/>
              </w:rPr>
            </w:pPr>
          </w:p>
        </w:tc>
        <w:tc>
          <w:tcPr>
            <w:tcW w:w="1152" w:type="dxa"/>
            <w:tcBorders>
              <w:top w:val="nil"/>
              <w:left w:val="nil"/>
              <w:bottom w:val="single" w:color="auto" w:sz="4" w:space="0"/>
              <w:right w:val="single" w:color="auto" w:sz="4" w:space="0"/>
            </w:tcBorders>
            <w:shd w:val="clear" w:color="auto" w:fill="auto"/>
            <w:vAlign w:val="center"/>
          </w:tcPr>
          <w:p w14:paraId="4B0465E7">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目标设置</w:t>
            </w:r>
          </w:p>
        </w:tc>
        <w:tc>
          <w:tcPr>
            <w:tcW w:w="467" w:type="dxa"/>
            <w:tcBorders>
              <w:top w:val="nil"/>
              <w:left w:val="nil"/>
              <w:bottom w:val="single" w:color="auto" w:sz="4" w:space="0"/>
              <w:right w:val="single" w:color="auto" w:sz="4" w:space="0"/>
            </w:tcBorders>
            <w:shd w:val="clear" w:color="auto" w:fill="auto"/>
            <w:vAlign w:val="center"/>
          </w:tcPr>
          <w:p w14:paraId="5CBB8E35">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4</w:t>
            </w:r>
          </w:p>
        </w:tc>
        <w:tc>
          <w:tcPr>
            <w:tcW w:w="1377" w:type="dxa"/>
            <w:tcBorders>
              <w:top w:val="nil"/>
              <w:left w:val="nil"/>
              <w:bottom w:val="single" w:color="auto" w:sz="4" w:space="0"/>
              <w:right w:val="single" w:color="auto" w:sz="4" w:space="0"/>
            </w:tcBorders>
            <w:shd w:val="clear" w:color="auto" w:fill="auto"/>
            <w:vAlign w:val="center"/>
          </w:tcPr>
          <w:p w14:paraId="1AFDB55D">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证明项目立项规范、目标明确</w:t>
            </w:r>
          </w:p>
        </w:tc>
        <w:tc>
          <w:tcPr>
            <w:tcW w:w="3133" w:type="dxa"/>
            <w:tcBorders>
              <w:top w:val="nil"/>
              <w:left w:val="nil"/>
              <w:bottom w:val="single" w:color="auto" w:sz="4" w:space="0"/>
              <w:right w:val="single" w:color="auto" w:sz="4" w:space="0"/>
            </w:tcBorders>
            <w:shd w:val="clear" w:color="auto" w:fill="auto"/>
            <w:vAlign w:val="center"/>
          </w:tcPr>
          <w:p w14:paraId="00549C2D">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项目申报书均设置了清晰、量化、可衡量的绩效目标</w:t>
            </w:r>
          </w:p>
        </w:tc>
        <w:tc>
          <w:tcPr>
            <w:tcW w:w="601" w:type="dxa"/>
            <w:tcBorders>
              <w:top w:val="nil"/>
              <w:left w:val="nil"/>
              <w:bottom w:val="single" w:color="auto" w:sz="4" w:space="0"/>
              <w:right w:val="single" w:color="auto" w:sz="4" w:space="0"/>
            </w:tcBorders>
            <w:shd w:val="clear" w:color="auto" w:fill="auto"/>
            <w:vAlign w:val="center"/>
          </w:tcPr>
          <w:p w14:paraId="403FFCE0">
            <w:pPr>
              <w:widowControl/>
              <w:jc w:val="left"/>
              <w:rPr>
                <w:rFonts w:hint="eastAsia" w:ascii="新宋体" w:hAnsi="新宋体" w:eastAsia="新宋体" w:cs="新宋体"/>
                <w:b w:val="0"/>
                <w:bCs w:val="0"/>
                <w:color w:val="000000"/>
                <w:kern w:val="0"/>
                <w:sz w:val="18"/>
                <w:szCs w:val="18"/>
                <w:lang w:eastAsia="zh-CN"/>
              </w:rPr>
            </w:pPr>
            <w:r>
              <w:rPr>
                <w:rFonts w:hint="eastAsia" w:ascii="宋体" w:hAnsi="宋体" w:cs="宋体"/>
                <w:color w:val="000000"/>
                <w:kern w:val="0"/>
                <w:sz w:val="18"/>
                <w:szCs w:val="18"/>
                <w:highlight w:val="none"/>
              </w:rPr>
              <w:t>4</w:t>
            </w:r>
          </w:p>
        </w:tc>
        <w:tc>
          <w:tcPr>
            <w:tcW w:w="551" w:type="dxa"/>
            <w:tcBorders>
              <w:top w:val="nil"/>
              <w:left w:val="nil"/>
              <w:bottom w:val="single" w:color="auto" w:sz="4" w:space="0"/>
              <w:right w:val="single" w:color="auto" w:sz="4" w:space="0"/>
            </w:tcBorders>
            <w:shd w:val="clear" w:color="auto" w:fill="auto"/>
            <w:vAlign w:val="center"/>
          </w:tcPr>
          <w:p w14:paraId="5833DB7C">
            <w:pPr>
              <w:widowControl/>
              <w:jc w:val="center"/>
              <w:rPr>
                <w:rFonts w:hint="eastAsia" w:ascii="新宋体" w:hAnsi="新宋体" w:eastAsia="新宋体" w:cs="新宋体"/>
                <w:b w:val="0"/>
                <w:bCs w:val="0"/>
                <w:kern w:val="0"/>
                <w:sz w:val="24"/>
              </w:rPr>
            </w:pPr>
            <w:r>
              <w:rPr>
                <w:rFonts w:hint="eastAsia" w:ascii="宋体" w:hAnsi="宋体" w:cs="宋体"/>
                <w:kern w:val="0"/>
                <w:sz w:val="24"/>
                <w:highlight w:val="none"/>
              </w:rPr>
              <w:t>　</w:t>
            </w:r>
          </w:p>
        </w:tc>
      </w:tr>
      <w:tr w14:paraId="6FB2CC8D">
        <w:tblPrEx>
          <w:tblCellMar>
            <w:top w:w="0" w:type="dxa"/>
            <w:left w:w="108" w:type="dxa"/>
            <w:bottom w:w="0" w:type="dxa"/>
            <w:right w:w="108" w:type="dxa"/>
          </w:tblCellMar>
        </w:tblPrEx>
        <w:trPr>
          <w:trHeight w:val="876" w:hRule="atLeast"/>
          <w:jc w:val="center"/>
        </w:trPr>
        <w:tc>
          <w:tcPr>
            <w:tcW w:w="715" w:type="dxa"/>
            <w:vMerge w:val="continue"/>
            <w:tcBorders>
              <w:top w:val="nil"/>
              <w:left w:val="single" w:color="auto" w:sz="4" w:space="0"/>
              <w:bottom w:val="single" w:color="auto" w:sz="4" w:space="0"/>
              <w:right w:val="single" w:color="auto" w:sz="4" w:space="0"/>
            </w:tcBorders>
            <w:vAlign w:val="center"/>
          </w:tcPr>
          <w:p w14:paraId="4F428279">
            <w:pPr>
              <w:widowControl/>
              <w:jc w:val="left"/>
              <w:rPr>
                <w:rFonts w:hint="eastAsia" w:ascii="新宋体" w:hAnsi="新宋体" w:eastAsia="新宋体" w:cs="新宋体"/>
                <w:b w:val="0"/>
                <w:bCs w:val="0"/>
                <w:kern w:val="0"/>
                <w:sz w:val="24"/>
              </w:rPr>
            </w:pPr>
          </w:p>
        </w:tc>
        <w:tc>
          <w:tcPr>
            <w:tcW w:w="727" w:type="dxa"/>
            <w:vMerge w:val="continue"/>
            <w:tcBorders>
              <w:top w:val="single" w:color="auto" w:sz="4" w:space="0"/>
              <w:left w:val="single" w:color="auto" w:sz="4" w:space="0"/>
              <w:bottom w:val="nil"/>
              <w:right w:val="single" w:color="auto" w:sz="4" w:space="0"/>
            </w:tcBorders>
            <w:vAlign w:val="center"/>
          </w:tcPr>
          <w:p w14:paraId="6A4CF458">
            <w:pPr>
              <w:widowControl/>
              <w:jc w:val="left"/>
              <w:rPr>
                <w:rFonts w:hint="eastAsia" w:ascii="新宋体" w:hAnsi="新宋体" w:eastAsia="新宋体" w:cs="新宋体"/>
                <w:b w:val="0"/>
                <w:bCs w:val="0"/>
                <w:kern w:val="0"/>
                <w:sz w:val="24"/>
              </w:rPr>
            </w:pPr>
          </w:p>
        </w:tc>
        <w:tc>
          <w:tcPr>
            <w:tcW w:w="1152" w:type="dxa"/>
            <w:tcBorders>
              <w:top w:val="nil"/>
              <w:left w:val="nil"/>
              <w:bottom w:val="nil"/>
              <w:right w:val="single" w:color="auto" w:sz="4" w:space="0"/>
            </w:tcBorders>
            <w:shd w:val="clear" w:color="auto" w:fill="auto"/>
            <w:vAlign w:val="center"/>
          </w:tcPr>
          <w:p w14:paraId="756A80E0">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项目入库</w:t>
            </w:r>
          </w:p>
        </w:tc>
        <w:tc>
          <w:tcPr>
            <w:tcW w:w="467" w:type="dxa"/>
            <w:tcBorders>
              <w:top w:val="nil"/>
              <w:left w:val="nil"/>
              <w:bottom w:val="single" w:color="auto" w:sz="4" w:space="0"/>
              <w:right w:val="single" w:color="auto" w:sz="4" w:space="0"/>
            </w:tcBorders>
            <w:shd w:val="clear" w:color="auto" w:fill="auto"/>
            <w:vAlign w:val="center"/>
          </w:tcPr>
          <w:p w14:paraId="128F5E59">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4</w:t>
            </w:r>
          </w:p>
        </w:tc>
        <w:tc>
          <w:tcPr>
            <w:tcW w:w="1377" w:type="dxa"/>
            <w:tcBorders>
              <w:top w:val="nil"/>
              <w:left w:val="nil"/>
              <w:bottom w:val="single" w:color="auto" w:sz="4" w:space="0"/>
              <w:right w:val="single" w:color="auto" w:sz="4" w:space="0"/>
            </w:tcBorders>
            <w:shd w:val="clear" w:color="auto" w:fill="auto"/>
            <w:vAlign w:val="center"/>
          </w:tcPr>
          <w:p w14:paraId="67E7A0DE">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证明项目立项规范、目标明确</w:t>
            </w:r>
          </w:p>
        </w:tc>
        <w:tc>
          <w:tcPr>
            <w:tcW w:w="3133" w:type="dxa"/>
            <w:tcBorders>
              <w:top w:val="nil"/>
              <w:left w:val="nil"/>
              <w:bottom w:val="single" w:color="auto" w:sz="4" w:space="0"/>
              <w:right w:val="single" w:color="auto" w:sz="4" w:space="0"/>
            </w:tcBorders>
            <w:shd w:val="clear" w:color="auto" w:fill="auto"/>
            <w:vAlign w:val="center"/>
          </w:tcPr>
          <w:p w14:paraId="26B94526">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项目均已纳入学校项目库管理，实行常态化申报和滚动管理</w:t>
            </w:r>
          </w:p>
        </w:tc>
        <w:tc>
          <w:tcPr>
            <w:tcW w:w="601" w:type="dxa"/>
            <w:tcBorders>
              <w:top w:val="nil"/>
              <w:left w:val="nil"/>
              <w:bottom w:val="single" w:color="auto" w:sz="4" w:space="0"/>
              <w:right w:val="single" w:color="auto" w:sz="4" w:space="0"/>
            </w:tcBorders>
            <w:shd w:val="clear" w:color="auto" w:fill="auto"/>
            <w:vAlign w:val="center"/>
          </w:tcPr>
          <w:p w14:paraId="6510CB39">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4</w:t>
            </w:r>
          </w:p>
        </w:tc>
        <w:tc>
          <w:tcPr>
            <w:tcW w:w="551" w:type="dxa"/>
            <w:tcBorders>
              <w:top w:val="nil"/>
              <w:left w:val="nil"/>
              <w:bottom w:val="single" w:color="auto" w:sz="4" w:space="0"/>
              <w:right w:val="single" w:color="auto" w:sz="4" w:space="0"/>
            </w:tcBorders>
            <w:shd w:val="clear" w:color="auto" w:fill="auto"/>
            <w:vAlign w:val="center"/>
          </w:tcPr>
          <w:p w14:paraId="358D53F1">
            <w:pPr>
              <w:widowControl/>
              <w:jc w:val="center"/>
              <w:rPr>
                <w:rFonts w:hint="eastAsia" w:ascii="新宋体" w:hAnsi="新宋体" w:eastAsia="新宋体" w:cs="新宋体"/>
                <w:b w:val="0"/>
                <w:bCs w:val="0"/>
                <w:kern w:val="0"/>
                <w:sz w:val="24"/>
              </w:rPr>
            </w:pPr>
            <w:r>
              <w:rPr>
                <w:rFonts w:hint="eastAsia" w:ascii="宋体" w:hAnsi="宋体" w:cs="宋体"/>
                <w:kern w:val="0"/>
                <w:sz w:val="24"/>
                <w:highlight w:val="none"/>
              </w:rPr>
              <w:t>　</w:t>
            </w:r>
          </w:p>
        </w:tc>
      </w:tr>
      <w:tr w14:paraId="4D8A4500">
        <w:tblPrEx>
          <w:tblCellMar>
            <w:top w:w="0" w:type="dxa"/>
            <w:left w:w="108" w:type="dxa"/>
            <w:bottom w:w="0" w:type="dxa"/>
            <w:right w:w="108" w:type="dxa"/>
          </w:tblCellMar>
        </w:tblPrEx>
        <w:trPr>
          <w:trHeight w:val="761" w:hRule="atLeast"/>
          <w:jc w:val="center"/>
        </w:trPr>
        <w:tc>
          <w:tcPr>
            <w:tcW w:w="715" w:type="dxa"/>
            <w:vMerge w:val="continue"/>
            <w:tcBorders>
              <w:top w:val="nil"/>
              <w:left w:val="single" w:color="auto" w:sz="4" w:space="0"/>
              <w:bottom w:val="single" w:color="auto" w:sz="4" w:space="0"/>
              <w:right w:val="single" w:color="auto" w:sz="4" w:space="0"/>
            </w:tcBorders>
            <w:vAlign w:val="center"/>
          </w:tcPr>
          <w:p w14:paraId="2FB45CC9">
            <w:pPr>
              <w:widowControl/>
              <w:jc w:val="left"/>
              <w:rPr>
                <w:rFonts w:hint="eastAsia" w:ascii="新宋体" w:hAnsi="新宋体" w:eastAsia="新宋体" w:cs="新宋体"/>
                <w:b w:val="0"/>
                <w:bCs w:val="0"/>
                <w:kern w:val="0"/>
                <w:sz w:val="24"/>
              </w:rPr>
            </w:pPr>
          </w:p>
        </w:tc>
        <w:tc>
          <w:tcPr>
            <w:tcW w:w="727" w:type="dxa"/>
            <w:vMerge w:val="restart"/>
            <w:tcBorders>
              <w:top w:val="single" w:color="auto" w:sz="4" w:space="0"/>
              <w:left w:val="single" w:color="auto" w:sz="4" w:space="0"/>
              <w:bottom w:val="nil"/>
              <w:right w:val="single" w:color="auto" w:sz="4" w:space="0"/>
            </w:tcBorders>
            <w:vAlign w:val="center"/>
          </w:tcPr>
          <w:p w14:paraId="2FF543C1">
            <w:pPr>
              <w:widowControl/>
              <w:jc w:val="center"/>
              <w:rPr>
                <w:rFonts w:hint="eastAsia" w:ascii="新宋体" w:hAnsi="新宋体" w:eastAsia="新宋体" w:cs="新宋体"/>
                <w:b w:val="0"/>
                <w:bCs w:val="0"/>
                <w:kern w:val="0"/>
                <w:sz w:val="24"/>
              </w:rPr>
            </w:pPr>
            <w:r>
              <w:rPr>
                <w:rFonts w:hint="eastAsia" w:ascii="宋体" w:hAnsi="宋体" w:cs="宋体"/>
                <w:b/>
                <w:bCs/>
                <w:kern w:val="0"/>
                <w:sz w:val="24"/>
                <w:highlight w:val="none"/>
              </w:rPr>
              <w:t>项目执行</w:t>
            </w:r>
            <w:r>
              <w:rPr>
                <w:rFonts w:hint="eastAsia" w:ascii="宋体" w:hAnsi="宋体" w:cs="宋体"/>
                <w:b/>
                <w:bCs/>
                <w:kern w:val="0"/>
                <w:sz w:val="24"/>
                <w:highlight w:val="none"/>
              </w:rPr>
              <w:br w:type="textWrapping"/>
            </w:r>
            <w:r>
              <w:rPr>
                <w:rFonts w:hint="eastAsia" w:ascii="宋体" w:hAnsi="宋体" w:cs="宋体"/>
                <w:b/>
                <w:bCs/>
                <w:kern w:val="0"/>
                <w:sz w:val="24"/>
                <w:highlight w:val="none"/>
              </w:rPr>
              <w:t>（12分）</w:t>
            </w:r>
          </w:p>
        </w:tc>
        <w:tc>
          <w:tcPr>
            <w:tcW w:w="1152" w:type="dxa"/>
            <w:tcBorders>
              <w:top w:val="single" w:color="auto" w:sz="4" w:space="0"/>
              <w:left w:val="nil"/>
              <w:bottom w:val="single" w:color="auto" w:sz="4" w:space="0"/>
              <w:right w:val="single" w:color="auto" w:sz="4" w:space="0"/>
            </w:tcBorders>
            <w:shd w:val="clear" w:color="auto" w:fill="auto"/>
            <w:vAlign w:val="center"/>
          </w:tcPr>
          <w:p w14:paraId="48546001">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执行同向</w:t>
            </w:r>
          </w:p>
        </w:tc>
        <w:tc>
          <w:tcPr>
            <w:tcW w:w="467" w:type="dxa"/>
            <w:tcBorders>
              <w:top w:val="nil"/>
              <w:left w:val="nil"/>
              <w:bottom w:val="single" w:color="auto" w:sz="4" w:space="0"/>
              <w:right w:val="single" w:color="auto" w:sz="4" w:space="0"/>
            </w:tcBorders>
            <w:shd w:val="clear" w:color="auto" w:fill="auto"/>
            <w:vAlign w:val="center"/>
          </w:tcPr>
          <w:p w14:paraId="1598045B">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5</w:t>
            </w:r>
          </w:p>
        </w:tc>
        <w:tc>
          <w:tcPr>
            <w:tcW w:w="1377" w:type="dxa"/>
            <w:tcBorders>
              <w:top w:val="nil"/>
              <w:left w:val="nil"/>
              <w:bottom w:val="single" w:color="auto" w:sz="4" w:space="0"/>
              <w:right w:val="single" w:color="auto" w:sz="4" w:space="0"/>
            </w:tcBorders>
            <w:shd w:val="clear" w:color="auto" w:fill="auto"/>
            <w:vAlign w:val="center"/>
          </w:tcPr>
          <w:p w14:paraId="67A59006">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项目资金使用与预算批复用途一致，无挪用。</w:t>
            </w:r>
          </w:p>
        </w:tc>
        <w:tc>
          <w:tcPr>
            <w:tcW w:w="3133" w:type="dxa"/>
            <w:tcBorders>
              <w:top w:val="nil"/>
              <w:left w:val="nil"/>
              <w:bottom w:val="single" w:color="auto" w:sz="4" w:space="0"/>
              <w:right w:val="single" w:color="auto" w:sz="4" w:space="0"/>
            </w:tcBorders>
            <w:shd w:val="clear" w:color="auto" w:fill="auto"/>
            <w:vAlign w:val="center"/>
          </w:tcPr>
          <w:p w14:paraId="1420B95B">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项目资金使用与预算批复用途一致，无挪用。</w:t>
            </w:r>
          </w:p>
        </w:tc>
        <w:tc>
          <w:tcPr>
            <w:tcW w:w="601" w:type="dxa"/>
            <w:tcBorders>
              <w:top w:val="nil"/>
              <w:left w:val="nil"/>
              <w:bottom w:val="single" w:color="auto" w:sz="4" w:space="0"/>
              <w:right w:val="single" w:color="auto" w:sz="4" w:space="0"/>
            </w:tcBorders>
            <w:shd w:val="clear" w:color="auto" w:fill="auto"/>
            <w:vAlign w:val="center"/>
          </w:tcPr>
          <w:p w14:paraId="6DE36170">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5</w:t>
            </w:r>
          </w:p>
        </w:tc>
        <w:tc>
          <w:tcPr>
            <w:tcW w:w="551" w:type="dxa"/>
            <w:tcBorders>
              <w:top w:val="nil"/>
              <w:left w:val="nil"/>
              <w:bottom w:val="single" w:color="auto" w:sz="4" w:space="0"/>
              <w:right w:val="single" w:color="auto" w:sz="4" w:space="0"/>
            </w:tcBorders>
            <w:shd w:val="clear" w:color="auto" w:fill="auto"/>
            <w:vAlign w:val="center"/>
          </w:tcPr>
          <w:p w14:paraId="2328332B">
            <w:pPr>
              <w:widowControl/>
              <w:jc w:val="center"/>
              <w:rPr>
                <w:rFonts w:hint="eastAsia" w:ascii="新宋体" w:hAnsi="新宋体" w:eastAsia="新宋体" w:cs="新宋体"/>
                <w:b w:val="0"/>
                <w:bCs w:val="0"/>
                <w:kern w:val="0"/>
                <w:sz w:val="24"/>
              </w:rPr>
            </w:pPr>
            <w:r>
              <w:rPr>
                <w:rFonts w:hint="eastAsia" w:ascii="宋体" w:hAnsi="宋体" w:cs="宋体"/>
                <w:kern w:val="0"/>
                <w:sz w:val="24"/>
                <w:highlight w:val="none"/>
              </w:rPr>
              <w:t>　</w:t>
            </w:r>
          </w:p>
        </w:tc>
      </w:tr>
      <w:tr w14:paraId="39B516CF">
        <w:tblPrEx>
          <w:tblCellMar>
            <w:top w:w="0" w:type="dxa"/>
            <w:left w:w="108" w:type="dxa"/>
            <w:bottom w:w="0" w:type="dxa"/>
            <w:right w:w="108" w:type="dxa"/>
          </w:tblCellMar>
        </w:tblPrEx>
        <w:trPr>
          <w:trHeight w:val="729" w:hRule="atLeast"/>
          <w:jc w:val="center"/>
        </w:trPr>
        <w:tc>
          <w:tcPr>
            <w:tcW w:w="715" w:type="dxa"/>
            <w:vMerge w:val="continue"/>
            <w:tcBorders>
              <w:top w:val="nil"/>
              <w:left w:val="single" w:color="auto" w:sz="4" w:space="0"/>
              <w:bottom w:val="single" w:color="auto" w:sz="4" w:space="0"/>
              <w:right w:val="single" w:color="auto" w:sz="4" w:space="0"/>
            </w:tcBorders>
            <w:vAlign w:val="center"/>
          </w:tcPr>
          <w:p w14:paraId="7D7DF311">
            <w:pPr>
              <w:widowControl/>
              <w:jc w:val="left"/>
              <w:rPr>
                <w:rFonts w:hint="eastAsia" w:ascii="新宋体" w:hAnsi="新宋体" w:eastAsia="新宋体" w:cs="新宋体"/>
                <w:b w:val="0"/>
                <w:bCs w:val="0"/>
                <w:kern w:val="0"/>
                <w:sz w:val="24"/>
              </w:rPr>
            </w:pPr>
          </w:p>
        </w:tc>
        <w:tc>
          <w:tcPr>
            <w:tcW w:w="72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9888AD0">
            <w:pPr>
              <w:widowControl/>
              <w:jc w:val="left"/>
              <w:rPr>
                <w:rFonts w:hint="eastAsia" w:ascii="新宋体" w:hAnsi="新宋体" w:eastAsia="新宋体" w:cs="新宋体"/>
                <w:b w:val="0"/>
                <w:bCs w:val="0"/>
                <w:kern w:val="0"/>
                <w:sz w:val="24"/>
              </w:rPr>
            </w:pPr>
          </w:p>
        </w:tc>
        <w:tc>
          <w:tcPr>
            <w:tcW w:w="1152" w:type="dxa"/>
            <w:tcBorders>
              <w:top w:val="nil"/>
              <w:left w:val="nil"/>
              <w:bottom w:val="single" w:color="auto" w:sz="4" w:space="0"/>
              <w:right w:val="single" w:color="auto" w:sz="4" w:space="0"/>
            </w:tcBorders>
            <w:shd w:val="clear" w:color="auto" w:fill="auto"/>
            <w:vAlign w:val="center"/>
          </w:tcPr>
          <w:p w14:paraId="48E54A34">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项目调整</w:t>
            </w:r>
          </w:p>
        </w:tc>
        <w:tc>
          <w:tcPr>
            <w:tcW w:w="467" w:type="dxa"/>
            <w:tcBorders>
              <w:top w:val="nil"/>
              <w:left w:val="nil"/>
              <w:bottom w:val="single" w:color="auto" w:sz="4" w:space="0"/>
              <w:right w:val="single" w:color="auto" w:sz="4" w:space="0"/>
            </w:tcBorders>
            <w:shd w:val="clear" w:color="auto" w:fill="auto"/>
            <w:vAlign w:val="center"/>
          </w:tcPr>
          <w:p w14:paraId="54EEF8B5">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6</w:t>
            </w:r>
          </w:p>
        </w:tc>
        <w:tc>
          <w:tcPr>
            <w:tcW w:w="1377" w:type="dxa"/>
            <w:tcBorders>
              <w:top w:val="nil"/>
              <w:left w:val="nil"/>
              <w:bottom w:val="single" w:color="auto" w:sz="4" w:space="0"/>
              <w:right w:val="single" w:color="auto" w:sz="4" w:space="0"/>
            </w:tcBorders>
            <w:shd w:val="clear" w:color="auto" w:fill="auto"/>
            <w:vAlign w:val="center"/>
          </w:tcPr>
          <w:p w14:paraId="5589F0E8">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如需调整，是否履行了规范的内部审批和报备程序</w:t>
            </w:r>
          </w:p>
        </w:tc>
        <w:tc>
          <w:tcPr>
            <w:tcW w:w="3133" w:type="dxa"/>
            <w:tcBorders>
              <w:top w:val="nil"/>
              <w:left w:val="nil"/>
              <w:bottom w:val="single" w:color="auto" w:sz="4" w:space="0"/>
              <w:right w:val="single" w:color="auto" w:sz="4" w:space="0"/>
            </w:tcBorders>
            <w:shd w:val="clear" w:color="auto" w:fill="auto"/>
            <w:vAlign w:val="center"/>
          </w:tcPr>
          <w:p w14:paraId="30D55545">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如需调整，</w:t>
            </w:r>
            <w:r>
              <w:rPr>
                <w:rFonts w:hint="eastAsia" w:ascii="宋体" w:hAnsi="宋体" w:cs="宋体"/>
                <w:color w:val="000000"/>
                <w:kern w:val="0"/>
                <w:sz w:val="18"/>
                <w:szCs w:val="18"/>
                <w:highlight w:val="none"/>
                <w:lang w:val="en-US" w:eastAsia="zh-CN"/>
              </w:rPr>
              <w:t>均</w:t>
            </w:r>
            <w:r>
              <w:rPr>
                <w:rFonts w:hint="eastAsia" w:ascii="宋体" w:hAnsi="宋体" w:cs="宋体"/>
                <w:color w:val="000000"/>
                <w:kern w:val="0"/>
                <w:sz w:val="18"/>
                <w:szCs w:val="18"/>
                <w:highlight w:val="none"/>
              </w:rPr>
              <w:t>履行了规范的内部审批和报备程序</w:t>
            </w:r>
          </w:p>
        </w:tc>
        <w:tc>
          <w:tcPr>
            <w:tcW w:w="601" w:type="dxa"/>
            <w:tcBorders>
              <w:top w:val="nil"/>
              <w:left w:val="nil"/>
              <w:bottom w:val="single" w:color="auto" w:sz="4" w:space="0"/>
              <w:right w:val="single" w:color="auto" w:sz="4" w:space="0"/>
            </w:tcBorders>
            <w:shd w:val="clear" w:color="auto" w:fill="auto"/>
            <w:vAlign w:val="center"/>
          </w:tcPr>
          <w:p w14:paraId="22B44040">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6</w:t>
            </w:r>
          </w:p>
        </w:tc>
        <w:tc>
          <w:tcPr>
            <w:tcW w:w="551" w:type="dxa"/>
            <w:tcBorders>
              <w:top w:val="nil"/>
              <w:left w:val="nil"/>
              <w:bottom w:val="single" w:color="auto" w:sz="4" w:space="0"/>
              <w:right w:val="single" w:color="auto" w:sz="4" w:space="0"/>
            </w:tcBorders>
            <w:shd w:val="clear" w:color="auto" w:fill="auto"/>
            <w:vAlign w:val="center"/>
          </w:tcPr>
          <w:p w14:paraId="28E01306">
            <w:pPr>
              <w:widowControl/>
              <w:jc w:val="center"/>
              <w:rPr>
                <w:rFonts w:hint="eastAsia" w:ascii="新宋体" w:hAnsi="新宋体" w:eastAsia="新宋体" w:cs="新宋体"/>
                <w:b w:val="0"/>
                <w:bCs w:val="0"/>
                <w:kern w:val="0"/>
                <w:sz w:val="24"/>
              </w:rPr>
            </w:pPr>
            <w:r>
              <w:rPr>
                <w:rFonts w:hint="eastAsia" w:ascii="宋体" w:hAnsi="宋体" w:cs="宋体"/>
                <w:kern w:val="0"/>
                <w:sz w:val="24"/>
                <w:highlight w:val="none"/>
              </w:rPr>
              <w:t>　</w:t>
            </w:r>
          </w:p>
        </w:tc>
      </w:tr>
      <w:tr w14:paraId="09B5070B">
        <w:tblPrEx>
          <w:tblCellMar>
            <w:top w:w="0" w:type="dxa"/>
            <w:left w:w="108" w:type="dxa"/>
            <w:bottom w:w="0" w:type="dxa"/>
            <w:right w:w="108" w:type="dxa"/>
          </w:tblCellMar>
        </w:tblPrEx>
        <w:trPr>
          <w:trHeight w:val="1007" w:hRule="atLeast"/>
          <w:jc w:val="center"/>
        </w:trPr>
        <w:tc>
          <w:tcPr>
            <w:tcW w:w="715" w:type="dxa"/>
            <w:vMerge w:val="continue"/>
            <w:tcBorders>
              <w:top w:val="nil"/>
              <w:left w:val="single" w:color="auto" w:sz="4" w:space="0"/>
              <w:bottom w:val="single" w:color="auto" w:sz="4" w:space="0"/>
              <w:right w:val="single" w:color="auto" w:sz="4" w:space="0"/>
            </w:tcBorders>
            <w:vAlign w:val="center"/>
          </w:tcPr>
          <w:p w14:paraId="704F7B19">
            <w:pPr>
              <w:widowControl/>
              <w:jc w:val="left"/>
              <w:rPr>
                <w:rFonts w:hint="eastAsia" w:ascii="新宋体" w:hAnsi="新宋体" w:eastAsia="新宋体" w:cs="新宋体"/>
                <w:b w:val="0"/>
                <w:bCs w:val="0"/>
                <w:kern w:val="0"/>
                <w:sz w:val="24"/>
              </w:rPr>
            </w:pPr>
          </w:p>
        </w:tc>
        <w:tc>
          <w:tcPr>
            <w:tcW w:w="727" w:type="dxa"/>
            <w:vMerge w:val="continue"/>
            <w:tcBorders>
              <w:top w:val="single" w:color="auto" w:sz="4" w:space="0"/>
              <w:left w:val="single" w:color="auto" w:sz="4" w:space="0"/>
              <w:bottom w:val="single" w:color="000000" w:sz="4" w:space="0"/>
              <w:right w:val="single" w:color="auto" w:sz="4" w:space="0"/>
            </w:tcBorders>
            <w:vAlign w:val="center"/>
          </w:tcPr>
          <w:p w14:paraId="0DBC4C58">
            <w:pPr>
              <w:widowControl/>
              <w:jc w:val="left"/>
              <w:rPr>
                <w:rFonts w:hint="eastAsia" w:ascii="新宋体" w:hAnsi="新宋体" w:eastAsia="新宋体" w:cs="新宋体"/>
                <w:b w:val="0"/>
                <w:bCs w:val="0"/>
                <w:kern w:val="0"/>
                <w:sz w:val="24"/>
              </w:rPr>
            </w:pPr>
          </w:p>
        </w:tc>
        <w:tc>
          <w:tcPr>
            <w:tcW w:w="1152" w:type="dxa"/>
            <w:tcBorders>
              <w:top w:val="nil"/>
              <w:left w:val="nil"/>
              <w:bottom w:val="single" w:color="auto" w:sz="4" w:space="0"/>
              <w:right w:val="single" w:color="auto" w:sz="4" w:space="0"/>
            </w:tcBorders>
            <w:shd w:val="clear" w:color="auto" w:fill="auto"/>
            <w:vAlign w:val="center"/>
          </w:tcPr>
          <w:p w14:paraId="0DA42C85">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执行结果</w:t>
            </w:r>
          </w:p>
        </w:tc>
        <w:tc>
          <w:tcPr>
            <w:tcW w:w="467" w:type="dxa"/>
            <w:tcBorders>
              <w:top w:val="nil"/>
              <w:left w:val="nil"/>
              <w:bottom w:val="single" w:color="auto" w:sz="4" w:space="0"/>
              <w:right w:val="single" w:color="auto" w:sz="4" w:space="0"/>
            </w:tcBorders>
            <w:shd w:val="clear" w:color="auto" w:fill="auto"/>
            <w:vAlign w:val="center"/>
          </w:tcPr>
          <w:p w14:paraId="1073145A">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4</w:t>
            </w:r>
          </w:p>
        </w:tc>
        <w:tc>
          <w:tcPr>
            <w:tcW w:w="1377" w:type="dxa"/>
            <w:tcBorders>
              <w:top w:val="nil"/>
              <w:left w:val="nil"/>
              <w:bottom w:val="single" w:color="auto" w:sz="4" w:space="0"/>
              <w:right w:val="single" w:color="auto" w:sz="4" w:space="0"/>
            </w:tcBorders>
            <w:shd w:val="clear" w:color="auto" w:fill="auto"/>
            <w:vAlign w:val="center"/>
          </w:tcPr>
          <w:p w14:paraId="5A286EC7">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项目执行率</w:t>
            </w:r>
          </w:p>
        </w:tc>
        <w:tc>
          <w:tcPr>
            <w:tcW w:w="3133" w:type="dxa"/>
            <w:tcBorders>
              <w:top w:val="nil"/>
              <w:left w:val="nil"/>
              <w:bottom w:val="single" w:color="auto" w:sz="4" w:space="0"/>
              <w:right w:val="single" w:color="auto" w:sz="4" w:space="0"/>
            </w:tcBorders>
            <w:shd w:val="clear" w:color="auto" w:fill="auto"/>
            <w:vAlign w:val="center"/>
          </w:tcPr>
          <w:p w14:paraId="7BBB68E4">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项目执行率达</w:t>
            </w:r>
            <w:r>
              <w:rPr>
                <w:rFonts w:hint="eastAsia" w:ascii="宋体" w:hAnsi="宋体" w:cs="宋体"/>
                <w:color w:val="000000"/>
                <w:kern w:val="0"/>
                <w:sz w:val="18"/>
                <w:szCs w:val="18"/>
                <w:highlight w:val="none"/>
                <w:lang w:val="en-US" w:eastAsia="zh-CN"/>
              </w:rPr>
              <w:t>到</w:t>
            </w:r>
            <w:r>
              <w:rPr>
                <w:rFonts w:hint="eastAsia" w:ascii="宋体" w:hAnsi="宋体" w:cs="宋体"/>
                <w:color w:val="000000"/>
                <w:kern w:val="0"/>
                <w:sz w:val="18"/>
                <w:szCs w:val="18"/>
                <w:highlight w:val="none"/>
              </w:rPr>
              <w:t>100%</w:t>
            </w:r>
          </w:p>
        </w:tc>
        <w:tc>
          <w:tcPr>
            <w:tcW w:w="601" w:type="dxa"/>
            <w:tcBorders>
              <w:top w:val="nil"/>
              <w:left w:val="nil"/>
              <w:bottom w:val="single" w:color="auto" w:sz="4" w:space="0"/>
              <w:right w:val="single" w:color="auto" w:sz="4" w:space="0"/>
            </w:tcBorders>
            <w:shd w:val="clear" w:color="auto" w:fill="auto"/>
            <w:vAlign w:val="center"/>
          </w:tcPr>
          <w:p w14:paraId="35D1BC52">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3.5</w:t>
            </w:r>
          </w:p>
        </w:tc>
        <w:tc>
          <w:tcPr>
            <w:tcW w:w="551" w:type="dxa"/>
            <w:tcBorders>
              <w:top w:val="nil"/>
              <w:left w:val="nil"/>
              <w:bottom w:val="single" w:color="auto" w:sz="4" w:space="0"/>
              <w:right w:val="single" w:color="auto" w:sz="4" w:space="0"/>
            </w:tcBorders>
            <w:shd w:val="clear" w:color="auto" w:fill="auto"/>
            <w:vAlign w:val="center"/>
          </w:tcPr>
          <w:p w14:paraId="6719B578">
            <w:pPr>
              <w:widowControl/>
              <w:jc w:val="center"/>
              <w:rPr>
                <w:rFonts w:hint="eastAsia" w:ascii="新宋体" w:hAnsi="新宋体" w:eastAsia="新宋体" w:cs="新宋体"/>
                <w:b w:val="0"/>
                <w:bCs w:val="0"/>
                <w:kern w:val="0"/>
                <w:sz w:val="24"/>
              </w:rPr>
            </w:pPr>
            <w:r>
              <w:rPr>
                <w:rFonts w:hint="eastAsia" w:ascii="宋体" w:hAnsi="宋体" w:cs="宋体"/>
                <w:kern w:val="0"/>
                <w:sz w:val="24"/>
                <w:highlight w:val="none"/>
              </w:rPr>
              <w:t>　</w:t>
            </w:r>
          </w:p>
        </w:tc>
      </w:tr>
      <w:tr w14:paraId="79F34184">
        <w:tblPrEx>
          <w:tblCellMar>
            <w:top w:w="0" w:type="dxa"/>
            <w:left w:w="108" w:type="dxa"/>
            <w:bottom w:w="0" w:type="dxa"/>
            <w:right w:w="108" w:type="dxa"/>
          </w:tblCellMar>
        </w:tblPrEx>
        <w:trPr>
          <w:trHeight w:val="679" w:hRule="atLeast"/>
          <w:jc w:val="center"/>
        </w:trPr>
        <w:tc>
          <w:tcPr>
            <w:tcW w:w="715" w:type="dxa"/>
            <w:vMerge w:val="continue"/>
            <w:tcBorders>
              <w:top w:val="nil"/>
              <w:left w:val="single" w:color="auto" w:sz="4" w:space="0"/>
              <w:bottom w:val="single" w:color="auto" w:sz="4" w:space="0"/>
              <w:right w:val="single" w:color="auto" w:sz="4" w:space="0"/>
            </w:tcBorders>
            <w:vAlign w:val="center"/>
          </w:tcPr>
          <w:p w14:paraId="10C9B294">
            <w:pPr>
              <w:widowControl/>
              <w:jc w:val="left"/>
              <w:rPr>
                <w:rFonts w:hint="eastAsia" w:ascii="新宋体" w:hAnsi="新宋体" w:eastAsia="新宋体" w:cs="新宋体"/>
                <w:b w:val="0"/>
                <w:bCs w:val="0"/>
                <w:kern w:val="0"/>
                <w:sz w:val="24"/>
              </w:rPr>
            </w:pPr>
          </w:p>
        </w:tc>
        <w:tc>
          <w:tcPr>
            <w:tcW w:w="727" w:type="dxa"/>
            <w:vMerge w:val="restart"/>
            <w:tcBorders>
              <w:top w:val="single" w:color="auto" w:sz="4" w:space="0"/>
              <w:left w:val="single" w:color="auto" w:sz="4" w:space="0"/>
              <w:bottom w:val="single" w:color="000000" w:sz="4" w:space="0"/>
              <w:right w:val="single" w:color="auto" w:sz="4" w:space="0"/>
            </w:tcBorders>
            <w:vAlign w:val="center"/>
          </w:tcPr>
          <w:p w14:paraId="50BC0776">
            <w:pPr>
              <w:widowControl/>
              <w:jc w:val="center"/>
              <w:rPr>
                <w:rFonts w:hint="eastAsia" w:ascii="新宋体" w:hAnsi="新宋体" w:eastAsia="新宋体" w:cs="新宋体"/>
                <w:b w:val="0"/>
                <w:bCs w:val="0"/>
                <w:kern w:val="0"/>
                <w:sz w:val="24"/>
              </w:rPr>
            </w:pPr>
            <w:r>
              <w:rPr>
                <w:rFonts w:hint="eastAsia" w:ascii="宋体" w:hAnsi="宋体" w:cs="宋体"/>
                <w:b/>
                <w:bCs/>
                <w:kern w:val="0"/>
                <w:sz w:val="24"/>
                <w:highlight w:val="none"/>
              </w:rPr>
              <w:t>目标实现</w:t>
            </w:r>
            <w:r>
              <w:rPr>
                <w:rFonts w:hint="eastAsia" w:ascii="宋体" w:hAnsi="宋体" w:cs="宋体"/>
                <w:b/>
                <w:bCs/>
                <w:kern w:val="0"/>
                <w:sz w:val="24"/>
                <w:highlight w:val="none"/>
              </w:rPr>
              <w:br w:type="textWrapping"/>
            </w:r>
            <w:r>
              <w:rPr>
                <w:rFonts w:hint="eastAsia" w:ascii="宋体" w:hAnsi="宋体" w:cs="宋体"/>
                <w:b/>
                <w:bCs/>
                <w:kern w:val="0"/>
                <w:sz w:val="24"/>
                <w:highlight w:val="none"/>
              </w:rPr>
              <w:t>（11分）</w:t>
            </w:r>
          </w:p>
        </w:tc>
        <w:tc>
          <w:tcPr>
            <w:tcW w:w="1152" w:type="dxa"/>
            <w:tcBorders>
              <w:top w:val="nil"/>
              <w:left w:val="nil"/>
              <w:bottom w:val="single" w:color="auto" w:sz="4" w:space="0"/>
              <w:right w:val="single" w:color="auto" w:sz="4" w:space="0"/>
            </w:tcBorders>
            <w:shd w:val="clear" w:color="auto" w:fill="auto"/>
            <w:vAlign w:val="center"/>
          </w:tcPr>
          <w:p w14:paraId="0D534837">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目标完成</w:t>
            </w:r>
          </w:p>
        </w:tc>
        <w:tc>
          <w:tcPr>
            <w:tcW w:w="467" w:type="dxa"/>
            <w:tcBorders>
              <w:top w:val="nil"/>
              <w:left w:val="nil"/>
              <w:bottom w:val="single" w:color="auto" w:sz="4" w:space="0"/>
              <w:right w:val="single" w:color="auto" w:sz="4" w:space="0"/>
            </w:tcBorders>
            <w:shd w:val="clear" w:color="auto" w:fill="auto"/>
            <w:vAlign w:val="center"/>
          </w:tcPr>
          <w:p w14:paraId="6C5CEDF3">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6</w:t>
            </w:r>
          </w:p>
        </w:tc>
        <w:tc>
          <w:tcPr>
            <w:tcW w:w="1377" w:type="dxa"/>
            <w:tcBorders>
              <w:top w:val="nil"/>
              <w:left w:val="nil"/>
              <w:bottom w:val="single" w:color="auto" w:sz="4" w:space="0"/>
              <w:right w:val="single" w:color="auto" w:sz="4" w:space="0"/>
            </w:tcBorders>
            <w:shd w:val="clear" w:color="auto" w:fill="auto"/>
            <w:vAlign w:val="center"/>
          </w:tcPr>
          <w:p w14:paraId="5655A8DD">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目标完成率</w:t>
            </w:r>
          </w:p>
        </w:tc>
        <w:tc>
          <w:tcPr>
            <w:tcW w:w="3133" w:type="dxa"/>
            <w:tcBorders>
              <w:top w:val="nil"/>
              <w:left w:val="nil"/>
              <w:bottom w:val="single" w:color="auto" w:sz="4" w:space="0"/>
              <w:right w:val="single" w:color="auto" w:sz="4" w:space="0"/>
            </w:tcBorders>
            <w:shd w:val="clear" w:color="auto" w:fill="auto"/>
            <w:vAlign w:val="center"/>
          </w:tcPr>
          <w:p w14:paraId="3D079204">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基建项目：按时完工、验收合格。设备采购项目：按时采购安装到位、设备运行良好。科研项目：</w:t>
            </w:r>
            <w:r>
              <w:rPr>
                <w:rFonts w:hint="eastAsia" w:ascii="宋体" w:hAnsi="宋体" w:cs="宋体"/>
                <w:color w:val="000000"/>
                <w:kern w:val="0"/>
                <w:sz w:val="18"/>
                <w:szCs w:val="18"/>
                <w:highlight w:val="none"/>
                <w:lang w:val="en-US" w:eastAsia="zh-CN"/>
              </w:rPr>
              <w:t>教师</w:t>
            </w:r>
            <w:r>
              <w:rPr>
                <w:rFonts w:hint="eastAsia" w:ascii="宋体" w:hAnsi="宋体" w:cs="宋体"/>
                <w:color w:val="000000"/>
                <w:kern w:val="0"/>
                <w:sz w:val="18"/>
                <w:szCs w:val="18"/>
                <w:highlight w:val="none"/>
              </w:rPr>
              <w:t>发表了论文。培训项目：完成了计划培训人次、学员满意度</w:t>
            </w:r>
            <w:r>
              <w:rPr>
                <w:rFonts w:hint="eastAsia" w:ascii="宋体" w:hAnsi="宋体" w:cs="宋体"/>
                <w:color w:val="000000"/>
                <w:kern w:val="0"/>
                <w:sz w:val="18"/>
                <w:szCs w:val="18"/>
                <w:highlight w:val="none"/>
                <w:lang w:eastAsia="zh-CN"/>
              </w:rPr>
              <w:t>高</w:t>
            </w:r>
            <w:r>
              <w:rPr>
                <w:rFonts w:hint="eastAsia" w:ascii="宋体" w:hAnsi="宋体" w:cs="宋体"/>
                <w:color w:val="000000"/>
                <w:kern w:val="0"/>
                <w:sz w:val="18"/>
                <w:szCs w:val="18"/>
                <w:highlight w:val="none"/>
              </w:rPr>
              <w:t>。</w:t>
            </w:r>
          </w:p>
        </w:tc>
        <w:tc>
          <w:tcPr>
            <w:tcW w:w="601" w:type="dxa"/>
            <w:tcBorders>
              <w:top w:val="nil"/>
              <w:left w:val="nil"/>
              <w:bottom w:val="single" w:color="auto" w:sz="4" w:space="0"/>
              <w:right w:val="single" w:color="auto" w:sz="4" w:space="0"/>
            </w:tcBorders>
            <w:shd w:val="clear" w:color="auto" w:fill="auto"/>
            <w:vAlign w:val="center"/>
          </w:tcPr>
          <w:p w14:paraId="28A723C6">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5.5</w:t>
            </w:r>
          </w:p>
        </w:tc>
        <w:tc>
          <w:tcPr>
            <w:tcW w:w="551" w:type="dxa"/>
            <w:tcBorders>
              <w:top w:val="nil"/>
              <w:left w:val="nil"/>
              <w:bottom w:val="single" w:color="auto" w:sz="4" w:space="0"/>
              <w:right w:val="single" w:color="auto" w:sz="4" w:space="0"/>
            </w:tcBorders>
            <w:shd w:val="clear" w:color="auto" w:fill="auto"/>
            <w:vAlign w:val="center"/>
          </w:tcPr>
          <w:p w14:paraId="0A47407D">
            <w:pPr>
              <w:widowControl/>
              <w:jc w:val="center"/>
              <w:rPr>
                <w:rFonts w:hint="eastAsia" w:ascii="新宋体" w:hAnsi="新宋体" w:eastAsia="新宋体" w:cs="新宋体"/>
                <w:b w:val="0"/>
                <w:bCs w:val="0"/>
                <w:kern w:val="0"/>
                <w:sz w:val="24"/>
              </w:rPr>
            </w:pPr>
            <w:r>
              <w:rPr>
                <w:rFonts w:hint="eastAsia" w:ascii="宋体" w:hAnsi="宋体" w:cs="宋体"/>
                <w:kern w:val="0"/>
                <w:sz w:val="24"/>
                <w:highlight w:val="none"/>
              </w:rPr>
              <w:t>　</w:t>
            </w:r>
          </w:p>
        </w:tc>
      </w:tr>
      <w:tr w14:paraId="0736BD1A">
        <w:tblPrEx>
          <w:tblCellMar>
            <w:top w:w="0" w:type="dxa"/>
            <w:left w:w="108" w:type="dxa"/>
            <w:bottom w:w="0" w:type="dxa"/>
            <w:right w:w="108" w:type="dxa"/>
          </w:tblCellMar>
        </w:tblPrEx>
        <w:trPr>
          <w:trHeight w:val="679" w:hRule="atLeast"/>
          <w:jc w:val="center"/>
        </w:trPr>
        <w:tc>
          <w:tcPr>
            <w:tcW w:w="715" w:type="dxa"/>
            <w:vMerge w:val="continue"/>
            <w:tcBorders>
              <w:top w:val="nil"/>
              <w:left w:val="single" w:color="auto" w:sz="4" w:space="0"/>
              <w:bottom w:val="single" w:color="000000" w:sz="4" w:space="0"/>
              <w:right w:val="single" w:color="auto" w:sz="4" w:space="0"/>
            </w:tcBorders>
            <w:shd w:val="clear" w:color="auto" w:fill="auto"/>
            <w:vAlign w:val="center"/>
          </w:tcPr>
          <w:p w14:paraId="267ECF4A">
            <w:pPr>
              <w:widowControl/>
              <w:jc w:val="left"/>
              <w:rPr>
                <w:rFonts w:hint="eastAsia" w:ascii="新宋体" w:hAnsi="新宋体" w:eastAsia="新宋体" w:cs="新宋体"/>
                <w:b w:val="0"/>
                <w:bCs w:val="0"/>
                <w:kern w:val="0"/>
                <w:sz w:val="24"/>
              </w:rPr>
            </w:pPr>
          </w:p>
        </w:tc>
        <w:tc>
          <w:tcPr>
            <w:tcW w:w="727" w:type="dxa"/>
            <w:vMerge w:val="continue"/>
            <w:tcBorders>
              <w:top w:val="nil"/>
              <w:left w:val="single" w:color="auto" w:sz="4" w:space="0"/>
              <w:bottom w:val="single" w:color="auto" w:sz="4" w:space="0"/>
              <w:right w:val="single" w:color="auto" w:sz="4" w:space="0"/>
            </w:tcBorders>
            <w:shd w:val="clear" w:color="auto" w:fill="auto"/>
            <w:vAlign w:val="center"/>
          </w:tcPr>
          <w:p w14:paraId="6832578A">
            <w:pPr>
              <w:widowControl/>
              <w:jc w:val="left"/>
              <w:rPr>
                <w:rFonts w:hint="eastAsia" w:ascii="新宋体" w:hAnsi="新宋体" w:eastAsia="新宋体" w:cs="新宋体"/>
                <w:b w:val="0"/>
                <w:bCs w:val="0"/>
                <w:kern w:val="0"/>
                <w:sz w:val="24"/>
              </w:rPr>
            </w:pPr>
          </w:p>
        </w:tc>
        <w:tc>
          <w:tcPr>
            <w:tcW w:w="1152" w:type="dxa"/>
            <w:tcBorders>
              <w:top w:val="nil"/>
              <w:left w:val="nil"/>
              <w:bottom w:val="single" w:color="auto" w:sz="4" w:space="0"/>
              <w:right w:val="single" w:color="auto" w:sz="4" w:space="0"/>
            </w:tcBorders>
            <w:shd w:val="clear" w:color="auto" w:fill="auto"/>
            <w:vAlign w:val="center"/>
          </w:tcPr>
          <w:p w14:paraId="6C748358">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目标偏离</w:t>
            </w:r>
          </w:p>
        </w:tc>
        <w:tc>
          <w:tcPr>
            <w:tcW w:w="467" w:type="dxa"/>
            <w:tcBorders>
              <w:top w:val="nil"/>
              <w:left w:val="nil"/>
              <w:bottom w:val="single" w:color="auto" w:sz="4" w:space="0"/>
              <w:right w:val="single" w:color="auto" w:sz="4" w:space="0"/>
            </w:tcBorders>
            <w:shd w:val="clear" w:color="auto" w:fill="auto"/>
            <w:vAlign w:val="center"/>
          </w:tcPr>
          <w:p w14:paraId="59FFE618">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6</w:t>
            </w:r>
          </w:p>
        </w:tc>
        <w:tc>
          <w:tcPr>
            <w:tcW w:w="1377" w:type="dxa"/>
            <w:tcBorders>
              <w:top w:val="nil"/>
              <w:left w:val="nil"/>
              <w:bottom w:val="single" w:color="auto" w:sz="4" w:space="0"/>
              <w:right w:val="single" w:color="auto" w:sz="4" w:space="0"/>
            </w:tcBorders>
            <w:shd w:val="clear" w:color="auto" w:fill="auto"/>
            <w:vAlign w:val="center"/>
          </w:tcPr>
          <w:p w14:paraId="1E78DE19">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项目结果与预期目标有无重大偏差</w:t>
            </w:r>
          </w:p>
        </w:tc>
        <w:tc>
          <w:tcPr>
            <w:tcW w:w="3133" w:type="dxa"/>
            <w:tcBorders>
              <w:top w:val="nil"/>
              <w:left w:val="nil"/>
              <w:bottom w:val="single" w:color="auto" w:sz="4" w:space="0"/>
              <w:right w:val="single" w:color="auto" w:sz="4" w:space="0"/>
            </w:tcBorders>
            <w:shd w:val="clear" w:color="auto" w:fill="auto"/>
            <w:vAlign w:val="center"/>
          </w:tcPr>
          <w:p w14:paraId="4490BA77">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项目结果与预期目标无重大偏差</w:t>
            </w:r>
            <w:r>
              <w:rPr>
                <w:rFonts w:hint="eastAsia" w:ascii="宋体" w:hAnsi="宋体" w:cs="宋体"/>
                <w:color w:val="000000"/>
                <w:kern w:val="0"/>
                <w:sz w:val="18"/>
                <w:szCs w:val="18"/>
                <w:highlight w:val="none"/>
                <w:lang w:eastAsia="zh-CN"/>
              </w:rPr>
              <w:t>。</w:t>
            </w:r>
          </w:p>
        </w:tc>
        <w:tc>
          <w:tcPr>
            <w:tcW w:w="601" w:type="dxa"/>
            <w:tcBorders>
              <w:top w:val="nil"/>
              <w:left w:val="nil"/>
              <w:bottom w:val="single" w:color="auto" w:sz="4" w:space="0"/>
              <w:right w:val="single" w:color="auto" w:sz="4" w:space="0"/>
            </w:tcBorders>
            <w:shd w:val="clear" w:color="auto" w:fill="auto"/>
            <w:vAlign w:val="center"/>
          </w:tcPr>
          <w:p w14:paraId="7821F178">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6</w:t>
            </w:r>
          </w:p>
        </w:tc>
        <w:tc>
          <w:tcPr>
            <w:tcW w:w="551" w:type="dxa"/>
            <w:tcBorders>
              <w:top w:val="nil"/>
              <w:left w:val="nil"/>
              <w:bottom w:val="single" w:color="auto" w:sz="4" w:space="0"/>
              <w:right w:val="single" w:color="auto" w:sz="4" w:space="0"/>
            </w:tcBorders>
            <w:shd w:val="clear" w:color="auto" w:fill="auto"/>
            <w:vAlign w:val="center"/>
          </w:tcPr>
          <w:p w14:paraId="67DB506F">
            <w:pPr>
              <w:widowControl/>
              <w:jc w:val="center"/>
              <w:rPr>
                <w:rFonts w:hint="eastAsia" w:ascii="新宋体" w:hAnsi="新宋体" w:eastAsia="新宋体" w:cs="新宋体"/>
                <w:b w:val="0"/>
                <w:bCs w:val="0"/>
                <w:kern w:val="0"/>
                <w:sz w:val="24"/>
              </w:rPr>
            </w:pPr>
            <w:r>
              <w:rPr>
                <w:rFonts w:hint="eastAsia" w:ascii="宋体" w:hAnsi="宋体" w:cs="宋体"/>
                <w:kern w:val="0"/>
                <w:sz w:val="24"/>
                <w:highlight w:val="none"/>
              </w:rPr>
              <w:t>　</w:t>
            </w:r>
          </w:p>
        </w:tc>
      </w:tr>
      <w:tr w14:paraId="03D92372">
        <w:tblPrEx>
          <w:tblCellMar>
            <w:top w:w="0" w:type="dxa"/>
            <w:left w:w="108" w:type="dxa"/>
            <w:bottom w:w="0" w:type="dxa"/>
            <w:right w:w="108" w:type="dxa"/>
          </w:tblCellMar>
        </w:tblPrEx>
        <w:trPr>
          <w:trHeight w:val="679" w:hRule="atLeast"/>
          <w:jc w:val="center"/>
        </w:trPr>
        <w:tc>
          <w:tcPr>
            <w:tcW w:w="715" w:type="dxa"/>
            <w:vMerge w:val="continue"/>
            <w:tcBorders>
              <w:top w:val="nil"/>
              <w:left w:val="single" w:color="auto" w:sz="4" w:space="0"/>
              <w:bottom w:val="single" w:color="000000" w:sz="4" w:space="0"/>
              <w:right w:val="single" w:color="auto" w:sz="4" w:space="0"/>
            </w:tcBorders>
            <w:vAlign w:val="center"/>
          </w:tcPr>
          <w:p w14:paraId="4531BFD3">
            <w:pPr>
              <w:widowControl/>
              <w:jc w:val="left"/>
              <w:rPr>
                <w:rFonts w:hint="eastAsia" w:ascii="新宋体" w:hAnsi="新宋体" w:eastAsia="新宋体" w:cs="新宋体"/>
                <w:b w:val="0"/>
                <w:bCs w:val="0"/>
                <w:kern w:val="0"/>
                <w:sz w:val="24"/>
              </w:rPr>
            </w:pPr>
          </w:p>
        </w:tc>
        <w:tc>
          <w:tcPr>
            <w:tcW w:w="727" w:type="dxa"/>
            <w:vMerge w:val="continue"/>
            <w:tcBorders>
              <w:top w:val="nil"/>
              <w:left w:val="single" w:color="auto" w:sz="4" w:space="0"/>
              <w:bottom w:val="single" w:color="auto" w:sz="4" w:space="0"/>
              <w:right w:val="single" w:color="auto" w:sz="4" w:space="0"/>
            </w:tcBorders>
            <w:vAlign w:val="center"/>
          </w:tcPr>
          <w:p w14:paraId="13702113">
            <w:pPr>
              <w:widowControl/>
              <w:jc w:val="left"/>
              <w:rPr>
                <w:rFonts w:hint="eastAsia" w:ascii="新宋体" w:hAnsi="新宋体" w:eastAsia="新宋体" w:cs="新宋体"/>
                <w:b w:val="0"/>
                <w:bCs w:val="0"/>
                <w:kern w:val="0"/>
                <w:sz w:val="24"/>
              </w:rPr>
            </w:pPr>
          </w:p>
        </w:tc>
        <w:tc>
          <w:tcPr>
            <w:tcW w:w="1152" w:type="dxa"/>
            <w:tcBorders>
              <w:top w:val="nil"/>
              <w:left w:val="nil"/>
              <w:bottom w:val="single" w:color="auto" w:sz="4" w:space="0"/>
              <w:right w:val="single" w:color="auto" w:sz="4" w:space="0"/>
            </w:tcBorders>
            <w:shd w:val="clear" w:color="auto" w:fill="auto"/>
            <w:vAlign w:val="center"/>
          </w:tcPr>
          <w:p w14:paraId="21EBEF24">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实现效果</w:t>
            </w:r>
          </w:p>
        </w:tc>
        <w:tc>
          <w:tcPr>
            <w:tcW w:w="467" w:type="dxa"/>
            <w:tcBorders>
              <w:top w:val="nil"/>
              <w:left w:val="nil"/>
              <w:bottom w:val="single" w:color="auto" w:sz="4" w:space="0"/>
              <w:right w:val="single" w:color="auto" w:sz="4" w:space="0"/>
            </w:tcBorders>
            <w:shd w:val="clear" w:color="auto" w:fill="auto"/>
            <w:vAlign w:val="center"/>
          </w:tcPr>
          <w:p w14:paraId="7BF716D0">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5</w:t>
            </w:r>
          </w:p>
        </w:tc>
        <w:tc>
          <w:tcPr>
            <w:tcW w:w="1377" w:type="dxa"/>
            <w:tcBorders>
              <w:top w:val="nil"/>
              <w:left w:val="nil"/>
              <w:bottom w:val="single" w:color="auto" w:sz="4" w:space="0"/>
              <w:right w:val="single" w:color="auto" w:sz="4" w:space="0"/>
            </w:tcBorders>
            <w:shd w:val="clear" w:color="auto" w:fill="auto"/>
            <w:vAlign w:val="center"/>
          </w:tcPr>
          <w:p w14:paraId="32AF0869">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项目</w:t>
            </w:r>
            <w:r>
              <w:rPr>
                <w:rFonts w:hint="eastAsia" w:ascii="宋体" w:hAnsi="宋体" w:cs="宋体"/>
                <w:color w:val="000000"/>
                <w:kern w:val="0"/>
                <w:sz w:val="18"/>
                <w:szCs w:val="18"/>
                <w:highlight w:val="none"/>
                <w:lang w:val="en-US" w:eastAsia="zh-CN"/>
              </w:rPr>
              <w:t>是否</w:t>
            </w:r>
            <w:r>
              <w:rPr>
                <w:rFonts w:hint="eastAsia" w:ascii="宋体" w:hAnsi="宋体" w:cs="宋体"/>
                <w:color w:val="000000"/>
                <w:kern w:val="0"/>
                <w:sz w:val="18"/>
                <w:szCs w:val="18"/>
                <w:highlight w:val="none"/>
              </w:rPr>
              <w:t>带来的长远效益</w:t>
            </w:r>
          </w:p>
        </w:tc>
        <w:tc>
          <w:tcPr>
            <w:tcW w:w="3133" w:type="dxa"/>
            <w:tcBorders>
              <w:top w:val="nil"/>
              <w:left w:val="nil"/>
              <w:bottom w:val="single" w:color="auto" w:sz="4" w:space="0"/>
              <w:right w:val="single" w:color="auto" w:sz="4" w:space="0"/>
            </w:tcBorders>
            <w:shd w:val="clear" w:color="auto" w:fill="auto"/>
            <w:vAlign w:val="center"/>
          </w:tcPr>
          <w:p w14:paraId="01B9C95D">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项目带来的长远效益。</w:t>
            </w:r>
          </w:p>
        </w:tc>
        <w:tc>
          <w:tcPr>
            <w:tcW w:w="601" w:type="dxa"/>
            <w:tcBorders>
              <w:top w:val="nil"/>
              <w:left w:val="nil"/>
              <w:bottom w:val="single" w:color="auto" w:sz="4" w:space="0"/>
              <w:right w:val="single" w:color="auto" w:sz="4" w:space="0"/>
            </w:tcBorders>
            <w:shd w:val="clear" w:color="auto" w:fill="auto"/>
            <w:vAlign w:val="center"/>
          </w:tcPr>
          <w:p w14:paraId="409F9583">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5</w:t>
            </w:r>
          </w:p>
        </w:tc>
        <w:tc>
          <w:tcPr>
            <w:tcW w:w="551" w:type="dxa"/>
            <w:tcBorders>
              <w:top w:val="nil"/>
              <w:left w:val="nil"/>
              <w:bottom w:val="single" w:color="auto" w:sz="4" w:space="0"/>
              <w:right w:val="single" w:color="auto" w:sz="4" w:space="0"/>
            </w:tcBorders>
            <w:shd w:val="clear" w:color="auto" w:fill="auto"/>
            <w:vAlign w:val="center"/>
          </w:tcPr>
          <w:p w14:paraId="2A384E95">
            <w:pPr>
              <w:widowControl/>
              <w:jc w:val="center"/>
              <w:rPr>
                <w:rFonts w:hint="eastAsia" w:ascii="新宋体" w:hAnsi="新宋体" w:eastAsia="新宋体" w:cs="新宋体"/>
                <w:b w:val="0"/>
                <w:bCs w:val="0"/>
                <w:kern w:val="0"/>
                <w:sz w:val="24"/>
              </w:rPr>
            </w:pPr>
            <w:r>
              <w:rPr>
                <w:rFonts w:hint="eastAsia" w:ascii="宋体" w:hAnsi="宋体" w:cs="宋体"/>
                <w:kern w:val="0"/>
                <w:sz w:val="24"/>
                <w:highlight w:val="none"/>
              </w:rPr>
              <w:t>　</w:t>
            </w:r>
          </w:p>
        </w:tc>
      </w:tr>
      <w:tr w14:paraId="226635F5">
        <w:tblPrEx>
          <w:tblCellMar>
            <w:top w:w="0" w:type="dxa"/>
            <w:left w:w="108" w:type="dxa"/>
            <w:bottom w:w="0" w:type="dxa"/>
            <w:right w:w="108" w:type="dxa"/>
          </w:tblCellMar>
        </w:tblPrEx>
        <w:trPr>
          <w:trHeight w:val="679" w:hRule="atLeast"/>
          <w:jc w:val="center"/>
        </w:trPr>
        <w:tc>
          <w:tcPr>
            <w:tcW w:w="715" w:type="dxa"/>
            <w:vMerge w:val="restart"/>
            <w:tcBorders>
              <w:top w:val="nil"/>
              <w:left w:val="single" w:color="auto" w:sz="4" w:space="0"/>
              <w:bottom w:val="single" w:color="000000" w:sz="4" w:space="0"/>
              <w:right w:val="single" w:color="auto" w:sz="4" w:space="0"/>
            </w:tcBorders>
            <w:vAlign w:val="center"/>
          </w:tcPr>
          <w:p w14:paraId="373CD583">
            <w:pPr>
              <w:widowControl/>
              <w:jc w:val="center"/>
              <w:rPr>
                <w:rFonts w:hint="eastAsia" w:ascii="新宋体" w:hAnsi="新宋体" w:eastAsia="新宋体" w:cs="新宋体"/>
                <w:b w:val="0"/>
                <w:bCs w:val="0"/>
                <w:kern w:val="0"/>
                <w:sz w:val="24"/>
              </w:rPr>
            </w:pPr>
            <w:r>
              <w:rPr>
                <w:rFonts w:hint="eastAsia" w:ascii="宋体" w:hAnsi="宋体" w:cs="宋体"/>
                <w:b/>
                <w:bCs/>
                <w:kern w:val="0"/>
                <w:sz w:val="24"/>
                <w:highlight w:val="none"/>
              </w:rPr>
              <w:t>扣分项</w:t>
            </w:r>
          </w:p>
        </w:tc>
        <w:tc>
          <w:tcPr>
            <w:tcW w:w="727" w:type="dxa"/>
            <w:vMerge w:val="restart"/>
            <w:tcBorders>
              <w:top w:val="nil"/>
              <w:left w:val="single" w:color="auto" w:sz="4" w:space="0"/>
              <w:bottom w:val="single" w:color="auto" w:sz="4" w:space="0"/>
              <w:right w:val="single" w:color="auto" w:sz="4" w:space="0"/>
            </w:tcBorders>
            <w:vAlign w:val="center"/>
          </w:tcPr>
          <w:p w14:paraId="35AE45DB">
            <w:pPr>
              <w:widowControl/>
              <w:jc w:val="center"/>
              <w:rPr>
                <w:rFonts w:hint="eastAsia" w:ascii="新宋体" w:hAnsi="新宋体" w:eastAsia="新宋体" w:cs="新宋体"/>
                <w:b w:val="0"/>
                <w:bCs w:val="0"/>
                <w:kern w:val="0"/>
                <w:sz w:val="24"/>
              </w:rPr>
            </w:pPr>
            <w:r>
              <w:rPr>
                <w:rFonts w:hint="eastAsia" w:ascii="宋体" w:hAnsi="宋体" w:cs="宋体"/>
                <w:b/>
                <w:bCs/>
                <w:kern w:val="0"/>
                <w:sz w:val="24"/>
                <w:highlight w:val="none"/>
              </w:rPr>
              <w:t>财务管理</w:t>
            </w:r>
          </w:p>
        </w:tc>
        <w:tc>
          <w:tcPr>
            <w:tcW w:w="1152" w:type="dxa"/>
            <w:tcBorders>
              <w:top w:val="nil"/>
              <w:left w:val="nil"/>
              <w:bottom w:val="single" w:color="auto" w:sz="4" w:space="0"/>
              <w:right w:val="single" w:color="auto" w:sz="4" w:space="0"/>
            </w:tcBorders>
            <w:shd w:val="clear" w:color="auto" w:fill="auto"/>
            <w:vAlign w:val="center"/>
          </w:tcPr>
          <w:p w14:paraId="41CFF7F7">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财务管理制度</w:t>
            </w:r>
          </w:p>
        </w:tc>
        <w:tc>
          <w:tcPr>
            <w:tcW w:w="467" w:type="dxa"/>
            <w:tcBorders>
              <w:top w:val="nil"/>
              <w:left w:val="nil"/>
              <w:bottom w:val="single" w:color="auto" w:sz="4" w:space="0"/>
              <w:right w:val="single" w:color="auto" w:sz="4" w:space="0"/>
            </w:tcBorders>
            <w:shd w:val="clear" w:color="auto" w:fill="auto"/>
            <w:vAlign w:val="center"/>
          </w:tcPr>
          <w:p w14:paraId="55127E5B">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w:t>
            </w:r>
          </w:p>
        </w:tc>
        <w:tc>
          <w:tcPr>
            <w:tcW w:w="1377" w:type="dxa"/>
            <w:tcBorders>
              <w:top w:val="nil"/>
              <w:left w:val="nil"/>
              <w:bottom w:val="single" w:color="auto" w:sz="4" w:space="0"/>
              <w:right w:val="single" w:color="auto" w:sz="4" w:space="0"/>
            </w:tcBorders>
            <w:shd w:val="clear" w:color="auto" w:fill="auto"/>
            <w:vAlign w:val="center"/>
          </w:tcPr>
          <w:p w14:paraId="78FF5B08">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学校</w:t>
            </w:r>
            <w:r>
              <w:rPr>
                <w:rFonts w:hint="eastAsia" w:ascii="宋体" w:hAnsi="宋体" w:cs="宋体"/>
                <w:color w:val="000000"/>
                <w:kern w:val="0"/>
                <w:sz w:val="18"/>
                <w:szCs w:val="18"/>
                <w:highlight w:val="none"/>
                <w:lang w:val="en-US" w:eastAsia="zh-CN"/>
              </w:rPr>
              <w:t>是否</w:t>
            </w:r>
            <w:r>
              <w:rPr>
                <w:rFonts w:hint="eastAsia" w:ascii="宋体" w:hAnsi="宋体" w:cs="宋体"/>
                <w:color w:val="000000"/>
                <w:kern w:val="0"/>
                <w:sz w:val="18"/>
                <w:szCs w:val="18"/>
                <w:highlight w:val="none"/>
              </w:rPr>
              <w:t>有健全的财务制度</w:t>
            </w:r>
          </w:p>
        </w:tc>
        <w:tc>
          <w:tcPr>
            <w:tcW w:w="3133" w:type="dxa"/>
            <w:tcBorders>
              <w:top w:val="nil"/>
              <w:left w:val="nil"/>
              <w:bottom w:val="single" w:color="auto" w:sz="4" w:space="0"/>
              <w:right w:val="single" w:color="auto" w:sz="4" w:space="0"/>
            </w:tcBorders>
            <w:shd w:val="clear" w:color="auto" w:fill="auto"/>
            <w:vAlign w:val="center"/>
          </w:tcPr>
          <w:p w14:paraId="255929BE">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学校有健全的财务制度</w:t>
            </w:r>
          </w:p>
        </w:tc>
        <w:tc>
          <w:tcPr>
            <w:tcW w:w="601" w:type="dxa"/>
            <w:tcBorders>
              <w:top w:val="nil"/>
              <w:left w:val="nil"/>
              <w:bottom w:val="single" w:color="auto" w:sz="4" w:space="0"/>
              <w:right w:val="single" w:color="auto" w:sz="4" w:space="0"/>
            </w:tcBorders>
            <w:shd w:val="clear" w:color="auto" w:fill="auto"/>
            <w:vAlign w:val="center"/>
          </w:tcPr>
          <w:p w14:paraId="7407CEC4">
            <w:pPr>
              <w:widowControl/>
              <w:jc w:val="left"/>
              <w:rPr>
                <w:rFonts w:hint="eastAsia" w:ascii="新宋体" w:hAnsi="新宋体" w:eastAsia="新宋体" w:cs="新宋体"/>
                <w:b w:val="0"/>
                <w:bCs w:val="0"/>
                <w:kern w:val="0"/>
                <w:sz w:val="24"/>
              </w:rPr>
            </w:pPr>
            <w:r>
              <w:rPr>
                <w:rFonts w:hint="eastAsia" w:ascii="宋体" w:hAnsi="宋体" w:cs="宋体"/>
                <w:color w:val="000000"/>
                <w:kern w:val="0"/>
                <w:sz w:val="18"/>
                <w:szCs w:val="18"/>
                <w:highlight w:val="none"/>
              </w:rPr>
              <w:t>　</w:t>
            </w:r>
          </w:p>
        </w:tc>
        <w:tc>
          <w:tcPr>
            <w:tcW w:w="551" w:type="dxa"/>
            <w:tcBorders>
              <w:top w:val="nil"/>
              <w:left w:val="nil"/>
              <w:bottom w:val="single" w:color="auto" w:sz="4" w:space="0"/>
              <w:right w:val="single" w:color="auto" w:sz="4" w:space="0"/>
            </w:tcBorders>
            <w:shd w:val="clear" w:color="auto" w:fill="auto"/>
            <w:vAlign w:val="center"/>
          </w:tcPr>
          <w:p w14:paraId="5A19FB58">
            <w:pPr>
              <w:widowControl/>
              <w:jc w:val="center"/>
              <w:rPr>
                <w:rFonts w:hint="eastAsia" w:ascii="新宋体" w:hAnsi="新宋体" w:eastAsia="新宋体" w:cs="新宋体"/>
                <w:b w:val="0"/>
                <w:bCs w:val="0"/>
                <w:kern w:val="0"/>
                <w:sz w:val="24"/>
              </w:rPr>
            </w:pPr>
            <w:r>
              <w:rPr>
                <w:rFonts w:hint="eastAsia" w:ascii="宋体" w:hAnsi="宋体" w:cs="宋体"/>
                <w:kern w:val="0"/>
                <w:sz w:val="24"/>
                <w:highlight w:val="none"/>
              </w:rPr>
              <w:t>　</w:t>
            </w:r>
          </w:p>
        </w:tc>
      </w:tr>
      <w:tr w14:paraId="7136C5D3">
        <w:tblPrEx>
          <w:tblCellMar>
            <w:top w:w="0" w:type="dxa"/>
            <w:left w:w="108" w:type="dxa"/>
            <w:bottom w:w="0" w:type="dxa"/>
            <w:right w:w="108" w:type="dxa"/>
          </w:tblCellMar>
        </w:tblPrEx>
        <w:trPr>
          <w:trHeight w:val="993" w:hRule="atLeast"/>
          <w:jc w:val="center"/>
        </w:trPr>
        <w:tc>
          <w:tcPr>
            <w:tcW w:w="715" w:type="dxa"/>
            <w:vMerge w:val="continue"/>
            <w:tcBorders>
              <w:top w:val="nil"/>
              <w:left w:val="single" w:color="auto" w:sz="4" w:space="0"/>
              <w:bottom w:val="single" w:color="000000" w:sz="4" w:space="0"/>
              <w:right w:val="single" w:color="auto" w:sz="4" w:space="0"/>
            </w:tcBorders>
            <w:vAlign w:val="center"/>
          </w:tcPr>
          <w:p w14:paraId="189B530D">
            <w:pPr>
              <w:widowControl/>
              <w:jc w:val="left"/>
              <w:rPr>
                <w:rFonts w:hint="eastAsia" w:ascii="新宋体" w:hAnsi="新宋体" w:eastAsia="新宋体" w:cs="新宋体"/>
                <w:b w:val="0"/>
                <w:bCs w:val="0"/>
                <w:kern w:val="0"/>
                <w:sz w:val="24"/>
              </w:rPr>
            </w:pPr>
          </w:p>
        </w:tc>
        <w:tc>
          <w:tcPr>
            <w:tcW w:w="727" w:type="dxa"/>
            <w:vMerge w:val="continue"/>
            <w:tcBorders>
              <w:top w:val="single" w:color="auto" w:sz="4" w:space="0"/>
              <w:left w:val="nil"/>
              <w:bottom w:val="single" w:color="auto" w:sz="4" w:space="0"/>
              <w:right w:val="single" w:color="auto" w:sz="4" w:space="0"/>
            </w:tcBorders>
            <w:shd w:val="clear" w:color="auto" w:fill="auto"/>
            <w:vAlign w:val="center"/>
          </w:tcPr>
          <w:p w14:paraId="17E2205F">
            <w:pPr>
              <w:widowControl/>
              <w:jc w:val="left"/>
              <w:rPr>
                <w:rFonts w:hint="eastAsia" w:ascii="新宋体" w:hAnsi="新宋体" w:eastAsia="新宋体" w:cs="新宋体"/>
                <w:b w:val="0"/>
                <w:bCs w:val="0"/>
                <w:color w:val="000000"/>
                <w:kern w:val="0"/>
                <w:sz w:val="18"/>
                <w:szCs w:val="18"/>
              </w:rPr>
            </w:pPr>
          </w:p>
        </w:tc>
        <w:tc>
          <w:tcPr>
            <w:tcW w:w="1152" w:type="dxa"/>
            <w:tcBorders>
              <w:top w:val="nil"/>
              <w:left w:val="nil"/>
              <w:bottom w:val="single" w:color="auto" w:sz="4" w:space="0"/>
              <w:right w:val="single" w:color="auto" w:sz="4" w:space="0"/>
            </w:tcBorders>
            <w:shd w:val="clear" w:color="auto" w:fill="auto"/>
            <w:vAlign w:val="center"/>
          </w:tcPr>
          <w:p w14:paraId="29F4D9ED">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财务岗位设置</w:t>
            </w:r>
          </w:p>
        </w:tc>
        <w:tc>
          <w:tcPr>
            <w:tcW w:w="467" w:type="dxa"/>
            <w:tcBorders>
              <w:top w:val="nil"/>
              <w:left w:val="nil"/>
              <w:bottom w:val="single" w:color="auto" w:sz="4" w:space="0"/>
              <w:right w:val="single" w:color="auto" w:sz="4" w:space="0"/>
            </w:tcBorders>
            <w:shd w:val="clear" w:color="auto" w:fill="auto"/>
            <w:vAlign w:val="center"/>
          </w:tcPr>
          <w:p w14:paraId="610FB4CA">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w:t>
            </w:r>
          </w:p>
        </w:tc>
        <w:tc>
          <w:tcPr>
            <w:tcW w:w="1377" w:type="dxa"/>
            <w:tcBorders>
              <w:top w:val="nil"/>
              <w:left w:val="nil"/>
              <w:bottom w:val="single" w:color="auto" w:sz="4" w:space="0"/>
              <w:right w:val="single" w:color="auto" w:sz="4" w:space="0"/>
            </w:tcBorders>
            <w:shd w:val="clear" w:color="auto" w:fill="auto"/>
            <w:vAlign w:val="center"/>
          </w:tcPr>
          <w:p w14:paraId="3853EA26">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岗位设置</w:t>
            </w:r>
            <w:r>
              <w:rPr>
                <w:rFonts w:hint="eastAsia" w:ascii="宋体" w:hAnsi="宋体" w:cs="宋体"/>
                <w:color w:val="000000"/>
                <w:kern w:val="0"/>
                <w:sz w:val="18"/>
                <w:szCs w:val="18"/>
                <w:highlight w:val="none"/>
                <w:lang w:val="en-US" w:eastAsia="zh-CN"/>
              </w:rPr>
              <w:t>是否</w:t>
            </w:r>
            <w:r>
              <w:rPr>
                <w:rFonts w:hint="eastAsia" w:ascii="宋体" w:hAnsi="宋体" w:cs="宋体"/>
                <w:color w:val="000000"/>
                <w:kern w:val="0"/>
                <w:sz w:val="18"/>
                <w:szCs w:val="18"/>
                <w:highlight w:val="none"/>
              </w:rPr>
              <w:t>合理</w:t>
            </w:r>
          </w:p>
        </w:tc>
        <w:tc>
          <w:tcPr>
            <w:tcW w:w="3133" w:type="dxa"/>
            <w:tcBorders>
              <w:top w:val="nil"/>
              <w:left w:val="nil"/>
              <w:bottom w:val="single" w:color="auto" w:sz="4" w:space="0"/>
              <w:right w:val="single" w:color="auto" w:sz="4" w:space="0"/>
            </w:tcBorders>
            <w:shd w:val="clear" w:color="auto" w:fill="auto"/>
            <w:vAlign w:val="center"/>
          </w:tcPr>
          <w:p w14:paraId="4238F8A4">
            <w:pPr>
              <w:widowControl/>
              <w:jc w:val="left"/>
              <w:rPr>
                <w:rFonts w:hint="eastAsia" w:ascii="新宋体" w:hAnsi="新宋体" w:eastAsia="新宋体" w:cs="新宋体"/>
                <w:b w:val="0"/>
                <w:bCs w:val="0"/>
                <w:kern w:val="0"/>
                <w:sz w:val="24"/>
              </w:rPr>
            </w:pPr>
            <w:r>
              <w:rPr>
                <w:rFonts w:hint="eastAsia" w:ascii="宋体" w:hAnsi="宋体" w:cs="宋体"/>
                <w:color w:val="000000"/>
                <w:kern w:val="0"/>
                <w:sz w:val="18"/>
                <w:szCs w:val="18"/>
                <w:highlight w:val="none"/>
              </w:rPr>
              <w:t>岗位设置合理</w:t>
            </w:r>
          </w:p>
        </w:tc>
        <w:tc>
          <w:tcPr>
            <w:tcW w:w="601" w:type="dxa"/>
            <w:tcBorders>
              <w:top w:val="nil"/>
              <w:left w:val="nil"/>
              <w:bottom w:val="single" w:color="auto" w:sz="4" w:space="0"/>
              <w:right w:val="single" w:color="auto" w:sz="4" w:space="0"/>
            </w:tcBorders>
            <w:shd w:val="clear" w:color="auto" w:fill="auto"/>
            <w:vAlign w:val="center"/>
          </w:tcPr>
          <w:p w14:paraId="0575B69F">
            <w:pPr>
              <w:widowControl/>
              <w:jc w:val="left"/>
              <w:rPr>
                <w:rFonts w:hint="eastAsia" w:ascii="新宋体" w:hAnsi="新宋体" w:eastAsia="新宋体" w:cs="新宋体"/>
                <w:b w:val="0"/>
                <w:bCs w:val="0"/>
                <w:kern w:val="0"/>
                <w:sz w:val="24"/>
              </w:rPr>
            </w:pPr>
            <w:r>
              <w:rPr>
                <w:rFonts w:hint="eastAsia" w:ascii="宋体" w:hAnsi="宋体" w:cs="宋体"/>
                <w:color w:val="000000"/>
                <w:kern w:val="0"/>
                <w:sz w:val="18"/>
                <w:szCs w:val="18"/>
                <w:highlight w:val="none"/>
              </w:rPr>
              <w:t>　</w:t>
            </w:r>
          </w:p>
        </w:tc>
        <w:tc>
          <w:tcPr>
            <w:tcW w:w="551" w:type="dxa"/>
            <w:tcBorders>
              <w:top w:val="nil"/>
              <w:left w:val="nil"/>
              <w:bottom w:val="single" w:color="auto" w:sz="4" w:space="0"/>
              <w:right w:val="single" w:color="auto" w:sz="4" w:space="0"/>
            </w:tcBorders>
            <w:shd w:val="clear" w:color="auto" w:fill="auto"/>
            <w:vAlign w:val="center"/>
          </w:tcPr>
          <w:p w14:paraId="1C343971">
            <w:pPr>
              <w:widowControl/>
              <w:jc w:val="center"/>
            </w:pPr>
            <w:r>
              <w:rPr>
                <w:rFonts w:hint="eastAsia" w:ascii="宋体" w:hAnsi="宋体" w:cs="宋体"/>
                <w:kern w:val="0"/>
                <w:sz w:val="24"/>
                <w:highlight w:val="none"/>
              </w:rPr>
              <w:t>　</w:t>
            </w:r>
          </w:p>
        </w:tc>
      </w:tr>
      <w:tr w14:paraId="051B4A7E">
        <w:tblPrEx>
          <w:tblCellMar>
            <w:top w:w="0" w:type="dxa"/>
            <w:left w:w="108" w:type="dxa"/>
            <w:bottom w:w="0" w:type="dxa"/>
            <w:right w:w="108" w:type="dxa"/>
          </w:tblCellMar>
        </w:tblPrEx>
        <w:trPr>
          <w:trHeight w:val="729" w:hRule="atLeast"/>
          <w:jc w:val="center"/>
        </w:trPr>
        <w:tc>
          <w:tcPr>
            <w:tcW w:w="715" w:type="dxa"/>
            <w:vMerge w:val="continue"/>
            <w:tcBorders>
              <w:top w:val="nil"/>
              <w:left w:val="single" w:color="auto" w:sz="4" w:space="0"/>
              <w:bottom w:val="single" w:color="000000" w:sz="4" w:space="0"/>
              <w:right w:val="single" w:color="auto" w:sz="4" w:space="0"/>
            </w:tcBorders>
            <w:vAlign w:val="center"/>
          </w:tcPr>
          <w:p w14:paraId="11584681">
            <w:pPr>
              <w:widowControl/>
              <w:jc w:val="left"/>
              <w:rPr>
                <w:rFonts w:hint="eastAsia" w:ascii="新宋体" w:hAnsi="新宋体" w:eastAsia="新宋体" w:cs="新宋体"/>
                <w:b w:val="0"/>
                <w:bCs w:val="0"/>
                <w:kern w:val="0"/>
                <w:sz w:val="24"/>
              </w:rPr>
            </w:pPr>
          </w:p>
        </w:tc>
        <w:tc>
          <w:tcPr>
            <w:tcW w:w="727" w:type="dxa"/>
            <w:vMerge w:val="continue"/>
            <w:tcBorders>
              <w:top w:val="single" w:color="auto" w:sz="4" w:space="0"/>
              <w:left w:val="nil"/>
              <w:bottom w:val="single" w:color="auto" w:sz="4" w:space="0"/>
              <w:right w:val="single" w:color="auto" w:sz="4" w:space="0"/>
            </w:tcBorders>
            <w:shd w:val="clear" w:color="auto" w:fill="auto"/>
            <w:vAlign w:val="center"/>
          </w:tcPr>
          <w:p w14:paraId="554A2AFF">
            <w:pPr>
              <w:widowControl/>
              <w:jc w:val="left"/>
              <w:rPr>
                <w:rFonts w:hint="eastAsia" w:ascii="新宋体" w:hAnsi="新宋体" w:eastAsia="新宋体" w:cs="新宋体"/>
                <w:b w:val="0"/>
                <w:bCs w:val="0"/>
                <w:color w:val="000000"/>
                <w:kern w:val="0"/>
                <w:sz w:val="18"/>
                <w:szCs w:val="18"/>
              </w:rPr>
            </w:pPr>
          </w:p>
        </w:tc>
        <w:tc>
          <w:tcPr>
            <w:tcW w:w="1152" w:type="dxa"/>
            <w:tcBorders>
              <w:top w:val="nil"/>
              <w:left w:val="nil"/>
              <w:bottom w:val="single" w:color="auto" w:sz="4" w:space="0"/>
              <w:right w:val="single" w:color="auto" w:sz="4" w:space="0"/>
            </w:tcBorders>
            <w:shd w:val="clear" w:color="auto" w:fill="auto"/>
            <w:vAlign w:val="center"/>
          </w:tcPr>
          <w:p w14:paraId="52C1D177">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资金使用规范</w:t>
            </w:r>
          </w:p>
        </w:tc>
        <w:tc>
          <w:tcPr>
            <w:tcW w:w="467" w:type="dxa"/>
            <w:tcBorders>
              <w:top w:val="nil"/>
              <w:left w:val="nil"/>
              <w:bottom w:val="single" w:color="auto" w:sz="4" w:space="0"/>
              <w:right w:val="single" w:color="auto" w:sz="4" w:space="0"/>
            </w:tcBorders>
            <w:shd w:val="clear" w:color="auto" w:fill="auto"/>
            <w:vAlign w:val="center"/>
          </w:tcPr>
          <w:p w14:paraId="3AE1ACAD">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w:t>
            </w:r>
          </w:p>
        </w:tc>
        <w:tc>
          <w:tcPr>
            <w:tcW w:w="1377" w:type="dxa"/>
            <w:tcBorders>
              <w:top w:val="nil"/>
              <w:left w:val="nil"/>
              <w:bottom w:val="single" w:color="auto" w:sz="4" w:space="0"/>
              <w:right w:val="single" w:color="auto" w:sz="4" w:space="0"/>
            </w:tcBorders>
            <w:shd w:val="clear" w:color="auto" w:fill="auto"/>
            <w:vAlign w:val="center"/>
          </w:tcPr>
          <w:p w14:paraId="3EE799EA">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资金使用</w:t>
            </w:r>
            <w:r>
              <w:rPr>
                <w:rFonts w:hint="eastAsia" w:ascii="宋体" w:hAnsi="宋体" w:cs="宋体"/>
                <w:color w:val="000000"/>
                <w:kern w:val="0"/>
                <w:sz w:val="18"/>
                <w:szCs w:val="18"/>
                <w:highlight w:val="none"/>
                <w:lang w:val="en-US" w:eastAsia="zh-CN"/>
              </w:rPr>
              <w:t>是否</w:t>
            </w:r>
            <w:r>
              <w:rPr>
                <w:rFonts w:hint="eastAsia" w:ascii="宋体" w:hAnsi="宋体" w:cs="宋体"/>
                <w:color w:val="000000"/>
                <w:kern w:val="0"/>
                <w:sz w:val="18"/>
                <w:szCs w:val="18"/>
                <w:highlight w:val="none"/>
              </w:rPr>
              <w:t>规范</w:t>
            </w:r>
          </w:p>
        </w:tc>
        <w:tc>
          <w:tcPr>
            <w:tcW w:w="3133" w:type="dxa"/>
            <w:tcBorders>
              <w:top w:val="nil"/>
              <w:left w:val="nil"/>
              <w:bottom w:val="single" w:color="auto" w:sz="4" w:space="0"/>
              <w:right w:val="single" w:color="auto" w:sz="4" w:space="0"/>
            </w:tcBorders>
            <w:shd w:val="clear" w:color="auto" w:fill="auto"/>
            <w:vAlign w:val="center"/>
          </w:tcPr>
          <w:p w14:paraId="312340A7">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资金使用规范</w:t>
            </w:r>
          </w:p>
        </w:tc>
        <w:tc>
          <w:tcPr>
            <w:tcW w:w="601" w:type="dxa"/>
            <w:tcBorders>
              <w:top w:val="nil"/>
              <w:left w:val="nil"/>
              <w:bottom w:val="single" w:color="auto" w:sz="4" w:space="0"/>
              <w:right w:val="single" w:color="auto" w:sz="4" w:space="0"/>
            </w:tcBorders>
            <w:shd w:val="clear" w:color="auto" w:fill="auto"/>
            <w:vAlign w:val="center"/>
          </w:tcPr>
          <w:p w14:paraId="73B64598">
            <w:pPr>
              <w:widowControl/>
              <w:jc w:val="center"/>
              <w:rPr>
                <w:rFonts w:hint="eastAsia" w:ascii="新宋体" w:hAnsi="新宋体" w:eastAsia="新宋体" w:cs="新宋体"/>
                <w:b w:val="0"/>
                <w:bCs w:val="0"/>
                <w:kern w:val="0"/>
                <w:sz w:val="24"/>
              </w:rPr>
            </w:pPr>
            <w:r>
              <w:rPr>
                <w:rFonts w:hint="eastAsia" w:ascii="宋体" w:hAnsi="宋体" w:cs="宋体"/>
                <w:kern w:val="0"/>
                <w:sz w:val="24"/>
                <w:highlight w:val="none"/>
              </w:rPr>
              <w:t>　</w:t>
            </w:r>
          </w:p>
        </w:tc>
        <w:tc>
          <w:tcPr>
            <w:tcW w:w="551" w:type="dxa"/>
            <w:tcBorders>
              <w:top w:val="nil"/>
              <w:left w:val="nil"/>
              <w:bottom w:val="single" w:color="auto" w:sz="4" w:space="0"/>
              <w:right w:val="single" w:color="auto" w:sz="4" w:space="0"/>
            </w:tcBorders>
            <w:shd w:val="clear" w:color="auto" w:fill="auto"/>
            <w:vAlign w:val="center"/>
          </w:tcPr>
          <w:p w14:paraId="278666E7">
            <w:pPr>
              <w:widowControl/>
              <w:jc w:val="center"/>
            </w:pPr>
            <w:r>
              <w:rPr>
                <w:rFonts w:hint="eastAsia" w:ascii="宋体" w:hAnsi="宋体" w:cs="宋体"/>
                <w:kern w:val="0"/>
                <w:sz w:val="24"/>
                <w:highlight w:val="none"/>
              </w:rPr>
              <w:t>　</w:t>
            </w:r>
          </w:p>
        </w:tc>
      </w:tr>
      <w:tr w14:paraId="47F8C616">
        <w:tblPrEx>
          <w:tblCellMar>
            <w:top w:w="0" w:type="dxa"/>
            <w:left w:w="108" w:type="dxa"/>
            <w:bottom w:w="0" w:type="dxa"/>
            <w:right w:w="108" w:type="dxa"/>
          </w:tblCellMar>
        </w:tblPrEx>
        <w:trPr>
          <w:trHeight w:val="601"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FBCD06">
            <w:pPr>
              <w:widowControl/>
              <w:jc w:val="left"/>
              <w:rPr>
                <w:rFonts w:hint="eastAsia" w:ascii="新宋体" w:hAnsi="新宋体" w:eastAsia="新宋体" w:cs="新宋体"/>
                <w:b w:val="0"/>
                <w:bCs w:val="0"/>
                <w:color w:val="000000"/>
                <w:kern w:val="0"/>
                <w:sz w:val="18"/>
                <w:szCs w:val="18"/>
              </w:rPr>
            </w:pPr>
          </w:p>
        </w:tc>
        <w:tc>
          <w:tcPr>
            <w:tcW w:w="18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2CB2B6">
            <w:pPr>
              <w:widowControl/>
              <w:jc w:val="left"/>
            </w:pPr>
            <w:r>
              <w:rPr>
                <w:rFonts w:hint="eastAsia" w:ascii="宋体" w:hAnsi="宋体" w:cs="宋体"/>
                <w:color w:val="000000"/>
                <w:kern w:val="0"/>
                <w:sz w:val="18"/>
                <w:szCs w:val="18"/>
                <w:highlight w:val="none"/>
              </w:rPr>
              <w:t>预算绩效存在问题</w:t>
            </w:r>
          </w:p>
        </w:tc>
        <w:tc>
          <w:tcPr>
            <w:tcW w:w="467" w:type="dxa"/>
            <w:tcBorders>
              <w:top w:val="nil"/>
              <w:left w:val="nil"/>
              <w:bottom w:val="single" w:color="auto" w:sz="4" w:space="0"/>
              <w:right w:val="single" w:color="auto" w:sz="4" w:space="0"/>
            </w:tcBorders>
            <w:shd w:val="clear" w:color="auto" w:fill="auto"/>
            <w:noWrap/>
            <w:vAlign w:val="center"/>
          </w:tcPr>
          <w:p w14:paraId="5F823388">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rPr>
              <w:t>-</w:t>
            </w:r>
          </w:p>
        </w:tc>
        <w:tc>
          <w:tcPr>
            <w:tcW w:w="1377" w:type="dxa"/>
            <w:tcBorders>
              <w:top w:val="nil"/>
              <w:left w:val="nil"/>
              <w:bottom w:val="single" w:color="auto" w:sz="4" w:space="0"/>
              <w:right w:val="single" w:color="auto" w:sz="4" w:space="0"/>
            </w:tcBorders>
            <w:shd w:val="clear" w:color="auto" w:fill="auto"/>
            <w:noWrap/>
            <w:vAlign w:val="center"/>
          </w:tcPr>
          <w:p w14:paraId="024249C6">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无</w:t>
            </w:r>
          </w:p>
        </w:tc>
        <w:tc>
          <w:tcPr>
            <w:tcW w:w="3133" w:type="dxa"/>
            <w:tcBorders>
              <w:top w:val="nil"/>
              <w:left w:val="nil"/>
              <w:bottom w:val="single" w:color="auto" w:sz="4" w:space="0"/>
              <w:right w:val="single" w:color="auto" w:sz="4" w:space="0"/>
            </w:tcBorders>
            <w:shd w:val="clear" w:color="auto" w:fill="auto"/>
            <w:noWrap/>
            <w:vAlign w:val="center"/>
          </w:tcPr>
          <w:p w14:paraId="123321A2">
            <w:pPr>
              <w:widowControl/>
              <w:jc w:val="left"/>
              <w:rPr>
                <w:rFonts w:hint="eastAsia" w:ascii="新宋体" w:hAnsi="新宋体" w:eastAsia="新宋体" w:cs="新宋体"/>
                <w:b w:val="0"/>
                <w:bCs w:val="0"/>
                <w:color w:val="000000"/>
                <w:kern w:val="0"/>
                <w:sz w:val="18"/>
                <w:szCs w:val="18"/>
              </w:rPr>
            </w:pPr>
            <w:r>
              <w:rPr>
                <w:rFonts w:hint="eastAsia" w:ascii="宋体" w:hAnsi="宋体" w:cs="宋体"/>
                <w:color w:val="000000"/>
                <w:kern w:val="0"/>
                <w:sz w:val="18"/>
                <w:szCs w:val="18"/>
                <w:highlight w:val="none"/>
                <w:lang w:val="en-US" w:eastAsia="zh-CN"/>
              </w:rPr>
              <w:t>无</w:t>
            </w:r>
          </w:p>
        </w:tc>
        <w:tc>
          <w:tcPr>
            <w:tcW w:w="601" w:type="dxa"/>
            <w:tcBorders>
              <w:top w:val="nil"/>
              <w:left w:val="nil"/>
              <w:bottom w:val="single" w:color="auto" w:sz="4" w:space="0"/>
              <w:right w:val="single" w:color="auto" w:sz="4" w:space="0"/>
            </w:tcBorders>
            <w:shd w:val="clear" w:color="auto" w:fill="auto"/>
            <w:noWrap/>
            <w:vAlign w:val="center"/>
          </w:tcPr>
          <w:p w14:paraId="2C5975C2">
            <w:pPr>
              <w:widowControl/>
              <w:jc w:val="center"/>
              <w:rPr>
                <w:rFonts w:hint="eastAsia" w:ascii="新宋体" w:hAnsi="新宋体" w:eastAsia="新宋体" w:cs="新宋体"/>
                <w:b w:val="0"/>
                <w:bCs w:val="0"/>
                <w:color w:val="000000"/>
                <w:kern w:val="0"/>
                <w:sz w:val="18"/>
                <w:szCs w:val="18"/>
                <w:lang w:val="en-US" w:eastAsia="zh-CN"/>
              </w:rPr>
            </w:pPr>
            <w:r>
              <w:rPr>
                <w:rFonts w:hint="eastAsia" w:ascii="宋体" w:hAnsi="宋体" w:cs="宋体"/>
                <w:kern w:val="0"/>
                <w:sz w:val="24"/>
                <w:highlight w:val="none"/>
              </w:rPr>
              <w:t>　</w:t>
            </w:r>
          </w:p>
        </w:tc>
        <w:tc>
          <w:tcPr>
            <w:tcW w:w="551" w:type="dxa"/>
            <w:tcBorders>
              <w:top w:val="nil"/>
              <w:left w:val="nil"/>
              <w:bottom w:val="single" w:color="auto" w:sz="4" w:space="0"/>
              <w:right w:val="single" w:color="auto" w:sz="4" w:space="0"/>
            </w:tcBorders>
            <w:shd w:val="clear" w:color="auto" w:fill="auto"/>
            <w:noWrap/>
            <w:vAlign w:val="center"/>
          </w:tcPr>
          <w:p w14:paraId="1287C518">
            <w:pPr>
              <w:widowControl/>
              <w:jc w:val="center"/>
              <w:rPr>
                <w:rFonts w:hint="eastAsia" w:ascii="新宋体" w:hAnsi="新宋体" w:eastAsia="新宋体" w:cs="新宋体"/>
                <w:b w:val="0"/>
                <w:bCs w:val="0"/>
                <w:color w:val="000000"/>
                <w:kern w:val="0"/>
                <w:sz w:val="22"/>
                <w:szCs w:val="22"/>
              </w:rPr>
            </w:pPr>
            <w:r>
              <w:rPr>
                <w:rFonts w:hint="eastAsia" w:ascii="宋体" w:hAnsi="宋体" w:cs="宋体"/>
                <w:kern w:val="0"/>
                <w:sz w:val="24"/>
                <w:highlight w:val="none"/>
              </w:rPr>
              <w:t>　</w:t>
            </w:r>
          </w:p>
        </w:tc>
      </w:tr>
    </w:tbl>
    <w:p w14:paraId="44B18EDB">
      <w:pPr>
        <w:pStyle w:val="3"/>
        <w:rPr>
          <w:rFonts w:hint="eastAsia" w:ascii="新宋体" w:hAnsi="新宋体" w:eastAsia="新宋体" w:cs="新宋体"/>
          <w:b w:val="0"/>
          <w:bCs w:val="0"/>
        </w:rPr>
      </w:pPr>
    </w:p>
    <w:p w14:paraId="70E06643">
      <w:pPr>
        <w:pStyle w:val="3"/>
        <w:rPr>
          <w:rFonts w:hint="eastAsia" w:ascii="新宋体" w:hAnsi="新宋体" w:eastAsia="新宋体" w:cs="新宋体"/>
          <w:b w:val="0"/>
          <w:bCs w:val="0"/>
        </w:rPr>
      </w:pPr>
    </w:p>
    <w:p w14:paraId="024D7082">
      <w:pPr>
        <w:pStyle w:val="3"/>
        <w:rPr>
          <w:rFonts w:hint="eastAsia" w:ascii="新宋体" w:hAnsi="新宋体" w:eastAsia="新宋体" w:cs="新宋体"/>
          <w:b w:val="0"/>
          <w:bCs w:val="0"/>
        </w:rPr>
      </w:pPr>
    </w:p>
    <w:p w14:paraId="49A0F78E">
      <w:pPr>
        <w:pStyle w:val="3"/>
        <w:rPr>
          <w:rFonts w:hint="eastAsia" w:ascii="新宋体" w:hAnsi="新宋体" w:eastAsia="新宋体" w:cs="新宋体"/>
          <w:b w:val="0"/>
          <w:bCs w:val="0"/>
        </w:rPr>
      </w:pPr>
    </w:p>
    <w:p w14:paraId="16E6334C">
      <w:pPr>
        <w:pStyle w:val="3"/>
        <w:rPr>
          <w:rFonts w:hint="eastAsia" w:ascii="新宋体" w:hAnsi="新宋体" w:eastAsia="新宋体" w:cs="新宋体"/>
          <w:b w:val="0"/>
          <w:bCs w:val="0"/>
        </w:rPr>
      </w:pPr>
    </w:p>
    <w:p w14:paraId="25D97AA5">
      <w:pPr>
        <w:pStyle w:val="3"/>
        <w:rPr>
          <w:rFonts w:hint="eastAsia" w:ascii="新宋体" w:hAnsi="新宋体" w:eastAsia="新宋体" w:cs="新宋体"/>
          <w:b w:val="0"/>
          <w:bCs w:val="0"/>
        </w:rPr>
      </w:pPr>
    </w:p>
    <w:p w14:paraId="76E4E7E5">
      <w:pPr>
        <w:pStyle w:val="3"/>
        <w:ind w:left="0" w:leftChars="0" w:firstLine="0" w:firstLineChars="0"/>
        <w:rPr>
          <w:rFonts w:hint="eastAsia" w:ascii="新宋体" w:hAnsi="新宋体" w:eastAsia="新宋体" w:cs="新宋体"/>
          <w:b w:val="0"/>
          <w:bCs w:val="0"/>
        </w:rPr>
      </w:pPr>
    </w:p>
    <w:tbl>
      <w:tblPr>
        <w:tblStyle w:val="16"/>
        <w:tblW w:w="8750" w:type="dxa"/>
        <w:tblInd w:w="625" w:type="dxa"/>
        <w:tblLayout w:type="autofit"/>
        <w:tblCellMar>
          <w:top w:w="0" w:type="dxa"/>
          <w:left w:w="108" w:type="dxa"/>
          <w:bottom w:w="0" w:type="dxa"/>
          <w:right w:w="108" w:type="dxa"/>
        </w:tblCellMar>
      </w:tblPr>
      <w:tblGrid>
        <w:gridCol w:w="576"/>
        <w:gridCol w:w="576"/>
        <w:gridCol w:w="691"/>
        <w:gridCol w:w="1515"/>
        <w:gridCol w:w="470"/>
        <w:gridCol w:w="1098"/>
        <w:gridCol w:w="451"/>
        <w:gridCol w:w="984"/>
        <w:gridCol w:w="486"/>
        <w:gridCol w:w="486"/>
        <w:gridCol w:w="1417"/>
      </w:tblGrid>
      <w:tr w14:paraId="31109CBC">
        <w:tblPrEx>
          <w:tblCellMar>
            <w:top w:w="0" w:type="dxa"/>
            <w:left w:w="108" w:type="dxa"/>
            <w:bottom w:w="0" w:type="dxa"/>
            <w:right w:w="108" w:type="dxa"/>
          </w:tblCellMar>
        </w:tblPrEx>
        <w:trPr>
          <w:trHeight w:val="904" w:hRule="atLeast"/>
        </w:trPr>
        <w:tc>
          <w:tcPr>
            <w:tcW w:w="87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C1E25D">
            <w:pPr>
              <w:keepNext w:val="0"/>
              <w:keepLines w:val="0"/>
              <w:widowControl/>
              <w:suppressLineNumbers w:val="0"/>
              <w:suppressAutoHyphens/>
              <w:kinsoku w:val="0"/>
              <w:autoSpaceDE w:val="0"/>
              <w:autoSpaceDN w:val="0"/>
              <w:bidi w:val="0"/>
              <w:adjustRightInd w:val="0"/>
              <w:snapToGrid w:val="0"/>
              <w:spacing w:before="253" w:beforeAutospacing="0" w:after="0" w:afterAutospacing="0"/>
              <w:ind w:left="1326" w:right="0"/>
              <w:jc w:val="left"/>
              <w:textAlignment w:val="baseline"/>
              <w:rPr>
                <w:rFonts w:hint="eastAsia" w:ascii="新宋体" w:hAnsi="新宋体" w:eastAsia="新宋体" w:cs="新宋体"/>
                <w:b w:val="0"/>
                <w:bCs w:val="0"/>
                <w:color w:val="000000"/>
                <w:sz w:val="30"/>
                <w:szCs w:val="30"/>
              </w:rPr>
            </w:pPr>
            <w:r>
              <w:rPr>
                <w:rFonts w:hint="eastAsia" w:ascii="黑体" w:hAnsi="宋体" w:eastAsia="黑体" w:cs="黑体"/>
                <w:b/>
                <w:bCs/>
                <w:snapToGrid/>
                <w:color w:val="000000"/>
                <w:kern w:val="0"/>
                <w:sz w:val="30"/>
                <w:szCs w:val="30"/>
                <w:highlight w:val="none"/>
                <w:lang w:val="en-US" w:eastAsia="zh-CN" w:bidi="ar"/>
              </w:rPr>
              <w:t>部门预算项目支出绩效自评表1（2024年度）</w:t>
            </w:r>
          </w:p>
        </w:tc>
      </w:tr>
      <w:tr w14:paraId="73988B08">
        <w:tblPrEx>
          <w:tblCellMar>
            <w:top w:w="0" w:type="dxa"/>
            <w:left w:w="108" w:type="dxa"/>
            <w:bottom w:w="0" w:type="dxa"/>
            <w:right w:w="108" w:type="dxa"/>
          </w:tblCellMar>
        </w:tblPrEx>
        <w:trPr>
          <w:trHeight w:val="285" w:hRule="atLeast"/>
        </w:trPr>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3CABF">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项目名称</w:t>
            </w:r>
          </w:p>
        </w:tc>
        <w:tc>
          <w:tcPr>
            <w:tcW w:w="77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6FDAE7">
            <w:pPr>
              <w:widowControl/>
              <w:jc w:val="left"/>
              <w:textAlignment w:val="center"/>
              <w:rPr>
                <w:rFonts w:hint="eastAsia" w:ascii="新宋体" w:hAnsi="新宋体" w:eastAsia="新宋体" w:cs="新宋体"/>
                <w:b w:val="0"/>
                <w:bCs w:val="0"/>
                <w:color w:val="000000"/>
                <w:sz w:val="18"/>
                <w:szCs w:val="18"/>
                <w:lang w:val="en-US"/>
              </w:rPr>
            </w:pPr>
            <w:r>
              <w:rPr>
                <w:rFonts w:hint="eastAsia" w:ascii="新宋体" w:hAnsi="新宋体" w:eastAsia="新宋体" w:cs="新宋体"/>
                <w:b w:val="0"/>
                <w:bCs w:val="0"/>
                <w:color w:val="000000"/>
                <w:kern w:val="0"/>
                <w:sz w:val="18"/>
                <w:szCs w:val="18"/>
                <w:lang w:val="en-US" w:eastAsia="zh-CN" w:bidi="ar"/>
              </w:rPr>
              <w:t>51090425T000013017380-幼儿资助及幼儿发展补助资金</w:t>
            </w:r>
          </w:p>
        </w:tc>
      </w:tr>
      <w:tr w14:paraId="11BE08E5">
        <w:tblPrEx>
          <w:tblCellMar>
            <w:top w:w="0" w:type="dxa"/>
            <w:left w:w="108" w:type="dxa"/>
            <w:bottom w:w="0" w:type="dxa"/>
            <w:right w:w="108" w:type="dxa"/>
          </w:tblCellMar>
        </w:tblPrEx>
        <w:trPr>
          <w:trHeight w:val="514" w:hRule="atLeast"/>
        </w:trPr>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AD9D4">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主管部门</w:t>
            </w:r>
          </w:p>
        </w:tc>
        <w:tc>
          <w:tcPr>
            <w:tcW w:w="4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F5475A">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遂宁市安居区</w:t>
            </w:r>
            <w:r>
              <w:rPr>
                <w:rFonts w:hint="eastAsia" w:ascii="新宋体" w:hAnsi="新宋体" w:eastAsia="新宋体" w:cs="新宋体"/>
                <w:b w:val="0"/>
                <w:bCs w:val="0"/>
                <w:color w:val="000000"/>
                <w:kern w:val="0"/>
                <w:sz w:val="18"/>
                <w:szCs w:val="18"/>
                <w:lang w:eastAsia="zh-CN" w:bidi="ar"/>
              </w:rPr>
              <w:t>白马镇中心</w:t>
            </w:r>
            <w:r>
              <w:rPr>
                <w:rFonts w:hint="eastAsia" w:ascii="新宋体" w:hAnsi="新宋体" w:eastAsia="新宋体" w:cs="新宋体"/>
                <w:b w:val="0"/>
                <w:bCs w:val="0"/>
                <w:color w:val="000000"/>
                <w:kern w:val="0"/>
                <w:sz w:val="18"/>
                <w:szCs w:val="18"/>
                <w:lang w:bidi="ar"/>
              </w:rPr>
              <w:t>幼儿园部门</w:t>
            </w:r>
          </w:p>
        </w:tc>
        <w:tc>
          <w:tcPr>
            <w:tcW w:w="991" w:type="dxa"/>
            <w:tcBorders>
              <w:top w:val="nil"/>
              <w:left w:val="nil"/>
              <w:bottom w:val="nil"/>
              <w:right w:val="nil"/>
            </w:tcBorders>
            <w:shd w:val="clear" w:color="auto" w:fill="auto"/>
            <w:vAlign w:val="center"/>
          </w:tcPr>
          <w:p w14:paraId="4572736E">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实施单位 （盖章）</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89660">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遂宁市安居区</w:t>
            </w:r>
            <w:r>
              <w:rPr>
                <w:rFonts w:hint="eastAsia" w:ascii="新宋体" w:hAnsi="新宋体" w:eastAsia="新宋体" w:cs="新宋体"/>
                <w:b w:val="0"/>
                <w:bCs w:val="0"/>
                <w:color w:val="000000"/>
                <w:kern w:val="0"/>
                <w:sz w:val="18"/>
                <w:szCs w:val="18"/>
                <w:lang w:eastAsia="zh-CN" w:bidi="ar"/>
              </w:rPr>
              <w:t>白马镇中心</w:t>
            </w:r>
            <w:r>
              <w:rPr>
                <w:rFonts w:hint="eastAsia" w:ascii="新宋体" w:hAnsi="新宋体" w:eastAsia="新宋体" w:cs="新宋体"/>
                <w:b w:val="0"/>
                <w:bCs w:val="0"/>
                <w:color w:val="000000"/>
                <w:kern w:val="0"/>
                <w:sz w:val="18"/>
                <w:szCs w:val="18"/>
                <w:lang w:bidi="ar"/>
              </w:rPr>
              <w:t>幼儿园</w:t>
            </w:r>
          </w:p>
        </w:tc>
      </w:tr>
      <w:tr w14:paraId="371381BB">
        <w:tblPrEx>
          <w:tblCellMar>
            <w:top w:w="0" w:type="dxa"/>
            <w:left w:w="108" w:type="dxa"/>
            <w:bottom w:w="0" w:type="dxa"/>
            <w:right w:w="108" w:type="dxa"/>
          </w:tblCellMar>
        </w:tblPrEx>
        <w:trPr>
          <w:trHeight w:val="285" w:hRule="atLeast"/>
        </w:trPr>
        <w:tc>
          <w:tcPr>
            <w:tcW w:w="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181E3">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项目基本情况</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455F6">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1.项目年度目标完成情况</w:t>
            </w:r>
          </w:p>
        </w:tc>
        <w:tc>
          <w:tcPr>
            <w:tcW w:w="4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7AFD94">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项目年度目标</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E4227">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年度目标完成情况</w:t>
            </w:r>
          </w:p>
        </w:tc>
      </w:tr>
      <w:tr w14:paraId="638698B1">
        <w:tblPrEx>
          <w:tblCellMar>
            <w:top w:w="0" w:type="dxa"/>
            <w:left w:w="108" w:type="dxa"/>
            <w:bottom w:w="0" w:type="dxa"/>
            <w:right w:w="108" w:type="dxa"/>
          </w:tblCellMar>
        </w:tblPrEx>
        <w:trPr>
          <w:trHeight w:val="709"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E22D5">
            <w:pPr>
              <w:rPr>
                <w:rFonts w:hint="eastAsia" w:ascii="新宋体" w:hAnsi="新宋体" w:eastAsia="新宋体" w:cs="新宋体"/>
                <w:b w:val="0"/>
                <w:bCs w:val="0"/>
                <w:color w:val="00000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EDDD0">
            <w:pPr>
              <w:rPr>
                <w:rFonts w:hint="eastAsia" w:ascii="新宋体" w:hAnsi="新宋体" w:eastAsia="新宋体" w:cs="新宋体"/>
                <w:b w:val="0"/>
                <w:bCs w:val="0"/>
                <w:color w:val="000000"/>
                <w:sz w:val="18"/>
                <w:szCs w:val="18"/>
              </w:rPr>
            </w:pPr>
          </w:p>
        </w:tc>
        <w:tc>
          <w:tcPr>
            <w:tcW w:w="4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FECA3">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完成贫困幼儿资助</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366CB5">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已完成</w:t>
            </w:r>
          </w:p>
        </w:tc>
      </w:tr>
      <w:tr w14:paraId="7B089F47">
        <w:tblPrEx>
          <w:tblCellMar>
            <w:top w:w="0" w:type="dxa"/>
            <w:left w:w="108" w:type="dxa"/>
            <w:bottom w:w="0" w:type="dxa"/>
            <w:right w:w="108" w:type="dxa"/>
          </w:tblCellMar>
        </w:tblPrEx>
        <w:trPr>
          <w:trHeight w:val="694"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C6951">
            <w:pPr>
              <w:rPr>
                <w:rFonts w:hint="eastAsia" w:ascii="新宋体" w:hAnsi="新宋体" w:eastAsia="新宋体" w:cs="新宋体"/>
                <w:b w:val="0"/>
                <w:bCs w:val="0"/>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AE0B">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2.项目实施内容及过程概述</w:t>
            </w:r>
          </w:p>
        </w:tc>
        <w:tc>
          <w:tcPr>
            <w:tcW w:w="77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4C1815">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准确摸排贫困对象，及时完成考核相关进度，及时发放资助金。</w:t>
            </w:r>
          </w:p>
        </w:tc>
      </w:tr>
      <w:tr w14:paraId="1C4FF6A6">
        <w:tblPrEx>
          <w:tblCellMar>
            <w:top w:w="0" w:type="dxa"/>
            <w:left w:w="108" w:type="dxa"/>
            <w:bottom w:w="0" w:type="dxa"/>
            <w:right w:w="108" w:type="dxa"/>
          </w:tblCellMar>
        </w:tblPrEx>
        <w:trPr>
          <w:trHeight w:val="360" w:hRule="atLeast"/>
        </w:trPr>
        <w:tc>
          <w:tcPr>
            <w:tcW w:w="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BD674">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预算执行情况（10分）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C35C">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年度预算数（万元）</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355B">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年初预算</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150A">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调整后预算数</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B99FC">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预算执行数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265A">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682A">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25E7">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得分</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8DAB">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原因</w:t>
            </w:r>
          </w:p>
        </w:tc>
      </w:tr>
      <w:tr w14:paraId="004E2334">
        <w:tblPrEx>
          <w:tblCellMar>
            <w:top w:w="0" w:type="dxa"/>
            <w:left w:w="108" w:type="dxa"/>
            <w:bottom w:w="0" w:type="dxa"/>
            <w:right w:w="108" w:type="dxa"/>
          </w:tblCellMar>
        </w:tblPrEx>
        <w:trPr>
          <w:trHeight w:val="345"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ABC04">
            <w:pPr>
              <w:jc w:val="center"/>
              <w:rPr>
                <w:rFonts w:hint="eastAsia" w:ascii="新宋体" w:hAnsi="新宋体" w:eastAsia="新宋体" w:cs="新宋体"/>
                <w:b w:val="0"/>
                <w:bCs w:val="0"/>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0BA9">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总额</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AEA0">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9F94">
            <w:pPr>
              <w:widowControl/>
              <w:jc w:val="center"/>
              <w:textAlignment w:val="center"/>
              <w:rPr>
                <w:rFonts w:hint="eastAsia" w:ascii="新宋体" w:hAnsi="新宋体" w:eastAsia="新宋体" w:cs="新宋体"/>
                <w:b w:val="0"/>
                <w:bCs w:val="0"/>
                <w:color w:val="000000"/>
                <w:sz w:val="18"/>
                <w:szCs w:val="18"/>
                <w:lang w:val="en-US" w:eastAsia="zh-CN"/>
              </w:rPr>
            </w:pPr>
            <w:r>
              <w:rPr>
                <w:rFonts w:hint="eastAsia" w:ascii="新宋体" w:hAnsi="新宋体" w:eastAsia="新宋体" w:cs="新宋体"/>
                <w:b w:val="0"/>
                <w:bCs w:val="0"/>
                <w:color w:val="000000"/>
                <w:kern w:val="0"/>
                <w:sz w:val="18"/>
                <w:szCs w:val="18"/>
                <w:lang w:val="en-US" w:eastAsia="zh-CN" w:bidi="ar"/>
              </w:rPr>
              <w:t>4.49</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F1C86">
            <w:pPr>
              <w:widowControl/>
              <w:jc w:val="center"/>
              <w:textAlignment w:val="center"/>
              <w:rPr>
                <w:rFonts w:hint="eastAsia" w:ascii="新宋体" w:hAnsi="新宋体" w:eastAsia="新宋体" w:cs="新宋体"/>
                <w:b w:val="0"/>
                <w:bCs w:val="0"/>
                <w:color w:val="000000"/>
                <w:sz w:val="18"/>
                <w:szCs w:val="18"/>
                <w:lang w:val="en-US" w:eastAsia="zh-CN"/>
              </w:rPr>
            </w:pPr>
            <w:r>
              <w:rPr>
                <w:rFonts w:hint="eastAsia" w:ascii="新宋体" w:hAnsi="新宋体" w:eastAsia="新宋体" w:cs="新宋体"/>
                <w:b w:val="0"/>
                <w:bCs w:val="0"/>
                <w:color w:val="000000"/>
                <w:kern w:val="0"/>
                <w:sz w:val="18"/>
                <w:szCs w:val="18"/>
                <w:lang w:val="en-US" w:eastAsia="zh-CN" w:bidi="ar"/>
              </w:rPr>
              <w:t>4.49</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0EA3">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1EB1">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4BDE">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10</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5B44F">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202</w:t>
            </w:r>
            <w:r>
              <w:rPr>
                <w:rFonts w:hint="eastAsia" w:ascii="新宋体" w:hAnsi="新宋体" w:eastAsia="新宋体" w:cs="新宋体"/>
                <w:b w:val="0"/>
                <w:bCs w:val="0"/>
                <w:color w:val="000000"/>
                <w:kern w:val="0"/>
                <w:sz w:val="18"/>
                <w:szCs w:val="18"/>
                <w:lang w:val="en-US" w:eastAsia="zh-CN" w:bidi="ar"/>
              </w:rPr>
              <w:t>4</w:t>
            </w:r>
            <w:r>
              <w:rPr>
                <w:rFonts w:hint="eastAsia" w:ascii="新宋体" w:hAnsi="新宋体" w:eastAsia="新宋体" w:cs="新宋体"/>
                <w:b w:val="0"/>
                <w:bCs w:val="0"/>
                <w:color w:val="000000"/>
                <w:kern w:val="0"/>
                <w:sz w:val="18"/>
                <w:szCs w:val="18"/>
                <w:lang w:bidi="ar"/>
              </w:rPr>
              <w:t>年幼儿资助发展资金追加项目资金</w:t>
            </w:r>
          </w:p>
        </w:tc>
      </w:tr>
      <w:tr w14:paraId="3367E0D5">
        <w:tblPrEx>
          <w:tblCellMar>
            <w:top w:w="0" w:type="dxa"/>
            <w:left w:w="108" w:type="dxa"/>
            <w:bottom w:w="0" w:type="dxa"/>
            <w:right w:w="108" w:type="dxa"/>
          </w:tblCellMar>
        </w:tblPrEx>
        <w:trPr>
          <w:trHeight w:val="390"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D289F">
            <w:pPr>
              <w:jc w:val="center"/>
              <w:rPr>
                <w:rFonts w:hint="eastAsia" w:ascii="新宋体" w:hAnsi="新宋体" w:eastAsia="新宋体" w:cs="新宋体"/>
                <w:b w:val="0"/>
                <w:bCs w:val="0"/>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35A">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其中：财政资金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B950">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66E5">
            <w:pPr>
              <w:widowControl/>
              <w:jc w:val="center"/>
              <w:textAlignment w:val="center"/>
              <w:rPr>
                <w:rFonts w:hint="eastAsia" w:ascii="新宋体" w:hAnsi="新宋体" w:eastAsia="新宋体" w:cs="新宋体"/>
                <w:b w:val="0"/>
                <w:bCs w:val="0"/>
                <w:color w:val="000000"/>
                <w:sz w:val="18"/>
                <w:szCs w:val="18"/>
                <w:lang w:val="en-US"/>
              </w:rPr>
            </w:pPr>
            <w:r>
              <w:rPr>
                <w:rFonts w:hint="eastAsia" w:ascii="新宋体" w:hAnsi="新宋体" w:eastAsia="新宋体" w:cs="新宋体"/>
                <w:b w:val="0"/>
                <w:bCs w:val="0"/>
                <w:color w:val="000000"/>
                <w:kern w:val="0"/>
                <w:sz w:val="18"/>
                <w:szCs w:val="18"/>
                <w:lang w:val="en-US" w:eastAsia="zh-CN" w:bidi="ar"/>
              </w:rPr>
              <w:t>4.49</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7EC1E">
            <w:pPr>
              <w:widowControl/>
              <w:jc w:val="center"/>
              <w:textAlignment w:val="center"/>
              <w:rPr>
                <w:rFonts w:hint="eastAsia" w:ascii="新宋体" w:hAnsi="新宋体" w:eastAsia="新宋体" w:cs="新宋体"/>
                <w:b w:val="0"/>
                <w:bCs w:val="0"/>
                <w:color w:val="000000"/>
                <w:sz w:val="18"/>
                <w:szCs w:val="18"/>
                <w:lang w:val="en-US"/>
              </w:rPr>
            </w:pPr>
            <w:r>
              <w:rPr>
                <w:rFonts w:hint="eastAsia" w:ascii="新宋体" w:hAnsi="新宋体" w:eastAsia="新宋体" w:cs="新宋体"/>
                <w:b w:val="0"/>
                <w:bCs w:val="0"/>
                <w:color w:val="000000"/>
                <w:kern w:val="0"/>
                <w:sz w:val="18"/>
                <w:szCs w:val="18"/>
                <w:lang w:val="en-US" w:eastAsia="zh-CN" w:bidi="ar"/>
              </w:rPr>
              <w:t>4.49</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0F0B">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2E1B">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AC6D">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109B6">
            <w:pPr>
              <w:jc w:val="center"/>
              <w:rPr>
                <w:rFonts w:hint="eastAsia" w:ascii="新宋体" w:hAnsi="新宋体" w:eastAsia="新宋体" w:cs="新宋体"/>
                <w:b w:val="0"/>
                <w:bCs w:val="0"/>
                <w:color w:val="000000"/>
                <w:sz w:val="18"/>
                <w:szCs w:val="18"/>
              </w:rPr>
            </w:pPr>
          </w:p>
        </w:tc>
      </w:tr>
      <w:tr w14:paraId="27A45CDC">
        <w:tblPrEx>
          <w:tblCellMar>
            <w:top w:w="0" w:type="dxa"/>
            <w:left w:w="108" w:type="dxa"/>
            <w:bottom w:w="0" w:type="dxa"/>
            <w:right w:w="108" w:type="dxa"/>
          </w:tblCellMar>
        </w:tblPrEx>
        <w:trPr>
          <w:trHeight w:val="409"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FDC53">
            <w:pPr>
              <w:jc w:val="center"/>
              <w:rPr>
                <w:rFonts w:hint="eastAsia" w:ascii="新宋体" w:hAnsi="新宋体" w:eastAsia="新宋体" w:cs="新宋体"/>
                <w:b w:val="0"/>
                <w:bCs w:val="0"/>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AF2E">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财政专户管理资金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5B3E">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72E6">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0C2D9">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4C26">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37B7">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303A">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95681">
            <w:pPr>
              <w:jc w:val="center"/>
              <w:rPr>
                <w:rFonts w:hint="eastAsia" w:ascii="新宋体" w:hAnsi="新宋体" w:eastAsia="新宋体" w:cs="新宋体"/>
                <w:b w:val="0"/>
                <w:bCs w:val="0"/>
                <w:color w:val="000000"/>
                <w:sz w:val="18"/>
                <w:szCs w:val="18"/>
              </w:rPr>
            </w:pPr>
          </w:p>
        </w:tc>
      </w:tr>
      <w:tr w14:paraId="34208644">
        <w:tblPrEx>
          <w:tblCellMar>
            <w:top w:w="0" w:type="dxa"/>
            <w:left w:w="108" w:type="dxa"/>
            <w:bottom w:w="0" w:type="dxa"/>
            <w:right w:w="108" w:type="dxa"/>
          </w:tblCellMar>
        </w:tblPrEx>
        <w:trPr>
          <w:trHeight w:val="360"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A8A0">
            <w:pPr>
              <w:jc w:val="center"/>
              <w:rPr>
                <w:rFonts w:hint="eastAsia" w:ascii="新宋体" w:hAnsi="新宋体" w:eastAsia="新宋体" w:cs="新宋体"/>
                <w:b w:val="0"/>
                <w:bCs w:val="0"/>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5455">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单位资金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A5FC">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6079">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5420A">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4673">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6CB3">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34EA">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E4CF8">
            <w:pPr>
              <w:jc w:val="center"/>
              <w:rPr>
                <w:rFonts w:hint="eastAsia" w:ascii="新宋体" w:hAnsi="新宋体" w:eastAsia="新宋体" w:cs="新宋体"/>
                <w:b w:val="0"/>
                <w:bCs w:val="0"/>
                <w:color w:val="000000"/>
                <w:sz w:val="18"/>
                <w:szCs w:val="18"/>
              </w:rPr>
            </w:pPr>
          </w:p>
        </w:tc>
      </w:tr>
      <w:tr w14:paraId="4E2C894A">
        <w:tblPrEx>
          <w:tblCellMar>
            <w:top w:w="0" w:type="dxa"/>
            <w:left w:w="108" w:type="dxa"/>
            <w:bottom w:w="0" w:type="dxa"/>
            <w:right w:w="108" w:type="dxa"/>
          </w:tblCellMar>
        </w:tblPrEx>
        <w:trPr>
          <w:trHeight w:val="338"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7FF09">
            <w:pPr>
              <w:jc w:val="center"/>
              <w:rPr>
                <w:rFonts w:hint="eastAsia" w:ascii="新宋体" w:hAnsi="新宋体" w:eastAsia="新宋体" w:cs="新宋体"/>
                <w:b w:val="0"/>
                <w:bCs w:val="0"/>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6EA6">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其他资金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3741">
            <w:pPr>
              <w:jc w:val="center"/>
              <w:rPr>
                <w:rFonts w:hint="eastAsia" w:ascii="新宋体" w:hAnsi="新宋体" w:eastAsia="新宋体" w:cs="新宋体"/>
                <w:b w:val="0"/>
                <w:bCs w:val="0"/>
                <w:i/>
                <w:iCs/>
                <w:color w:val="000000"/>
                <w:sz w:val="16"/>
                <w:szCs w:val="16"/>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B701">
            <w:pPr>
              <w:jc w:val="center"/>
              <w:rPr>
                <w:rFonts w:hint="eastAsia" w:ascii="新宋体" w:hAnsi="新宋体" w:eastAsia="新宋体" w:cs="新宋体"/>
                <w:b w:val="0"/>
                <w:bCs w:val="0"/>
                <w:i/>
                <w:iCs/>
                <w:color w:val="000000"/>
                <w:sz w:val="16"/>
                <w:szCs w:val="16"/>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12DE2">
            <w:pPr>
              <w:jc w:val="center"/>
              <w:rPr>
                <w:rFonts w:hint="eastAsia" w:ascii="新宋体" w:hAnsi="新宋体" w:eastAsia="新宋体" w:cs="新宋体"/>
                <w:b w:val="0"/>
                <w:bCs w:val="0"/>
                <w:i/>
                <w:iCs/>
                <w:color w:val="000000"/>
                <w:sz w:val="16"/>
                <w:szCs w:val="16"/>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AFA8">
            <w:pPr>
              <w:jc w:val="center"/>
              <w:rPr>
                <w:rFonts w:hint="eastAsia" w:ascii="新宋体" w:hAnsi="新宋体" w:eastAsia="新宋体" w:cs="新宋体"/>
                <w:b w:val="0"/>
                <w:bCs w:val="0"/>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60C0">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7EAE">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F1F50">
            <w:pPr>
              <w:jc w:val="center"/>
              <w:rPr>
                <w:rFonts w:hint="eastAsia" w:ascii="新宋体" w:hAnsi="新宋体" w:eastAsia="新宋体" w:cs="新宋体"/>
                <w:b w:val="0"/>
                <w:bCs w:val="0"/>
                <w:color w:val="000000"/>
                <w:sz w:val="18"/>
                <w:szCs w:val="18"/>
              </w:rPr>
            </w:pPr>
          </w:p>
        </w:tc>
      </w:tr>
      <w:tr w14:paraId="284F78B4">
        <w:tblPrEx>
          <w:tblCellMar>
            <w:top w:w="0" w:type="dxa"/>
            <w:left w:w="108" w:type="dxa"/>
            <w:bottom w:w="0" w:type="dxa"/>
            <w:right w:w="108" w:type="dxa"/>
          </w:tblCellMar>
        </w:tblPrEx>
        <w:trPr>
          <w:trHeight w:val="454" w:hRule="atLeast"/>
        </w:trPr>
        <w:tc>
          <w:tcPr>
            <w:tcW w:w="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26013">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绩效指标（90分）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D801">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一级指标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676E">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二级指标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15C2">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三级指标</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4029">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指标性质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9275">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指标值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24A1">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度量单位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5DA0">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E151">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4660">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得分</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4ABE">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未完成原因分析</w:t>
            </w:r>
          </w:p>
        </w:tc>
      </w:tr>
      <w:tr w14:paraId="77ACC69D">
        <w:tblPrEx>
          <w:tblCellMar>
            <w:top w:w="0" w:type="dxa"/>
            <w:left w:w="108" w:type="dxa"/>
            <w:bottom w:w="0" w:type="dxa"/>
            <w:right w:w="108" w:type="dxa"/>
          </w:tblCellMar>
        </w:tblPrEx>
        <w:trPr>
          <w:trHeight w:val="338"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702B3">
            <w:pPr>
              <w:jc w:val="center"/>
              <w:rPr>
                <w:rFonts w:hint="eastAsia" w:ascii="新宋体" w:hAnsi="新宋体" w:eastAsia="新宋体" w:cs="新宋体"/>
                <w:b w:val="0"/>
                <w:bCs w:val="0"/>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EDA4">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效益指标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BE0A">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社会效益指标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08AA">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发放（缴纳）覆盖率</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7B01">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00FD">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E645">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D779">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0647">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8610">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30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2A1F">
            <w:pPr>
              <w:jc w:val="center"/>
              <w:rPr>
                <w:rFonts w:hint="eastAsia" w:ascii="新宋体" w:hAnsi="新宋体" w:eastAsia="新宋体" w:cs="新宋体"/>
                <w:b w:val="0"/>
                <w:bCs w:val="0"/>
                <w:color w:val="000000"/>
                <w:sz w:val="18"/>
                <w:szCs w:val="18"/>
              </w:rPr>
            </w:pPr>
          </w:p>
        </w:tc>
      </w:tr>
      <w:tr w14:paraId="4FFFF32F">
        <w:tblPrEx>
          <w:tblCellMar>
            <w:top w:w="0" w:type="dxa"/>
            <w:left w:w="108" w:type="dxa"/>
            <w:bottom w:w="0" w:type="dxa"/>
            <w:right w:w="108" w:type="dxa"/>
          </w:tblCellMar>
        </w:tblPrEx>
        <w:trPr>
          <w:trHeight w:val="285"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6BF6F">
            <w:pPr>
              <w:jc w:val="center"/>
              <w:rPr>
                <w:rFonts w:hint="eastAsia" w:ascii="新宋体" w:hAnsi="新宋体" w:eastAsia="新宋体" w:cs="新宋体"/>
                <w:b w:val="0"/>
                <w:bCs w:val="0"/>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6000">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产出指标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4AAA">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数量指标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4584">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足额保障率（参保率）</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BC76">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9286">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9EC1">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4324">
            <w:pPr>
              <w:widowControl/>
              <w:jc w:val="center"/>
              <w:textAlignment w:val="center"/>
              <w:rPr>
                <w:rFonts w:hint="eastAsia" w:ascii="新宋体" w:hAnsi="新宋体" w:eastAsia="新宋体" w:cs="新宋体"/>
                <w:b w:val="0"/>
                <w:bCs w:val="0"/>
                <w:color w:val="000000"/>
                <w:sz w:val="16"/>
                <w:szCs w:val="16"/>
              </w:rPr>
            </w:pPr>
            <w:r>
              <w:rPr>
                <w:rFonts w:hint="eastAsia" w:ascii="新宋体" w:hAnsi="新宋体" w:eastAsia="新宋体" w:cs="新宋体"/>
                <w:b w:val="0"/>
                <w:bCs w:val="0"/>
                <w:color w:val="000000"/>
                <w:kern w:val="0"/>
                <w:sz w:val="16"/>
                <w:szCs w:val="16"/>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1472">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7A79">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60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7A15">
            <w:pPr>
              <w:jc w:val="center"/>
              <w:rPr>
                <w:rFonts w:hint="eastAsia" w:ascii="新宋体" w:hAnsi="新宋体" w:eastAsia="新宋体" w:cs="新宋体"/>
                <w:b w:val="0"/>
                <w:bCs w:val="0"/>
                <w:i/>
                <w:iCs/>
                <w:color w:val="000000"/>
                <w:sz w:val="16"/>
                <w:szCs w:val="16"/>
              </w:rPr>
            </w:pPr>
          </w:p>
        </w:tc>
      </w:tr>
      <w:tr w14:paraId="3BE0F565">
        <w:tblPrEx>
          <w:tblCellMar>
            <w:top w:w="0" w:type="dxa"/>
            <w:left w:w="108" w:type="dxa"/>
            <w:bottom w:w="0" w:type="dxa"/>
            <w:right w:w="108" w:type="dxa"/>
          </w:tblCellMar>
        </w:tblPrEx>
        <w:trPr>
          <w:trHeight w:val="60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A423">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评价结论</w:t>
            </w:r>
          </w:p>
        </w:tc>
        <w:tc>
          <w:tcPr>
            <w:tcW w:w="83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85A447">
            <w:pPr>
              <w:widowControl/>
              <w:jc w:val="left"/>
              <w:textAlignment w:val="center"/>
              <w:rPr>
                <w:rFonts w:hint="eastAsia" w:ascii="新宋体" w:hAnsi="新宋体" w:eastAsia="新宋体" w:cs="新宋体"/>
                <w:b w:val="0"/>
                <w:bCs w:val="0"/>
                <w:color w:val="000000"/>
                <w:sz w:val="16"/>
                <w:szCs w:val="16"/>
              </w:rPr>
            </w:pPr>
            <w:r>
              <w:rPr>
                <w:rFonts w:hint="eastAsia" w:ascii="新宋体" w:hAnsi="新宋体" w:eastAsia="新宋体" w:cs="新宋体"/>
                <w:b w:val="0"/>
                <w:bCs w:val="0"/>
                <w:color w:val="000000"/>
                <w:kern w:val="0"/>
                <w:sz w:val="16"/>
                <w:szCs w:val="16"/>
                <w:lang w:bidi="ar"/>
              </w:rPr>
              <w:t>顺利完成五幼项目，完成相关进度资金拨付，自评分100分。</w:t>
            </w:r>
          </w:p>
        </w:tc>
      </w:tr>
      <w:tr w14:paraId="28E06B97">
        <w:tblPrEx>
          <w:tblCellMar>
            <w:top w:w="0" w:type="dxa"/>
            <w:left w:w="108" w:type="dxa"/>
            <w:bottom w:w="0" w:type="dxa"/>
            <w:right w:w="108" w:type="dxa"/>
          </w:tblCellMar>
        </w:tblPrEx>
        <w:trPr>
          <w:trHeight w:val="57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87D4">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存在问题</w:t>
            </w:r>
          </w:p>
        </w:tc>
        <w:tc>
          <w:tcPr>
            <w:tcW w:w="83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0848EE">
            <w:pPr>
              <w:widowControl/>
              <w:jc w:val="left"/>
              <w:textAlignment w:val="center"/>
              <w:rPr>
                <w:rFonts w:hint="eastAsia" w:ascii="新宋体" w:hAnsi="新宋体" w:eastAsia="新宋体" w:cs="新宋体"/>
                <w:b w:val="0"/>
                <w:bCs w:val="0"/>
                <w:color w:val="000000"/>
                <w:sz w:val="16"/>
                <w:szCs w:val="16"/>
              </w:rPr>
            </w:pPr>
            <w:r>
              <w:rPr>
                <w:rFonts w:hint="eastAsia" w:ascii="新宋体" w:hAnsi="新宋体" w:eastAsia="新宋体" w:cs="新宋体"/>
                <w:b w:val="0"/>
                <w:bCs w:val="0"/>
                <w:color w:val="000000"/>
                <w:kern w:val="0"/>
                <w:sz w:val="16"/>
                <w:szCs w:val="16"/>
                <w:lang w:bidi="ar"/>
              </w:rPr>
              <w:t>无</w:t>
            </w:r>
          </w:p>
        </w:tc>
      </w:tr>
      <w:tr w14:paraId="339B72EB">
        <w:tblPrEx>
          <w:tblCellMar>
            <w:top w:w="0" w:type="dxa"/>
            <w:left w:w="108" w:type="dxa"/>
            <w:bottom w:w="0" w:type="dxa"/>
            <w:right w:w="108" w:type="dxa"/>
          </w:tblCellMar>
        </w:tblPrEx>
        <w:trPr>
          <w:trHeight w:val="63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C9D8">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改进措施</w:t>
            </w:r>
          </w:p>
        </w:tc>
        <w:tc>
          <w:tcPr>
            <w:tcW w:w="83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D7E446">
            <w:pPr>
              <w:widowControl/>
              <w:jc w:val="left"/>
              <w:textAlignment w:val="center"/>
              <w:rPr>
                <w:rFonts w:hint="eastAsia" w:ascii="新宋体" w:hAnsi="新宋体" w:eastAsia="新宋体" w:cs="新宋体"/>
                <w:b w:val="0"/>
                <w:bCs w:val="0"/>
                <w:color w:val="000000"/>
                <w:sz w:val="16"/>
                <w:szCs w:val="16"/>
              </w:rPr>
            </w:pPr>
            <w:r>
              <w:rPr>
                <w:rFonts w:hint="eastAsia" w:ascii="新宋体" w:hAnsi="新宋体" w:eastAsia="新宋体" w:cs="新宋体"/>
                <w:b w:val="0"/>
                <w:bCs w:val="0"/>
                <w:color w:val="000000"/>
                <w:kern w:val="0"/>
                <w:sz w:val="16"/>
                <w:szCs w:val="16"/>
                <w:lang w:bidi="ar"/>
              </w:rPr>
              <w:t>无</w:t>
            </w:r>
          </w:p>
        </w:tc>
      </w:tr>
      <w:tr w14:paraId="13E4FB32">
        <w:tblPrEx>
          <w:tblCellMar>
            <w:top w:w="0" w:type="dxa"/>
            <w:left w:w="108" w:type="dxa"/>
            <w:bottom w:w="0" w:type="dxa"/>
            <w:right w:w="108" w:type="dxa"/>
          </w:tblCellMar>
        </w:tblPrEx>
        <w:trPr>
          <w:trHeight w:val="285" w:hRule="atLeast"/>
        </w:trPr>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D5F024">
            <w:pPr>
              <w:widowControl/>
              <w:jc w:val="left"/>
              <w:textAlignment w:val="center"/>
              <w:rPr>
                <w:rFonts w:hint="eastAsia" w:ascii="新宋体" w:hAnsi="新宋体" w:eastAsia="新宋体" w:cs="新宋体"/>
                <w:b w:val="0"/>
                <w:bCs w:val="0"/>
                <w:color w:val="000000"/>
                <w:sz w:val="18"/>
                <w:szCs w:val="18"/>
                <w:lang w:eastAsia="zh-CN"/>
              </w:rPr>
            </w:pPr>
            <w:r>
              <w:rPr>
                <w:rFonts w:hint="eastAsia" w:ascii="新宋体" w:hAnsi="新宋体" w:eastAsia="新宋体" w:cs="新宋体"/>
                <w:b w:val="0"/>
                <w:bCs w:val="0"/>
                <w:color w:val="000000"/>
                <w:kern w:val="0"/>
                <w:sz w:val="18"/>
                <w:szCs w:val="18"/>
                <w:lang w:bidi="ar"/>
              </w:rPr>
              <w:t>项目负责人：</w:t>
            </w:r>
            <w:r>
              <w:rPr>
                <w:rFonts w:hint="eastAsia" w:ascii="新宋体" w:hAnsi="新宋体" w:eastAsia="新宋体" w:cs="新宋体"/>
                <w:b w:val="0"/>
                <w:bCs w:val="0"/>
                <w:color w:val="000000"/>
                <w:kern w:val="0"/>
                <w:sz w:val="18"/>
                <w:szCs w:val="18"/>
                <w:lang w:eastAsia="zh-CN" w:bidi="ar"/>
              </w:rPr>
              <w:t>简颖</w:t>
            </w:r>
          </w:p>
        </w:tc>
        <w:tc>
          <w:tcPr>
            <w:tcW w:w="50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8B3109">
            <w:pPr>
              <w:widowControl/>
              <w:jc w:val="left"/>
              <w:textAlignment w:val="center"/>
              <w:rPr>
                <w:rFonts w:hint="eastAsia" w:ascii="新宋体" w:hAnsi="新宋体" w:eastAsia="新宋体" w:cs="新宋体"/>
                <w:b w:val="0"/>
                <w:bCs w:val="0"/>
                <w:color w:val="000000"/>
                <w:sz w:val="18"/>
                <w:szCs w:val="18"/>
                <w:lang w:eastAsia="zh-CN"/>
              </w:rPr>
            </w:pPr>
            <w:r>
              <w:rPr>
                <w:rFonts w:hint="eastAsia" w:ascii="新宋体" w:hAnsi="新宋体" w:eastAsia="新宋体" w:cs="新宋体"/>
                <w:b w:val="0"/>
                <w:bCs w:val="0"/>
                <w:color w:val="000000"/>
                <w:kern w:val="0"/>
                <w:sz w:val="18"/>
                <w:szCs w:val="18"/>
                <w:lang w:bidi="ar"/>
              </w:rPr>
              <w:t>财务负责人：</w:t>
            </w:r>
            <w:r>
              <w:rPr>
                <w:rFonts w:hint="eastAsia" w:ascii="新宋体" w:hAnsi="新宋体" w:eastAsia="新宋体" w:cs="新宋体"/>
                <w:b w:val="0"/>
                <w:bCs w:val="0"/>
                <w:color w:val="000000"/>
                <w:kern w:val="0"/>
                <w:sz w:val="18"/>
                <w:szCs w:val="18"/>
                <w:lang w:eastAsia="zh-CN" w:bidi="ar"/>
              </w:rPr>
              <w:t>唐洪波</w:t>
            </w:r>
          </w:p>
        </w:tc>
      </w:tr>
      <w:tr w14:paraId="1A69C931">
        <w:tblPrEx>
          <w:tblCellMar>
            <w:top w:w="0" w:type="dxa"/>
            <w:left w:w="108" w:type="dxa"/>
            <w:bottom w:w="0" w:type="dxa"/>
            <w:right w:w="108" w:type="dxa"/>
          </w:tblCellMar>
        </w:tblPrEx>
        <w:trPr>
          <w:trHeight w:val="285" w:hRule="atLeast"/>
        </w:trPr>
        <w:tc>
          <w:tcPr>
            <w:tcW w:w="445" w:type="dxa"/>
            <w:tcBorders>
              <w:top w:val="nil"/>
              <w:left w:val="nil"/>
              <w:bottom w:val="nil"/>
              <w:right w:val="nil"/>
            </w:tcBorders>
            <w:shd w:val="clear" w:color="auto" w:fill="auto"/>
            <w:vAlign w:val="center"/>
          </w:tcPr>
          <w:p w14:paraId="44B7A0FC">
            <w:pPr>
              <w:rPr>
                <w:rFonts w:hint="eastAsia" w:ascii="新宋体" w:hAnsi="新宋体" w:eastAsia="新宋体" w:cs="新宋体"/>
                <w:b w:val="0"/>
                <w:bCs w:val="0"/>
                <w:color w:val="000000"/>
                <w:sz w:val="18"/>
                <w:szCs w:val="18"/>
              </w:rPr>
            </w:pPr>
          </w:p>
        </w:tc>
        <w:tc>
          <w:tcPr>
            <w:tcW w:w="576" w:type="dxa"/>
            <w:tcBorders>
              <w:top w:val="nil"/>
              <w:left w:val="nil"/>
              <w:bottom w:val="nil"/>
              <w:right w:val="nil"/>
            </w:tcBorders>
            <w:shd w:val="clear" w:color="auto" w:fill="auto"/>
            <w:vAlign w:val="center"/>
          </w:tcPr>
          <w:p w14:paraId="00131F7D">
            <w:pPr>
              <w:rPr>
                <w:rFonts w:hint="eastAsia" w:ascii="新宋体" w:hAnsi="新宋体" w:eastAsia="新宋体" w:cs="新宋体"/>
                <w:b w:val="0"/>
                <w:bCs w:val="0"/>
                <w:color w:val="000000"/>
                <w:sz w:val="18"/>
                <w:szCs w:val="18"/>
              </w:rPr>
            </w:pPr>
          </w:p>
        </w:tc>
        <w:tc>
          <w:tcPr>
            <w:tcW w:w="696" w:type="dxa"/>
            <w:tcBorders>
              <w:top w:val="nil"/>
              <w:left w:val="nil"/>
              <w:bottom w:val="nil"/>
              <w:right w:val="nil"/>
            </w:tcBorders>
            <w:shd w:val="clear" w:color="auto" w:fill="auto"/>
            <w:vAlign w:val="center"/>
          </w:tcPr>
          <w:p w14:paraId="6E4EE74A">
            <w:pPr>
              <w:rPr>
                <w:rFonts w:hint="eastAsia" w:ascii="新宋体" w:hAnsi="新宋体" w:eastAsia="新宋体" w:cs="新宋体"/>
                <w:b w:val="0"/>
                <w:bCs w:val="0"/>
                <w:color w:val="000000"/>
                <w:sz w:val="18"/>
                <w:szCs w:val="18"/>
              </w:rPr>
            </w:pPr>
          </w:p>
        </w:tc>
        <w:tc>
          <w:tcPr>
            <w:tcW w:w="1559" w:type="dxa"/>
            <w:tcBorders>
              <w:top w:val="nil"/>
              <w:left w:val="nil"/>
              <w:bottom w:val="nil"/>
              <w:right w:val="nil"/>
            </w:tcBorders>
            <w:shd w:val="clear" w:color="auto" w:fill="auto"/>
            <w:vAlign w:val="center"/>
          </w:tcPr>
          <w:p w14:paraId="7FC9F56D">
            <w:pPr>
              <w:rPr>
                <w:rFonts w:hint="eastAsia" w:ascii="新宋体" w:hAnsi="新宋体" w:eastAsia="新宋体" w:cs="新宋体"/>
                <w:b w:val="0"/>
                <w:bCs w:val="0"/>
                <w:color w:val="000000"/>
                <w:sz w:val="18"/>
                <w:szCs w:val="18"/>
              </w:rPr>
            </w:pPr>
          </w:p>
        </w:tc>
        <w:tc>
          <w:tcPr>
            <w:tcW w:w="474" w:type="dxa"/>
            <w:tcBorders>
              <w:top w:val="nil"/>
              <w:left w:val="nil"/>
              <w:bottom w:val="nil"/>
              <w:right w:val="nil"/>
            </w:tcBorders>
            <w:shd w:val="clear" w:color="auto" w:fill="auto"/>
            <w:vAlign w:val="center"/>
          </w:tcPr>
          <w:p w14:paraId="3E0D1073">
            <w:pPr>
              <w:rPr>
                <w:rFonts w:hint="eastAsia" w:ascii="新宋体" w:hAnsi="新宋体" w:eastAsia="新宋体" w:cs="新宋体"/>
                <w:b w:val="0"/>
                <w:bCs w:val="0"/>
                <w:color w:val="000000"/>
                <w:sz w:val="18"/>
                <w:szCs w:val="18"/>
              </w:rPr>
            </w:pPr>
          </w:p>
        </w:tc>
        <w:tc>
          <w:tcPr>
            <w:tcW w:w="1127" w:type="dxa"/>
            <w:tcBorders>
              <w:top w:val="nil"/>
              <w:left w:val="nil"/>
              <w:bottom w:val="nil"/>
              <w:right w:val="nil"/>
            </w:tcBorders>
            <w:shd w:val="clear" w:color="auto" w:fill="auto"/>
            <w:vAlign w:val="center"/>
          </w:tcPr>
          <w:p w14:paraId="1F106B90">
            <w:pPr>
              <w:rPr>
                <w:rFonts w:hint="eastAsia" w:ascii="新宋体" w:hAnsi="新宋体" w:eastAsia="新宋体" w:cs="新宋体"/>
                <w:b w:val="0"/>
                <w:bCs w:val="0"/>
                <w:color w:val="000000"/>
                <w:sz w:val="18"/>
                <w:szCs w:val="18"/>
              </w:rPr>
            </w:pPr>
          </w:p>
        </w:tc>
        <w:tc>
          <w:tcPr>
            <w:tcW w:w="454" w:type="dxa"/>
            <w:tcBorders>
              <w:top w:val="nil"/>
              <w:left w:val="nil"/>
              <w:bottom w:val="nil"/>
              <w:right w:val="nil"/>
            </w:tcBorders>
            <w:shd w:val="clear" w:color="auto" w:fill="auto"/>
            <w:vAlign w:val="center"/>
          </w:tcPr>
          <w:p w14:paraId="33F7F66C">
            <w:pPr>
              <w:rPr>
                <w:rFonts w:hint="eastAsia" w:ascii="新宋体" w:hAnsi="新宋体" w:eastAsia="新宋体" w:cs="新宋体"/>
                <w:b w:val="0"/>
                <w:bCs w:val="0"/>
                <w:color w:val="000000"/>
                <w:sz w:val="18"/>
                <w:szCs w:val="18"/>
              </w:rPr>
            </w:pPr>
          </w:p>
        </w:tc>
        <w:tc>
          <w:tcPr>
            <w:tcW w:w="991" w:type="dxa"/>
            <w:tcBorders>
              <w:top w:val="nil"/>
              <w:left w:val="nil"/>
              <w:bottom w:val="nil"/>
              <w:right w:val="nil"/>
            </w:tcBorders>
            <w:shd w:val="clear" w:color="auto" w:fill="auto"/>
            <w:vAlign w:val="center"/>
          </w:tcPr>
          <w:p w14:paraId="33A83682">
            <w:pPr>
              <w:rPr>
                <w:rFonts w:hint="eastAsia" w:ascii="新宋体" w:hAnsi="新宋体" w:eastAsia="新宋体" w:cs="新宋体"/>
                <w:b w:val="0"/>
                <w:bCs w:val="0"/>
                <w:color w:val="000000"/>
                <w:sz w:val="18"/>
                <w:szCs w:val="18"/>
              </w:rPr>
            </w:pPr>
          </w:p>
        </w:tc>
        <w:tc>
          <w:tcPr>
            <w:tcW w:w="486" w:type="dxa"/>
            <w:tcBorders>
              <w:top w:val="nil"/>
              <w:left w:val="nil"/>
              <w:bottom w:val="nil"/>
              <w:right w:val="nil"/>
            </w:tcBorders>
            <w:shd w:val="clear" w:color="auto" w:fill="auto"/>
            <w:vAlign w:val="center"/>
          </w:tcPr>
          <w:p w14:paraId="51F78F98">
            <w:pPr>
              <w:rPr>
                <w:rFonts w:hint="eastAsia" w:ascii="新宋体" w:hAnsi="新宋体" w:eastAsia="新宋体" w:cs="新宋体"/>
                <w:b w:val="0"/>
                <w:bCs w:val="0"/>
                <w:color w:val="000000"/>
                <w:sz w:val="18"/>
                <w:szCs w:val="18"/>
              </w:rPr>
            </w:pPr>
          </w:p>
        </w:tc>
        <w:tc>
          <w:tcPr>
            <w:tcW w:w="486" w:type="dxa"/>
            <w:tcBorders>
              <w:top w:val="nil"/>
              <w:left w:val="nil"/>
              <w:bottom w:val="nil"/>
              <w:right w:val="nil"/>
            </w:tcBorders>
            <w:shd w:val="clear" w:color="auto" w:fill="auto"/>
            <w:vAlign w:val="center"/>
          </w:tcPr>
          <w:p w14:paraId="7AEE15C8">
            <w:pPr>
              <w:rPr>
                <w:rFonts w:hint="eastAsia" w:ascii="新宋体" w:hAnsi="新宋体" w:eastAsia="新宋体" w:cs="新宋体"/>
                <w:b w:val="0"/>
                <w:bCs w:val="0"/>
                <w:color w:val="000000"/>
                <w:sz w:val="18"/>
                <w:szCs w:val="18"/>
              </w:rPr>
            </w:pPr>
          </w:p>
        </w:tc>
        <w:tc>
          <w:tcPr>
            <w:tcW w:w="1456" w:type="dxa"/>
            <w:tcBorders>
              <w:top w:val="nil"/>
              <w:left w:val="nil"/>
              <w:bottom w:val="nil"/>
              <w:right w:val="nil"/>
            </w:tcBorders>
            <w:shd w:val="clear" w:color="auto" w:fill="auto"/>
            <w:vAlign w:val="center"/>
          </w:tcPr>
          <w:p w14:paraId="2633A0CC">
            <w:pPr>
              <w:rPr>
                <w:rFonts w:hint="eastAsia" w:ascii="新宋体" w:hAnsi="新宋体" w:eastAsia="新宋体" w:cs="新宋体"/>
                <w:b w:val="0"/>
                <w:bCs w:val="0"/>
                <w:color w:val="000000"/>
                <w:sz w:val="18"/>
                <w:szCs w:val="18"/>
              </w:rPr>
            </w:pPr>
          </w:p>
        </w:tc>
      </w:tr>
      <w:tr w14:paraId="24670ECE">
        <w:tblPrEx>
          <w:tblCellMar>
            <w:top w:w="0" w:type="dxa"/>
            <w:left w:w="108" w:type="dxa"/>
            <w:bottom w:w="0" w:type="dxa"/>
            <w:right w:w="108" w:type="dxa"/>
          </w:tblCellMar>
        </w:tblPrEx>
        <w:trPr>
          <w:trHeight w:val="904" w:hRule="atLeast"/>
        </w:trPr>
        <w:tc>
          <w:tcPr>
            <w:tcW w:w="87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F976A8">
            <w:pPr>
              <w:keepNext w:val="0"/>
              <w:keepLines w:val="0"/>
              <w:widowControl/>
              <w:suppressLineNumbers w:val="0"/>
              <w:suppressAutoHyphens/>
              <w:kinsoku w:val="0"/>
              <w:autoSpaceDE w:val="0"/>
              <w:autoSpaceDN w:val="0"/>
              <w:bidi w:val="0"/>
              <w:adjustRightInd w:val="0"/>
              <w:snapToGrid w:val="0"/>
              <w:spacing w:before="253" w:beforeAutospacing="0" w:after="0" w:afterAutospacing="0"/>
              <w:ind w:left="1326" w:right="0"/>
              <w:jc w:val="left"/>
              <w:textAlignment w:val="baseline"/>
              <w:rPr>
                <w:rFonts w:hint="eastAsia" w:ascii="新宋体" w:hAnsi="新宋体" w:eastAsia="新宋体" w:cs="新宋体"/>
                <w:b w:val="0"/>
                <w:bCs w:val="0"/>
                <w:color w:val="000000"/>
                <w:sz w:val="30"/>
                <w:szCs w:val="30"/>
              </w:rPr>
            </w:pPr>
            <w:r>
              <w:rPr>
                <w:rFonts w:hint="eastAsia" w:ascii="黑体" w:hAnsi="宋体" w:eastAsia="黑体" w:cs="黑体"/>
                <w:b/>
                <w:bCs/>
                <w:snapToGrid/>
                <w:color w:val="000000"/>
                <w:kern w:val="0"/>
                <w:sz w:val="30"/>
                <w:szCs w:val="30"/>
                <w:highlight w:val="none"/>
                <w:lang w:val="en-US" w:eastAsia="zh-CN" w:bidi="ar"/>
              </w:rPr>
              <w:t>部门预算项目支出绩效自评表2（2024年度）</w:t>
            </w:r>
          </w:p>
        </w:tc>
      </w:tr>
      <w:tr w14:paraId="0690841C">
        <w:tblPrEx>
          <w:tblCellMar>
            <w:top w:w="0" w:type="dxa"/>
            <w:left w:w="108" w:type="dxa"/>
            <w:bottom w:w="0" w:type="dxa"/>
            <w:right w:w="108" w:type="dxa"/>
          </w:tblCellMar>
        </w:tblPrEx>
        <w:trPr>
          <w:trHeight w:val="285" w:hRule="atLeast"/>
        </w:trPr>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A0F08">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项目名称</w:t>
            </w:r>
          </w:p>
        </w:tc>
        <w:tc>
          <w:tcPr>
            <w:tcW w:w="77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6CE7F8">
            <w:pPr>
              <w:widowControl/>
              <w:jc w:val="left"/>
              <w:textAlignment w:val="center"/>
              <w:rPr>
                <w:rFonts w:hint="eastAsia" w:ascii="新宋体" w:hAnsi="新宋体" w:eastAsia="新宋体" w:cs="新宋体"/>
                <w:b w:val="0"/>
                <w:bCs w:val="0"/>
                <w:color w:val="000000"/>
                <w:sz w:val="18"/>
                <w:szCs w:val="18"/>
                <w:lang w:val="en-US" w:eastAsia="zh-CN"/>
              </w:rPr>
            </w:pPr>
            <w:r>
              <w:rPr>
                <w:rFonts w:hint="eastAsia" w:ascii="新宋体" w:hAnsi="新宋体" w:eastAsia="新宋体" w:cs="新宋体"/>
                <w:b w:val="0"/>
                <w:bCs w:val="0"/>
                <w:color w:val="000000"/>
                <w:kern w:val="0"/>
                <w:sz w:val="18"/>
                <w:szCs w:val="18"/>
                <w:lang w:val="en-US" w:eastAsia="zh-CN" w:bidi="ar"/>
              </w:rPr>
              <w:t>51090422T000006818424</w:t>
            </w:r>
            <w:r>
              <w:rPr>
                <w:rFonts w:hint="eastAsia" w:ascii="新宋体" w:hAnsi="新宋体" w:eastAsia="新宋体" w:cs="新宋体"/>
                <w:b w:val="0"/>
                <w:bCs w:val="0"/>
                <w:color w:val="000000"/>
                <w:kern w:val="0"/>
                <w:sz w:val="18"/>
                <w:szCs w:val="18"/>
                <w:lang w:bidi="ar"/>
              </w:rPr>
              <w:t>-幼儿资助及幼儿发展资金</w:t>
            </w:r>
          </w:p>
        </w:tc>
      </w:tr>
      <w:tr w14:paraId="726095E8">
        <w:tblPrEx>
          <w:tblCellMar>
            <w:top w:w="0" w:type="dxa"/>
            <w:left w:w="108" w:type="dxa"/>
            <w:bottom w:w="0" w:type="dxa"/>
            <w:right w:w="108" w:type="dxa"/>
          </w:tblCellMar>
        </w:tblPrEx>
        <w:trPr>
          <w:trHeight w:val="514" w:hRule="atLeast"/>
        </w:trPr>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8E9FC">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主管部门</w:t>
            </w:r>
          </w:p>
        </w:tc>
        <w:tc>
          <w:tcPr>
            <w:tcW w:w="4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7D28B2">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遂宁市安居区</w:t>
            </w:r>
            <w:r>
              <w:rPr>
                <w:rFonts w:hint="eastAsia" w:ascii="新宋体" w:hAnsi="新宋体" w:eastAsia="新宋体" w:cs="新宋体"/>
                <w:b w:val="0"/>
                <w:bCs w:val="0"/>
                <w:color w:val="000000"/>
                <w:kern w:val="0"/>
                <w:sz w:val="18"/>
                <w:szCs w:val="18"/>
                <w:lang w:eastAsia="zh-CN" w:bidi="ar"/>
              </w:rPr>
              <w:t>白马镇中心</w:t>
            </w:r>
            <w:r>
              <w:rPr>
                <w:rFonts w:hint="eastAsia" w:ascii="新宋体" w:hAnsi="新宋体" w:eastAsia="新宋体" w:cs="新宋体"/>
                <w:b w:val="0"/>
                <w:bCs w:val="0"/>
                <w:color w:val="000000"/>
                <w:kern w:val="0"/>
                <w:sz w:val="18"/>
                <w:szCs w:val="18"/>
                <w:lang w:bidi="ar"/>
              </w:rPr>
              <w:t>幼儿园部门</w:t>
            </w:r>
          </w:p>
        </w:tc>
        <w:tc>
          <w:tcPr>
            <w:tcW w:w="991" w:type="dxa"/>
            <w:tcBorders>
              <w:top w:val="nil"/>
              <w:left w:val="nil"/>
              <w:bottom w:val="nil"/>
              <w:right w:val="nil"/>
            </w:tcBorders>
            <w:shd w:val="clear" w:color="auto" w:fill="auto"/>
            <w:vAlign w:val="center"/>
          </w:tcPr>
          <w:p w14:paraId="74522B9D">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实施单位 （盖章）</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38B33">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遂宁市安居区</w:t>
            </w:r>
            <w:r>
              <w:rPr>
                <w:rFonts w:hint="eastAsia" w:ascii="新宋体" w:hAnsi="新宋体" w:eastAsia="新宋体" w:cs="新宋体"/>
                <w:b w:val="0"/>
                <w:bCs w:val="0"/>
                <w:color w:val="000000"/>
                <w:kern w:val="0"/>
                <w:sz w:val="18"/>
                <w:szCs w:val="18"/>
                <w:lang w:eastAsia="zh-CN" w:bidi="ar"/>
              </w:rPr>
              <w:t>白马镇中心</w:t>
            </w:r>
            <w:r>
              <w:rPr>
                <w:rFonts w:hint="eastAsia" w:ascii="新宋体" w:hAnsi="新宋体" w:eastAsia="新宋体" w:cs="新宋体"/>
                <w:b w:val="0"/>
                <w:bCs w:val="0"/>
                <w:color w:val="000000"/>
                <w:kern w:val="0"/>
                <w:sz w:val="18"/>
                <w:szCs w:val="18"/>
                <w:lang w:bidi="ar"/>
              </w:rPr>
              <w:t>幼儿园</w:t>
            </w:r>
          </w:p>
        </w:tc>
      </w:tr>
      <w:tr w14:paraId="4AF511CC">
        <w:tblPrEx>
          <w:tblCellMar>
            <w:top w:w="0" w:type="dxa"/>
            <w:left w:w="108" w:type="dxa"/>
            <w:bottom w:w="0" w:type="dxa"/>
            <w:right w:w="108" w:type="dxa"/>
          </w:tblCellMar>
        </w:tblPrEx>
        <w:trPr>
          <w:trHeight w:val="285" w:hRule="atLeast"/>
        </w:trPr>
        <w:tc>
          <w:tcPr>
            <w:tcW w:w="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EC06B">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项目基本情况</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E2301">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1.项目年度目标完成情况</w:t>
            </w:r>
          </w:p>
        </w:tc>
        <w:tc>
          <w:tcPr>
            <w:tcW w:w="4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096EC0">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项目年度目标</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54E98">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年度目标完成情况</w:t>
            </w:r>
          </w:p>
        </w:tc>
      </w:tr>
      <w:tr w14:paraId="54464C04">
        <w:tblPrEx>
          <w:tblCellMar>
            <w:top w:w="0" w:type="dxa"/>
            <w:left w:w="108" w:type="dxa"/>
            <w:bottom w:w="0" w:type="dxa"/>
            <w:right w:w="108" w:type="dxa"/>
          </w:tblCellMar>
        </w:tblPrEx>
        <w:trPr>
          <w:trHeight w:val="709"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496F5">
            <w:pPr>
              <w:rPr>
                <w:rFonts w:hint="eastAsia" w:ascii="新宋体" w:hAnsi="新宋体" w:eastAsia="新宋体" w:cs="新宋体"/>
                <w:b w:val="0"/>
                <w:bCs w:val="0"/>
                <w:color w:val="00000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4ECB">
            <w:pPr>
              <w:rPr>
                <w:rFonts w:hint="eastAsia" w:ascii="新宋体" w:hAnsi="新宋体" w:eastAsia="新宋体" w:cs="新宋体"/>
                <w:b w:val="0"/>
                <w:bCs w:val="0"/>
                <w:color w:val="000000"/>
                <w:sz w:val="18"/>
                <w:szCs w:val="18"/>
              </w:rPr>
            </w:pPr>
          </w:p>
        </w:tc>
        <w:tc>
          <w:tcPr>
            <w:tcW w:w="4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AAC7B">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　完成项目支付</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551A03">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已完成</w:t>
            </w:r>
          </w:p>
        </w:tc>
      </w:tr>
      <w:tr w14:paraId="7C435C35">
        <w:tblPrEx>
          <w:tblCellMar>
            <w:top w:w="0" w:type="dxa"/>
            <w:left w:w="108" w:type="dxa"/>
            <w:bottom w:w="0" w:type="dxa"/>
            <w:right w:w="108" w:type="dxa"/>
          </w:tblCellMar>
        </w:tblPrEx>
        <w:trPr>
          <w:trHeight w:val="694"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FF462">
            <w:pPr>
              <w:rPr>
                <w:rFonts w:hint="eastAsia" w:ascii="新宋体" w:hAnsi="新宋体" w:eastAsia="新宋体" w:cs="新宋体"/>
                <w:b w:val="0"/>
                <w:bCs w:val="0"/>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04B7">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2.项目实施内容及过程概述</w:t>
            </w:r>
          </w:p>
        </w:tc>
        <w:tc>
          <w:tcPr>
            <w:tcW w:w="77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960DF0">
            <w:pPr>
              <w:widowControl/>
              <w:jc w:val="lef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　顺利完成工作进度，验收合格，并按相关制度进行资金拨付</w:t>
            </w:r>
          </w:p>
        </w:tc>
      </w:tr>
      <w:tr w14:paraId="645A36FB">
        <w:tblPrEx>
          <w:tblCellMar>
            <w:top w:w="0" w:type="dxa"/>
            <w:left w:w="108" w:type="dxa"/>
            <w:bottom w:w="0" w:type="dxa"/>
            <w:right w:w="108" w:type="dxa"/>
          </w:tblCellMar>
        </w:tblPrEx>
        <w:trPr>
          <w:trHeight w:val="360" w:hRule="atLeast"/>
        </w:trPr>
        <w:tc>
          <w:tcPr>
            <w:tcW w:w="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52D46">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预算执行情况（10分）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4E54">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年度预算数（万元）</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F1F2">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年初预算</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39BC">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调整后预算数</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78F52">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预算执行数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6F9A">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5DE6">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C07B">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得分</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69F6">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原因</w:t>
            </w:r>
          </w:p>
        </w:tc>
      </w:tr>
      <w:tr w14:paraId="56045406">
        <w:tblPrEx>
          <w:tblCellMar>
            <w:top w:w="0" w:type="dxa"/>
            <w:left w:w="108" w:type="dxa"/>
            <w:bottom w:w="0" w:type="dxa"/>
            <w:right w:w="108" w:type="dxa"/>
          </w:tblCellMar>
        </w:tblPrEx>
        <w:trPr>
          <w:trHeight w:val="345"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7EB3A">
            <w:pPr>
              <w:jc w:val="center"/>
              <w:rPr>
                <w:rFonts w:hint="eastAsia" w:ascii="新宋体" w:hAnsi="新宋体" w:eastAsia="新宋体" w:cs="新宋体"/>
                <w:b w:val="0"/>
                <w:bCs w:val="0"/>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ABBE">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总额</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939B">
            <w:pPr>
              <w:widowControl/>
              <w:jc w:val="center"/>
              <w:textAlignment w:val="center"/>
              <w:rPr>
                <w:rFonts w:hint="eastAsia" w:ascii="新宋体" w:hAnsi="新宋体" w:eastAsia="新宋体" w:cs="新宋体"/>
                <w:b w:val="0"/>
                <w:bCs w:val="0"/>
                <w:color w:val="000000"/>
                <w:sz w:val="18"/>
                <w:szCs w:val="18"/>
                <w:lang w:val="en-US" w:eastAsia="zh-CN"/>
              </w:rPr>
            </w:pPr>
            <w:r>
              <w:rPr>
                <w:rFonts w:hint="eastAsia" w:ascii="新宋体" w:hAnsi="新宋体" w:eastAsia="新宋体" w:cs="新宋体"/>
                <w:b w:val="0"/>
                <w:bCs w:val="0"/>
                <w:color w:val="000000"/>
                <w:kern w:val="0"/>
                <w:sz w:val="18"/>
                <w:szCs w:val="18"/>
                <w:lang w:bidi="ar"/>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F35D">
            <w:pPr>
              <w:widowControl/>
              <w:jc w:val="center"/>
              <w:textAlignment w:val="center"/>
              <w:rPr>
                <w:rFonts w:hint="eastAsia" w:ascii="新宋体" w:hAnsi="新宋体" w:eastAsia="新宋体" w:cs="新宋体"/>
                <w:b w:val="0"/>
                <w:bCs w:val="0"/>
                <w:color w:val="000000"/>
                <w:sz w:val="18"/>
                <w:szCs w:val="18"/>
                <w:lang w:val="en-US" w:eastAsia="zh-CN"/>
              </w:rPr>
            </w:pPr>
            <w:r>
              <w:rPr>
                <w:rFonts w:hint="eastAsia" w:ascii="新宋体" w:hAnsi="新宋体" w:eastAsia="新宋体" w:cs="新宋体"/>
                <w:b w:val="0"/>
                <w:bCs w:val="0"/>
                <w:color w:val="000000"/>
                <w:sz w:val="18"/>
                <w:szCs w:val="18"/>
                <w:lang w:val="en-US" w:eastAsia="zh-CN"/>
              </w:rPr>
              <w:t>5.78</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C21BC">
            <w:pPr>
              <w:widowControl/>
              <w:jc w:val="center"/>
              <w:textAlignment w:val="center"/>
              <w:rPr>
                <w:rFonts w:hint="eastAsia" w:ascii="新宋体" w:hAnsi="新宋体" w:eastAsia="新宋体" w:cs="新宋体"/>
                <w:b w:val="0"/>
                <w:bCs w:val="0"/>
                <w:color w:val="000000"/>
                <w:sz w:val="18"/>
                <w:szCs w:val="18"/>
                <w:lang w:val="en-US" w:eastAsia="zh-CN"/>
              </w:rPr>
            </w:pPr>
            <w:r>
              <w:rPr>
                <w:rFonts w:hint="eastAsia" w:ascii="新宋体" w:hAnsi="新宋体" w:eastAsia="新宋体" w:cs="新宋体"/>
                <w:b w:val="0"/>
                <w:bCs w:val="0"/>
                <w:color w:val="000000"/>
                <w:sz w:val="18"/>
                <w:szCs w:val="18"/>
                <w:lang w:val="en-US" w:eastAsia="zh-CN"/>
              </w:rPr>
              <w:t>5.78</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3F3C">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02A2">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552D">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10</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763CF">
            <w:pPr>
              <w:widowControl/>
              <w:jc w:val="left"/>
              <w:textAlignment w:val="center"/>
              <w:rPr>
                <w:rFonts w:hint="eastAsia" w:ascii="新宋体" w:hAnsi="新宋体" w:eastAsia="新宋体" w:cs="新宋体"/>
                <w:b w:val="0"/>
                <w:bCs w:val="0"/>
                <w:i/>
                <w:iCs/>
                <w:color w:val="000000"/>
                <w:sz w:val="18"/>
                <w:szCs w:val="18"/>
              </w:rPr>
            </w:pPr>
            <w:r>
              <w:rPr>
                <w:rFonts w:hint="eastAsia" w:ascii="新宋体" w:hAnsi="新宋体" w:eastAsia="新宋体" w:cs="新宋体"/>
                <w:b w:val="0"/>
                <w:bCs w:val="0"/>
                <w:i/>
                <w:iCs/>
                <w:color w:val="000000"/>
                <w:kern w:val="0"/>
                <w:sz w:val="18"/>
                <w:szCs w:val="18"/>
                <w:lang w:bidi="ar"/>
              </w:rPr>
              <w:t>完成</w:t>
            </w:r>
          </w:p>
        </w:tc>
      </w:tr>
      <w:tr w14:paraId="3A0C638F">
        <w:tblPrEx>
          <w:tblCellMar>
            <w:top w:w="0" w:type="dxa"/>
            <w:left w:w="108" w:type="dxa"/>
            <w:bottom w:w="0" w:type="dxa"/>
            <w:right w:w="108" w:type="dxa"/>
          </w:tblCellMar>
        </w:tblPrEx>
        <w:trPr>
          <w:trHeight w:val="390"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02466">
            <w:pPr>
              <w:jc w:val="center"/>
              <w:rPr>
                <w:rFonts w:hint="eastAsia" w:ascii="新宋体" w:hAnsi="新宋体" w:eastAsia="新宋体" w:cs="新宋体"/>
                <w:b w:val="0"/>
                <w:bCs w:val="0"/>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878D">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其中：财政资金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2E1D">
            <w:pPr>
              <w:widowControl/>
              <w:jc w:val="center"/>
              <w:textAlignment w:val="center"/>
              <w:rPr>
                <w:rFonts w:hint="eastAsia" w:ascii="新宋体" w:hAnsi="新宋体" w:eastAsia="新宋体" w:cs="新宋体"/>
                <w:b w:val="0"/>
                <w:bCs w:val="0"/>
                <w:color w:val="000000"/>
                <w:sz w:val="18"/>
                <w:szCs w:val="18"/>
                <w:lang w:val="en-US"/>
              </w:rPr>
            </w:pPr>
            <w:r>
              <w:rPr>
                <w:rFonts w:hint="eastAsia" w:ascii="新宋体" w:hAnsi="新宋体" w:eastAsia="新宋体" w:cs="新宋体"/>
                <w:b w:val="0"/>
                <w:bCs w:val="0"/>
                <w:color w:val="000000"/>
                <w:kern w:val="0"/>
                <w:sz w:val="18"/>
                <w:szCs w:val="18"/>
                <w:lang w:bidi="ar"/>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13A4">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sz w:val="18"/>
                <w:szCs w:val="18"/>
                <w:lang w:val="en-US" w:eastAsia="zh-CN"/>
              </w:rPr>
              <w:t>5.78</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DC18C">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sz w:val="18"/>
                <w:szCs w:val="18"/>
                <w:lang w:val="en-US" w:eastAsia="zh-CN"/>
              </w:rPr>
              <w:t>5.78</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B2CA">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D882">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8A20">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90289">
            <w:pPr>
              <w:rPr>
                <w:rFonts w:hint="eastAsia" w:ascii="新宋体" w:hAnsi="新宋体" w:eastAsia="新宋体" w:cs="新宋体"/>
                <w:b w:val="0"/>
                <w:bCs w:val="0"/>
                <w:i/>
                <w:iCs/>
                <w:color w:val="000000"/>
                <w:sz w:val="18"/>
                <w:szCs w:val="18"/>
              </w:rPr>
            </w:pPr>
          </w:p>
        </w:tc>
      </w:tr>
      <w:tr w14:paraId="758B400C">
        <w:tblPrEx>
          <w:tblCellMar>
            <w:top w:w="0" w:type="dxa"/>
            <w:left w:w="108" w:type="dxa"/>
            <w:bottom w:w="0" w:type="dxa"/>
            <w:right w:w="108" w:type="dxa"/>
          </w:tblCellMar>
        </w:tblPrEx>
        <w:trPr>
          <w:trHeight w:val="409"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E3BEE">
            <w:pPr>
              <w:jc w:val="center"/>
              <w:rPr>
                <w:rFonts w:hint="eastAsia" w:ascii="新宋体" w:hAnsi="新宋体" w:eastAsia="新宋体" w:cs="新宋体"/>
                <w:b w:val="0"/>
                <w:bCs w:val="0"/>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75CF">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财政专户管理资金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AFC5">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4807">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51025">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BA3B">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19BE">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27C6">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B3F2">
            <w:pPr>
              <w:rPr>
                <w:rFonts w:hint="eastAsia" w:ascii="新宋体" w:hAnsi="新宋体" w:eastAsia="新宋体" w:cs="新宋体"/>
                <w:b w:val="0"/>
                <w:bCs w:val="0"/>
                <w:i/>
                <w:iCs/>
                <w:color w:val="000000"/>
                <w:sz w:val="18"/>
                <w:szCs w:val="18"/>
              </w:rPr>
            </w:pPr>
          </w:p>
        </w:tc>
      </w:tr>
      <w:tr w14:paraId="00A37D71">
        <w:tblPrEx>
          <w:tblCellMar>
            <w:top w:w="0" w:type="dxa"/>
            <w:left w:w="108" w:type="dxa"/>
            <w:bottom w:w="0" w:type="dxa"/>
            <w:right w:w="108" w:type="dxa"/>
          </w:tblCellMar>
        </w:tblPrEx>
        <w:trPr>
          <w:trHeight w:val="360"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2EE1B">
            <w:pPr>
              <w:jc w:val="center"/>
              <w:rPr>
                <w:rFonts w:hint="eastAsia" w:ascii="新宋体" w:hAnsi="新宋体" w:eastAsia="新宋体" w:cs="新宋体"/>
                <w:b w:val="0"/>
                <w:bCs w:val="0"/>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8CA5">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单位资金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1D35">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64F9">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4F6BD">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8844">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99EF">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16B6">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533CE">
            <w:pPr>
              <w:rPr>
                <w:rFonts w:hint="eastAsia" w:ascii="新宋体" w:hAnsi="新宋体" w:eastAsia="新宋体" w:cs="新宋体"/>
                <w:b w:val="0"/>
                <w:bCs w:val="0"/>
                <w:i/>
                <w:iCs/>
                <w:color w:val="000000"/>
                <w:sz w:val="18"/>
                <w:szCs w:val="18"/>
              </w:rPr>
            </w:pPr>
          </w:p>
        </w:tc>
      </w:tr>
      <w:tr w14:paraId="69E74FED">
        <w:tblPrEx>
          <w:tblCellMar>
            <w:top w:w="0" w:type="dxa"/>
            <w:left w:w="108" w:type="dxa"/>
            <w:bottom w:w="0" w:type="dxa"/>
            <w:right w:w="108" w:type="dxa"/>
          </w:tblCellMar>
        </w:tblPrEx>
        <w:trPr>
          <w:trHeight w:val="338"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29E4E">
            <w:pPr>
              <w:jc w:val="center"/>
              <w:rPr>
                <w:rFonts w:hint="eastAsia" w:ascii="新宋体" w:hAnsi="新宋体" w:eastAsia="新宋体" w:cs="新宋体"/>
                <w:b w:val="0"/>
                <w:bCs w:val="0"/>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2D41">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其他资金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9D65">
            <w:pPr>
              <w:jc w:val="center"/>
              <w:rPr>
                <w:rFonts w:hint="eastAsia" w:ascii="新宋体" w:hAnsi="新宋体" w:eastAsia="新宋体" w:cs="新宋体"/>
                <w:b w:val="0"/>
                <w:bCs w:val="0"/>
                <w:i/>
                <w:iCs/>
                <w:color w:val="000000"/>
                <w:sz w:val="16"/>
                <w:szCs w:val="16"/>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B3EE">
            <w:pPr>
              <w:jc w:val="center"/>
              <w:rPr>
                <w:rFonts w:hint="eastAsia" w:ascii="新宋体" w:hAnsi="新宋体" w:eastAsia="新宋体" w:cs="新宋体"/>
                <w:b w:val="0"/>
                <w:bCs w:val="0"/>
                <w:i/>
                <w:iCs/>
                <w:color w:val="000000"/>
                <w:sz w:val="16"/>
                <w:szCs w:val="16"/>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8A11B">
            <w:pPr>
              <w:jc w:val="center"/>
              <w:rPr>
                <w:rFonts w:hint="eastAsia" w:ascii="新宋体" w:hAnsi="新宋体" w:eastAsia="新宋体" w:cs="新宋体"/>
                <w:b w:val="0"/>
                <w:bCs w:val="0"/>
                <w:i/>
                <w:iCs/>
                <w:color w:val="000000"/>
                <w:sz w:val="16"/>
                <w:szCs w:val="16"/>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DD3F">
            <w:pPr>
              <w:jc w:val="center"/>
              <w:rPr>
                <w:rFonts w:hint="eastAsia" w:ascii="新宋体" w:hAnsi="新宋体" w:eastAsia="新宋体" w:cs="新宋体"/>
                <w:b w:val="0"/>
                <w:bCs w:val="0"/>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B2F2">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DFA4">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FA84C">
            <w:pPr>
              <w:rPr>
                <w:rFonts w:hint="eastAsia" w:ascii="新宋体" w:hAnsi="新宋体" w:eastAsia="新宋体" w:cs="新宋体"/>
                <w:b w:val="0"/>
                <w:bCs w:val="0"/>
                <w:i/>
                <w:iCs/>
                <w:color w:val="000000"/>
                <w:sz w:val="18"/>
                <w:szCs w:val="18"/>
              </w:rPr>
            </w:pPr>
          </w:p>
        </w:tc>
      </w:tr>
      <w:tr w14:paraId="26F07883">
        <w:tblPrEx>
          <w:tblCellMar>
            <w:top w:w="0" w:type="dxa"/>
            <w:left w:w="108" w:type="dxa"/>
            <w:bottom w:w="0" w:type="dxa"/>
            <w:right w:w="108" w:type="dxa"/>
          </w:tblCellMar>
        </w:tblPrEx>
        <w:trPr>
          <w:trHeight w:val="454" w:hRule="atLeast"/>
        </w:trPr>
        <w:tc>
          <w:tcPr>
            <w:tcW w:w="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1EF64">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绩效指标（90分）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05C3">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一级指标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90D7">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二级指标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2E38">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三级指标</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182C">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指标性质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8A94">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指标值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F69C">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度量单位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0189">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00EA">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3CBD">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得分</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09C4">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未完成原因分析</w:t>
            </w:r>
          </w:p>
        </w:tc>
      </w:tr>
      <w:tr w14:paraId="4282850F">
        <w:tblPrEx>
          <w:tblCellMar>
            <w:top w:w="0" w:type="dxa"/>
            <w:left w:w="108" w:type="dxa"/>
            <w:bottom w:w="0" w:type="dxa"/>
            <w:right w:w="108" w:type="dxa"/>
          </w:tblCellMar>
        </w:tblPrEx>
        <w:trPr>
          <w:trHeight w:val="454"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0D4F1">
            <w:pPr>
              <w:jc w:val="center"/>
              <w:rPr>
                <w:rFonts w:hint="eastAsia" w:ascii="新宋体" w:hAnsi="新宋体" w:eastAsia="新宋体" w:cs="新宋体"/>
                <w:b w:val="0"/>
                <w:bCs w:val="0"/>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86A0">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效益指标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528E">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社会效益指标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82B7">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发放（缴纳）覆盖率</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1FB0">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D32C">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92EE">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3BC2">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ACB8">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3EF5">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30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E883">
            <w:pPr>
              <w:jc w:val="center"/>
              <w:rPr>
                <w:rFonts w:hint="eastAsia" w:ascii="新宋体" w:hAnsi="新宋体" w:eastAsia="新宋体" w:cs="新宋体"/>
                <w:b w:val="0"/>
                <w:bCs w:val="0"/>
                <w:color w:val="000000"/>
                <w:sz w:val="18"/>
                <w:szCs w:val="18"/>
              </w:rPr>
            </w:pPr>
          </w:p>
        </w:tc>
      </w:tr>
      <w:tr w14:paraId="167CAB59">
        <w:tblPrEx>
          <w:tblCellMar>
            <w:top w:w="0" w:type="dxa"/>
            <w:left w:w="108" w:type="dxa"/>
            <w:bottom w:w="0" w:type="dxa"/>
            <w:right w:w="108" w:type="dxa"/>
          </w:tblCellMar>
        </w:tblPrEx>
        <w:trPr>
          <w:trHeight w:val="338" w:hRule="atLeast"/>
        </w:trPr>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B1C4C">
            <w:pPr>
              <w:jc w:val="center"/>
              <w:rPr>
                <w:rFonts w:hint="eastAsia" w:ascii="新宋体" w:hAnsi="新宋体" w:eastAsia="新宋体" w:cs="新宋体"/>
                <w:b w:val="0"/>
                <w:bCs w:val="0"/>
                <w:color w:val="000000"/>
                <w:sz w:val="18"/>
                <w:szCs w:val="18"/>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0C0A">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产出指标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8172">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数量指标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3C4A">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足额保障率（参保率）</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465A">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FBD0">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100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C53B">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C0D9">
            <w:pPr>
              <w:widowControl/>
              <w:jc w:val="center"/>
              <w:textAlignment w:val="center"/>
              <w:rPr>
                <w:rFonts w:hint="eastAsia" w:ascii="新宋体" w:hAnsi="新宋体" w:eastAsia="新宋体" w:cs="新宋体"/>
                <w:b w:val="0"/>
                <w:bCs w:val="0"/>
                <w:color w:val="000000"/>
                <w:sz w:val="16"/>
                <w:szCs w:val="16"/>
              </w:rPr>
            </w:pPr>
            <w:r>
              <w:rPr>
                <w:rFonts w:hint="eastAsia" w:ascii="新宋体" w:hAnsi="新宋体" w:eastAsia="新宋体" w:cs="新宋体"/>
                <w:b w:val="0"/>
                <w:bCs w:val="0"/>
                <w:color w:val="000000"/>
                <w:kern w:val="0"/>
                <w:sz w:val="16"/>
                <w:szCs w:val="16"/>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664F">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F222">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60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CA58">
            <w:pPr>
              <w:jc w:val="center"/>
              <w:rPr>
                <w:rFonts w:hint="eastAsia" w:ascii="新宋体" w:hAnsi="新宋体" w:eastAsia="新宋体" w:cs="新宋体"/>
                <w:b w:val="0"/>
                <w:bCs w:val="0"/>
                <w:i/>
                <w:iCs/>
                <w:color w:val="000000"/>
                <w:sz w:val="16"/>
                <w:szCs w:val="16"/>
              </w:rPr>
            </w:pPr>
          </w:p>
        </w:tc>
      </w:tr>
      <w:tr w14:paraId="0516F002">
        <w:tblPrEx>
          <w:tblCellMar>
            <w:top w:w="0" w:type="dxa"/>
            <w:left w:w="108" w:type="dxa"/>
            <w:bottom w:w="0" w:type="dxa"/>
            <w:right w:w="108" w:type="dxa"/>
          </w:tblCellMar>
        </w:tblPrEx>
        <w:trPr>
          <w:trHeight w:val="285" w:hRule="atLeast"/>
        </w:trPr>
        <w:tc>
          <w:tcPr>
            <w:tcW w:w="63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D6C145">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27F6">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D347">
            <w:pPr>
              <w:widowControl/>
              <w:jc w:val="right"/>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100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EE1D">
            <w:pPr>
              <w:rPr>
                <w:rFonts w:hint="eastAsia" w:ascii="新宋体" w:hAnsi="新宋体" w:eastAsia="新宋体" w:cs="新宋体"/>
                <w:b w:val="0"/>
                <w:bCs w:val="0"/>
                <w:color w:val="000000"/>
                <w:sz w:val="18"/>
                <w:szCs w:val="18"/>
              </w:rPr>
            </w:pPr>
          </w:p>
        </w:tc>
      </w:tr>
      <w:tr w14:paraId="08CFA906">
        <w:tblPrEx>
          <w:tblCellMar>
            <w:top w:w="0" w:type="dxa"/>
            <w:left w:w="108" w:type="dxa"/>
            <w:bottom w:w="0" w:type="dxa"/>
            <w:right w:w="108" w:type="dxa"/>
          </w:tblCellMar>
        </w:tblPrEx>
        <w:trPr>
          <w:trHeight w:val="60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1173">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评价结论</w:t>
            </w:r>
          </w:p>
        </w:tc>
        <w:tc>
          <w:tcPr>
            <w:tcW w:w="83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9D2E67">
            <w:pPr>
              <w:widowControl/>
              <w:jc w:val="left"/>
              <w:textAlignment w:val="center"/>
              <w:rPr>
                <w:rFonts w:hint="eastAsia" w:ascii="新宋体" w:hAnsi="新宋体" w:eastAsia="新宋体" w:cs="新宋体"/>
                <w:b w:val="0"/>
                <w:bCs w:val="0"/>
                <w:color w:val="000000"/>
                <w:sz w:val="16"/>
                <w:szCs w:val="16"/>
              </w:rPr>
            </w:pPr>
            <w:r>
              <w:rPr>
                <w:rFonts w:hint="eastAsia" w:ascii="新宋体" w:hAnsi="新宋体" w:eastAsia="新宋体" w:cs="新宋体"/>
                <w:b w:val="0"/>
                <w:bCs w:val="0"/>
                <w:color w:val="000000"/>
                <w:kern w:val="0"/>
                <w:sz w:val="16"/>
                <w:szCs w:val="16"/>
                <w:lang w:bidi="ar"/>
              </w:rPr>
              <w:t>完成</w:t>
            </w:r>
          </w:p>
        </w:tc>
      </w:tr>
      <w:tr w14:paraId="1472CDA3">
        <w:tblPrEx>
          <w:tblCellMar>
            <w:top w:w="0" w:type="dxa"/>
            <w:left w:w="108" w:type="dxa"/>
            <w:bottom w:w="0" w:type="dxa"/>
            <w:right w:w="108" w:type="dxa"/>
          </w:tblCellMar>
        </w:tblPrEx>
        <w:trPr>
          <w:trHeight w:val="57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0805">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存在问题</w:t>
            </w:r>
          </w:p>
        </w:tc>
        <w:tc>
          <w:tcPr>
            <w:tcW w:w="83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CFB539">
            <w:pPr>
              <w:widowControl/>
              <w:jc w:val="left"/>
              <w:textAlignment w:val="center"/>
              <w:rPr>
                <w:rFonts w:hint="eastAsia" w:ascii="新宋体" w:hAnsi="新宋体" w:eastAsia="新宋体" w:cs="新宋体"/>
                <w:b w:val="0"/>
                <w:bCs w:val="0"/>
                <w:color w:val="000000"/>
                <w:sz w:val="16"/>
                <w:szCs w:val="16"/>
              </w:rPr>
            </w:pPr>
            <w:r>
              <w:rPr>
                <w:rFonts w:hint="eastAsia" w:ascii="新宋体" w:hAnsi="新宋体" w:eastAsia="新宋体" w:cs="新宋体"/>
                <w:b w:val="0"/>
                <w:bCs w:val="0"/>
                <w:color w:val="000000"/>
                <w:kern w:val="0"/>
                <w:sz w:val="16"/>
                <w:szCs w:val="16"/>
                <w:lang w:bidi="ar"/>
              </w:rPr>
              <w:t>无</w:t>
            </w:r>
          </w:p>
        </w:tc>
      </w:tr>
      <w:tr w14:paraId="185D8CBD">
        <w:tblPrEx>
          <w:tblCellMar>
            <w:top w:w="0" w:type="dxa"/>
            <w:left w:w="108" w:type="dxa"/>
            <w:bottom w:w="0" w:type="dxa"/>
            <w:right w:w="108" w:type="dxa"/>
          </w:tblCellMar>
        </w:tblPrEx>
        <w:trPr>
          <w:trHeight w:val="63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CC8C">
            <w:pPr>
              <w:widowControl/>
              <w:jc w:val="center"/>
              <w:textAlignment w:val="center"/>
              <w:rPr>
                <w:rFonts w:hint="eastAsia" w:ascii="新宋体" w:hAnsi="新宋体" w:eastAsia="新宋体" w:cs="新宋体"/>
                <w:b w:val="0"/>
                <w:bCs w:val="0"/>
                <w:color w:val="000000"/>
                <w:sz w:val="18"/>
                <w:szCs w:val="18"/>
              </w:rPr>
            </w:pPr>
            <w:r>
              <w:rPr>
                <w:rFonts w:hint="eastAsia" w:ascii="新宋体" w:hAnsi="新宋体" w:eastAsia="新宋体" w:cs="新宋体"/>
                <w:b w:val="0"/>
                <w:bCs w:val="0"/>
                <w:color w:val="000000"/>
                <w:kern w:val="0"/>
                <w:sz w:val="18"/>
                <w:szCs w:val="18"/>
                <w:lang w:bidi="ar"/>
              </w:rPr>
              <w:t>改进措施</w:t>
            </w:r>
          </w:p>
        </w:tc>
        <w:tc>
          <w:tcPr>
            <w:tcW w:w="83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E8CEA5">
            <w:pPr>
              <w:widowControl/>
              <w:jc w:val="left"/>
              <w:textAlignment w:val="center"/>
              <w:rPr>
                <w:rFonts w:hint="eastAsia" w:ascii="新宋体" w:hAnsi="新宋体" w:eastAsia="新宋体" w:cs="新宋体"/>
                <w:b w:val="0"/>
                <w:bCs w:val="0"/>
                <w:color w:val="000000"/>
                <w:sz w:val="16"/>
                <w:szCs w:val="16"/>
              </w:rPr>
            </w:pPr>
            <w:r>
              <w:rPr>
                <w:rFonts w:hint="eastAsia" w:ascii="新宋体" w:hAnsi="新宋体" w:eastAsia="新宋体" w:cs="新宋体"/>
                <w:b w:val="0"/>
                <w:bCs w:val="0"/>
                <w:color w:val="000000"/>
                <w:kern w:val="0"/>
                <w:sz w:val="16"/>
                <w:szCs w:val="16"/>
                <w:lang w:bidi="ar"/>
              </w:rPr>
              <w:t>无</w:t>
            </w:r>
          </w:p>
        </w:tc>
      </w:tr>
      <w:tr w14:paraId="53B83E55">
        <w:tblPrEx>
          <w:tblCellMar>
            <w:top w:w="0" w:type="dxa"/>
            <w:left w:w="108" w:type="dxa"/>
            <w:bottom w:w="0" w:type="dxa"/>
            <w:right w:w="108" w:type="dxa"/>
          </w:tblCellMar>
        </w:tblPrEx>
        <w:trPr>
          <w:trHeight w:val="285" w:hRule="atLeast"/>
        </w:trPr>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8BC5EA">
            <w:pPr>
              <w:widowControl/>
              <w:jc w:val="left"/>
              <w:textAlignment w:val="center"/>
              <w:rPr>
                <w:rFonts w:hint="eastAsia" w:ascii="新宋体" w:hAnsi="新宋体" w:eastAsia="新宋体" w:cs="新宋体"/>
                <w:b w:val="0"/>
                <w:bCs w:val="0"/>
                <w:color w:val="000000"/>
                <w:sz w:val="18"/>
                <w:szCs w:val="18"/>
                <w:lang w:eastAsia="zh-CN"/>
              </w:rPr>
            </w:pPr>
            <w:r>
              <w:rPr>
                <w:rFonts w:hint="eastAsia" w:ascii="新宋体" w:hAnsi="新宋体" w:eastAsia="新宋体" w:cs="新宋体"/>
                <w:b w:val="0"/>
                <w:bCs w:val="0"/>
                <w:color w:val="000000"/>
                <w:kern w:val="0"/>
                <w:sz w:val="18"/>
                <w:szCs w:val="18"/>
                <w:lang w:bidi="ar"/>
              </w:rPr>
              <w:t>项目负责人：</w:t>
            </w:r>
            <w:r>
              <w:rPr>
                <w:rFonts w:hint="eastAsia" w:ascii="新宋体" w:hAnsi="新宋体" w:eastAsia="新宋体" w:cs="新宋体"/>
                <w:b w:val="0"/>
                <w:bCs w:val="0"/>
                <w:color w:val="000000"/>
                <w:kern w:val="0"/>
                <w:sz w:val="18"/>
                <w:szCs w:val="18"/>
                <w:lang w:eastAsia="zh-CN" w:bidi="ar"/>
              </w:rPr>
              <w:t>简颖</w:t>
            </w:r>
          </w:p>
        </w:tc>
        <w:tc>
          <w:tcPr>
            <w:tcW w:w="50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567873">
            <w:pPr>
              <w:widowControl/>
              <w:jc w:val="left"/>
              <w:textAlignment w:val="center"/>
              <w:rPr>
                <w:rFonts w:hint="eastAsia" w:ascii="新宋体" w:hAnsi="新宋体" w:eastAsia="新宋体" w:cs="新宋体"/>
                <w:b w:val="0"/>
                <w:bCs w:val="0"/>
                <w:color w:val="000000"/>
                <w:sz w:val="18"/>
                <w:szCs w:val="18"/>
                <w:lang w:eastAsia="zh-CN"/>
              </w:rPr>
            </w:pPr>
            <w:r>
              <w:rPr>
                <w:rFonts w:hint="eastAsia" w:ascii="新宋体" w:hAnsi="新宋体" w:eastAsia="新宋体" w:cs="新宋体"/>
                <w:b w:val="0"/>
                <w:bCs w:val="0"/>
                <w:color w:val="000000"/>
                <w:kern w:val="0"/>
                <w:sz w:val="18"/>
                <w:szCs w:val="18"/>
                <w:lang w:bidi="ar"/>
              </w:rPr>
              <w:t>财务负责人：</w:t>
            </w:r>
            <w:r>
              <w:rPr>
                <w:rFonts w:hint="eastAsia" w:ascii="新宋体" w:hAnsi="新宋体" w:eastAsia="新宋体" w:cs="新宋体"/>
                <w:b w:val="0"/>
                <w:bCs w:val="0"/>
                <w:color w:val="000000"/>
                <w:kern w:val="0"/>
                <w:sz w:val="18"/>
                <w:szCs w:val="18"/>
                <w:lang w:eastAsia="zh-CN" w:bidi="ar"/>
              </w:rPr>
              <w:t>唐洪波</w:t>
            </w:r>
          </w:p>
        </w:tc>
      </w:tr>
      <w:tr w14:paraId="642679CF">
        <w:tblPrEx>
          <w:tblCellMar>
            <w:top w:w="0" w:type="dxa"/>
            <w:left w:w="108" w:type="dxa"/>
            <w:bottom w:w="0" w:type="dxa"/>
            <w:right w:w="108" w:type="dxa"/>
          </w:tblCellMar>
        </w:tblPrEx>
        <w:trPr>
          <w:trHeight w:val="285" w:hRule="atLeast"/>
        </w:trPr>
        <w:tc>
          <w:tcPr>
            <w:tcW w:w="445" w:type="dxa"/>
            <w:tcBorders>
              <w:top w:val="nil"/>
              <w:left w:val="nil"/>
              <w:bottom w:val="nil"/>
              <w:right w:val="nil"/>
            </w:tcBorders>
            <w:shd w:val="clear" w:color="auto" w:fill="auto"/>
            <w:vAlign w:val="center"/>
          </w:tcPr>
          <w:p w14:paraId="736F3413">
            <w:pPr>
              <w:rPr>
                <w:rFonts w:hint="eastAsia" w:ascii="新宋体" w:hAnsi="新宋体" w:eastAsia="新宋体" w:cs="新宋体"/>
                <w:color w:val="000000"/>
                <w:sz w:val="18"/>
                <w:szCs w:val="18"/>
              </w:rPr>
            </w:pPr>
          </w:p>
        </w:tc>
        <w:tc>
          <w:tcPr>
            <w:tcW w:w="576" w:type="dxa"/>
            <w:tcBorders>
              <w:top w:val="nil"/>
              <w:left w:val="nil"/>
              <w:bottom w:val="nil"/>
              <w:right w:val="nil"/>
            </w:tcBorders>
            <w:shd w:val="clear" w:color="auto" w:fill="auto"/>
            <w:vAlign w:val="center"/>
          </w:tcPr>
          <w:p w14:paraId="09355F85">
            <w:pPr>
              <w:rPr>
                <w:rFonts w:hint="eastAsia" w:ascii="新宋体" w:hAnsi="新宋体" w:eastAsia="新宋体" w:cs="新宋体"/>
                <w:color w:val="000000"/>
                <w:sz w:val="18"/>
                <w:szCs w:val="18"/>
              </w:rPr>
            </w:pPr>
          </w:p>
        </w:tc>
        <w:tc>
          <w:tcPr>
            <w:tcW w:w="696" w:type="dxa"/>
            <w:tcBorders>
              <w:top w:val="nil"/>
              <w:left w:val="nil"/>
              <w:bottom w:val="nil"/>
              <w:right w:val="nil"/>
            </w:tcBorders>
            <w:shd w:val="clear" w:color="auto" w:fill="auto"/>
            <w:vAlign w:val="center"/>
          </w:tcPr>
          <w:p w14:paraId="48AF1E3F">
            <w:pPr>
              <w:rPr>
                <w:rFonts w:hint="eastAsia" w:ascii="新宋体" w:hAnsi="新宋体" w:eastAsia="新宋体" w:cs="新宋体"/>
                <w:color w:val="000000"/>
                <w:sz w:val="18"/>
                <w:szCs w:val="18"/>
              </w:rPr>
            </w:pPr>
          </w:p>
        </w:tc>
        <w:tc>
          <w:tcPr>
            <w:tcW w:w="1559" w:type="dxa"/>
            <w:tcBorders>
              <w:top w:val="nil"/>
              <w:left w:val="nil"/>
              <w:bottom w:val="nil"/>
              <w:right w:val="nil"/>
            </w:tcBorders>
            <w:shd w:val="clear" w:color="auto" w:fill="auto"/>
            <w:vAlign w:val="center"/>
          </w:tcPr>
          <w:p w14:paraId="02DD5587">
            <w:pPr>
              <w:rPr>
                <w:rFonts w:hint="eastAsia" w:ascii="新宋体" w:hAnsi="新宋体" w:eastAsia="新宋体" w:cs="新宋体"/>
                <w:color w:val="000000"/>
                <w:sz w:val="18"/>
                <w:szCs w:val="18"/>
              </w:rPr>
            </w:pPr>
          </w:p>
        </w:tc>
        <w:tc>
          <w:tcPr>
            <w:tcW w:w="474" w:type="dxa"/>
            <w:tcBorders>
              <w:top w:val="nil"/>
              <w:left w:val="nil"/>
              <w:bottom w:val="nil"/>
              <w:right w:val="nil"/>
            </w:tcBorders>
            <w:shd w:val="clear" w:color="auto" w:fill="auto"/>
            <w:vAlign w:val="center"/>
          </w:tcPr>
          <w:p w14:paraId="4A71D273">
            <w:pPr>
              <w:rPr>
                <w:rFonts w:hint="eastAsia" w:ascii="新宋体" w:hAnsi="新宋体" w:eastAsia="新宋体" w:cs="新宋体"/>
                <w:color w:val="000000"/>
                <w:sz w:val="18"/>
                <w:szCs w:val="18"/>
              </w:rPr>
            </w:pPr>
          </w:p>
        </w:tc>
        <w:tc>
          <w:tcPr>
            <w:tcW w:w="1127" w:type="dxa"/>
            <w:tcBorders>
              <w:top w:val="nil"/>
              <w:left w:val="nil"/>
              <w:bottom w:val="nil"/>
              <w:right w:val="nil"/>
            </w:tcBorders>
            <w:shd w:val="clear" w:color="auto" w:fill="auto"/>
            <w:vAlign w:val="center"/>
          </w:tcPr>
          <w:p w14:paraId="566A188B">
            <w:pPr>
              <w:rPr>
                <w:rFonts w:hint="eastAsia" w:ascii="新宋体" w:hAnsi="新宋体" w:eastAsia="新宋体" w:cs="新宋体"/>
                <w:color w:val="000000"/>
                <w:sz w:val="18"/>
                <w:szCs w:val="18"/>
              </w:rPr>
            </w:pPr>
          </w:p>
        </w:tc>
        <w:tc>
          <w:tcPr>
            <w:tcW w:w="454" w:type="dxa"/>
            <w:tcBorders>
              <w:top w:val="nil"/>
              <w:left w:val="nil"/>
              <w:bottom w:val="nil"/>
              <w:right w:val="nil"/>
            </w:tcBorders>
            <w:shd w:val="clear" w:color="auto" w:fill="auto"/>
            <w:vAlign w:val="center"/>
          </w:tcPr>
          <w:p w14:paraId="3980B24A">
            <w:pPr>
              <w:rPr>
                <w:rFonts w:hint="eastAsia" w:ascii="新宋体" w:hAnsi="新宋体" w:eastAsia="新宋体" w:cs="新宋体"/>
                <w:color w:val="000000"/>
                <w:sz w:val="18"/>
                <w:szCs w:val="18"/>
              </w:rPr>
            </w:pPr>
          </w:p>
        </w:tc>
        <w:tc>
          <w:tcPr>
            <w:tcW w:w="991" w:type="dxa"/>
            <w:tcBorders>
              <w:top w:val="nil"/>
              <w:left w:val="nil"/>
              <w:bottom w:val="nil"/>
              <w:right w:val="nil"/>
            </w:tcBorders>
            <w:shd w:val="clear" w:color="auto" w:fill="auto"/>
            <w:vAlign w:val="center"/>
          </w:tcPr>
          <w:p w14:paraId="5282FAED">
            <w:pPr>
              <w:rPr>
                <w:rFonts w:hint="eastAsia" w:ascii="新宋体" w:hAnsi="新宋体" w:eastAsia="新宋体" w:cs="新宋体"/>
                <w:color w:val="000000"/>
                <w:sz w:val="18"/>
                <w:szCs w:val="18"/>
              </w:rPr>
            </w:pPr>
          </w:p>
        </w:tc>
        <w:tc>
          <w:tcPr>
            <w:tcW w:w="486" w:type="dxa"/>
            <w:tcBorders>
              <w:top w:val="nil"/>
              <w:left w:val="nil"/>
              <w:bottom w:val="nil"/>
              <w:right w:val="nil"/>
            </w:tcBorders>
            <w:shd w:val="clear" w:color="auto" w:fill="auto"/>
            <w:vAlign w:val="center"/>
          </w:tcPr>
          <w:p w14:paraId="5A52EB09">
            <w:pPr>
              <w:rPr>
                <w:rFonts w:hint="eastAsia" w:ascii="新宋体" w:hAnsi="新宋体" w:eastAsia="新宋体" w:cs="新宋体"/>
                <w:color w:val="000000"/>
                <w:sz w:val="18"/>
                <w:szCs w:val="18"/>
              </w:rPr>
            </w:pPr>
          </w:p>
        </w:tc>
        <w:tc>
          <w:tcPr>
            <w:tcW w:w="486" w:type="dxa"/>
            <w:tcBorders>
              <w:top w:val="nil"/>
              <w:left w:val="nil"/>
              <w:bottom w:val="nil"/>
              <w:right w:val="nil"/>
            </w:tcBorders>
            <w:shd w:val="clear" w:color="auto" w:fill="auto"/>
            <w:vAlign w:val="center"/>
          </w:tcPr>
          <w:p w14:paraId="69053903">
            <w:pPr>
              <w:rPr>
                <w:rFonts w:hint="eastAsia" w:ascii="新宋体" w:hAnsi="新宋体" w:eastAsia="新宋体" w:cs="新宋体"/>
                <w:color w:val="000000"/>
                <w:sz w:val="18"/>
                <w:szCs w:val="18"/>
              </w:rPr>
            </w:pPr>
          </w:p>
        </w:tc>
        <w:tc>
          <w:tcPr>
            <w:tcW w:w="1456" w:type="dxa"/>
            <w:tcBorders>
              <w:top w:val="nil"/>
              <w:left w:val="nil"/>
              <w:bottom w:val="nil"/>
              <w:right w:val="nil"/>
            </w:tcBorders>
            <w:shd w:val="clear" w:color="auto" w:fill="auto"/>
            <w:vAlign w:val="center"/>
          </w:tcPr>
          <w:p w14:paraId="59EB0ED9">
            <w:pPr>
              <w:rPr>
                <w:rFonts w:hint="eastAsia" w:ascii="新宋体" w:hAnsi="新宋体" w:eastAsia="新宋体" w:cs="新宋体"/>
                <w:color w:val="000000"/>
                <w:sz w:val="18"/>
                <w:szCs w:val="18"/>
              </w:rPr>
            </w:pPr>
          </w:p>
        </w:tc>
      </w:tr>
    </w:tbl>
    <w:p w14:paraId="76B09123">
      <w:pPr>
        <w:spacing w:line="600" w:lineRule="exact"/>
        <w:jc w:val="both"/>
        <w:outlineLvl w:val="0"/>
        <w:rPr>
          <w:rFonts w:hint="eastAsia" w:ascii="新宋体" w:hAnsi="新宋体" w:eastAsia="新宋体" w:cs="新宋体"/>
          <w:sz w:val="44"/>
          <w:szCs w:val="44"/>
        </w:rPr>
      </w:pPr>
    </w:p>
    <w:p w14:paraId="1A778AE9">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7BAFF4CA">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4826EA2E">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17AB740A">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40A316DF">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52AD35B2">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36E373FB">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4161FC61">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1223866C">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hint="eastAsia" w:ascii="新宋体" w:hAnsi="新宋体" w:eastAsia="新宋体" w:cs="新宋体"/>
          <w:sz w:val="44"/>
          <w:szCs w:val="44"/>
        </w:rPr>
      </w:pPr>
    </w:p>
    <w:p w14:paraId="524C3183">
      <w:pPr>
        <w:pStyle w:val="3"/>
        <w:keepNext w:val="0"/>
        <w:keepLines w:val="0"/>
        <w:pageBreakBefore w:val="0"/>
        <w:numPr>
          <w:ilvl w:val="0"/>
          <w:numId w:val="0"/>
        </w:numPr>
        <w:suppressAutoHyphens/>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pPr>
    </w:p>
    <w:p w14:paraId="454721A2">
      <w:pPr>
        <w:pStyle w:val="3"/>
        <w:keepNext w:val="0"/>
        <w:keepLines w:val="0"/>
        <w:pageBreakBefore w:val="0"/>
        <w:numPr>
          <w:ilvl w:val="0"/>
          <w:numId w:val="0"/>
        </w:numPr>
        <w:suppressAutoHyphens/>
        <w:kinsoku/>
        <w:wordWrap/>
        <w:overflowPunct/>
        <w:topLinePunct w:val="0"/>
        <w:autoSpaceDE/>
        <w:autoSpaceDN/>
        <w:bidi w:val="0"/>
        <w:spacing w:line="560" w:lineRule="exact"/>
        <w:jc w:val="center"/>
        <w:textAlignment w:val="auto"/>
        <w:rPr>
          <w:rFonts w:hint="eastAsia" w:ascii="黑体" w:hAnsi="黑体" w:eastAsia="黑体"/>
          <w:color w:val="auto"/>
          <w:sz w:val="44"/>
          <w:szCs w:val="44"/>
          <w:highlight w:val="none"/>
        </w:rPr>
      </w:pPr>
    </w:p>
    <w:p w14:paraId="192A9CFF">
      <w:pPr>
        <w:pStyle w:val="3"/>
        <w:keepNext w:val="0"/>
        <w:keepLines w:val="0"/>
        <w:pageBreakBefore w:val="0"/>
        <w:numPr>
          <w:ilvl w:val="0"/>
          <w:numId w:val="0"/>
        </w:numPr>
        <w:suppressAutoHyphens/>
        <w:kinsoku/>
        <w:wordWrap/>
        <w:overflowPunct/>
        <w:topLinePunct w:val="0"/>
        <w:autoSpaceDE/>
        <w:autoSpaceDN/>
        <w:bidi w:val="0"/>
        <w:spacing w:line="560" w:lineRule="exact"/>
        <w:jc w:val="center"/>
        <w:textAlignment w:val="auto"/>
        <w:rPr>
          <w:rFonts w:hint="eastAsia" w:ascii="新宋体" w:hAnsi="新宋体" w:eastAsia="新宋体" w:cs="新宋体"/>
          <w:sz w:val="44"/>
          <w:szCs w:val="44"/>
        </w:rPr>
      </w:pPr>
      <w:r>
        <w:rPr>
          <w:rFonts w:hint="eastAsia" w:ascii="黑体" w:hAnsi="黑体" w:eastAsia="黑体"/>
          <w:color w:val="auto"/>
          <w:sz w:val="44"/>
          <w:szCs w:val="44"/>
          <w:highlight w:val="none"/>
        </w:rPr>
        <w:t>第五部分 附表</w:t>
      </w:r>
      <w:bookmarkEnd w:id="55"/>
      <w:bookmarkEnd w:id="56"/>
      <w:bookmarkStart w:id="57" w:name="_Toc15396619"/>
    </w:p>
    <w:p w14:paraId="08AECEEA">
      <w:pPr>
        <w:pStyle w:val="6"/>
        <w:suppressAutoHyphens/>
        <w:bidi w:val="0"/>
        <w:ind w:firstLine="640" w:firstLineChars="200"/>
        <w:rPr>
          <w:rFonts w:hint="eastAsia" w:ascii="仿宋" w:hAnsi="仿宋" w:eastAsia="仿宋" w:cs="Times New Roman"/>
          <w:b w:val="0"/>
          <w:color w:val="auto"/>
          <w:highlight w:val="none"/>
        </w:rPr>
      </w:pPr>
      <w:r>
        <w:rPr>
          <w:rFonts w:hint="eastAsia" w:ascii="仿宋" w:hAnsi="仿宋" w:eastAsia="仿宋" w:cs="Times New Roman"/>
          <w:b w:val="0"/>
          <w:color w:val="auto"/>
          <w:highlight w:val="none"/>
        </w:rPr>
        <w:t>一、收入支出决算总表</w:t>
      </w:r>
      <w:bookmarkEnd w:id="57"/>
    </w:p>
    <w:p w14:paraId="762897B7">
      <w:pPr>
        <w:pStyle w:val="6"/>
        <w:suppressAutoHyphens/>
        <w:bidi w:val="0"/>
        <w:ind w:firstLine="640" w:firstLineChars="200"/>
        <w:rPr>
          <w:rFonts w:hint="eastAsia" w:ascii="仿宋" w:hAnsi="仿宋" w:eastAsia="仿宋" w:cs="Times New Roman"/>
          <w:b w:val="0"/>
          <w:color w:val="auto"/>
          <w:highlight w:val="none"/>
        </w:rPr>
      </w:pPr>
      <w:bookmarkStart w:id="58" w:name="_Toc15396620"/>
      <w:r>
        <w:rPr>
          <w:rFonts w:hint="eastAsia" w:ascii="仿宋" w:hAnsi="仿宋" w:eastAsia="仿宋" w:cs="Times New Roman"/>
          <w:b w:val="0"/>
          <w:color w:val="auto"/>
          <w:highlight w:val="none"/>
        </w:rPr>
        <w:t>二、收入决算表</w:t>
      </w:r>
      <w:bookmarkEnd w:id="58"/>
    </w:p>
    <w:p w14:paraId="274F6B05">
      <w:pPr>
        <w:pStyle w:val="6"/>
        <w:suppressAutoHyphens/>
        <w:bidi w:val="0"/>
        <w:ind w:firstLine="640" w:firstLineChars="200"/>
        <w:rPr>
          <w:rFonts w:hint="eastAsia" w:ascii="仿宋" w:hAnsi="仿宋" w:eastAsia="仿宋" w:cs="Times New Roman"/>
          <w:b w:val="0"/>
          <w:color w:val="auto"/>
          <w:highlight w:val="none"/>
        </w:rPr>
      </w:pPr>
      <w:bookmarkStart w:id="59" w:name="_Toc15396621"/>
      <w:r>
        <w:rPr>
          <w:rFonts w:hint="eastAsia" w:ascii="仿宋" w:hAnsi="仿宋" w:eastAsia="仿宋" w:cs="Times New Roman"/>
          <w:b w:val="0"/>
          <w:color w:val="auto"/>
          <w:highlight w:val="none"/>
        </w:rPr>
        <w:t>三、支出决算表</w:t>
      </w:r>
      <w:bookmarkEnd w:id="59"/>
    </w:p>
    <w:p w14:paraId="36A61E53">
      <w:pPr>
        <w:pStyle w:val="6"/>
        <w:suppressAutoHyphens/>
        <w:bidi w:val="0"/>
        <w:ind w:firstLine="640" w:firstLineChars="200"/>
        <w:rPr>
          <w:rFonts w:hint="eastAsia" w:ascii="仿宋" w:hAnsi="仿宋" w:eastAsia="仿宋" w:cs="Times New Roman"/>
          <w:b w:val="0"/>
          <w:color w:val="auto"/>
          <w:highlight w:val="none"/>
        </w:rPr>
      </w:pPr>
      <w:bookmarkStart w:id="60" w:name="_Toc15396622"/>
      <w:r>
        <w:rPr>
          <w:rFonts w:hint="eastAsia" w:ascii="仿宋" w:hAnsi="仿宋" w:eastAsia="仿宋" w:cs="Times New Roman"/>
          <w:b w:val="0"/>
          <w:color w:val="auto"/>
          <w:highlight w:val="none"/>
        </w:rPr>
        <w:t>四、财政拨款收入支出决算总表</w:t>
      </w:r>
      <w:bookmarkEnd w:id="60"/>
    </w:p>
    <w:p w14:paraId="15E7C4C3">
      <w:pPr>
        <w:pStyle w:val="6"/>
        <w:suppressAutoHyphens/>
        <w:bidi w:val="0"/>
        <w:ind w:firstLine="640" w:firstLineChars="200"/>
        <w:rPr>
          <w:rFonts w:hint="eastAsia" w:ascii="仿宋" w:hAnsi="仿宋" w:eastAsia="仿宋" w:cs="Times New Roman"/>
          <w:b w:val="0"/>
          <w:color w:val="auto"/>
          <w:highlight w:val="none"/>
        </w:rPr>
      </w:pPr>
      <w:bookmarkStart w:id="61" w:name="_Toc15396623"/>
      <w:r>
        <w:rPr>
          <w:rFonts w:hint="eastAsia" w:ascii="仿宋" w:hAnsi="仿宋" w:eastAsia="仿宋" w:cs="Times New Roman"/>
          <w:b w:val="0"/>
          <w:color w:val="auto"/>
          <w:highlight w:val="none"/>
        </w:rPr>
        <w:t>五、财政拨款支出决算明细表</w:t>
      </w:r>
      <w:bookmarkEnd w:id="61"/>
      <w:bookmarkStart w:id="62" w:name="_Toc15396624"/>
    </w:p>
    <w:p w14:paraId="7E406A4C">
      <w:pPr>
        <w:pStyle w:val="6"/>
        <w:suppressAutoHyphens/>
        <w:bidi w:val="0"/>
        <w:ind w:firstLine="640" w:firstLineChars="200"/>
        <w:rPr>
          <w:rFonts w:hint="eastAsia" w:ascii="仿宋" w:hAnsi="仿宋" w:eastAsia="仿宋" w:cs="Times New Roman"/>
          <w:b w:val="0"/>
          <w:color w:val="auto"/>
          <w:highlight w:val="none"/>
        </w:rPr>
      </w:pPr>
      <w:r>
        <w:rPr>
          <w:rFonts w:hint="eastAsia" w:ascii="仿宋" w:hAnsi="仿宋" w:eastAsia="仿宋" w:cs="Times New Roman"/>
          <w:b w:val="0"/>
          <w:color w:val="auto"/>
          <w:highlight w:val="none"/>
        </w:rPr>
        <w:t>六、一般公共预算财政拨款支出决算表</w:t>
      </w:r>
      <w:bookmarkEnd w:id="62"/>
    </w:p>
    <w:p w14:paraId="2DF6B807">
      <w:pPr>
        <w:pStyle w:val="6"/>
        <w:suppressAutoHyphens/>
        <w:bidi w:val="0"/>
        <w:ind w:firstLine="640" w:firstLineChars="200"/>
        <w:rPr>
          <w:rFonts w:hint="eastAsia" w:ascii="仿宋" w:hAnsi="仿宋" w:eastAsia="仿宋" w:cs="Times New Roman"/>
          <w:b w:val="0"/>
          <w:color w:val="auto"/>
          <w:highlight w:val="none"/>
        </w:rPr>
      </w:pPr>
      <w:bookmarkStart w:id="63" w:name="_Toc15396625"/>
      <w:r>
        <w:rPr>
          <w:rFonts w:hint="eastAsia" w:ascii="仿宋" w:hAnsi="仿宋" w:eastAsia="仿宋" w:cs="Times New Roman"/>
          <w:b w:val="0"/>
          <w:color w:val="auto"/>
          <w:highlight w:val="none"/>
        </w:rPr>
        <w:t>七、一般公共预算财政拨款支出决算明细表</w:t>
      </w:r>
      <w:bookmarkEnd w:id="63"/>
    </w:p>
    <w:p w14:paraId="3AC67AAF">
      <w:pPr>
        <w:pStyle w:val="6"/>
        <w:suppressAutoHyphens/>
        <w:bidi w:val="0"/>
        <w:ind w:firstLine="640" w:firstLineChars="200"/>
        <w:rPr>
          <w:rFonts w:hint="eastAsia" w:ascii="仿宋" w:hAnsi="仿宋" w:eastAsia="仿宋" w:cs="Times New Roman"/>
          <w:b w:val="0"/>
          <w:color w:val="auto"/>
          <w:highlight w:val="none"/>
        </w:rPr>
      </w:pPr>
      <w:bookmarkStart w:id="64" w:name="_Toc15396626"/>
      <w:r>
        <w:rPr>
          <w:rFonts w:hint="eastAsia" w:ascii="仿宋" w:hAnsi="仿宋" w:eastAsia="仿宋" w:cs="Times New Roman"/>
          <w:b w:val="0"/>
          <w:color w:val="auto"/>
          <w:highlight w:val="none"/>
        </w:rPr>
        <w:t>八、一般公共预算财政拨款基本支出决算表</w:t>
      </w:r>
      <w:bookmarkEnd w:id="64"/>
    </w:p>
    <w:p w14:paraId="2C3C6119">
      <w:pPr>
        <w:pStyle w:val="6"/>
        <w:suppressAutoHyphens/>
        <w:bidi w:val="0"/>
        <w:ind w:firstLine="640" w:firstLineChars="200"/>
        <w:rPr>
          <w:rFonts w:hint="eastAsia" w:ascii="仿宋" w:hAnsi="仿宋" w:eastAsia="仿宋" w:cs="Times New Roman"/>
          <w:b w:val="0"/>
          <w:color w:val="auto"/>
          <w:highlight w:val="none"/>
        </w:rPr>
      </w:pPr>
      <w:bookmarkStart w:id="65" w:name="_Toc15396627"/>
      <w:r>
        <w:rPr>
          <w:rFonts w:hint="eastAsia" w:ascii="仿宋" w:hAnsi="仿宋" w:eastAsia="仿宋" w:cs="Times New Roman"/>
          <w:b w:val="0"/>
          <w:color w:val="auto"/>
          <w:highlight w:val="none"/>
        </w:rPr>
        <w:t>九、一般公共预算财政拨款项目支出决算表</w:t>
      </w:r>
      <w:bookmarkEnd w:id="65"/>
    </w:p>
    <w:p w14:paraId="6EA4F273">
      <w:pPr>
        <w:pStyle w:val="6"/>
        <w:suppressAutoHyphens/>
        <w:bidi w:val="0"/>
        <w:ind w:firstLine="640" w:firstLineChars="200"/>
        <w:rPr>
          <w:rFonts w:hint="eastAsia" w:ascii="仿宋" w:hAnsi="仿宋" w:eastAsia="仿宋" w:cs="Times New Roman"/>
          <w:b w:val="0"/>
          <w:color w:val="auto"/>
          <w:highlight w:val="none"/>
        </w:rPr>
      </w:pPr>
      <w:bookmarkStart w:id="66" w:name="_Toc15396628"/>
      <w:r>
        <w:rPr>
          <w:rFonts w:hint="eastAsia" w:ascii="仿宋" w:hAnsi="仿宋" w:eastAsia="仿宋" w:cs="Times New Roman"/>
          <w:b w:val="0"/>
          <w:color w:val="auto"/>
          <w:highlight w:val="none"/>
        </w:rPr>
        <w:t>十、</w:t>
      </w:r>
      <w:bookmarkEnd w:id="66"/>
      <w:r>
        <w:rPr>
          <w:rFonts w:hint="eastAsia" w:ascii="仿宋" w:hAnsi="仿宋" w:eastAsia="仿宋" w:cs="Times New Roman"/>
          <w:b w:val="0"/>
          <w:color w:val="auto"/>
          <w:highlight w:val="none"/>
        </w:rPr>
        <w:t>政府性基金预算财政拨款收入支出决算表</w:t>
      </w:r>
    </w:p>
    <w:p w14:paraId="027B90F3">
      <w:pPr>
        <w:pStyle w:val="6"/>
        <w:suppressAutoHyphens/>
        <w:bidi w:val="0"/>
        <w:ind w:firstLine="640" w:firstLineChars="200"/>
        <w:rPr>
          <w:rFonts w:hint="eastAsia" w:ascii="仿宋" w:hAnsi="仿宋" w:eastAsia="仿宋" w:cs="Times New Roman"/>
          <w:b w:val="0"/>
          <w:color w:val="auto"/>
          <w:highlight w:val="none"/>
        </w:rPr>
      </w:pPr>
      <w:bookmarkStart w:id="67" w:name="_Toc15396629"/>
      <w:r>
        <w:rPr>
          <w:rFonts w:hint="eastAsia" w:ascii="仿宋" w:hAnsi="仿宋" w:eastAsia="仿宋" w:cs="Times New Roman"/>
          <w:b w:val="0"/>
          <w:color w:val="auto"/>
          <w:highlight w:val="none"/>
        </w:rPr>
        <w:t>十一、</w:t>
      </w:r>
      <w:bookmarkEnd w:id="67"/>
      <w:r>
        <w:rPr>
          <w:rFonts w:hint="eastAsia" w:ascii="仿宋" w:hAnsi="仿宋" w:eastAsia="仿宋" w:cs="Times New Roman"/>
          <w:b w:val="0"/>
          <w:color w:val="auto"/>
          <w:highlight w:val="none"/>
        </w:rPr>
        <w:t>国有资本经营预算财政拨款收入支出决算表</w:t>
      </w:r>
    </w:p>
    <w:p w14:paraId="40E3FDAF">
      <w:pPr>
        <w:pStyle w:val="6"/>
        <w:suppressAutoHyphens/>
        <w:bidi w:val="0"/>
        <w:ind w:firstLine="640" w:firstLineChars="200"/>
        <w:rPr>
          <w:rFonts w:hint="eastAsia" w:ascii="仿宋" w:hAnsi="仿宋" w:eastAsia="仿宋" w:cs="Times New Roman"/>
          <w:b w:val="0"/>
          <w:color w:val="auto"/>
          <w:highlight w:val="none"/>
        </w:rPr>
      </w:pPr>
      <w:bookmarkStart w:id="68" w:name="_Toc15396630"/>
      <w:r>
        <w:rPr>
          <w:rFonts w:hint="eastAsia" w:ascii="仿宋" w:hAnsi="仿宋" w:eastAsia="仿宋" w:cs="Times New Roman"/>
          <w:b w:val="0"/>
          <w:color w:val="auto"/>
          <w:highlight w:val="none"/>
        </w:rPr>
        <w:t>十二、</w:t>
      </w:r>
      <w:bookmarkEnd w:id="68"/>
      <w:r>
        <w:rPr>
          <w:rFonts w:hint="eastAsia" w:ascii="仿宋" w:hAnsi="仿宋" w:eastAsia="仿宋" w:cs="Times New Roman"/>
          <w:b w:val="0"/>
          <w:color w:val="auto"/>
          <w:highlight w:val="none"/>
        </w:rPr>
        <w:t>国有资本经营预算财政拨款支出决算表</w:t>
      </w:r>
    </w:p>
    <w:p w14:paraId="37CB0925">
      <w:pPr>
        <w:pStyle w:val="6"/>
        <w:suppressAutoHyphens/>
        <w:bidi w:val="0"/>
        <w:ind w:firstLine="640" w:firstLineChars="200"/>
        <w:rPr>
          <w:rFonts w:hint="eastAsia" w:ascii="仿宋" w:hAnsi="仿宋" w:eastAsia="仿宋" w:cs="Times New Roman"/>
          <w:b w:val="0"/>
          <w:color w:val="auto"/>
          <w:highlight w:val="none"/>
        </w:rPr>
      </w:pPr>
      <w:bookmarkStart w:id="69" w:name="_Toc15396631"/>
      <w:r>
        <w:rPr>
          <w:rFonts w:hint="eastAsia" w:ascii="仿宋" w:hAnsi="仿宋" w:eastAsia="仿宋" w:cs="Times New Roman"/>
          <w:b w:val="0"/>
          <w:color w:val="auto"/>
          <w:highlight w:val="none"/>
        </w:rPr>
        <w:t>十三、</w:t>
      </w:r>
      <w:bookmarkEnd w:id="69"/>
      <w:r>
        <w:rPr>
          <w:rFonts w:hint="eastAsia" w:ascii="仿宋" w:hAnsi="仿宋" w:eastAsia="仿宋" w:cs="Times New Roman"/>
          <w:b w:val="0"/>
          <w:color w:val="auto"/>
          <w:highlight w:val="none"/>
        </w:rPr>
        <w:t>财政拨款“三公”经费支出决算表</w:t>
      </w:r>
    </w:p>
    <w:sectPr>
      <w:headerReference r:id="rId3" w:type="default"/>
      <w:footerReference r:id="rId4" w:type="default"/>
      <w:pgSz w:w="11906" w:h="16838"/>
      <w:pgMar w:top="1440" w:right="1080" w:bottom="1440" w:left="108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C129A70">
        <w:pPr>
          <w:pStyle w:val="12"/>
          <w:jc w:val="center"/>
        </w:pPr>
        <w:r>
          <w:fldChar w:fldCharType="begin"/>
        </w:r>
        <w:r>
          <w:instrText xml:space="preserve">PAGE   \* MERGEFORMAT</w:instrText>
        </w:r>
        <w:r>
          <w:fldChar w:fldCharType="separate"/>
        </w:r>
        <w:r>
          <w:rPr>
            <w:lang w:val="zh-CN"/>
          </w:rPr>
          <w:t>13</w:t>
        </w:r>
        <w:r>
          <w:fldChar w:fldCharType="end"/>
        </w:r>
      </w:p>
    </w:sdtContent>
  </w:sdt>
  <w:p w14:paraId="1D6EB73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3AF8C">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zg3YTM4MzU4OGQzOTIwYjgxYjk4MzBiNmQ2YjAifQ=="/>
  </w:docVars>
  <w:rsids>
    <w:rsidRoot w:val="00F1361C"/>
    <w:rsid w:val="000222C6"/>
    <w:rsid w:val="000234FD"/>
    <w:rsid w:val="0002549F"/>
    <w:rsid w:val="0003027B"/>
    <w:rsid w:val="000468DB"/>
    <w:rsid w:val="0006487A"/>
    <w:rsid w:val="00065F8F"/>
    <w:rsid w:val="00070A43"/>
    <w:rsid w:val="00070EDD"/>
    <w:rsid w:val="000768F2"/>
    <w:rsid w:val="0009184B"/>
    <w:rsid w:val="0009370A"/>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0CB9"/>
    <w:rsid w:val="00114E9B"/>
    <w:rsid w:val="00142216"/>
    <w:rsid w:val="00144D6A"/>
    <w:rsid w:val="0014729F"/>
    <w:rsid w:val="00157BAB"/>
    <w:rsid w:val="001654D1"/>
    <w:rsid w:val="00171D59"/>
    <w:rsid w:val="00174518"/>
    <w:rsid w:val="001769CC"/>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2229D"/>
    <w:rsid w:val="00335A74"/>
    <w:rsid w:val="0036561B"/>
    <w:rsid w:val="0037013F"/>
    <w:rsid w:val="00380C92"/>
    <w:rsid w:val="003A484F"/>
    <w:rsid w:val="003A4883"/>
    <w:rsid w:val="003B0BE0"/>
    <w:rsid w:val="003B0C1B"/>
    <w:rsid w:val="003B688C"/>
    <w:rsid w:val="003B7325"/>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95C83"/>
    <w:rsid w:val="004A711F"/>
    <w:rsid w:val="004B199D"/>
    <w:rsid w:val="004B4690"/>
    <w:rsid w:val="004B6269"/>
    <w:rsid w:val="004C3AA8"/>
    <w:rsid w:val="004E0A2D"/>
    <w:rsid w:val="004E206B"/>
    <w:rsid w:val="004E6DF7"/>
    <w:rsid w:val="004F0FBD"/>
    <w:rsid w:val="004F2B6A"/>
    <w:rsid w:val="004F75AF"/>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3141"/>
    <w:rsid w:val="006A5E34"/>
    <w:rsid w:val="006A5E89"/>
    <w:rsid w:val="006B2422"/>
    <w:rsid w:val="006B2B9A"/>
    <w:rsid w:val="006C1937"/>
    <w:rsid w:val="006D2ADA"/>
    <w:rsid w:val="006F020C"/>
    <w:rsid w:val="007127B7"/>
    <w:rsid w:val="0071798E"/>
    <w:rsid w:val="007416B6"/>
    <w:rsid w:val="00746F48"/>
    <w:rsid w:val="00751578"/>
    <w:rsid w:val="00751BC3"/>
    <w:rsid w:val="0075404D"/>
    <w:rsid w:val="0076182A"/>
    <w:rsid w:val="00767B7E"/>
    <w:rsid w:val="007770C3"/>
    <w:rsid w:val="00784D24"/>
    <w:rsid w:val="00785FBA"/>
    <w:rsid w:val="00786E4A"/>
    <w:rsid w:val="007875EB"/>
    <w:rsid w:val="00787D8C"/>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2D3"/>
    <w:rsid w:val="00902FA3"/>
    <w:rsid w:val="00923564"/>
    <w:rsid w:val="0092392E"/>
    <w:rsid w:val="009315F9"/>
    <w:rsid w:val="00933499"/>
    <w:rsid w:val="00935C98"/>
    <w:rsid w:val="00946945"/>
    <w:rsid w:val="00951248"/>
    <w:rsid w:val="0095152F"/>
    <w:rsid w:val="00953D43"/>
    <w:rsid w:val="00954C49"/>
    <w:rsid w:val="00955E37"/>
    <w:rsid w:val="00961E7D"/>
    <w:rsid w:val="0096212C"/>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0F"/>
    <w:rsid w:val="009F18CD"/>
    <w:rsid w:val="009F2A13"/>
    <w:rsid w:val="009F7527"/>
    <w:rsid w:val="00A04EB0"/>
    <w:rsid w:val="00A13CC1"/>
    <w:rsid w:val="00A16847"/>
    <w:rsid w:val="00A237D8"/>
    <w:rsid w:val="00A268C4"/>
    <w:rsid w:val="00A307CD"/>
    <w:rsid w:val="00A331C8"/>
    <w:rsid w:val="00A40A00"/>
    <w:rsid w:val="00A4142F"/>
    <w:rsid w:val="00A422EB"/>
    <w:rsid w:val="00A4544B"/>
    <w:rsid w:val="00A45BB7"/>
    <w:rsid w:val="00A46919"/>
    <w:rsid w:val="00A56DF2"/>
    <w:rsid w:val="00A56E6E"/>
    <w:rsid w:val="00A67AB5"/>
    <w:rsid w:val="00A733B2"/>
    <w:rsid w:val="00A741C2"/>
    <w:rsid w:val="00A91760"/>
    <w:rsid w:val="00A93B00"/>
    <w:rsid w:val="00A93C21"/>
    <w:rsid w:val="00AB64C9"/>
    <w:rsid w:val="00AC3C6A"/>
    <w:rsid w:val="00AD5395"/>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15FFC"/>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C6693"/>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7035F"/>
    <w:rsid w:val="00D90BF2"/>
    <w:rsid w:val="00D94D18"/>
    <w:rsid w:val="00DA634F"/>
    <w:rsid w:val="00DA65AC"/>
    <w:rsid w:val="00DB1913"/>
    <w:rsid w:val="00DC410D"/>
    <w:rsid w:val="00DC5A81"/>
    <w:rsid w:val="00DC68CA"/>
    <w:rsid w:val="00DC7CBA"/>
    <w:rsid w:val="00DD73B7"/>
    <w:rsid w:val="00DF28BC"/>
    <w:rsid w:val="00DF34B9"/>
    <w:rsid w:val="00DF7CC3"/>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30B4"/>
    <w:rsid w:val="02D36DFE"/>
    <w:rsid w:val="039106AD"/>
    <w:rsid w:val="04E377CC"/>
    <w:rsid w:val="053A62B5"/>
    <w:rsid w:val="0A2032A3"/>
    <w:rsid w:val="0A48535E"/>
    <w:rsid w:val="0B7A23FD"/>
    <w:rsid w:val="0B8A37D8"/>
    <w:rsid w:val="0C6844A6"/>
    <w:rsid w:val="0D123D2F"/>
    <w:rsid w:val="0E5E49EE"/>
    <w:rsid w:val="0ED23DE2"/>
    <w:rsid w:val="10C055FF"/>
    <w:rsid w:val="118107EC"/>
    <w:rsid w:val="11DD6519"/>
    <w:rsid w:val="1299771C"/>
    <w:rsid w:val="12D44BF8"/>
    <w:rsid w:val="13116AF7"/>
    <w:rsid w:val="160D215F"/>
    <w:rsid w:val="16BB723D"/>
    <w:rsid w:val="18015F3F"/>
    <w:rsid w:val="18216B7B"/>
    <w:rsid w:val="1BE8440E"/>
    <w:rsid w:val="1D155CEE"/>
    <w:rsid w:val="1F383246"/>
    <w:rsid w:val="20F57F95"/>
    <w:rsid w:val="21A371FB"/>
    <w:rsid w:val="23693A59"/>
    <w:rsid w:val="240371BF"/>
    <w:rsid w:val="25711CC6"/>
    <w:rsid w:val="25C741E6"/>
    <w:rsid w:val="27842671"/>
    <w:rsid w:val="28F82260"/>
    <w:rsid w:val="29C74672"/>
    <w:rsid w:val="29FD04D3"/>
    <w:rsid w:val="2ABE7A3E"/>
    <w:rsid w:val="2B9A264F"/>
    <w:rsid w:val="2CA234A8"/>
    <w:rsid w:val="2D2C72DE"/>
    <w:rsid w:val="2D325758"/>
    <w:rsid w:val="2EFA178C"/>
    <w:rsid w:val="2F2A7C22"/>
    <w:rsid w:val="30B46D73"/>
    <w:rsid w:val="319F7F4E"/>
    <w:rsid w:val="33671BDD"/>
    <w:rsid w:val="34086058"/>
    <w:rsid w:val="3530448E"/>
    <w:rsid w:val="3705525D"/>
    <w:rsid w:val="383D272C"/>
    <w:rsid w:val="39AE70AB"/>
    <w:rsid w:val="3A2319B1"/>
    <w:rsid w:val="3BEE59C2"/>
    <w:rsid w:val="3C0C0783"/>
    <w:rsid w:val="3CB10852"/>
    <w:rsid w:val="3F9F3A96"/>
    <w:rsid w:val="44935804"/>
    <w:rsid w:val="45340F22"/>
    <w:rsid w:val="457C43DC"/>
    <w:rsid w:val="4793207A"/>
    <w:rsid w:val="48BF60AB"/>
    <w:rsid w:val="493C27E9"/>
    <w:rsid w:val="496F39ED"/>
    <w:rsid w:val="49FF41D3"/>
    <w:rsid w:val="4A4E1A30"/>
    <w:rsid w:val="4A7A262F"/>
    <w:rsid w:val="4BE068DB"/>
    <w:rsid w:val="4BF6002B"/>
    <w:rsid w:val="4D1C2015"/>
    <w:rsid w:val="4ECE2238"/>
    <w:rsid w:val="4EEA307A"/>
    <w:rsid w:val="51DB4B86"/>
    <w:rsid w:val="520B61D1"/>
    <w:rsid w:val="54A304E4"/>
    <w:rsid w:val="55333C3E"/>
    <w:rsid w:val="5CA66821"/>
    <w:rsid w:val="63DF489F"/>
    <w:rsid w:val="64300B2F"/>
    <w:rsid w:val="64CA39A1"/>
    <w:rsid w:val="674C0600"/>
    <w:rsid w:val="682C2166"/>
    <w:rsid w:val="68916D9B"/>
    <w:rsid w:val="68CB009C"/>
    <w:rsid w:val="69630ADE"/>
    <w:rsid w:val="6C4A05C8"/>
    <w:rsid w:val="6D3B1A89"/>
    <w:rsid w:val="6DAB6EF8"/>
    <w:rsid w:val="6E160CD9"/>
    <w:rsid w:val="71BF4EC2"/>
    <w:rsid w:val="71EF273D"/>
    <w:rsid w:val="72734D90"/>
    <w:rsid w:val="7412278C"/>
    <w:rsid w:val="75E62F04"/>
    <w:rsid w:val="77E116BC"/>
    <w:rsid w:val="78047500"/>
    <w:rsid w:val="797600FC"/>
    <w:rsid w:val="79E7B28D"/>
    <w:rsid w:val="7CA123A8"/>
    <w:rsid w:val="7EDB3421"/>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unhideWhenUsed/>
    <w:qFormat/>
    <w:uiPriority w:val="0"/>
    <w:pPr>
      <w:snapToGrid w:val="0"/>
    </w:pPr>
    <w:rPr>
      <w:rFonts w:hint="default"/>
      <w:sz w:val="18"/>
      <w:szCs w:val="24"/>
    </w:rPr>
  </w:style>
  <w:style w:type="paragraph" w:styleId="3">
    <w:name w:val="Body Text First Indent 2"/>
    <w:basedOn w:val="4"/>
    <w:unhideWhenUsed/>
    <w:qFormat/>
    <w:uiPriority w:val="99"/>
    <w:pPr>
      <w:ind w:firstLine="420" w:firstLineChars="200"/>
    </w:pPr>
    <w:rPr>
      <w:rFonts w:hint="eastAsia"/>
      <w:sz w:val="24"/>
      <w:szCs w:val="24"/>
    </w:rPr>
  </w:style>
  <w:style w:type="paragraph" w:styleId="4">
    <w:name w:val="Body Text Indent"/>
    <w:basedOn w:val="1"/>
    <w:next w:val="3"/>
    <w:unhideWhenUsed/>
    <w:qFormat/>
    <w:uiPriority w:val="0"/>
    <w:pPr>
      <w:spacing w:after="120"/>
      <w:ind w:leftChars="200"/>
    </w:pPr>
    <w:rPr>
      <w:rFonts w:hint="eastAsia" w:ascii="仿宋_GB2312" w:hAnsi="Times New Roman" w:eastAsia="仿宋_GB2312"/>
      <w:sz w:val="24"/>
      <w:szCs w:val="24"/>
    </w:rPr>
  </w:style>
  <w:style w:type="paragraph" w:styleId="8">
    <w:name w:val="annotation text"/>
    <w:basedOn w:val="1"/>
    <w:semiHidden/>
    <w:unhideWhenUsed/>
    <w:qFormat/>
    <w:uiPriority w:val="99"/>
    <w:pPr>
      <w:jc w:val="left"/>
    </w:pPr>
  </w:style>
  <w:style w:type="paragraph" w:styleId="9">
    <w:name w:val="Body Text"/>
    <w:basedOn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FollowedHyperlink"/>
    <w:basedOn w:val="17"/>
    <w:semiHidden/>
    <w:unhideWhenUsed/>
    <w:qFormat/>
    <w:uiPriority w:val="99"/>
    <w:rPr>
      <w:color w:val="800080"/>
      <w:u w:val="single"/>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标题 3 Char"/>
    <w:basedOn w:val="17"/>
    <w:link w:val="7"/>
    <w:qFormat/>
    <w:uiPriority w:val="9"/>
    <w:rPr>
      <w:rFonts w:ascii="Times New Roman" w:hAnsi="Times New Roman"/>
      <w:b/>
      <w:bCs/>
      <w:kern w:val="2"/>
      <w:sz w:val="32"/>
      <w:szCs w:val="32"/>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5"/>
    <w:qFormat/>
    <w:uiPriority w:val="9"/>
    <w:rPr>
      <w:rFonts w:ascii="Times New Roman" w:hAnsi="Times New Roman"/>
      <w:b/>
      <w:bCs/>
      <w:kern w:val="44"/>
      <w:sz w:val="44"/>
      <w:szCs w:val="44"/>
    </w:rPr>
  </w:style>
  <w:style w:type="character" w:customStyle="1" w:styleId="31">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1"/>
    <w:semiHidden/>
    <w:qFormat/>
    <w:uiPriority w:val="99"/>
    <w:rPr>
      <w:rFonts w:ascii="Times New Roman" w:hAnsi="Times New Roman"/>
      <w:kern w:val="2"/>
      <w:sz w:val="18"/>
      <w:szCs w:val="18"/>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6">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37">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38">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39">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0">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1">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2">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3">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4">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5">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6">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47">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48">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49">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t>2023、2024收支决算总计变动图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307.99</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307.99</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305.89</c:v>
                </c:pt>
                <c:pt idx="1">
                  <c:v>305.89</c:v>
                </c:pt>
              </c:numCache>
            </c:numRef>
          </c:val>
        </c:ser>
        <c:ser>
          <c:idx val="1"/>
          <c:order val="1"/>
          <c:tx>
            <c:strRef>
              <c:f>Sheet1!$C$1</c:f>
              <c:strCache>
                <c:ptCount val="1"/>
                <c:pt idx="0">
                  <c:v>2024</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334.06</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334.06</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307.99</c:v>
                </c:pt>
                <c:pt idx="1">
                  <c:v>307.99</c:v>
                </c:pt>
              </c:numCache>
            </c:numRef>
          </c:val>
        </c:ser>
        <c:dLbls>
          <c:showLegendKey val="0"/>
          <c:showVal val="0"/>
          <c:showCatName val="0"/>
          <c:showSerName val="0"/>
          <c:showPercent val="0"/>
          <c:showBubbleSize val="0"/>
        </c:dLbls>
        <c:gapWidth val="246"/>
        <c:overlap val="-28"/>
        <c:axId val="354934288"/>
        <c:axId val="320623632"/>
      </c:barChart>
      <c:catAx>
        <c:axId val="354934288"/>
        <c:scaling>
          <c:orientation val="minMax"/>
        </c:scaling>
        <c:delete val="0"/>
        <c:axPos val="b"/>
        <c:title>
          <c:tx>
            <c:rich>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t>单位：万元</a:t>
                </a:r>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0623632"/>
        <c:crosses val="autoZero"/>
        <c:auto val="1"/>
        <c:lblAlgn val="ctr"/>
        <c:lblOffset val="100"/>
        <c:noMultiLvlLbl val="0"/>
      </c:catAx>
      <c:valAx>
        <c:axId val="320623632"/>
        <c:scaling>
          <c:orientation val="minMax"/>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4934288"/>
        <c:crosses val="autoZero"/>
        <c:crossBetween val="between"/>
        <c:majorUnit val="20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cc6a070-ceb8-4ce5-bcee-194c1550193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318.1</c:v>
                </c:pt>
                <c:pt idx="1">
                  <c:v>15.96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2c7eb1e-011f-4172-9ae6-89c7f15e5a4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4</a:t>
            </a:r>
            <a:r>
              <a:t>年支出决算结构图</a:t>
            </a:r>
          </a:p>
        </c:rich>
      </c:tx>
      <c:layout>
        <c:manualLayout>
          <c:xMode val="edge"/>
          <c:yMode val="edge"/>
          <c:x val="0.328564587573327"/>
          <c:y val="0.00871333139703747"/>
        </c:manualLayout>
      </c:layout>
      <c:overlay val="0"/>
      <c:spPr>
        <a:noFill/>
        <a:ln>
          <a:noFill/>
        </a:ln>
        <a:effectLst/>
      </c:spPr>
    </c:title>
    <c:autoTitleDeleted val="0"/>
    <c:plotArea>
      <c:layout/>
      <c:pieChart>
        <c:varyColors val="1"/>
        <c:ser>
          <c:idx val="0"/>
          <c:order val="0"/>
          <c:tx>
            <c:strRef>
              <c:f>Sheet1!$B$1</c:f>
              <c:strCache>
                <c:ptCount val="1"/>
                <c:pt idx="0">
                  <c:v>2024年支出决算结构图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261.74</c:v>
                </c:pt>
                <c:pt idx="1">
                  <c:v>72.32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a8009010-c775-479d-bcf8-a3ac0682152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年财政拨款收支总计变动图</a:t>
            </a:r>
            <a:endParaRPr lang="zh-CN" altLang="en-US"/>
          </a:p>
        </c:rich>
      </c:tx>
      <c:layout>
        <c:manualLayout>
          <c:xMode val="edge"/>
          <c:yMode val="edge"/>
          <c:x val="0.205100830367734"/>
          <c:y val="0.00676437429537768"/>
        </c:manualLayout>
      </c:layout>
      <c:overlay val="0"/>
      <c:spPr>
        <a:noFill/>
        <a:ln>
          <a:noFill/>
        </a:ln>
        <a:effectLst/>
      </c:spPr>
    </c:title>
    <c:autoTitleDeleted val="0"/>
    <c:plotArea>
      <c:layout>
        <c:manualLayout>
          <c:layoutTarget val="inner"/>
          <c:xMode val="edge"/>
          <c:yMode val="edge"/>
          <c:x val="0.0906730897899103"/>
          <c:y val="0.240523968784838"/>
          <c:w val="0.898487889736384"/>
          <c:h val="0.409810479375697"/>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307.99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收入</c:v>
                </c:pt>
                <c:pt idx="1">
                  <c:v>支出</c:v>
                </c:pt>
              </c:strCache>
            </c:strRef>
          </c:cat>
          <c:val>
            <c:numRef>
              <c:f>Sheet1!$B$2:$B$4</c:f>
              <c:numCache>
                <c:formatCode>General</c:formatCode>
                <c:ptCount val="3"/>
                <c:pt idx="0">
                  <c:v>307.99</c:v>
                </c:pt>
                <c:pt idx="1">
                  <c:v>307.99</c:v>
                </c:pt>
              </c:numCache>
            </c:numRef>
          </c:val>
        </c:ser>
        <c:ser>
          <c:idx val="1"/>
          <c:order val="1"/>
          <c:tx>
            <c:strRef>
              <c:f>Sheet1!$C$1</c:f>
              <c:strCache>
                <c:ptCount val="1"/>
                <c:pt idx="0">
                  <c:v>2024</c:v>
                </c:pt>
              </c:strCache>
            </c:strRef>
          </c:tx>
          <c:spPr>
            <a:solidFill>
              <a:schemeClr val="accent2"/>
            </a:solidFill>
            <a:ln>
              <a:noFill/>
            </a:ln>
            <a:effectLst/>
          </c:spPr>
          <c:invertIfNegative val="0"/>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334.06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收入</c:v>
                </c:pt>
                <c:pt idx="1">
                  <c:v>支出</c:v>
                </c:pt>
              </c:strCache>
            </c:strRef>
          </c:cat>
          <c:val>
            <c:numRef>
              <c:f>Sheet1!$C$2:$C$4</c:f>
              <c:numCache>
                <c:formatCode>General</c:formatCode>
                <c:ptCount val="3"/>
                <c:pt idx="0">
                  <c:v>318.1</c:v>
                </c:pt>
                <c:pt idx="1">
                  <c:v>318.1</c:v>
                </c:pt>
              </c:numCache>
            </c:numRef>
          </c:val>
        </c:ser>
        <c:dLbls>
          <c:showLegendKey val="0"/>
          <c:showVal val="0"/>
          <c:showCatName val="0"/>
          <c:showSerName val="0"/>
          <c:showPercent val="0"/>
          <c:showBubbleSize val="0"/>
        </c:dLbls>
        <c:gapWidth val="219"/>
        <c:overlap val="-27"/>
        <c:axId val="20311368"/>
        <c:axId val="354458984"/>
      </c:barChart>
      <c:catAx>
        <c:axId val="2031136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4458984"/>
        <c:crosses val="autoZero"/>
        <c:auto val="1"/>
        <c:lblAlgn val="ctr"/>
        <c:lblOffset val="100"/>
        <c:noMultiLvlLbl val="0"/>
      </c:catAx>
      <c:valAx>
        <c:axId val="35445898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11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e241e9-c7f2-4409-969e-52bb6cf3740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年一般公共预算财政拨款支出决算变动图</a:t>
            </a:r>
            <a:endParaRPr lang="zh-CN" altLang="en-US"/>
          </a:p>
        </c:rich>
      </c:tx>
      <c:layout>
        <c:manualLayout>
          <c:xMode val="edge"/>
          <c:yMode val="edge"/>
          <c:x val="0.119614590502409"/>
          <c:y val="0.0326646090534979"/>
        </c:manualLayout>
      </c:layout>
      <c:overlay val="0"/>
      <c:spPr>
        <a:noFill/>
        <a:ln>
          <a:noFill/>
        </a:ln>
        <a:effectLst/>
      </c:spPr>
    </c:title>
    <c:autoTitleDeleted val="0"/>
    <c:plotArea>
      <c:layout>
        <c:manualLayout>
          <c:layoutTarget val="inner"/>
          <c:xMode val="edge"/>
          <c:yMode val="edge"/>
          <c:x val="0.102032745582076"/>
          <c:y val="0.244450486717482"/>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307.99</c:v>
                </c:pt>
                <c:pt idx="1">
                  <c:v>318.1</c:v>
                </c:pt>
              </c:numCache>
            </c:numRef>
          </c:val>
        </c:ser>
        <c:dLbls>
          <c:showLegendKey val="0"/>
          <c:showVal val="0"/>
          <c:showCatName val="0"/>
          <c:showSerName val="0"/>
          <c:showPercent val="0"/>
          <c:showBubbleSize val="0"/>
        </c:dLbls>
        <c:gapWidth val="219"/>
        <c:overlap val="-27"/>
        <c:axId val="354553072"/>
        <c:axId val="320704512"/>
      </c:barChart>
      <c:catAx>
        <c:axId val="354553072"/>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0704512"/>
        <c:crosses val="autoZero"/>
        <c:auto val="1"/>
        <c:lblAlgn val="ctr"/>
        <c:lblOffset val="100"/>
        <c:noMultiLvlLbl val="0"/>
      </c:catAx>
      <c:valAx>
        <c:axId val="32070451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4553072"/>
        <c:crosses val="autoZero"/>
        <c:crossBetween val="between"/>
      </c:valAx>
      <c:spPr>
        <a:noFill/>
        <a:ln>
          <a:noFill/>
        </a:ln>
        <a:effectLst/>
      </c:spPr>
    </c:plotArea>
    <c:legend>
      <c:legendPos val="b"/>
      <c:layout>
        <c:manualLayout>
          <c:xMode val="edge"/>
          <c:yMode val="edge"/>
          <c:x val="0.496971782518926"/>
          <c:y val="0.906635802469136"/>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e05000e-e8cd-460d-8f05-125d35bc42b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60" b="0" i="0" u="none" strike="noStrike" kern="1200" spc="0" baseline="0">
                <a:solidFill>
                  <a:schemeClr val="tx1">
                    <a:lumMod val="65000"/>
                    <a:lumOff val="35000"/>
                  </a:schemeClr>
                </a:solidFill>
                <a:latin typeface="+mn-lt"/>
                <a:ea typeface="+mn-ea"/>
                <a:cs typeface="+mn-cs"/>
              </a:defRPr>
            </a:pPr>
            <a:r>
              <a:rPr lang="en-US" altLang="zh-CN" sz="1260"/>
              <a:t>2024</a:t>
            </a:r>
            <a:r>
              <a:rPr lang="zh-CN" altLang="en-US" sz="1260"/>
              <a:t>年一般公共预算财政拨款支出决算结构图</a:t>
            </a:r>
            <a:endParaRPr lang="zh-CN" altLang="en-US" sz="1260"/>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105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254.58</c:v>
                </c:pt>
                <c:pt idx="1">
                  <c:v>30.2</c:v>
                </c:pt>
                <c:pt idx="2">
                  <c:v>12.87</c:v>
                </c:pt>
                <c:pt idx="3">
                  <c:v>20.45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1"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1"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1"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1" vertOverflow="ellipsis" vert="horz" wrap="square" anchor="ctr" anchorCtr="1"/>
        <a:lstStyle/>
        <a:p>
          <a:pPr>
            <a:defRPr lang="zh-CN" sz="105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a7ebd23c-cc0e-4f72-b688-7b4a5e032271}"/>
      </c:ext>
    </c:extLst>
  </c:chart>
  <c:spPr>
    <a:solidFill>
      <a:schemeClr val="bg1"/>
    </a:solidFill>
    <a:ln w="9525" cap="flat" cmpd="sng" algn="ctr">
      <a:solidFill>
        <a:schemeClr val="tx1">
          <a:lumMod val="15000"/>
          <a:lumOff val="85000"/>
        </a:schemeClr>
      </a:solidFill>
      <a:round/>
    </a:ln>
    <a:effectLst/>
  </c:spPr>
  <c:txPr>
    <a:bodyPr/>
    <a:lstStyle/>
    <a:p>
      <a:pPr>
        <a:defRPr lang="zh-CN" sz="105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3E7E1-775E-4E6E-8282-12D67EBA07C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31</Pages>
  <Words>8667</Words>
  <Characters>9266</Characters>
  <Lines>87</Lines>
  <Paragraphs>24</Paragraphs>
  <TotalTime>4</TotalTime>
  <ScaleCrop>false</ScaleCrop>
  <LinksUpToDate>false</LinksUpToDate>
  <CharactersWithSpaces>9456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企业用户_318784242</cp:lastModifiedBy>
  <cp:lastPrinted>2024-08-27T03:40:00Z</cp:lastPrinted>
  <dcterms:modified xsi:type="dcterms:W3CDTF">2025-08-29T00:24:09Z</dcterms:modified>
  <dc:title>四川省***</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8560F0BE351C4418966E7900C0EC0C8C_13</vt:lpwstr>
  </property>
  <property fmtid="{D5CDD505-2E9C-101B-9397-08002B2CF9AE}" pid="4" name="KSOTemplateDocerSaveRecord">
    <vt:lpwstr>eyJoZGlkIjoiMmYwY2Y1YzI2MDAxNTUxMmU5OGJkZTE3ZWQwMjYyMjIiLCJ1c2VySWQiOiI2NjM0NTAwNTMifQ==</vt:lpwstr>
  </property>
</Properties>
</file>