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9587">
      <w:pPr>
        <w:rPr>
          <w:rFonts w:ascii="Times New Roman" w:hAnsi="Times New Roman"/>
        </w:rPr>
      </w:pPr>
      <w:bookmarkStart w:id="0" w:name="_Toc15396475"/>
      <w:bookmarkStart w:id="1" w:name="_Toc15377425"/>
      <w:bookmarkStart w:id="2" w:name="_Toc15377193"/>
      <w:bookmarkStart w:id="3" w:name="_Toc15396597"/>
      <w:bookmarkStart w:id="4" w:name="_Toc15378441"/>
      <w:bookmarkStart w:id="5" w:name="_Toc15306267"/>
    </w:p>
    <w:p w14:paraId="1F7E8953">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51E2DCBC">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3DAEB8C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28DCA428">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7DC8C7B">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96476"/>
      <w:bookmarkStart w:id="9" w:name="_Toc1537742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遂宁市安居区东禅镇中心幼儿园</w:t>
      </w:r>
    </w:p>
    <w:p w14:paraId="58CFFCBB">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2D192108">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4DD93AF3">
      <w:pPr>
        <w:widowControl/>
        <w:jc w:val="center"/>
        <w:rPr>
          <w:rFonts w:ascii="Times New Roman" w:hAnsi="Times New Roman" w:eastAsia="黑体" w:cstheme="minorBidi"/>
          <w:color w:val="auto"/>
          <w:sz w:val="28"/>
          <w:szCs w:val="28"/>
          <w:highlight w:val="none"/>
        </w:rPr>
      </w:pPr>
    </w:p>
    <w:p w14:paraId="046286F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p w14:paraId="03C1979E">
      <w:pPr>
        <w:rPr>
          <w:rFonts w:ascii="Times New Roman" w:hAnsi="Times New Roman"/>
          <w:color w:val="auto"/>
          <w:highlight w:val="none"/>
        </w:rPr>
      </w:pPr>
    </w:p>
    <w:p w14:paraId="3C067EF1">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10"/>
          <w:szCs w:val="10"/>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4D0B0BE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6A81C3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6ABCCC9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40E411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6D93EC3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6FE9D35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589D2EA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14:paraId="786783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p>
    <w:p w14:paraId="0EEEFEE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5085CB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7FC75B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42AAE6D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32F8AE3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26D2FE50">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14:paraId="4A3D71B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p>
    <w:p w14:paraId="180C9B1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28"/>
          <w:szCs w:val="28"/>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49A3DB3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2CC591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13D5465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693477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1E1E0BC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63D051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39DF0B2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71BBE88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2CF7AC9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363D6F2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046CAA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154237C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4328EE1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29</w:t>
      </w:r>
    </w:p>
    <w:p w14:paraId="499893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仿宋_GB2312" w:hAnsi="仿宋_GB2312" w:eastAsia="仿宋_GB2312" w:cs="仿宋_GB2312"/>
          <w:b/>
          <w:bCs/>
          <w:color w:val="auto"/>
          <w:sz w:val="32"/>
          <w:szCs w:val="32"/>
          <w:highlight w:val="none"/>
          <w:lang w:eastAsia="zh-CN"/>
        </w:rPr>
      </w:pPr>
    </w:p>
    <w:p w14:paraId="5616E2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5B4A4BC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26F310EB">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5A26D2BE">
      <w:pPr>
        <w:widowControl/>
        <w:jc w:val="left"/>
        <w:rPr>
          <w:rFonts w:ascii="Times New Roman" w:hAnsi="Times New Roman" w:eastAsia="黑体"/>
          <w:color w:val="auto"/>
          <w:sz w:val="32"/>
          <w:szCs w:val="32"/>
          <w:highlight w:val="none"/>
        </w:rPr>
      </w:pPr>
    </w:p>
    <w:p w14:paraId="5FD7FE7C">
      <w:pPr>
        <w:pStyle w:val="6"/>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2BFBB1A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lang w:eastAsia="zh-CN"/>
        </w:rPr>
      </w:pP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东禅镇中心幼儿园</w:t>
      </w:r>
      <w:r>
        <w:rPr>
          <w:rFonts w:hint="eastAsia" w:ascii="仿宋_GB2312" w:hAnsi="仿宋" w:eastAsia="仿宋_GB2312"/>
          <w:sz w:val="32"/>
          <w:szCs w:val="32"/>
        </w:rPr>
        <w:t>地处遂宁市安居区</w:t>
      </w:r>
      <w:r>
        <w:rPr>
          <w:rFonts w:hint="eastAsia" w:ascii="仿宋_GB2312" w:hAnsi="仿宋" w:eastAsia="仿宋_GB2312"/>
          <w:sz w:val="32"/>
          <w:szCs w:val="32"/>
          <w:lang w:eastAsia="zh-CN"/>
        </w:rPr>
        <w:t>东禅镇</w:t>
      </w:r>
      <w:r>
        <w:rPr>
          <w:rFonts w:hint="eastAsia" w:ascii="仿宋_GB2312" w:hAnsi="仿宋" w:eastAsia="仿宋_GB2312"/>
          <w:sz w:val="32"/>
          <w:szCs w:val="32"/>
        </w:rPr>
        <w:t>，占地面积</w:t>
      </w:r>
      <w:r>
        <w:rPr>
          <w:rFonts w:hint="eastAsia" w:ascii="仿宋_GB2312" w:hAnsi="仿宋" w:eastAsia="仿宋_GB2312"/>
          <w:sz w:val="32"/>
          <w:szCs w:val="32"/>
          <w:lang w:val="en-US" w:eastAsia="zh-CN"/>
        </w:rPr>
        <w:t>2000多</w:t>
      </w:r>
      <w:r>
        <w:rPr>
          <w:rFonts w:hint="eastAsia" w:ascii="仿宋_GB2312" w:hAnsi="仿宋" w:eastAsia="仿宋_GB2312"/>
          <w:sz w:val="32"/>
          <w:szCs w:val="32"/>
        </w:rPr>
        <w:t>平方米，</w:t>
      </w:r>
      <w:r>
        <w:rPr>
          <w:rFonts w:hint="eastAsia" w:ascii="仿宋_GB2312" w:hAnsi="仿宋" w:eastAsia="仿宋_GB2312"/>
          <w:sz w:val="32"/>
          <w:szCs w:val="32"/>
          <w:lang w:eastAsia="zh-CN"/>
        </w:rPr>
        <w:t>我校</w:t>
      </w:r>
      <w:r>
        <w:rPr>
          <w:rFonts w:hint="eastAsia" w:ascii="仿宋_GB2312" w:hAnsi="仿宋" w:eastAsia="仿宋_GB2312"/>
          <w:sz w:val="32"/>
          <w:szCs w:val="32"/>
        </w:rPr>
        <w:t>主要服务区域为</w:t>
      </w:r>
      <w:r>
        <w:rPr>
          <w:rFonts w:hint="eastAsia" w:ascii="仿宋_GB2312" w:hAnsi="仿宋" w:eastAsia="仿宋_GB2312"/>
          <w:sz w:val="32"/>
          <w:szCs w:val="32"/>
          <w:lang w:eastAsia="zh-CN"/>
        </w:rPr>
        <w:t>四川省</w:t>
      </w:r>
      <w:r>
        <w:rPr>
          <w:rFonts w:hint="eastAsia" w:ascii="仿宋_GB2312" w:hAnsi="仿宋" w:eastAsia="仿宋_GB2312"/>
          <w:sz w:val="32"/>
          <w:szCs w:val="32"/>
        </w:rPr>
        <w:t>遂宁市安居区</w:t>
      </w:r>
      <w:r>
        <w:rPr>
          <w:rFonts w:hint="eastAsia" w:ascii="仿宋_GB2312" w:hAnsi="仿宋" w:eastAsia="仿宋_GB2312"/>
          <w:sz w:val="32"/>
          <w:szCs w:val="32"/>
          <w:lang w:eastAsia="zh-CN"/>
        </w:rPr>
        <w:t>东禅镇</w:t>
      </w:r>
      <w:r>
        <w:rPr>
          <w:rFonts w:hint="eastAsia" w:ascii="仿宋_GB2312" w:hAnsi="仿宋" w:eastAsia="仿宋_GB2312"/>
          <w:sz w:val="32"/>
          <w:szCs w:val="32"/>
        </w:rPr>
        <w:t>所辖行政区及附近区域</w:t>
      </w:r>
      <w:r>
        <w:rPr>
          <w:rFonts w:hint="eastAsia" w:ascii="仿宋_GB2312" w:hAnsi="仿宋" w:eastAsia="仿宋_GB2312"/>
          <w:sz w:val="32"/>
          <w:szCs w:val="32"/>
          <w:lang w:eastAsia="zh-CN"/>
        </w:rPr>
        <w:t>。我校正确贯彻执行党和国家的教育方针、政策、法规；积极实施学前教育，促进学前教育发展，负责学前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w:t>
      </w:r>
      <w:r>
        <w:rPr>
          <w:rFonts w:hint="eastAsia" w:ascii="仿宋_GB2312" w:hAnsi="仿宋" w:eastAsia="仿宋_GB2312"/>
          <w:sz w:val="32"/>
          <w:szCs w:val="32"/>
          <w:lang w:val="en-US" w:eastAsia="zh-CN"/>
        </w:rPr>
        <w:t>身</w:t>
      </w:r>
      <w:r>
        <w:rPr>
          <w:rFonts w:hint="eastAsia" w:ascii="仿宋_GB2312" w:hAnsi="仿宋" w:eastAsia="仿宋_GB2312"/>
          <w:sz w:val="32"/>
          <w:szCs w:val="32"/>
          <w:lang w:eastAsia="zh-CN"/>
        </w:rPr>
        <w:t>安全。</w:t>
      </w:r>
    </w:p>
    <w:p w14:paraId="145CEA57">
      <w:pPr>
        <w:pStyle w:val="6"/>
        <w:rPr>
          <w:rStyle w:val="30"/>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6B2BA4CF">
      <w:pPr>
        <w:keepNext w:val="0"/>
        <w:keepLines w:val="0"/>
        <w:pageBreakBefore w:val="0"/>
        <w:kinsoku/>
        <w:wordWrap/>
        <w:overflowPunct/>
        <w:topLinePunct w:val="0"/>
        <w:autoSpaceDE/>
        <w:autoSpaceDN/>
        <w:bidi w:val="0"/>
        <w:snapToGrid w:val="0"/>
        <w:spacing w:line="52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我校为独立编制机构1</w:t>
      </w:r>
      <w:r>
        <w:rPr>
          <w:rFonts w:hint="eastAsia" w:ascii="仿宋_GB2312" w:hAnsi="仿宋" w:eastAsia="仿宋_GB2312"/>
          <w:sz w:val="32"/>
          <w:szCs w:val="32"/>
          <w:lang w:eastAsia="zh-CN"/>
        </w:rPr>
        <w:t>个</w:t>
      </w:r>
      <w:r>
        <w:rPr>
          <w:rFonts w:hint="eastAsia" w:ascii="仿宋_GB2312" w:hAnsi="仿宋" w:eastAsia="仿宋_GB2312"/>
          <w:sz w:val="32"/>
          <w:szCs w:val="32"/>
        </w:rPr>
        <w:t>，独立核算机构1</w:t>
      </w:r>
      <w:r>
        <w:rPr>
          <w:rFonts w:hint="eastAsia" w:ascii="仿宋_GB2312" w:hAnsi="仿宋" w:eastAsia="仿宋_GB2312"/>
          <w:sz w:val="32"/>
          <w:szCs w:val="32"/>
          <w:lang w:eastAsia="zh-CN"/>
        </w:rPr>
        <w:t>个</w:t>
      </w:r>
      <w:r>
        <w:rPr>
          <w:rFonts w:hint="eastAsia" w:ascii="仿宋_GB2312" w:hAnsi="仿宋" w:eastAsia="仿宋_GB2312"/>
          <w:sz w:val="32"/>
          <w:szCs w:val="32"/>
        </w:rPr>
        <w:t>。</w:t>
      </w:r>
    </w:p>
    <w:p w14:paraId="05C5EA2B">
      <w:pPr>
        <w:pStyle w:val="8"/>
        <w:keepNext w:val="0"/>
        <w:keepLines w:val="0"/>
        <w:pageBreakBefore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1</w:t>
      </w:r>
      <w:r>
        <w:rPr>
          <w:rFonts w:hint="eastAsia" w:hAnsi="仿宋"/>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，退休教师</w:t>
      </w:r>
      <w:r>
        <w:rPr>
          <w:rFonts w:hint="eastAsia" w:ascii="仿宋_GB2312" w:hAnsi="仿宋" w:eastAsia="仿宋_GB2312"/>
          <w:sz w:val="32"/>
          <w:szCs w:val="32"/>
          <w:lang w:val="en-US" w:eastAsia="zh-CN"/>
        </w:rPr>
        <w:t>3人</w:t>
      </w:r>
      <w:r>
        <w:rPr>
          <w:rFonts w:hint="eastAsia" w:ascii="仿宋_GB2312" w:hAnsi="仿宋" w:eastAsia="仿宋_GB2312"/>
          <w:sz w:val="32"/>
          <w:szCs w:val="32"/>
        </w:rPr>
        <w:t>。学生</w:t>
      </w:r>
      <w:r>
        <w:rPr>
          <w:rFonts w:hint="eastAsia" w:ascii="仿宋_GB2312" w:hAnsi="仿宋" w:eastAsia="仿宋_GB2312"/>
          <w:sz w:val="32"/>
          <w:szCs w:val="32"/>
          <w:lang w:val="en-US" w:eastAsia="zh-CN"/>
        </w:rPr>
        <w:t>139</w:t>
      </w:r>
      <w:r>
        <w:rPr>
          <w:rFonts w:hint="eastAsia" w:ascii="仿宋_GB2312" w:hAnsi="仿宋" w:eastAsia="仿宋_GB2312"/>
          <w:sz w:val="32"/>
          <w:szCs w:val="32"/>
        </w:rPr>
        <w:t>人</w:t>
      </w:r>
      <w:r>
        <w:rPr>
          <w:rFonts w:hint="eastAsia" w:ascii="仿宋_GB2312" w:hAnsi="仿宋" w:eastAsia="仿宋_GB2312"/>
          <w:sz w:val="32"/>
          <w:szCs w:val="32"/>
          <w:lang w:eastAsia="zh-CN"/>
        </w:rPr>
        <w:t>。学校现设有行政办、德育处、教导处、后勤处等部门。</w:t>
      </w:r>
    </w:p>
    <w:p w14:paraId="44B7FB89">
      <w:pPr>
        <w:keepNext w:val="0"/>
        <w:keepLines w:val="0"/>
        <w:pageBreakBefore w:val="0"/>
        <w:widowControl/>
        <w:kinsoku/>
        <w:wordWrap/>
        <w:overflowPunct/>
        <w:topLinePunct w:val="0"/>
        <w:autoSpaceDE/>
        <w:autoSpaceDN/>
        <w:bidi w:val="0"/>
        <w:ind w:firstLine="640" w:firstLineChars="200"/>
        <w:jc w:val="left"/>
        <w:textAlignment w:val="auto"/>
        <w:outlineLvl w:val="9"/>
        <w:rPr>
          <w:rFonts w:ascii="Times New Roman" w:hAnsi="Times New Roman" w:eastAsia="仿宋_GB2312"/>
          <w:color w:val="auto"/>
          <w:kern w:val="0"/>
          <w:sz w:val="32"/>
          <w:szCs w:val="32"/>
          <w:highlight w:val="none"/>
        </w:rPr>
      </w:pPr>
      <w:r>
        <w:rPr>
          <w:rFonts w:ascii="Times New Roman" w:hAnsi="Times New Roman" w:eastAsia="仿宋_GB2312"/>
          <w:color w:val="auto"/>
          <w:sz w:val="32"/>
          <w:szCs w:val="32"/>
          <w:highlight w:val="none"/>
        </w:rPr>
        <w:br w:type="page"/>
      </w:r>
    </w:p>
    <w:p w14:paraId="09A0E66E">
      <w:pPr>
        <w:pStyle w:val="5"/>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54B32129">
      <w:pPr>
        <w:rPr>
          <w:rFonts w:ascii="Times New Roman" w:hAnsi="Times New Roman"/>
          <w:color w:val="auto"/>
          <w:highlight w:val="none"/>
        </w:rPr>
      </w:pPr>
    </w:p>
    <w:p w14:paraId="70411FF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128BB9D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355.89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4.45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1.23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本年度我单位调出人员和退休人员大于调入和新聘人员，导致本年度人员工资及五险一金等经费减少，另本年度学生人数较上年度有所减少，匹配的相关公用经费也有所减少等。</w:t>
      </w:r>
    </w:p>
    <w:p w14:paraId="5C87BE97">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center"/>
        <w:textAlignment w:val="auto"/>
        <w:outlineLvl w:val="1"/>
        <w:rPr>
          <w:rFonts w:hint="eastAsia" w:eastAsia="仿宋_GB2312" w:cs="仿宋_GB2312"/>
          <w:color w:val="auto"/>
          <w:sz w:val="32"/>
          <w:szCs w:val="32"/>
          <w:highlight w:val="none"/>
          <w:lang w:val="en-US" w:eastAsia="zh-CN"/>
        </w:rPr>
      </w:pPr>
      <w:r>
        <w:drawing>
          <wp:inline distT="0" distB="0" distL="114300" distR="114300">
            <wp:extent cx="4572000" cy="36195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1D67A5">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116A9B0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2874305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355.89万元，其中：一般公共预算财政拨款收入340.06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95.55</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15.83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w:t>
      </w:r>
    </w:p>
    <w:p w14:paraId="0998264D">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751705" cy="4274820"/>
            <wp:effectExtent l="4445" t="4445" r="6350" b="698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259FD6">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145A222A">
      <w:pPr>
        <w:pStyle w:val="2"/>
        <w:rPr>
          <w:rFonts w:hint="eastAsia" w:ascii="Times New Roman" w:hAnsi="Times New Roman" w:eastAsia="仿宋_GB2312" w:cs="仿宋_GB2312"/>
          <w:color w:val="auto"/>
          <w:sz w:val="32"/>
          <w:szCs w:val="32"/>
          <w:highlight w:val="none"/>
          <w:lang w:eastAsia="zh-CN"/>
        </w:rPr>
      </w:pPr>
    </w:p>
    <w:p w14:paraId="39DF8E14">
      <w:pPr>
        <w:pStyle w:val="3"/>
        <w:rPr>
          <w:rFonts w:hint="eastAsia"/>
          <w:lang w:eastAsia="zh-CN"/>
        </w:rPr>
      </w:pPr>
    </w:p>
    <w:p w14:paraId="6760DFD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21AFE68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355.89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301.81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color w:val="auto"/>
          <w:sz w:val="32"/>
          <w:szCs w:val="32"/>
          <w:highlight w:val="none"/>
          <w:lang w:eastAsia="zh-CN"/>
        </w:rPr>
        <w:t>%。</w:t>
      </w:r>
    </w:p>
    <w:p w14:paraId="5A9728B1">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848860" cy="4866640"/>
            <wp:effectExtent l="4445" t="4445" r="23495" b="571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19513E">
      <w:pPr>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2996A4DA">
      <w:pPr>
        <w:pStyle w:val="2"/>
        <w:rPr>
          <w:rFonts w:hint="eastAsia"/>
          <w:lang w:eastAsia="zh-CN"/>
        </w:rPr>
      </w:pPr>
    </w:p>
    <w:p w14:paraId="3699719F">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35DA1A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340.06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20.28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5.63</w:t>
      </w:r>
      <w:r>
        <w:rPr>
          <w:rFonts w:hint="eastAsia" w:ascii="Times New Roman" w:hAnsi="Times New Roman" w:eastAsia="仿宋_GB2312" w:cs="仿宋_GB2312"/>
          <w:color w:val="auto"/>
          <w:kern w:val="2"/>
          <w:sz w:val="32"/>
          <w:szCs w:val="32"/>
          <w:highlight w:val="none"/>
          <w:lang w:val="en-US" w:eastAsia="zh-CN" w:bidi="ar-SA"/>
        </w:rPr>
        <w:t>%。主要变动原因是本年度我单位调出人员和退休人员大于调入和新聘人员，导致本年度人员工资及五险一金等经费减少，另本年度学生人数较上年度有所减少，匹配的相关公用经费也有所减少等。</w:t>
      </w:r>
    </w:p>
    <w:p w14:paraId="770D961D">
      <w:pPr>
        <w:pStyle w:val="2"/>
        <w:jc w:val="center"/>
        <w:rPr>
          <w:rFonts w:hint="eastAsia"/>
          <w:lang w:val="en-US" w:eastAsia="zh-CN"/>
        </w:rPr>
      </w:pPr>
      <w:r>
        <w:drawing>
          <wp:inline distT="0" distB="0" distL="114300" distR="114300">
            <wp:extent cx="5085715" cy="3304540"/>
            <wp:effectExtent l="4445" t="4445" r="15240" b="57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3C0A95">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06D7FE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45A8D5">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337290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12B61B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340.06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95.55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%。与2023年度相比，一般公共预算财政拨款支出减少20.28万元，下降5.63%。主要变动原因是</w:t>
      </w:r>
      <w:r>
        <w:rPr>
          <w:rFonts w:hint="eastAsia" w:ascii="Times New Roman" w:hAnsi="Times New Roman" w:eastAsia="仿宋_GB2312" w:cs="仿宋_GB2312"/>
          <w:color w:val="auto"/>
          <w:kern w:val="2"/>
          <w:sz w:val="32"/>
          <w:szCs w:val="32"/>
          <w:highlight w:val="none"/>
          <w:lang w:val="en-US" w:eastAsia="zh-CN" w:bidi="ar-SA"/>
        </w:rPr>
        <w:t>本年度我单位调出人员和退休人员大于调入和新聘</w:t>
      </w:r>
      <w:bookmarkStart w:id="72" w:name="_GoBack"/>
      <w:bookmarkEnd w:id="72"/>
      <w:r>
        <w:rPr>
          <w:rFonts w:hint="eastAsia" w:ascii="Times New Roman" w:hAnsi="Times New Roman" w:eastAsia="仿宋_GB2312" w:cs="仿宋_GB2312"/>
          <w:color w:val="auto"/>
          <w:kern w:val="2"/>
          <w:sz w:val="32"/>
          <w:szCs w:val="32"/>
          <w:highlight w:val="none"/>
          <w:lang w:val="en-US" w:eastAsia="zh-CN" w:bidi="ar-SA"/>
        </w:rPr>
        <w:t>人员，导致本年度人员工资及五险一金等经费减少，另本年度学生人数较上年度有所减少，匹配的相关公用经费也有所减少等。</w:t>
      </w:r>
    </w:p>
    <w:p w14:paraId="13267C1E">
      <w:pPr>
        <w:pStyle w:val="2"/>
        <w:jc w:val="center"/>
        <w:rPr>
          <w:rFonts w:hint="eastAsia"/>
          <w:lang w:val="en-US" w:eastAsia="zh-CN"/>
        </w:rPr>
      </w:pPr>
      <w:r>
        <w:drawing>
          <wp:inline distT="0" distB="0" distL="114300" distR="114300">
            <wp:extent cx="5171440" cy="3037840"/>
            <wp:effectExtent l="4445" t="4445" r="5715" b="571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97A35D">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572E280B">
      <w:pPr>
        <w:pStyle w:val="2"/>
        <w:rPr>
          <w:rFonts w:hint="eastAsia"/>
          <w:lang w:val="en-US" w:eastAsia="zh-CN"/>
        </w:rPr>
      </w:pPr>
    </w:p>
    <w:p w14:paraId="05B323EA">
      <w:pPr>
        <w:pStyle w:val="3"/>
        <w:rPr>
          <w:rFonts w:hint="eastAsia"/>
          <w:lang w:val="en-US" w:eastAsia="zh-CN"/>
        </w:rPr>
      </w:pPr>
    </w:p>
    <w:p w14:paraId="362B13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3FE5B2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340.06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271.81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79.93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32.73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9.62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13.08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3.85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22.44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6.60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FAF282B">
      <w:pPr>
        <w:pStyle w:val="2"/>
        <w:jc w:val="center"/>
        <w:rPr>
          <w:rFonts w:hint="eastAsia"/>
          <w:lang w:val="en-US" w:eastAsia="zh-CN"/>
        </w:rPr>
      </w:pPr>
      <w:r>
        <w:drawing>
          <wp:inline distT="0" distB="0" distL="114300" distR="114300">
            <wp:extent cx="4980940" cy="3689985"/>
            <wp:effectExtent l="4445" t="4445" r="5715" b="2032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96FE37">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AF19B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83C3C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125606A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340.06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1CAECDCC">
      <w:pPr>
        <w:numPr>
          <w:ilvl w:val="0"/>
          <w:numId w:val="1"/>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教育支出205(类)普通教育02(款)学前教育01(款)：支出决算为263.41万元，完成预算100%。</w:t>
      </w:r>
    </w:p>
    <w:p w14:paraId="62660702">
      <w:pPr>
        <w:numPr>
          <w:ilvl w:val="0"/>
          <w:numId w:val="1"/>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教育支出205(类)教育费附加安排的支出09(款)其他教育费附加安排的支出99(款)：支出决算为8.4万元，完成预算100%。</w:t>
      </w:r>
    </w:p>
    <w:p w14:paraId="00684F34">
      <w:pPr>
        <w:numPr>
          <w:ilvl w:val="0"/>
          <w:numId w:val="1"/>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社会保障和就业支出208(类)行政事业单位养老支出05(款)机关事业单位基本养老保险缴费支出05(款)：支出决算为30.25万元，完成预算100%。</w:t>
      </w:r>
    </w:p>
    <w:p w14:paraId="19436C52">
      <w:pPr>
        <w:numPr>
          <w:ilvl w:val="0"/>
          <w:numId w:val="1"/>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社会保障和就业支出208(类)其他社会保障和就业支出99(款)其他社会保障和就业支出99(款)：支出决算为2.48万元，完成预算100%。</w:t>
      </w:r>
    </w:p>
    <w:p w14:paraId="01509E1A">
      <w:pPr>
        <w:numPr>
          <w:ilvl w:val="0"/>
          <w:numId w:val="1"/>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卫生健康支出210(类)行政事业单位医疗11(款)事业单位医疗02(款)：支出决算为13.08万元，完成预算100%。</w:t>
      </w:r>
    </w:p>
    <w:p w14:paraId="2BC017D2">
      <w:pPr>
        <w:numPr>
          <w:ilvl w:val="0"/>
          <w:numId w:val="1"/>
        </w:num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住房保障支出221(类)住房改革支出02(款)住房公积金01(款)：支出决算为22.44万元，完成预算100%。</w:t>
      </w:r>
    </w:p>
    <w:p w14:paraId="2A371565">
      <w:pPr>
        <w:tabs>
          <w:tab w:val="right" w:pos="8306"/>
        </w:tabs>
        <w:spacing w:line="600" w:lineRule="exact"/>
        <w:ind w:firstLine="640"/>
        <w:outlineLvl w:val="1"/>
        <w:rPr>
          <w:rStyle w:val="30"/>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6A0889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301.81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AEFFE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263.82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37.9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FB7444">
      <w:pPr>
        <w:pStyle w:val="2"/>
        <w:rPr>
          <w:rFonts w:hint="eastAsia"/>
          <w:lang w:val="en-US" w:eastAsia="zh-CN"/>
        </w:rPr>
      </w:pPr>
    </w:p>
    <w:p w14:paraId="496A0FB1">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bookmarkStart w:id="40" w:name="_Toc15396610"/>
      <w:bookmarkStart w:id="41" w:name="_Toc15377218"/>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797E12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37D23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6DF22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5C511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44B9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0AD3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7BFA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9819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996E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7D40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EE554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EAB43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BAEBC23">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0"/>
      <w:bookmarkEnd w:id="41"/>
    </w:p>
    <w:p w14:paraId="603A74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14:paraId="205FB329">
      <w:pPr>
        <w:pStyle w:val="2"/>
        <w:rPr>
          <w:rFonts w:hint="eastAsia"/>
          <w:lang w:val="en-US" w:eastAsia="zh-CN"/>
        </w:rPr>
      </w:pPr>
    </w:p>
    <w:p w14:paraId="558B597A">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77219"/>
      <w:bookmarkStart w:id="45"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43DA09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14:paraId="347B8A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AD289C">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77221"/>
      <w:bookmarkStart w:id="47"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52AD95F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523A82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遂宁市安居区东禅镇中心幼儿园</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w:t>
      </w:r>
      <w:r>
        <w:rPr>
          <w:rFonts w:hint="eastAsia" w:eastAsia="仿宋_GB2312" w:cs="仿宋_GB2312"/>
          <w:color w:val="auto"/>
          <w:kern w:val="2"/>
          <w:sz w:val="32"/>
          <w:szCs w:val="32"/>
          <w:highlight w:val="none"/>
          <w:lang w:val="en-US" w:eastAsia="zh-CN" w:bidi="ar-SA"/>
        </w:rPr>
        <w:t>决算数持平。</w:t>
      </w:r>
    </w:p>
    <w:p w14:paraId="7B7A8C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72DD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29F7159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遂宁市安居区东禅镇中心幼儿园</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58B95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EDB9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71217C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遂宁市安居区东禅镇中心幼儿园</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4CDEC8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5979B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62BD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根据预算绩效管理要求，本单位在2024年度预算编制阶段，组织对幼儿保教费、幼儿资助及幼儿发展资金、2021年支持学前教育发展专项资金（激励奖）第二批、优秀嘉奖和记功奖励等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77272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幼儿保教费、幼儿资助及幼儿发展资金、2021年支持学前教育发展专项资金（激励奖）第二批、乡镇工作补贴、优秀嘉奖和记功奖励等预算项目绩效自评报告，其中，2024年我单位部门整体（含部门预算项目）绩效自评得分为95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了学校家庭经济困难学生正常入学，减轻其家庭经济负担。幼儿资助及幼儿发展资金预算项目绩效自评得分为100分，绩效自评综述保障了学校家庭经济困难学生正常入学，减轻其家庭经济负担，促进学校健康发展。2021年支持学前教育发展专项资金（激励奖）第二批预算项目绩效自评得分为100分，绩效自评综述保障了学校家庭经济困难学生正常入学，促进学校健康发展。优秀嘉奖和记功奖励预算项目绩效自评得分为100分，绩效自评综述严格执行相关政策，保障资金及时、合规、足额支付到位，减少结余资金。</w:t>
      </w:r>
    </w:p>
    <w:p w14:paraId="0AC64D1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绩效自评表详见第四部分附件。</w:t>
      </w:r>
    </w:p>
    <w:p w14:paraId="15ADD8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2D14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1CE73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br w:type="page"/>
      </w:r>
    </w:p>
    <w:p w14:paraId="72F6C47B">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1501D133">
      <w:pPr>
        <w:spacing w:line="600" w:lineRule="exact"/>
        <w:jc w:val="left"/>
        <w:rPr>
          <w:rFonts w:ascii="Times New Roman" w:hAnsi="Times New Roman"/>
          <w:b/>
          <w:color w:val="auto"/>
          <w:sz w:val="44"/>
          <w:szCs w:val="44"/>
          <w:highlight w:val="none"/>
        </w:rPr>
      </w:pPr>
    </w:p>
    <w:p w14:paraId="2E01B1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0A095F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2.事业收入：指事业单位开展专业业务活动及辅助活动取得的收入。如学前教育保教费收入等。</w:t>
      </w:r>
    </w:p>
    <w:p w14:paraId="6C4B5A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7052D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4.其他收入：指单位取得的除上述收入以外的各项收入。主要是利息收入、捐赠收入等。 </w:t>
      </w:r>
    </w:p>
    <w:p w14:paraId="13207C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AAF38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5D673A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6B9F8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59879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9.教育（205类）教育管理事务（01款）行政运行（01项）: 反映行政单位（包括实行公务员管理的事业单位）的基本支出。</w:t>
      </w:r>
    </w:p>
    <w:p w14:paraId="2BF7F8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10.教育（205类）教育管理事务（01款）一般行政管理事务（02项）: 反映行政单位（包括实行公务员管理的事业单位）未单独设置项级科目的其他项目支出。</w:t>
      </w:r>
    </w:p>
    <w:p w14:paraId="6359C6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11.教育（205类）教育管理事务（01款）其他教育管理事务支出（99项）: 反映除上述项目以外其他用于教育管理事务方面的支出。</w:t>
      </w:r>
    </w:p>
    <w:p w14:paraId="329567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12.教育（205类）普通教育（02款）学前教育（01项）: 反映各部门举办的学前教育支出。</w:t>
      </w:r>
    </w:p>
    <w:p w14:paraId="46A862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13.教育（205类）普通教育（02款）小学教育（02项）: 反映各部门举办的小学教育支出。政府各部门对社会中介组织等举办的小学的资助，如各类捐赠、补贴等，也在本科目中反映。</w:t>
      </w:r>
    </w:p>
    <w:p w14:paraId="5927A0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14.教育（205类）普通教育（02款）其他普通教育支出（99项）: 反映除上述项目以外其他用于普通教育方面的支出。</w:t>
      </w:r>
    </w:p>
    <w:p w14:paraId="6C1A05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15.教育（205类）其他教育支出（09款）其他教育支出（99项）: 反映除上述项目以外其他教育费附加安排的支出。</w:t>
      </w:r>
    </w:p>
    <w:p w14:paraId="0CB439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16.教育（205类）其他教育支出（99款）其他教育支出（99项）: 反映除上述项目以外其他教育方面的支出。</w:t>
      </w:r>
    </w:p>
    <w:p w14:paraId="54C0E7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17.社会保障和就业（208类）行政事业单位养老支出（05款）事业单位离退休（02项）: 反映机关事业单位实施事业单位</w:t>
      </w:r>
      <w:r>
        <w:rPr>
          <w:rFonts w:hint="eastAsia" w:eastAsia="仿宋_GB2312" w:cs="仿宋_GB2312"/>
          <w:color w:val="auto"/>
          <w:kern w:val="2"/>
          <w:sz w:val="32"/>
          <w:szCs w:val="32"/>
          <w:highlight w:val="none"/>
          <w:lang w:val="en-US" w:eastAsia="zh-CN" w:bidi="ar-SA"/>
        </w:rPr>
        <w:t>离退休支出</w:t>
      </w:r>
      <w:r>
        <w:rPr>
          <w:rFonts w:hint="eastAsia" w:ascii="Times New Roman" w:hAnsi="Times New Roman" w:eastAsia="仿宋_GB2312" w:cs="仿宋_GB2312"/>
          <w:color w:val="auto"/>
          <w:kern w:val="2"/>
          <w:sz w:val="32"/>
          <w:szCs w:val="32"/>
          <w:highlight w:val="none"/>
          <w:lang w:val="en-US" w:eastAsia="zh-CN" w:bidi="ar-SA"/>
        </w:rPr>
        <w:t>。</w:t>
      </w:r>
    </w:p>
    <w:p w14:paraId="280ABA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18.社会保障和就业（208类）行政事业单位养老支出（05款）机关事业单位基本养老保险缴费支出（05项）: 反映机关事业单位实施养老保险制度由单位缴纳的基本养老保险费支出。</w:t>
      </w:r>
    </w:p>
    <w:p w14:paraId="510993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19.社会保障和就业（208类）行政事业单位养老支出（05款）其他行政事业单位养老支出（99项）: 反映机关事业单位实施养老保险制度其他行政事业单位养老支出支出。</w:t>
      </w:r>
    </w:p>
    <w:p w14:paraId="261FDE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20.社会保障和就业（208类）其他社会保障和就业支出（99款）其他社会保障和就业支出（99项）: 反映上述项目以外</w:t>
      </w:r>
      <w:r>
        <w:rPr>
          <w:rFonts w:hint="eastAsia" w:eastAsia="仿宋_GB2312" w:cs="仿宋_GB2312"/>
          <w:color w:val="auto"/>
          <w:kern w:val="2"/>
          <w:sz w:val="32"/>
          <w:szCs w:val="32"/>
          <w:highlight w:val="none"/>
          <w:lang w:val="en-US" w:eastAsia="zh-CN" w:bidi="ar-SA"/>
        </w:rPr>
        <w:t>其他用于</w:t>
      </w:r>
      <w:r>
        <w:rPr>
          <w:rFonts w:hint="eastAsia" w:ascii="Times New Roman" w:hAnsi="Times New Roman" w:eastAsia="仿宋_GB2312" w:cs="仿宋_GB2312"/>
          <w:color w:val="auto"/>
          <w:kern w:val="2"/>
          <w:sz w:val="32"/>
          <w:szCs w:val="32"/>
          <w:highlight w:val="none"/>
          <w:lang w:val="en-US" w:eastAsia="zh-CN" w:bidi="ar-SA"/>
        </w:rPr>
        <w:t>社会保障和就业方面的支出。</w:t>
      </w:r>
    </w:p>
    <w:p w14:paraId="1D5A33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2801DE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22.住房保障支出（221类）住房改革支出（02款）住房公积金（01项）:反映行政事业单位按人力资源和社会保障部、财政部规定的基本工资和津贴补贴以及规定比例为职工缴纳的住房公积金。</w:t>
      </w:r>
    </w:p>
    <w:p w14:paraId="58D85E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23.基本支出：指为保障机构正常运转、完成日常工作任务而发生的人员支出和公用支出。</w:t>
      </w:r>
    </w:p>
    <w:p w14:paraId="65B5E8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24.项目支出：指在基本支出之外为完成特定行政任务和事业发展目标所发生的支出。  </w:t>
      </w:r>
    </w:p>
    <w:p w14:paraId="03985B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25.经营支出：指事业单位在专业业务活动及其辅助活动之外开展非独立核算经营活动发生的支出。</w:t>
      </w:r>
    </w:p>
    <w:p w14:paraId="7AF806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30F4F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27.工资福利：反映单位开支的在职职工和编制外长期聘用人员的各类劳动报酬，以及为上述人员缴纳的各项社会保险费等。</w:t>
      </w:r>
    </w:p>
    <w:p w14:paraId="347E9E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28.商品和服务：反映单位购买商品和服务的支出，不包括用于购置固定资产、战略性和应急性物资储备等资本支出。</w:t>
      </w:r>
    </w:p>
    <w:p w14:paraId="18A87B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29.对个人和家庭的补助：反映政府用于对个人和家庭的补助支出。</w:t>
      </w:r>
    </w:p>
    <w:p w14:paraId="6CBCC52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30.资本性支出：反映各单位安排的资本性支出。切块由发展改革部门安排的基本建设支出不在此科目反映。</w:t>
      </w:r>
    </w:p>
    <w:p w14:paraId="78B019C9">
      <w:pPr>
        <w:spacing w:line="600" w:lineRule="exact"/>
        <w:jc w:val="center"/>
        <w:rPr>
          <w:rFonts w:hint="eastAsia" w:ascii="Times New Roman" w:hAnsi="Times New Roman" w:eastAsia="黑体"/>
          <w:color w:val="auto"/>
          <w:sz w:val="44"/>
          <w:szCs w:val="44"/>
          <w:highlight w:val="none"/>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2B1F3E87">
      <w:pPr>
        <w:spacing w:line="600" w:lineRule="exact"/>
        <w:outlineLvl w:val="0"/>
        <w:rPr>
          <w:rFonts w:ascii="仿宋" w:hAnsi="仿宋" w:eastAsia="仿宋_GB2312"/>
          <w:bCs/>
          <w:sz w:val="36"/>
          <w:szCs w:val="36"/>
        </w:rPr>
      </w:pPr>
      <w:bookmarkStart w:id="55" w:name="OLE_LINK1"/>
      <w:bookmarkStart w:id="56" w:name="OLE_LINK2"/>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7" w:name="_1753987489"/>
      <w:bookmarkEnd w:id="57"/>
      <w:r>
        <w:rPr>
          <w:rFonts w:ascii="仿宋" w:hAnsi="仿宋" w:eastAsia="仿宋_GB2312"/>
          <w:bCs/>
          <w:sz w:val="36"/>
          <w:szCs w:val="36"/>
        </w:rPr>
        <w:fldChar w:fldCharType="separate"/>
      </w:r>
    </w:p>
    <w:p w14:paraId="381C76A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36"/>
          <w:szCs w:val="36"/>
        </w:rPr>
      </w:pPr>
      <w:r>
        <w:rPr>
          <w:rFonts w:ascii="仿宋" w:hAnsi="仿宋" w:eastAsia="仿宋_GB2312"/>
          <w:b/>
          <w:bCs/>
          <w:sz w:val="36"/>
          <w:szCs w:val="36"/>
        </w:rPr>
        <w:fldChar w:fldCharType="end"/>
      </w:r>
      <w:bookmarkEnd w:id="55"/>
      <w:bookmarkEnd w:id="56"/>
      <w:r>
        <w:rPr>
          <w:rFonts w:hint="eastAsia" w:ascii="方正小标宋简体" w:hAnsi="方正小标宋简体" w:eastAsia="方正小标宋简体" w:cs="方正小标宋简体"/>
          <w:b w:val="0"/>
          <w:bCs w:val="0"/>
          <w:sz w:val="36"/>
          <w:szCs w:val="36"/>
        </w:rPr>
        <w:t>2024年整体支出绩效</w:t>
      </w:r>
      <w:r>
        <w:rPr>
          <w:rFonts w:hint="eastAsia" w:ascii="方正小标宋简体" w:hAnsi="方正小标宋简体" w:eastAsia="方正小标宋简体" w:cs="方正小标宋简体"/>
          <w:b w:val="0"/>
          <w:bCs w:val="0"/>
          <w:sz w:val="36"/>
          <w:szCs w:val="36"/>
          <w:lang w:val="en-US" w:eastAsia="zh-CN"/>
        </w:rPr>
        <w:t>评价</w:t>
      </w:r>
      <w:r>
        <w:rPr>
          <w:rFonts w:hint="eastAsia" w:ascii="方正小标宋简体" w:hAnsi="方正小标宋简体" w:eastAsia="方正小标宋简体" w:cs="方正小标宋简体"/>
          <w:b w:val="0"/>
          <w:bCs w:val="0"/>
          <w:sz w:val="36"/>
          <w:szCs w:val="36"/>
        </w:rPr>
        <w:t>报告</w:t>
      </w: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遂宁市安居区东禅镇中心幼儿园</w:t>
      </w:r>
      <w:r>
        <w:rPr>
          <w:rFonts w:hint="eastAsia" w:ascii="仿宋" w:hAnsi="仿宋" w:eastAsia="仿宋_GB2312"/>
          <w:sz w:val="32"/>
          <w:szCs w:val="32"/>
        </w:rPr>
        <w:t>是遂宁市安居区农村公办</w:t>
      </w:r>
      <w:r>
        <w:rPr>
          <w:rFonts w:hint="eastAsia" w:ascii="仿宋" w:hAnsi="仿宋" w:eastAsia="仿宋_GB2312"/>
          <w:sz w:val="32"/>
          <w:szCs w:val="32"/>
          <w:lang w:val="en-US" w:eastAsia="zh-CN"/>
        </w:rPr>
        <w:t>小学</w:t>
      </w:r>
      <w:r>
        <w:rPr>
          <w:rFonts w:hint="eastAsia" w:ascii="仿宋" w:hAnsi="仿宋" w:eastAsia="仿宋_GB2312"/>
          <w:sz w:val="32"/>
          <w:szCs w:val="32"/>
        </w:rPr>
        <w:t>，负责辖区内</w:t>
      </w:r>
      <w:r>
        <w:rPr>
          <w:rFonts w:hint="eastAsia" w:ascii="仿宋" w:hAnsi="仿宋" w:eastAsia="仿宋_GB2312"/>
          <w:sz w:val="32"/>
          <w:szCs w:val="32"/>
          <w:lang w:val="en-US" w:eastAsia="zh-CN"/>
        </w:rPr>
        <w:t>3-6</w:t>
      </w:r>
      <w:r>
        <w:rPr>
          <w:rFonts w:hint="eastAsia" w:ascii="仿宋" w:hAnsi="仿宋" w:eastAsia="仿宋_GB2312"/>
          <w:sz w:val="32"/>
          <w:szCs w:val="32"/>
        </w:rPr>
        <w:t>岁</w:t>
      </w:r>
      <w:r>
        <w:rPr>
          <w:rFonts w:hint="eastAsia" w:ascii="仿宋" w:hAnsi="仿宋" w:eastAsia="仿宋_GB2312"/>
          <w:sz w:val="32"/>
          <w:szCs w:val="32"/>
          <w:lang w:val="en-US" w:eastAsia="zh-CN"/>
        </w:rPr>
        <w:t>学生小学义务教育</w:t>
      </w:r>
      <w:r>
        <w:rPr>
          <w:rFonts w:hint="eastAsia" w:ascii="仿宋" w:hAnsi="仿宋" w:eastAsia="仿宋_GB2312"/>
          <w:sz w:val="32"/>
          <w:szCs w:val="32"/>
        </w:rPr>
        <w:t>。</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我园属遂宁市安居区教育和体育局下属二级事业单位，纳入202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506C5A25">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15</w:t>
      </w:r>
      <w:r>
        <w:rPr>
          <w:rFonts w:hint="eastAsia" w:ascii="仿宋" w:hAnsi="仿宋" w:eastAsia="仿宋_GB2312"/>
          <w:sz w:val="32"/>
          <w:szCs w:val="32"/>
        </w:rPr>
        <w:t>人，退休教师</w:t>
      </w:r>
      <w:r>
        <w:rPr>
          <w:rFonts w:hint="eastAsia" w:ascii="仿宋" w:hAnsi="仿宋" w:eastAsia="仿宋_GB2312"/>
          <w:sz w:val="32"/>
          <w:szCs w:val="32"/>
          <w:lang w:val="en-US" w:eastAsia="zh-CN"/>
        </w:rPr>
        <w:t>3</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在校学生139人</w:t>
      </w:r>
      <w:r>
        <w:rPr>
          <w:rFonts w:hint="eastAsia" w:ascii="仿宋" w:hAnsi="仿宋" w:eastAsia="仿宋_GB2312"/>
          <w:sz w:val="32"/>
          <w:szCs w:val="32"/>
        </w:rPr>
        <w:t>。</w:t>
      </w: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355.89</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340.06</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15.83</w:t>
      </w:r>
      <w:r>
        <w:rPr>
          <w:rFonts w:ascii="仿宋_GB2312" w:eastAsia="仿宋_GB2312"/>
          <w:sz w:val="32"/>
          <w:szCs w:val="32"/>
        </w:rPr>
        <w:t>万元。</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355.89</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301.81</w:t>
      </w:r>
      <w:r>
        <w:rPr>
          <w:rFonts w:hint="eastAsia" w:ascii="仿宋" w:hAnsi="仿宋" w:eastAsia="仿宋_GB2312"/>
          <w:sz w:val="32"/>
          <w:szCs w:val="32"/>
        </w:rPr>
        <w:t>万元，占</w:t>
      </w:r>
      <w:r>
        <w:rPr>
          <w:rFonts w:hint="eastAsia" w:ascii="仿宋" w:hAnsi="仿宋" w:eastAsia="仿宋_GB2312"/>
          <w:sz w:val="32"/>
          <w:szCs w:val="32"/>
          <w:lang w:val="en-US" w:eastAsia="zh-CN"/>
        </w:rPr>
        <w:t>84.81</w:t>
      </w:r>
      <w:r>
        <w:rPr>
          <w:rFonts w:hint="eastAsia" w:ascii="仿宋" w:hAnsi="仿宋" w:eastAsia="仿宋_GB2312"/>
          <w:sz w:val="32"/>
          <w:szCs w:val="32"/>
        </w:rPr>
        <w:t>%；项目支出</w:t>
      </w:r>
      <w:r>
        <w:rPr>
          <w:rFonts w:hint="eastAsia" w:ascii="仿宋" w:hAnsi="仿宋" w:eastAsia="仿宋_GB2312"/>
          <w:sz w:val="32"/>
          <w:szCs w:val="32"/>
          <w:lang w:val="en-US" w:eastAsia="zh-CN"/>
        </w:rPr>
        <w:t>54.08</w:t>
      </w:r>
      <w:r>
        <w:rPr>
          <w:rFonts w:hint="eastAsia" w:ascii="仿宋" w:hAnsi="仿宋" w:eastAsia="仿宋_GB2312"/>
          <w:sz w:val="32"/>
          <w:szCs w:val="32"/>
        </w:rPr>
        <w:t>万元，占</w:t>
      </w:r>
      <w:r>
        <w:rPr>
          <w:rFonts w:hint="eastAsia" w:ascii="仿宋" w:hAnsi="仿宋" w:eastAsia="仿宋_GB2312"/>
          <w:sz w:val="32"/>
          <w:szCs w:val="32"/>
          <w:lang w:val="en-US" w:eastAsia="zh-CN"/>
        </w:rPr>
        <w:t>15.19</w:t>
      </w:r>
      <w:r>
        <w:rPr>
          <w:rFonts w:hint="eastAsia" w:ascii="仿宋" w:hAnsi="仿宋" w:eastAsia="仿宋_GB2312"/>
          <w:sz w:val="32"/>
          <w:szCs w:val="32"/>
        </w:rPr>
        <w:t>%。。</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14:paraId="0CAD15D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321B48D1">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w:t>
      </w:r>
      <w:r>
        <w:rPr>
          <w:rFonts w:hint="eastAsia" w:ascii="仿宋_GB2312" w:hAnsi="仿宋" w:eastAsia="仿宋_GB2312" w:cs="Times New Roman"/>
          <w:sz w:val="32"/>
          <w:szCs w:val="32"/>
          <w:lang w:val="en-US" w:eastAsia="zh-CN"/>
        </w:rPr>
        <w:t>上级</w:t>
      </w:r>
      <w:r>
        <w:rPr>
          <w:rFonts w:hint="eastAsia" w:ascii="仿宋_GB2312" w:hAnsi="仿宋" w:eastAsia="仿宋_GB2312" w:cs="Times New Roman"/>
          <w:sz w:val="32"/>
          <w:szCs w:val="32"/>
        </w:rPr>
        <w:t>的检查，所有资金的支出，接受财政部门的监督管理，圆满完成2024年的目标任务。</w:t>
      </w:r>
    </w:p>
    <w:p w14:paraId="3F18B9F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95</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472E99A7">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学校招收学生逐年减少</w:t>
      </w:r>
      <w:r>
        <w:rPr>
          <w:rFonts w:hint="eastAsia" w:ascii="仿宋_GB2312" w:hAnsi="仿宋" w:eastAsia="仿宋_GB2312" w:cs="Times New Roman"/>
          <w:sz w:val="32"/>
          <w:szCs w:val="32"/>
        </w:rPr>
        <w:t>。</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6526B07F">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4F365BD9">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0CFB41B4">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735D66A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77B0332D">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6FBB3C2">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ind w:firstLine="2880" w:firstLineChars="800"/>
              <w:rPr>
                <w:rFonts w:ascii="黑体" w:hAnsi="黑体" w:eastAsia="黑体" w:cs="黑体"/>
                <w:kern w:val="0"/>
                <w:sz w:val="36"/>
                <w:szCs w:val="36"/>
                <w:shd w:val="clear" w:color="auto" w:fill="FFFFFF"/>
                <w:lang w:val="zh-CN"/>
              </w:rPr>
            </w:pPr>
            <w:r>
              <w:rPr>
                <w:rFonts w:hint="eastAsia" w:ascii="黑体" w:hAnsi="黑体" w:eastAsia="黑体" w:cs="宋体"/>
                <w:kern w:val="0"/>
                <w:sz w:val="36"/>
                <w:szCs w:val="36"/>
              </w:rPr>
              <w:t>部门整体支出绩效自评表</w:t>
            </w: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仿宋" w:hAnsi="仿宋" w:eastAsia="仿宋" w:cs="宋体"/>
                <w:b/>
                <w:kern w:val="0"/>
                <w:szCs w:val="21"/>
              </w:rPr>
            </w:pPr>
            <w:r>
              <w:rPr>
                <w:rFonts w:hint="eastAsia" w:ascii="仿宋" w:hAnsi="仿宋" w:eastAsia="仿宋_GB2312" w:cs="宋体"/>
                <w:b/>
                <w:bCs/>
                <w:kern w:val="0"/>
                <w:szCs w:val="21"/>
              </w:rPr>
              <w:t>履职 效能</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14:paraId="4E87BB9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教学质量达标</w:t>
            </w:r>
          </w:p>
        </w:tc>
        <w:tc>
          <w:tcPr>
            <w:tcW w:w="748" w:type="dxa"/>
            <w:vMerge w:val="continue"/>
            <w:tcBorders>
              <w:left w:val="nil"/>
              <w:bottom w:val="nil"/>
              <w:right w:val="single" w:color="auto" w:sz="4" w:space="0"/>
            </w:tcBorders>
            <w:noWrap w:val="0"/>
            <w:vAlign w:val="center"/>
          </w:tcPr>
          <w:p w14:paraId="602C9672">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ascii="仿宋" w:hAnsi="仿宋" w:eastAsia="仿宋" w:cs="宋体"/>
                <w:b/>
                <w:bCs/>
                <w:kern w:val="0"/>
                <w:szCs w:val="21"/>
              </w:rPr>
            </w:pPr>
            <w:r>
              <w:rPr>
                <w:rFonts w:hint="eastAsia" w:ascii="仿宋" w:hAnsi="仿宋" w:eastAsia="仿宋_GB2312" w:cs="宋体"/>
                <w:b/>
                <w:bCs/>
                <w:kern w:val="0"/>
                <w:szCs w:val="21"/>
              </w:rPr>
              <w:t>预算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仿宋" w:hAnsi="仿宋" w:eastAsia="仿宋" w:cs="宋体"/>
                <w:b/>
                <w:bCs/>
                <w:kern w:val="0"/>
                <w:szCs w:val="21"/>
              </w:rPr>
            </w:pPr>
            <w:r>
              <w:rPr>
                <w:rFonts w:hint="eastAsia" w:ascii="仿宋" w:hAnsi="仿宋" w:eastAsia="仿宋_GB2312" w:cs="宋体"/>
                <w:b/>
                <w:bCs/>
                <w:kern w:val="0"/>
                <w:szCs w:val="21"/>
              </w:rPr>
              <w:t>资产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ascii="仿宋" w:hAnsi="仿宋" w:eastAsia="仿宋" w:cs="宋体"/>
                <w:b/>
                <w:bCs/>
                <w:kern w:val="0"/>
                <w:szCs w:val="21"/>
              </w:rPr>
            </w:pPr>
            <w:r>
              <w:rPr>
                <w:rFonts w:hint="eastAsia" w:ascii="仿宋" w:hAnsi="仿宋" w:eastAsia="仿宋_GB2312" w:cs="宋体"/>
                <w:b/>
                <w:bCs/>
                <w:kern w:val="0"/>
                <w:szCs w:val="21"/>
              </w:rPr>
              <w:t>采购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ascii="仿宋" w:hAnsi="仿宋" w:eastAsia="仿宋" w:cs="宋体"/>
                <w:b/>
                <w:bCs/>
                <w:kern w:val="0"/>
                <w:szCs w:val="21"/>
              </w:rPr>
            </w:pPr>
            <w:r>
              <w:rPr>
                <w:rFonts w:hint="eastAsia" w:ascii="仿宋" w:hAnsi="仿宋" w:eastAsia="仿宋_GB2312" w:cs="宋体"/>
                <w:b/>
                <w:bCs/>
                <w:kern w:val="0"/>
                <w:szCs w:val="21"/>
              </w:rPr>
              <w:t>项目绩效</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ascii="仿宋" w:hAnsi="仿宋" w:eastAsia="仿宋" w:cs="宋体"/>
                <w:b/>
                <w:bCs/>
                <w:kern w:val="0"/>
                <w:szCs w:val="21"/>
              </w:rPr>
            </w:pPr>
            <w:r>
              <w:rPr>
                <w:rFonts w:hint="eastAsia" w:ascii="仿宋" w:hAnsi="仿宋" w:eastAsia="仿宋_GB2312" w:cs="宋体"/>
                <w:b/>
                <w:bCs/>
                <w:kern w:val="0"/>
                <w:szCs w:val="21"/>
              </w:rPr>
              <w:t>项目 决策</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ascii="仿宋" w:hAnsi="仿宋" w:eastAsia="仿宋" w:cs="宋体"/>
                <w:b/>
                <w:bCs/>
                <w:kern w:val="0"/>
                <w:szCs w:val="21"/>
              </w:rPr>
            </w:pPr>
            <w:r>
              <w:rPr>
                <w:rFonts w:hint="eastAsia" w:ascii="仿宋" w:hAnsi="仿宋" w:eastAsia="仿宋_GB2312" w:cs="宋体"/>
                <w:b/>
                <w:bCs/>
                <w:kern w:val="0"/>
                <w:szCs w:val="21"/>
              </w:rPr>
              <w:t>项目 执行</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ascii="仿宋" w:hAnsi="仿宋" w:eastAsia="仿宋" w:cs="宋体"/>
                <w:b/>
                <w:bCs/>
                <w:kern w:val="0"/>
                <w:szCs w:val="21"/>
              </w:rPr>
            </w:pPr>
            <w:r>
              <w:rPr>
                <w:rFonts w:hint="eastAsia" w:ascii="仿宋" w:hAnsi="仿宋" w:eastAsia="仿宋_GB2312" w:cs="宋体"/>
                <w:b/>
                <w:bCs/>
                <w:kern w:val="0"/>
                <w:szCs w:val="21"/>
              </w:rPr>
              <w:t>目标 实现</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95</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01BA9707">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olor w:val="auto"/>
          <w:sz w:val="44"/>
          <w:szCs w:val="44"/>
          <w:highlight w:val="none"/>
          <w:lang w:eastAsia="zh-CN"/>
        </w:rPr>
      </w:pPr>
      <w:r>
        <w:rPr>
          <w:rFonts w:hint="eastAsia" w:eastAsia="黑体" w:cs="黑体"/>
          <w:color w:val="auto"/>
          <w:sz w:val="32"/>
          <w:szCs w:val="32"/>
          <w:highlight w:val="none"/>
          <w:lang w:val="en-US" w:eastAsia="zh-CN"/>
        </w:rPr>
        <w:t>附表2：</w:t>
      </w:r>
    </w:p>
    <w:tbl>
      <w:tblPr>
        <w:tblStyle w:val="16"/>
        <w:tblW w:w="111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5"/>
        <w:gridCol w:w="1125"/>
        <w:gridCol w:w="1091"/>
        <w:gridCol w:w="1036"/>
        <w:gridCol w:w="819"/>
        <w:gridCol w:w="1020"/>
        <w:gridCol w:w="985"/>
        <w:gridCol w:w="1052"/>
        <w:gridCol w:w="1044"/>
        <w:gridCol w:w="1020"/>
        <w:gridCol w:w="1144"/>
      </w:tblGrid>
      <w:tr w14:paraId="43A9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jc w:val="center"/>
        </w:trPr>
        <w:tc>
          <w:tcPr>
            <w:tcW w:w="11171" w:type="dxa"/>
            <w:gridSpan w:val="11"/>
            <w:tcBorders>
              <w:top w:val="single" w:color="000000" w:sz="4" w:space="0"/>
              <w:left w:val="single" w:color="000000" w:sz="4" w:space="0"/>
              <w:right w:val="single" w:color="000000" w:sz="4" w:space="0"/>
            </w:tcBorders>
            <w:shd w:val="clear" w:color="auto" w:fill="auto"/>
            <w:vAlign w:val="center"/>
          </w:tcPr>
          <w:p w14:paraId="5A5F942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18E1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FC3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CB7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51090422T000006631660-幼儿保教费</w:t>
            </w:r>
          </w:p>
        </w:tc>
      </w:tr>
      <w:tr w14:paraId="38C9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DC4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CA9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A4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D95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w:t>
            </w:r>
          </w:p>
        </w:tc>
      </w:tr>
      <w:tr w14:paraId="0612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18F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B1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F09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56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4A07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DB06">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6780D">
            <w:pPr>
              <w:jc w:val="center"/>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DF6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保障学校家庭经济困难学生正常入学，减轻其家庭经济负担</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6C8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w:t>
            </w:r>
          </w:p>
        </w:tc>
      </w:tr>
      <w:tr w14:paraId="0BE8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FE04">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78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5638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14:paraId="10F0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FE8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C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C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8C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AE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18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7F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A1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5C96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958D">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A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A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71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4EA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1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B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6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8DCF6">
            <w:pPr>
              <w:rPr>
                <w:rFonts w:hint="eastAsia" w:ascii="宋体" w:hAnsi="宋体" w:eastAsia="宋体" w:cs="宋体"/>
                <w:i/>
                <w:color w:val="000000"/>
                <w:sz w:val="20"/>
                <w:szCs w:val="20"/>
                <w:u w:val="none"/>
              </w:rPr>
            </w:pPr>
          </w:p>
        </w:tc>
      </w:tr>
      <w:tr w14:paraId="5D8A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84186">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8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BF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0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7EE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D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7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03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CE23">
            <w:pPr>
              <w:rPr>
                <w:rFonts w:hint="eastAsia" w:ascii="宋体" w:hAnsi="宋体" w:eastAsia="宋体" w:cs="宋体"/>
                <w:i/>
                <w:color w:val="000000"/>
                <w:sz w:val="20"/>
                <w:szCs w:val="20"/>
                <w:u w:val="none"/>
              </w:rPr>
            </w:pPr>
          </w:p>
        </w:tc>
      </w:tr>
      <w:tr w14:paraId="7EE8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80055">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0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F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78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4B9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2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E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D4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E3C3">
            <w:pPr>
              <w:rPr>
                <w:rFonts w:hint="eastAsia" w:ascii="宋体" w:hAnsi="宋体" w:eastAsia="宋体" w:cs="宋体"/>
                <w:i/>
                <w:color w:val="000000"/>
                <w:sz w:val="20"/>
                <w:szCs w:val="20"/>
                <w:u w:val="none"/>
              </w:rPr>
            </w:pPr>
          </w:p>
        </w:tc>
      </w:tr>
      <w:tr w14:paraId="44BC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BFFE">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A2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0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8CC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0D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9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B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5E63">
            <w:pPr>
              <w:rPr>
                <w:rFonts w:hint="eastAsia" w:ascii="宋体" w:hAnsi="宋体" w:eastAsia="宋体" w:cs="宋体"/>
                <w:i/>
                <w:color w:val="000000"/>
                <w:sz w:val="20"/>
                <w:szCs w:val="20"/>
                <w:u w:val="none"/>
              </w:rPr>
            </w:pPr>
          </w:p>
        </w:tc>
      </w:tr>
      <w:tr w14:paraId="5543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1D17">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2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F7C2">
            <w:pPr>
              <w:jc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24A">
            <w:pPr>
              <w:jc w:val="center"/>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AC892">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850">
            <w:pPr>
              <w:jc w:val="center"/>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5C7">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77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20D2">
            <w:pPr>
              <w:rPr>
                <w:rFonts w:hint="eastAsia" w:ascii="宋体" w:hAnsi="宋体" w:eastAsia="宋体" w:cs="宋体"/>
                <w:i/>
                <w:color w:val="000000"/>
                <w:sz w:val="20"/>
                <w:szCs w:val="20"/>
                <w:u w:val="none"/>
              </w:rPr>
            </w:pPr>
          </w:p>
        </w:tc>
      </w:tr>
      <w:tr w14:paraId="4528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left w:val="single" w:color="000000" w:sz="4" w:space="0"/>
              <w:bottom w:val="single" w:color="000000" w:sz="4" w:space="0"/>
              <w:right w:val="single" w:color="000000" w:sz="4" w:space="0"/>
            </w:tcBorders>
            <w:shd w:val="clear" w:color="auto" w:fill="auto"/>
            <w:vAlign w:val="center"/>
          </w:tcPr>
          <w:p w14:paraId="7C57B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14:paraId="14878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14:paraId="46312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14:paraId="23379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14:paraId="688B63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14:paraId="31C600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14:paraId="1591EA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14:paraId="5CB9E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14:paraId="22A1A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14:paraId="27B573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left w:val="single" w:color="000000" w:sz="4" w:space="0"/>
              <w:bottom w:val="single" w:color="000000" w:sz="4" w:space="0"/>
              <w:right w:val="single" w:color="000000" w:sz="4" w:space="0"/>
            </w:tcBorders>
            <w:shd w:val="clear" w:color="auto" w:fill="auto"/>
            <w:vAlign w:val="center"/>
          </w:tcPr>
          <w:p w14:paraId="2F821C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7DD5C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57C03225">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8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FE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6F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1E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B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FD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1B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1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CD5F">
            <w:pPr>
              <w:jc w:val="center"/>
              <w:rPr>
                <w:rFonts w:hint="eastAsia" w:ascii="宋体" w:hAnsi="宋体" w:eastAsia="宋体" w:cs="宋体"/>
                <w:i/>
                <w:color w:val="000000"/>
                <w:sz w:val="20"/>
                <w:szCs w:val="20"/>
                <w:u w:val="none"/>
              </w:rPr>
            </w:pPr>
          </w:p>
        </w:tc>
      </w:tr>
      <w:tr w14:paraId="35FF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029781C0">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7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6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C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4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31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06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6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D2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5197">
            <w:pPr>
              <w:jc w:val="center"/>
              <w:rPr>
                <w:rFonts w:hint="eastAsia" w:ascii="宋体" w:hAnsi="宋体" w:eastAsia="宋体" w:cs="宋体"/>
                <w:i/>
                <w:color w:val="000000"/>
                <w:sz w:val="20"/>
                <w:szCs w:val="20"/>
                <w:u w:val="none"/>
              </w:rPr>
            </w:pPr>
          </w:p>
        </w:tc>
      </w:tr>
      <w:tr w14:paraId="3888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9B15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7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46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8B5B">
            <w:pPr>
              <w:rPr>
                <w:rFonts w:hint="eastAsia" w:ascii="宋体" w:hAnsi="宋体" w:eastAsia="宋体" w:cs="宋体"/>
                <w:i w:val="0"/>
                <w:color w:val="000000"/>
                <w:sz w:val="20"/>
                <w:szCs w:val="20"/>
                <w:u w:val="none"/>
              </w:rPr>
            </w:pPr>
          </w:p>
        </w:tc>
      </w:tr>
      <w:tr w14:paraId="1EC0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E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FC84C">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14:paraId="0852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D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CF48FE">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49ED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D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5F3F3D">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28AB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231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项目负责人：谢金华</w:t>
            </w:r>
          </w:p>
        </w:tc>
        <w:tc>
          <w:tcPr>
            <w:tcW w:w="6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262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财务负责人：肖冬梅</w:t>
            </w:r>
          </w:p>
        </w:tc>
      </w:tr>
      <w:tr w14:paraId="505D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5" w:type="dxa"/>
            <w:shd w:val="clear" w:color="auto" w:fill="auto"/>
            <w:vAlign w:val="center"/>
          </w:tcPr>
          <w:p w14:paraId="47DCC035">
            <w:pPr>
              <w:rPr>
                <w:rFonts w:hint="eastAsia" w:ascii="宋体" w:hAnsi="宋体" w:eastAsia="宋体" w:cs="宋体"/>
                <w:i w:val="0"/>
                <w:color w:val="000000"/>
                <w:sz w:val="22"/>
                <w:szCs w:val="22"/>
                <w:u w:val="none"/>
              </w:rPr>
            </w:pPr>
          </w:p>
        </w:tc>
        <w:tc>
          <w:tcPr>
            <w:tcW w:w="1125" w:type="dxa"/>
            <w:shd w:val="clear" w:color="auto" w:fill="auto"/>
            <w:vAlign w:val="center"/>
          </w:tcPr>
          <w:p w14:paraId="2F098AD3">
            <w:pPr>
              <w:rPr>
                <w:rFonts w:hint="eastAsia" w:ascii="宋体" w:hAnsi="宋体" w:eastAsia="宋体" w:cs="宋体"/>
                <w:i w:val="0"/>
                <w:color w:val="000000"/>
                <w:sz w:val="22"/>
                <w:szCs w:val="22"/>
                <w:u w:val="none"/>
              </w:rPr>
            </w:pPr>
          </w:p>
        </w:tc>
        <w:tc>
          <w:tcPr>
            <w:tcW w:w="1091" w:type="dxa"/>
            <w:shd w:val="clear" w:color="auto" w:fill="auto"/>
            <w:vAlign w:val="center"/>
          </w:tcPr>
          <w:p w14:paraId="52E0C586">
            <w:pPr>
              <w:rPr>
                <w:rFonts w:hint="eastAsia" w:ascii="宋体" w:hAnsi="宋体" w:eastAsia="宋体" w:cs="宋体"/>
                <w:i w:val="0"/>
                <w:color w:val="000000"/>
                <w:sz w:val="22"/>
                <w:szCs w:val="22"/>
                <w:u w:val="none"/>
              </w:rPr>
            </w:pPr>
          </w:p>
        </w:tc>
        <w:tc>
          <w:tcPr>
            <w:tcW w:w="1036" w:type="dxa"/>
            <w:shd w:val="clear" w:color="auto" w:fill="auto"/>
            <w:vAlign w:val="center"/>
          </w:tcPr>
          <w:p w14:paraId="305F83A6">
            <w:pPr>
              <w:rPr>
                <w:rFonts w:hint="eastAsia" w:ascii="宋体" w:hAnsi="宋体" w:eastAsia="宋体" w:cs="宋体"/>
                <w:i w:val="0"/>
                <w:color w:val="000000"/>
                <w:sz w:val="22"/>
                <w:szCs w:val="22"/>
                <w:u w:val="none"/>
              </w:rPr>
            </w:pPr>
          </w:p>
        </w:tc>
        <w:tc>
          <w:tcPr>
            <w:tcW w:w="819" w:type="dxa"/>
            <w:shd w:val="clear" w:color="auto" w:fill="auto"/>
            <w:vAlign w:val="center"/>
          </w:tcPr>
          <w:p w14:paraId="386B6B38">
            <w:pPr>
              <w:rPr>
                <w:rFonts w:hint="eastAsia" w:ascii="宋体" w:hAnsi="宋体" w:eastAsia="宋体" w:cs="宋体"/>
                <w:i w:val="0"/>
                <w:color w:val="000000"/>
                <w:sz w:val="22"/>
                <w:szCs w:val="22"/>
                <w:u w:val="none"/>
              </w:rPr>
            </w:pPr>
          </w:p>
        </w:tc>
        <w:tc>
          <w:tcPr>
            <w:tcW w:w="1020" w:type="dxa"/>
            <w:shd w:val="clear" w:color="auto" w:fill="auto"/>
            <w:vAlign w:val="center"/>
          </w:tcPr>
          <w:p w14:paraId="79C0A57A">
            <w:pPr>
              <w:rPr>
                <w:rFonts w:hint="eastAsia" w:ascii="宋体" w:hAnsi="宋体" w:eastAsia="宋体" w:cs="宋体"/>
                <w:i w:val="0"/>
                <w:color w:val="000000"/>
                <w:sz w:val="22"/>
                <w:szCs w:val="22"/>
                <w:u w:val="none"/>
              </w:rPr>
            </w:pPr>
          </w:p>
        </w:tc>
        <w:tc>
          <w:tcPr>
            <w:tcW w:w="985" w:type="dxa"/>
            <w:shd w:val="clear" w:color="auto" w:fill="auto"/>
            <w:vAlign w:val="center"/>
          </w:tcPr>
          <w:p w14:paraId="0858ACB0">
            <w:pPr>
              <w:rPr>
                <w:rFonts w:hint="eastAsia" w:ascii="宋体" w:hAnsi="宋体" w:eastAsia="宋体" w:cs="宋体"/>
                <w:i w:val="0"/>
                <w:color w:val="000000"/>
                <w:sz w:val="22"/>
                <w:szCs w:val="22"/>
                <w:u w:val="none"/>
              </w:rPr>
            </w:pPr>
          </w:p>
        </w:tc>
        <w:tc>
          <w:tcPr>
            <w:tcW w:w="1052" w:type="dxa"/>
            <w:shd w:val="clear" w:color="auto" w:fill="auto"/>
            <w:vAlign w:val="center"/>
          </w:tcPr>
          <w:p w14:paraId="728F629E">
            <w:pPr>
              <w:rPr>
                <w:rFonts w:hint="eastAsia" w:ascii="宋体" w:hAnsi="宋体" w:eastAsia="宋体" w:cs="宋体"/>
                <w:i w:val="0"/>
                <w:color w:val="000000"/>
                <w:sz w:val="22"/>
                <w:szCs w:val="22"/>
                <w:u w:val="none"/>
              </w:rPr>
            </w:pPr>
          </w:p>
        </w:tc>
        <w:tc>
          <w:tcPr>
            <w:tcW w:w="1044" w:type="dxa"/>
            <w:shd w:val="clear" w:color="auto" w:fill="auto"/>
            <w:vAlign w:val="center"/>
          </w:tcPr>
          <w:p w14:paraId="765CD3EA">
            <w:pPr>
              <w:rPr>
                <w:rFonts w:hint="eastAsia" w:ascii="宋体" w:hAnsi="宋体" w:eastAsia="宋体" w:cs="宋体"/>
                <w:i w:val="0"/>
                <w:color w:val="000000"/>
                <w:sz w:val="22"/>
                <w:szCs w:val="22"/>
                <w:u w:val="none"/>
              </w:rPr>
            </w:pPr>
          </w:p>
        </w:tc>
        <w:tc>
          <w:tcPr>
            <w:tcW w:w="1020" w:type="dxa"/>
            <w:shd w:val="clear" w:color="auto" w:fill="auto"/>
            <w:vAlign w:val="center"/>
          </w:tcPr>
          <w:p w14:paraId="6AC84D1F">
            <w:pPr>
              <w:rPr>
                <w:rFonts w:hint="eastAsia" w:ascii="宋体" w:hAnsi="宋体" w:eastAsia="宋体" w:cs="宋体"/>
                <w:i w:val="0"/>
                <w:color w:val="000000"/>
                <w:sz w:val="22"/>
                <w:szCs w:val="22"/>
                <w:u w:val="none"/>
              </w:rPr>
            </w:pPr>
          </w:p>
        </w:tc>
        <w:tc>
          <w:tcPr>
            <w:tcW w:w="1144" w:type="dxa"/>
            <w:shd w:val="clear" w:color="auto" w:fill="auto"/>
            <w:vAlign w:val="center"/>
          </w:tcPr>
          <w:p w14:paraId="47295B4D">
            <w:pPr>
              <w:rPr>
                <w:rFonts w:hint="eastAsia" w:ascii="宋体" w:hAnsi="宋体" w:eastAsia="宋体" w:cs="宋体"/>
                <w:i w:val="0"/>
                <w:color w:val="000000"/>
                <w:sz w:val="22"/>
                <w:szCs w:val="22"/>
                <w:u w:val="none"/>
              </w:rPr>
            </w:pPr>
          </w:p>
        </w:tc>
      </w:tr>
      <w:tr w14:paraId="54B1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71" w:type="dxa"/>
            <w:gridSpan w:val="11"/>
            <w:tcBorders>
              <w:top w:val="single" w:color="000000" w:sz="4" w:space="0"/>
              <w:left w:val="single" w:color="000000" w:sz="4" w:space="0"/>
              <w:right w:val="single" w:color="000000" w:sz="4" w:space="0"/>
            </w:tcBorders>
            <w:shd w:val="clear" w:color="auto" w:fill="auto"/>
            <w:vAlign w:val="center"/>
          </w:tcPr>
          <w:p w14:paraId="249AC8B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6580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3D6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5368F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51090422T000006818424-幼儿资助及幼儿发展资金</w:t>
            </w:r>
          </w:p>
        </w:tc>
      </w:tr>
      <w:tr w14:paraId="14A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A4B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757F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E9C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86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w:t>
            </w:r>
          </w:p>
        </w:tc>
      </w:tr>
      <w:tr w14:paraId="35E9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B01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761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2E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2DB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0D0A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5A98B">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7235B">
            <w:pPr>
              <w:jc w:val="center"/>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6791F">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FB8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保障了学校家庭经济困难学生正常入学，减轻其家庭经济负担，促进学校健康发展。</w:t>
            </w:r>
          </w:p>
        </w:tc>
      </w:tr>
      <w:tr w14:paraId="1847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71C4">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A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9C2E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加强资金专项管理，提高资金使用效益，确保专款专用，按程序及时按要求支付资金，促进学校健康发展。</w:t>
            </w:r>
          </w:p>
        </w:tc>
      </w:tr>
      <w:tr w14:paraId="3081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A6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2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3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D67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58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6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0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F3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2C22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6543">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28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55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09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296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D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8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F6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C447E">
            <w:pPr>
              <w:rPr>
                <w:rFonts w:hint="eastAsia" w:ascii="宋体" w:hAnsi="宋体" w:eastAsia="宋体" w:cs="宋体"/>
                <w:i/>
                <w:color w:val="000000"/>
                <w:sz w:val="20"/>
                <w:szCs w:val="20"/>
                <w:u w:val="none"/>
              </w:rPr>
            </w:pPr>
          </w:p>
        </w:tc>
      </w:tr>
      <w:tr w14:paraId="6DB6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F8C9C">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26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7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3FA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D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9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D9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81605">
            <w:pPr>
              <w:rPr>
                <w:rFonts w:hint="eastAsia" w:ascii="宋体" w:hAnsi="宋体" w:eastAsia="宋体" w:cs="宋体"/>
                <w:i/>
                <w:color w:val="000000"/>
                <w:sz w:val="20"/>
                <w:szCs w:val="20"/>
                <w:u w:val="none"/>
              </w:rPr>
            </w:pPr>
          </w:p>
        </w:tc>
      </w:tr>
      <w:tr w14:paraId="788C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EBD8">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25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3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52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8C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CB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C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51EE">
            <w:pPr>
              <w:rPr>
                <w:rFonts w:hint="eastAsia" w:ascii="宋体" w:hAnsi="宋体" w:eastAsia="宋体" w:cs="宋体"/>
                <w:i/>
                <w:color w:val="000000"/>
                <w:sz w:val="20"/>
                <w:szCs w:val="20"/>
                <w:u w:val="none"/>
              </w:rPr>
            </w:pPr>
          </w:p>
        </w:tc>
      </w:tr>
      <w:tr w14:paraId="05FF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86D6">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21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B8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B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0A5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9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7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D9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6174">
            <w:pPr>
              <w:rPr>
                <w:rFonts w:hint="eastAsia" w:ascii="宋体" w:hAnsi="宋体" w:eastAsia="宋体" w:cs="宋体"/>
                <w:i/>
                <w:color w:val="000000"/>
                <w:sz w:val="20"/>
                <w:szCs w:val="20"/>
                <w:u w:val="none"/>
              </w:rPr>
            </w:pPr>
          </w:p>
        </w:tc>
      </w:tr>
      <w:tr w14:paraId="366D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8292">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3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6A75">
            <w:pPr>
              <w:jc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AD69">
            <w:pPr>
              <w:jc w:val="center"/>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71183">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8B4">
            <w:pPr>
              <w:jc w:val="center"/>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97F">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9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510B">
            <w:pPr>
              <w:rPr>
                <w:rFonts w:hint="eastAsia" w:ascii="宋体" w:hAnsi="宋体" w:eastAsia="宋体" w:cs="宋体"/>
                <w:i/>
                <w:color w:val="000000"/>
                <w:sz w:val="20"/>
                <w:szCs w:val="20"/>
                <w:u w:val="none"/>
              </w:rPr>
            </w:pPr>
          </w:p>
        </w:tc>
      </w:tr>
      <w:tr w14:paraId="4EBAB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left w:val="single" w:color="000000" w:sz="4" w:space="0"/>
              <w:bottom w:val="single" w:color="000000" w:sz="4" w:space="0"/>
              <w:right w:val="single" w:color="000000" w:sz="4" w:space="0"/>
            </w:tcBorders>
            <w:shd w:val="clear" w:color="auto" w:fill="auto"/>
            <w:vAlign w:val="center"/>
          </w:tcPr>
          <w:p w14:paraId="2C885E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14:paraId="539D2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14:paraId="6DE36B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14:paraId="022B75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14:paraId="605197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14:paraId="29D1E5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14:paraId="79977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14:paraId="5F221C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14:paraId="3C977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14:paraId="33356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left w:val="single" w:color="000000" w:sz="4" w:space="0"/>
              <w:bottom w:val="single" w:color="000000" w:sz="4" w:space="0"/>
              <w:right w:val="single" w:color="000000" w:sz="4" w:space="0"/>
            </w:tcBorders>
            <w:shd w:val="clear" w:color="auto" w:fill="auto"/>
            <w:vAlign w:val="center"/>
          </w:tcPr>
          <w:p w14:paraId="1791C1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439A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7206E817">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B0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2D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C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44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85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64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46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135B">
            <w:pPr>
              <w:jc w:val="center"/>
              <w:rPr>
                <w:rFonts w:hint="eastAsia" w:ascii="宋体" w:hAnsi="宋体" w:eastAsia="宋体" w:cs="宋体"/>
                <w:i/>
                <w:color w:val="000000"/>
                <w:sz w:val="20"/>
                <w:szCs w:val="20"/>
                <w:u w:val="none"/>
              </w:rPr>
            </w:pPr>
          </w:p>
        </w:tc>
      </w:tr>
      <w:tr w14:paraId="4E5C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2ABF0126">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F7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96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0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C6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B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6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33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603">
            <w:pPr>
              <w:jc w:val="center"/>
              <w:rPr>
                <w:rFonts w:hint="eastAsia" w:ascii="宋体" w:hAnsi="宋体" w:eastAsia="宋体" w:cs="宋体"/>
                <w:i/>
                <w:color w:val="000000"/>
                <w:sz w:val="20"/>
                <w:szCs w:val="20"/>
                <w:u w:val="none"/>
              </w:rPr>
            </w:pPr>
          </w:p>
        </w:tc>
      </w:tr>
      <w:tr w14:paraId="44B2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1A6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A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4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E645">
            <w:pPr>
              <w:rPr>
                <w:rFonts w:hint="eastAsia" w:ascii="宋体" w:hAnsi="宋体" w:eastAsia="宋体" w:cs="宋体"/>
                <w:i w:val="0"/>
                <w:color w:val="000000"/>
                <w:sz w:val="20"/>
                <w:szCs w:val="20"/>
                <w:u w:val="none"/>
              </w:rPr>
            </w:pPr>
          </w:p>
        </w:tc>
      </w:tr>
      <w:tr w14:paraId="4B93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DB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D277B0">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5372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9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8B654">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3BDD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4D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7F9F72">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2635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97A4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项目负责人：谢金华</w:t>
            </w:r>
          </w:p>
        </w:tc>
        <w:tc>
          <w:tcPr>
            <w:tcW w:w="6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DA8FD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财务负责人：肖冬梅</w:t>
            </w:r>
          </w:p>
        </w:tc>
      </w:tr>
      <w:tr w14:paraId="6123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5" w:type="dxa"/>
            <w:shd w:val="clear" w:color="auto" w:fill="auto"/>
            <w:vAlign w:val="center"/>
          </w:tcPr>
          <w:p w14:paraId="63BE6F62">
            <w:pPr>
              <w:rPr>
                <w:rFonts w:hint="eastAsia" w:ascii="宋体" w:hAnsi="宋体" w:eastAsia="宋体" w:cs="宋体"/>
                <w:i w:val="0"/>
                <w:color w:val="000000"/>
                <w:sz w:val="22"/>
                <w:szCs w:val="22"/>
                <w:u w:val="none"/>
              </w:rPr>
            </w:pPr>
          </w:p>
        </w:tc>
        <w:tc>
          <w:tcPr>
            <w:tcW w:w="1125" w:type="dxa"/>
            <w:shd w:val="clear" w:color="auto" w:fill="auto"/>
            <w:vAlign w:val="center"/>
          </w:tcPr>
          <w:p w14:paraId="3AE91B11">
            <w:pPr>
              <w:rPr>
                <w:rFonts w:hint="eastAsia" w:ascii="宋体" w:hAnsi="宋体" w:eastAsia="宋体" w:cs="宋体"/>
                <w:i w:val="0"/>
                <w:color w:val="000000"/>
                <w:sz w:val="22"/>
                <w:szCs w:val="22"/>
                <w:u w:val="none"/>
              </w:rPr>
            </w:pPr>
          </w:p>
        </w:tc>
        <w:tc>
          <w:tcPr>
            <w:tcW w:w="1091" w:type="dxa"/>
            <w:shd w:val="clear" w:color="auto" w:fill="auto"/>
            <w:vAlign w:val="center"/>
          </w:tcPr>
          <w:p w14:paraId="1E703F41">
            <w:pPr>
              <w:rPr>
                <w:rFonts w:hint="eastAsia" w:ascii="宋体" w:hAnsi="宋体" w:eastAsia="宋体" w:cs="宋体"/>
                <w:i w:val="0"/>
                <w:color w:val="000000"/>
                <w:sz w:val="22"/>
                <w:szCs w:val="22"/>
                <w:u w:val="none"/>
              </w:rPr>
            </w:pPr>
          </w:p>
        </w:tc>
        <w:tc>
          <w:tcPr>
            <w:tcW w:w="1036" w:type="dxa"/>
            <w:shd w:val="clear" w:color="auto" w:fill="auto"/>
            <w:vAlign w:val="center"/>
          </w:tcPr>
          <w:p w14:paraId="45371E18">
            <w:pPr>
              <w:rPr>
                <w:rFonts w:hint="eastAsia" w:ascii="宋体" w:hAnsi="宋体" w:eastAsia="宋体" w:cs="宋体"/>
                <w:i w:val="0"/>
                <w:color w:val="000000"/>
                <w:sz w:val="22"/>
                <w:szCs w:val="22"/>
                <w:u w:val="none"/>
              </w:rPr>
            </w:pPr>
          </w:p>
        </w:tc>
        <w:tc>
          <w:tcPr>
            <w:tcW w:w="819" w:type="dxa"/>
            <w:shd w:val="clear" w:color="auto" w:fill="auto"/>
            <w:vAlign w:val="center"/>
          </w:tcPr>
          <w:p w14:paraId="038B2099">
            <w:pPr>
              <w:rPr>
                <w:rFonts w:hint="eastAsia" w:ascii="宋体" w:hAnsi="宋体" w:eastAsia="宋体" w:cs="宋体"/>
                <w:i w:val="0"/>
                <w:color w:val="000000"/>
                <w:sz w:val="22"/>
                <w:szCs w:val="22"/>
                <w:u w:val="none"/>
              </w:rPr>
            </w:pPr>
          </w:p>
        </w:tc>
        <w:tc>
          <w:tcPr>
            <w:tcW w:w="1020" w:type="dxa"/>
            <w:shd w:val="clear" w:color="auto" w:fill="auto"/>
            <w:vAlign w:val="center"/>
          </w:tcPr>
          <w:p w14:paraId="25A8F9D3">
            <w:pPr>
              <w:rPr>
                <w:rFonts w:hint="eastAsia" w:ascii="宋体" w:hAnsi="宋体" w:eastAsia="宋体" w:cs="宋体"/>
                <w:i w:val="0"/>
                <w:color w:val="000000"/>
                <w:sz w:val="22"/>
                <w:szCs w:val="22"/>
                <w:u w:val="none"/>
              </w:rPr>
            </w:pPr>
          </w:p>
        </w:tc>
        <w:tc>
          <w:tcPr>
            <w:tcW w:w="985" w:type="dxa"/>
            <w:shd w:val="clear" w:color="auto" w:fill="auto"/>
            <w:vAlign w:val="center"/>
          </w:tcPr>
          <w:p w14:paraId="2964A84F">
            <w:pPr>
              <w:rPr>
                <w:rFonts w:hint="eastAsia" w:ascii="宋体" w:hAnsi="宋体" w:eastAsia="宋体" w:cs="宋体"/>
                <w:i w:val="0"/>
                <w:color w:val="000000"/>
                <w:sz w:val="22"/>
                <w:szCs w:val="22"/>
                <w:u w:val="none"/>
              </w:rPr>
            </w:pPr>
          </w:p>
        </w:tc>
        <w:tc>
          <w:tcPr>
            <w:tcW w:w="1052" w:type="dxa"/>
            <w:shd w:val="clear" w:color="auto" w:fill="auto"/>
            <w:vAlign w:val="center"/>
          </w:tcPr>
          <w:p w14:paraId="77A9ACBB">
            <w:pPr>
              <w:rPr>
                <w:rFonts w:hint="eastAsia" w:ascii="宋体" w:hAnsi="宋体" w:eastAsia="宋体" w:cs="宋体"/>
                <w:i w:val="0"/>
                <w:color w:val="000000"/>
                <w:sz w:val="22"/>
                <w:szCs w:val="22"/>
                <w:u w:val="none"/>
              </w:rPr>
            </w:pPr>
          </w:p>
        </w:tc>
        <w:tc>
          <w:tcPr>
            <w:tcW w:w="1044" w:type="dxa"/>
            <w:shd w:val="clear" w:color="auto" w:fill="auto"/>
            <w:vAlign w:val="center"/>
          </w:tcPr>
          <w:p w14:paraId="241EDA79">
            <w:pPr>
              <w:rPr>
                <w:rFonts w:hint="eastAsia" w:ascii="宋体" w:hAnsi="宋体" w:eastAsia="宋体" w:cs="宋体"/>
                <w:i w:val="0"/>
                <w:color w:val="000000"/>
                <w:sz w:val="22"/>
                <w:szCs w:val="22"/>
                <w:u w:val="none"/>
              </w:rPr>
            </w:pPr>
          </w:p>
        </w:tc>
        <w:tc>
          <w:tcPr>
            <w:tcW w:w="1020" w:type="dxa"/>
            <w:shd w:val="clear" w:color="auto" w:fill="auto"/>
            <w:vAlign w:val="center"/>
          </w:tcPr>
          <w:p w14:paraId="64E2C6FA">
            <w:pPr>
              <w:rPr>
                <w:rFonts w:hint="eastAsia" w:ascii="宋体" w:hAnsi="宋体" w:eastAsia="宋体" w:cs="宋体"/>
                <w:i w:val="0"/>
                <w:color w:val="000000"/>
                <w:sz w:val="22"/>
                <w:szCs w:val="22"/>
                <w:u w:val="none"/>
              </w:rPr>
            </w:pPr>
          </w:p>
        </w:tc>
        <w:tc>
          <w:tcPr>
            <w:tcW w:w="1144" w:type="dxa"/>
            <w:shd w:val="clear" w:color="auto" w:fill="auto"/>
            <w:vAlign w:val="center"/>
          </w:tcPr>
          <w:p w14:paraId="65B339F9">
            <w:pPr>
              <w:rPr>
                <w:rFonts w:hint="eastAsia" w:ascii="宋体" w:hAnsi="宋体" w:eastAsia="宋体" w:cs="宋体"/>
                <w:i w:val="0"/>
                <w:color w:val="000000"/>
                <w:sz w:val="22"/>
                <w:szCs w:val="22"/>
                <w:u w:val="none"/>
              </w:rPr>
            </w:pPr>
          </w:p>
        </w:tc>
      </w:tr>
      <w:tr w14:paraId="53F4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71" w:type="dxa"/>
            <w:gridSpan w:val="11"/>
            <w:tcBorders>
              <w:top w:val="single" w:color="000000" w:sz="4" w:space="0"/>
              <w:left w:val="single" w:color="000000" w:sz="4" w:space="0"/>
              <w:right w:val="single" w:color="000000" w:sz="4" w:space="0"/>
            </w:tcBorders>
            <w:shd w:val="clear" w:color="auto" w:fill="auto"/>
            <w:vAlign w:val="center"/>
          </w:tcPr>
          <w:p w14:paraId="269DBDC2">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33E5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9458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1785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51090423T000008947977-2021年支持学前教育发展专项资金（激励奖）第二批</w:t>
            </w:r>
          </w:p>
        </w:tc>
      </w:tr>
      <w:tr w14:paraId="61E3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00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608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9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ED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w:t>
            </w:r>
          </w:p>
        </w:tc>
      </w:tr>
      <w:tr w14:paraId="55BB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50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B7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240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D1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4FB8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D268">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D9C0">
            <w:pPr>
              <w:jc w:val="center"/>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DBA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保障学校家庭经济困难学生正常入学，促进学校健康发展。</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E066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保障了学校家庭经济困难学生正常入学，促进学校健康发展。</w:t>
            </w:r>
          </w:p>
        </w:tc>
      </w:tr>
      <w:tr w14:paraId="0319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3AE3">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74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F6A4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加强资金专项管理，提高资金使用效益，确保专款专用，按程序及时按要求支付资金，促进学校健康发展。</w:t>
            </w:r>
          </w:p>
        </w:tc>
      </w:tr>
      <w:tr w14:paraId="0B19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A6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6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0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D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EE0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2A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98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C3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E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7293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E05E">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9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78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0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DBA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9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D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1315B">
            <w:pPr>
              <w:rPr>
                <w:rFonts w:hint="eastAsia" w:ascii="宋体" w:hAnsi="宋体" w:eastAsia="宋体" w:cs="宋体"/>
                <w:i/>
                <w:color w:val="000000"/>
                <w:sz w:val="20"/>
                <w:szCs w:val="20"/>
                <w:u w:val="none"/>
              </w:rPr>
            </w:pPr>
          </w:p>
        </w:tc>
      </w:tr>
      <w:tr w14:paraId="6670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4D5F">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F1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A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FC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0F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07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8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2B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9627">
            <w:pPr>
              <w:rPr>
                <w:rFonts w:hint="eastAsia" w:ascii="宋体" w:hAnsi="宋体" w:eastAsia="宋体" w:cs="宋体"/>
                <w:i/>
                <w:color w:val="000000"/>
                <w:sz w:val="20"/>
                <w:szCs w:val="20"/>
                <w:u w:val="none"/>
              </w:rPr>
            </w:pPr>
          </w:p>
        </w:tc>
      </w:tr>
      <w:tr w14:paraId="358F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6943">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6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C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01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8BE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A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8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99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06D3">
            <w:pPr>
              <w:rPr>
                <w:rFonts w:hint="eastAsia" w:ascii="宋体" w:hAnsi="宋体" w:eastAsia="宋体" w:cs="宋体"/>
                <w:i/>
                <w:color w:val="000000"/>
                <w:sz w:val="20"/>
                <w:szCs w:val="20"/>
                <w:u w:val="none"/>
              </w:rPr>
            </w:pPr>
          </w:p>
        </w:tc>
      </w:tr>
      <w:tr w14:paraId="46BE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020F">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3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F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2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CED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6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39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D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41C0">
            <w:pPr>
              <w:rPr>
                <w:rFonts w:hint="eastAsia" w:ascii="宋体" w:hAnsi="宋体" w:eastAsia="宋体" w:cs="宋体"/>
                <w:i/>
                <w:color w:val="000000"/>
                <w:sz w:val="20"/>
                <w:szCs w:val="20"/>
                <w:u w:val="none"/>
              </w:rPr>
            </w:pPr>
          </w:p>
        </w:tc>
      </w:tr>
      <w:tr w14:paraId="40DB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63F3">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F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1A2">
            <w:pPr>
              <w:jc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D40">
            <w:pPr>
              <w:jc w:val="center"/>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868B6">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6BAB">
            <w:pPr>
              <w:jc w:val="center"/>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F26">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2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C6D8">
            <w:pPr>
              <w:rPr>
                <w:rFonts w:hint="eastAsia" w:ascii="宋体" w:hAnsi="宋体" w:eastAsia="宋体" w:cs="宋体"/>
                <w:i/>
                <w:color w:val="000000"/>
                <w:sz w:val="20"/>
                <w:szCs w:val="20"/>
                <w:u w:val="none"/>
              </w:rPr>
            </w:pPr>
          </w:p>
        </w:tc>
      </w:tr>
      <w:tr w14:paraId="74A0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left w:val="single" w:color="000000" w:sz="4" w:space="0"/>
              <w:bottom w:val="single" w:color="000000" w:sz="4" w:space="0"/>
              <w:right w:val="single" w:color="000000" w:sz="4" w:space="0"/>
            </w:tcBorders>
            <w:shd w:val="clear" w:color="auto" w:fill="auto"/>
            <w:vAlign w:val="center"/>
          </w:tcPr>
          <w:p w14:paraId="655DC3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14:paraId="27B6C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14:paraId="09C3BF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14:paraId="5E86B4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14:paraId="23F80D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14:paraId="1997FB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14:paraId="03B402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14:paraId="79906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14:paraId="6435A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14:paraId="2C0C7D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left w:val="single" w:color="000000" w:sz="4" w:space="0"/>
              <w:bottom w:val="single" w:color="000000" w:sz="4" w:space="0"/>
              <w:right w:val="single" w:color="000000" w:sz="4" w:space="0"/>
            </w:tcBorders>
            <w:shd w:val="clear" w:color="auto" w:fill="auto"/>
            <w:vAlign w:val="center"/>
          </w:tcPr>
          <w:p w14:paraId="4B8FDD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7332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62F836B3">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C1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E0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9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D3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D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76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CB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CC2">
            <w:pPr>
              <w:jc w:val="center"/>
              <w:rPr>
                <w:rFonts w:hint="eastAsia" w:ascii="宋体" w:hAnsi="宋体" w:eastAsia="宋体" w:cs="宋体"/>
                <w:i/>
                <w:color w:val="000000"/>
                <w:sz w:val="20"/>
                <w:szCs w:val="20"/>
                <w:u w:val="none"/>
              </w:rPr>
            </w:pPr>
          </w:p>
        </w:tc>
      </w:tr>
      <w:tr w14:paraId="34F5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478B4802">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12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0B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0E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2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6C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D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3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3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77E3">
            <w:pPr>
              <w:jc w:val="center"/>
              <w:rPr>
                <w:rFonts w:hint="eastAsia" w:ascii="宋体" w:hAnsi="宋体" w:eastAsia="宋体" w:cs="宋体"/>
                <w:i/>
                <w:color w:val="000000"/>
                <w:sz w:val="20"/>
                <w:szCs w:val="20"/>
                <w:u w:val="none"/>
              </w:rPr>
            </w:pPr>
          </w:p>
        </w:tc>
      </w:tr>
      <w:tr w14:paraId="65A2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7E4C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2A4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09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10</w:t>
            </w:r>
            <w:r>
              <w:rPr>
                <w:rFonts w:hint="eastAsia" w:ascii="宋体" w:hAnsi="宋体" w:eastAsia="宋体" w:cs="宋体"/>
                <w:i w:val="0"/>
                <w:color w:val="000000"/>
                <w:kern w:val="0"/>
                <w:sz w:val="20"/>
                <w:szCs w:val="20"/>
                <w:u w:val="none"/>
                <w:lang w:val="en-US" w:eastAsia="zh-CN" w:bidi="ar"/>
              </w:rPr>
              <w:t>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94E">
            <w:pPr>
              <w:rPr>
                <w:rFonts w:hint="eastAsia" w:ascii="宋体" w:hAnsi="宋体" w:eastAsia="宋体" w:cs="宋体"/>
                <w:i w:val="0"/>
                <w:color w:val="000000"/>
                <w:sz w:val="20"/>
                <w:szCs w:val="20"/>
                <w:u w:val="none"/>
              </w:rPr>
            </w:pPr>
          </w:p>
        </w:tc>
      </w:tr>
      <w:tr w14:paraId="16FA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C3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775B0">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68C6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9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D6CFC2">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0E07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5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E6F6E">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58A2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4A7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项目负责人：谢金华</w:t>
            </w:r>
          </w:p>
        </w:tc>
        <w:tc>
          <w:tcPr>
            <w:tcW w:w="6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D5A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财务负责人：肖冬梅</w:t>
            </w:r>
          </w:p>
        </w:tc>
      </w:tr>
      <w:tr w14:paraId="4267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835" w:type="dxa"/>
            <w:shd w:val="clear" w:color="auto" w:fill="auto"/>
            <w:vAlign w:val="center"/>
          </w:tcPr>
          <w:p w14:paraId="65A49BB3">
            <w:pPr>
              <w:rPr>
                <w:rFonts w:hint="eastAsia" w:ascii="宋体" w:hAnsi="宋体" w:eastAsia="宋体" w:cs="宋体"/>
                <w:i w:val="0"/>
                <w:color w:val="000000"/>
                <w:sz w:val="22"/>
                <w:szCs w:val="22"/>
                <w:u w:val="none"/>
              </w:rPr>
            </w:pPr>
          </w:p>
        </w:tc>
        <w:tc>
          <w:tcPr>
            <w:tcW w:w="1125" w:type="dxa"/>
            <w:shd w:val="clear" w:color="auto" w:fill="auto"/>
            <w:vAlign w:val="center"/>
          </w:tcPr>
          <w:p w14:paraId="052F4BFA">
            <w:pPr>
              <w:rPr>
                <w:rFonts w:hint="eastAsia" w:ascii="宋体" w:hAnsi="宋体" w:eastAsia="宋体" w:cs="宋体"/>
                <w:i w:val="0"/>
                <w:color w:val="000000"/>
                <w:sz w:val="22"/>
                <w:szCs w:val="22"/>
                <w:u w:val="none"/>
              </w:rPr>
            </w:pPr>
          </w:p>
        </w:tc>
        <w:tc>
          <w:tcPr>
            <w:tcW w:w="1091" w:type="dxa"/>
            <w:shd w:val="clear" w:color="auto" w:fill="auto"/>
            <w:vAlign w:val="center"/>
          </w:tcPr>
          <w:p w14:paraId="3304706F">
            <w:pPr>
              <w:rPr>
                <w:rFonts w:hint="eastAsia" w:ascii="宋体" w:hAnsi="宋体" w:eastAsia="宋体" w:cs="宋体"/>
                <w:i w:val="0"/>
                <w:color w:val="000000"/>
                <w:sz w:val="22"/>
                <w:szCs w:val="22"/>
                <w:u w:val="none"/>
              </w:rPr>
            </w:pPr>
          </w:p>
        </w:tc>
        <w:tc>
          <w:tcPr>
            <w:tcW w:w="1036" w:type="dxa"/>
            <w:shd w:val="clear" w:color="auto" w:fill="auto"/>
            <w:vAlign w:val="center"/>
          </w:tcPr>
          <w:p w14:paraId="0158A568">
            <w:pPr>
              <w:rPr>
                <w:rFonts w:hint="eastAsia" w:ascii="宋体" w:hAnsi="宋体" w:eastAsia="宋体" w:cs="宋体"/>
                <w:i w:val="0"/>
                <w:color w:val="000000"/>
                <w:sz w:val="22"/>
                <w:szCs w:val="22"/>
                <w:u w:val="none"/>
              </w:rPr>
            </w:pPr>
          </w:p>
        </w:tc>
        <w:tc>
          <w:tcPr>
            <w:tcW w:w="819" w:type="dxa"/>
            <w:shd w:val="clear" w:color="auto" w:fill="auto"/>
            <w:vAlign w:val="center"/>
          </w:tcPr>
          <w:p w14:paraId="1A542D34">
            <w:pPr>
              <w:rPr>
                <w:rFonts w:hint="eastAsia" w:ascii="宋体" w:hAnsi="宋体" w:eastAsia="宋体" w:cs="宋体"/>
                <w:i w:val="0"/>
                <w:color w:val="000000"/>
                <w:sz w:val="22"/>
                <w:szCs w:val="22"/>
                <w:u w:val="none"/>
              </w:rPr>
            </w:pPr>
          </w:p>
        </w:tc>
        <w:tc>
          <w:tcPr>
            <w:tcW w:w="1020" w:type="dxa"/>
            <w:shd w:val="clear" w:color="auto" w:fill="auto"/>
            <w:vAlign w:val="center"/>
          </w:tcPr>
          <w:p w14:paraId="429DF209">
            <w:pPr>
              <w:rPr>
                <w:rFonts w:hint="eastAsia" w:ascii="宋体" w:hAnsi="宋体" w:eastAsia="宋体" w:cs="宋体"/>
                <w:i w:val="0"/>
                <w:color w:val="000000"/>
                <w:sz w:val="22"/>
                <w:szCs w:val="22"/>
                <w:u w:val="none"/>
              </w:rPr>
            </w:pPr>
          </w:p>
        </w:tc>
        <w:tc>
          <w:tcPr>
            <w:tcW w:w="985" w:type="dxa"/>
            <w:shd w:val="clear" w:color="auto" w:fill="auto"/>
            <w:vAlign w:val="center"/>
          </w:tcPr>
          <w:p w14:paraId="7A3ABB3F">
            <w:pPr>
              <w:rPr>
                <w:rFonts w:hint="eastAsia" w:ascii="宋体" w:hAnsi="宋体" w:eastAsia="宋体" w:cs="宋体"/>
                <w:i w:val="0"/>
                <w:color w:val="000000"/>
                <w:sz w:val="22"/>
                <w:szCs w:val="22"/>
                <w:u w:val="none"/>
              </w:rPr>
            </w:pPr>
          </w:p>
        </w:tc>
        <w:tc>
          <w:tcPr>
            <w:tcW w:w="1052" w:type="dxa"/>
            <w:shd w:val="clear" w:color="auto" w:fill="auto"/>
            <w:vAlign w:val="center"/>
          </w:tcPr>
          <w:p w14:paraId="6DB75F48">
            <w:pPr>
              <w:rPr>
                <w:rFonts w:hint="eastAsia" w:ascii="宋体" w:hAnsi="宋体" w:eastAsia="宋体" w:cs="宋体"/>
                <w:i w:val="0"/>
                <w:color w:val="000000"/>
                <w:sz w:val="22"/>
                <w:szCs w:val="22"/>
                <w:u w:val="none"/>
              </w:rPr>
            </w:pPr>
          </w:p>
        </w:tc>
        <w:tc>
          <w:tcPr>
            <w:tcW w:w="1044" w:type="dxa"/>
            <w:shd w:val="clear" w:color="auto" w:fill="auto"/>
            <w:vAlign w:val="center"/>
          </w:tcPr>
          <w:p w14:paraId="348B5167">
            <w:pPr>
              <w:rPr>
                <w:rFonts w:hint="eastAsia" w:ascii="宋体" w:hAnsi="宋体" w:eastAsia="宋体" w:cs="宋体"/>
                <w:i w:val="0"/>
                <w:color w:val="000000"/>
                <w:sz w:val="22"/>
                <w:szCs w:val="22"/>
                <w:u w:val="none"/>
              </w:rPr>
            </w:pPr>
          </w:p>
        </w:tc>
        <w:tc>
          <w:tcPr>
            <w:tcW w:w="1020" w:type="dxa"/>
            <w:shd w:val="clear" w:color="auto" w:fill="auto"/>
            <w:vAlign w:val="center"/>
          </w:tcPr>
          <w:p w14:paraId="436EB21A">
            <w:pPr>
              <w:rPr>
                <w:rFonts w:hint="eastAsia" w:ascii="宋体" w:hAnsi="宋体" w:eastAsia="宋体" w:cs="宋体"/>
                <w:i w:val="0"/>
                <w:color w:val="000000"/>
                <w:sz w:val="22"/>
                <w:szCs w:val="22"/>
                <w:u w:val="none"/>
              </w:rPr>
            </w:pPr>
          </w:p>
        </w:tc>
        <w:tc>
          <w:tcPr>
            <w:tcW w:w="1144" w:type="dxa"/>
            <w:shd w:val="clear" w:color="auto" w:fill="auto"/>
            <w:vAlign w:val="center"/>
          </w:tcPr>
          <w:p w14:paraId="1C947120">
            <w:pPr>
              <w:rPr>
                <w:rFonts w:hint="eastAsia" w:ascii="宋体" w:hAnsi="宋体" w:eastAsia="宋体" w:cs="宋体"/>
                <w:i w:val="0"/>
                <w:color w:val="000000"/>
                <w:sz w:val="22"/>
                <w:szCs w:val="22"/>
                <w:u w:val="none"/>
              </w:rPr>
            </w:pPr>
          </w:p>
        </w:tc>
      </w:tr>
      <w:tr w14:paraId="03A9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1171" w:type="dxa"/>
            <w:gridSpan w:val="11"/>
            <w:tcBorders>
              <w:top w:val="single" w:color="000000" w:sz="4" w:space="0"/>
              <w:left w:val="single" w:color="000000" w:sz="4" w:space="0"/>
              <w:right w:val="single" w:color="000000" w:sz="4" w:space="0"/>
            </w:tcBorders>
            <w:shd w:val="clear" w:color="auto" w:fill="auto"/>
            <w:vAlign w:val="center"/>
          </w:tcPr>
          <w:p w14:paraId="5BA000C8">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部门预算项目支出绩效自评表（2024年度）</w:t>
            </w:r>
          </w:p>
        </w:tc>
      </w:tr>
      <w:tr w14:paraId="0D0A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FFE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67EE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51090424R000011668330-优秀嘉奖和记功奖励</w:t>
            </w:r>
          </w:p>
        </w:tc>
      </w:tr>
      <w:tr w14:paraId="4038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A0AC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7E3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遂宁市安居区东禅镇中心幼儿园部门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6A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 （盖章）</w:t>
            </w:r>
          </w:p>
        </w:tc>
        <w:tc>
          <w:tcPr>
            <w:tcW w:w="32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EE4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遂宁市安居区东禅镇中心幼儿园</w:t>
            </w:r>
          </w:p>
        </w:tc>
      </w:tr>
      <w:tr w14:paraId="211C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FBA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项目基本情况</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0D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1.项目年度目标完成情况</w:t>
            </w: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960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项目年度目标</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AAEA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年度目标完成情况</w:t>
            </w:r>
          </w:p>
        </w:tc>
      </w:tr>
      <w:tr w14:paraId="66A5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4DDE">
            <w:pPr>
              <w:jc w:val="center"/>
              <w:rPr>
                <w:rFonts w:hint="eastAsia" w:ascii="宋体" w:hAnsi="宋体" w:eastAsia="宋体" w:cs="宋体"/>
                <w:i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2879">
            <w:pPr>
              <w:jc w:val="center"/>
              <w:rPr>
                <w:rFonts w:hint="eastAsia" w:ascii="宋体" w:hAnsi="宋体" w:eastAsia="宋体" w:cs="宋体"/>
                <w:i w:val="0"/>
                <w:color w:val="000000"/>
                <w:sz w:val="20"/>
                <w:szCs w:val="20"/>
                <w:u w:val="none"/>
              </w:rPr>
            </w:pPr>
          </w:p>
        </w:tc>
        <w:tc>
          <w:tcPr>
            <w:tcW w:w="49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DF31B2">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705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严格执行相关政策，保障资金及时、合规、足额支付到位，减少结余资金。</w:t>
            </w:r>
          </w:p>
        </w:tc>
      </w:tr>
      <w:tr w14:paraId="4EE5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2811">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6A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2.项目实施内容及过程概述</w:t>
            </w:r>
          </w:p>
        </w:tc>
        <w:tc>
          <w:tcPr>
            <w:tcW w:w="9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DD0C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及时申报，保障补助及时、足额发放，预算编制科学合理，减少结余资金</w:t>
            </w:r>
          </w:p>
        </w:tc>
      </w:tr>
      <w:tr w14:paraId="6BFC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F5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预算执行情况（10分）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3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年度预算数（万元）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EF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5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调整后预算数</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A6B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C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67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F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19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原因</w:t>
            </w:r>
          </w:p>
        </w:tc>
      </w:tr>
      <w:tr w14:paraId="0DF0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63F0">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E5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65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5A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D97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4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E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2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FF89E">
            <w:pPr>
              <w:rPr>
                <w:rFonts w:hint="eastAsia" w:ascii="宋体" w:hAnsi="宋体" w:eastAsia="宋体" w:cs="宋体"/>
                <w:i/>
                <w:color w:val="000000"/>
                <w:sz w:val="20"/>
                <w:szCs w:val="20"/>
                <w:u w:val="none"/>
              </w:rPr>
            </w:pPr>
          </w:p>
        </w:tc>
      </w:tr>
      <w:tr w14:paraId="2AF3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4BBE">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D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EA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22E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B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1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5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5380">
            <w:pPr>
              <w:rPr>
                <w:rFonts w:hint="eastAsia" w:ascii="宋体" w:hAnsi="宋体" w:eastAsia="宋体" w:cs="宋体"/>
                <w:i/>
                <w:color w:val="000000"/>
                <w:sz w:val="20"/>
                <w:szCs w:val="20"/>
                <w:u w:val="none"/>
              </w:rPr>
            </w:pPr>
          </w:p>
        </w:tc>
      </w:tr>
      <w:tr w14:paraId="1166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3670C">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3D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财政专户管理资金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F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D8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D0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4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9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8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5067">
            <w:pPr>
              <w:rPr>
                <w:rFonts w:hint="eastAsia" w:ascii="宋体" w:hAnsi="宋体" w:eastAsia="宋体" w:cs="宋体"/>
                <w:i/>
                <w:color w:val="000000"/>
                <w:sz w:val="20"/>
                <w:szCs w:val="20"/>
                <w:u w:val="none"/>
              </w:rPr>
            </w:pPr>
          </w:p>
        </w:tc>
      </w:tr>
      <w:tr w14:paraId="5BFD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74291">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0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41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77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45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6E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A8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28A8">
            <w:pPr>
              <w:rPr>
                <w:rFonts w:hint="eastAsia" w:ascii="宋体" w:hAnsi="宋体" w:eastAsia="宋体" w:cs="宋体"/>
                <w:i/>
                <w:color w:val="000000"/>
                <w:sz w:val="20"/>
                <w:szCs w:val="20"/>
                <w:u w:val="none"/>
              </w:rPr>
            </w:pPr>
          </w:p>
        </w:tc>
      </w:tr>
      <w:tr w14:paraId="165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5BD2">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4F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0275">
            <w:pPr>
              <w:jc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7C19">
            <w:pPr>
              <w:jc w:val="center"/>
              <w:rPr>
                <w:rFonts w:hint="eastAsia" w:ascii="宋体" w:hAnsi="宋体" w:eastAsia="宋体" w:cs="宋体"/>
                <w:i w:val="0"/>
                <w:color w:val="000000"/>
                <w:sz w:val="20"/>
                <w:szCs w:val="20"/>
                <w:u w:val="none"/>
              </w:rPr>
            </w:pP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763C3">
            <w:pPr>
              <w:jc w:val="center"/>
              <w:rPr>
                <w:rFonts w:hint="eastAsia" w:ascii="宋体" w:hAnsi="宋体" w:eastAsia="宋体" w:cs="宋体"/>
                <w:i w:val="0"/>
                <w:color w:val="000000"/>
                <w:sz w:val="20"/>
                <w:szCs w:val="20"/>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CA50">
            <w:pPr>
              <w:jc w:val="center"/>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E9A">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B7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4F34">
            <w:pPr>
              <w:rPr>
                <w:rFonts w:hint="eastAsia" w:ascii="宋体" w:hAnsi="宋体" w:eastAsia="宋体" w:cs="宋体"/>
                <w:i/>
                <w:color w:val="000000"/>
                <w:sz w:val="20"/>
                <w:szCs w:val="20"/>
                <w:u w:val="none"/>
              </w:rPr>
            </w:pPr>
          </w:p>
        </w:tc>
      </w:tr>
      <w:tr w14:paraId="043F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restart"/>
            <w:tcBorders>
              <w:left w:val="single" w:color="000000" w:sz="4" w:space="0"/>
              <w:bottom w:val="single" w:color="000000" w:sz="4" w:space="0"/>
              <w:right w:val="single" w:color="000000" w:sz="4" w:space="0"/>
            </w:tcBorders>
            <w:shd w:val="clear" w:color="auto" w:fill="auto"/>
            <w:vAlign w:val="center"/>
          </w:tcPr>
          <w:p w14:paraId="4FA39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绩效指标（90分）</w:t>
            </w:r>
          </w:p>
        </w:tc>
        <w:tc>
          <w:tcPr>
            <w:tcW w:w="1125" w:type="dxa"/>
            <w:tcBorders>
              <w:left w:val="single" w:color="000000" w:sz="4" w:space="0"/>
              <w:bottom w:val="single" w:color="000000" w:sz="4" w:space="0"/>
              <w:right w:val="single" w:color="000000" w:sz="4" w:space="0"/>
            </w:tcBorders>
            <w:shd w:val="clear" w:color="auto" w:fill="auto"/>
            <w:vAlign w:val="center"/>
          </w:tcPr>
          <w:p w14:paraId="11BBC6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1" w:type="dxa"/>
            <w:tcBorders>
              <w:left w:val="single" w:color="000000" w:sz="4" w:space="0"/>
              <w:bottom w:val="single" w:color="000000" w:sz="4" w:space="0"/>
              <w:right w:val="single" w:color="000000" w:sz="4" w:space="0"/>
            </w:tcBorders>
            <w:shd w:val="clear" w:color="auto" w:fill="auto"/>
            <w:vAlign w:val="center"/>
          </w:tcPr>
          <w:p w14:paraId="314A2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36" w:type="dxa"/>
            <w:tcBorders>
              <w:left w:val="single" w:color="000000" w:sz="4" w:space="0"/>
              <w:bottom w:val="single" w:color="000000" w:sz="4" w:space="0"/>
              <w:right w:val="single" w:color="000000" w:sz="4" w:space="0"/>
            </w:tcBorders>
            <w:shd w:val="clear" w:color="auto" w:fill="auto"/>
            <w:vAlign w:val="center"/>
          </w:tcPr>
          <w:p w14:paraId="2AF21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819" w:type="dxa"/>
            <w:tcBorders>
              <w:left w:val="single" w:color="000000" w:sz="4" w:space="0"/>
              <w:bottom w:val="single" w:color="000000" w:sz="4" w:space="0"/>
              <w:right w:val="single" w:color="000000" w:sz="4" w:space="0"/>
            </w:tcBorders>
            <w:shd w:val="clear" w:color="auto" w:fill="auto"/>
            <w:vAlign w:val="center"/>
          </w:tcPr>
          <w:p w14:paraId="2D88FF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指标性质</w:t>
            </w:r>
          </w:p>
        </w:tc>
        <w:tc>
          <w:tcPr>
            <w:tcW w:w="1020" w:type="dxa"/>
            <w:tcBorders>
              <w:left w:val="single" w:color="000000" w:sz="4" w:space="0"/>
              <w:bottom w:val="single" w:color="000000" w:sz="4" w:space="0"/>
              <w:right w:val="single" w:color="000000" w:sz="4" w:space="0"/>
            </w:tcBorders>
            <w:shd w:val="clear" w:color="auto" w:fill="auto"/>
            <w:vAlign w:val="center"/>
          </w:tcPr>
          <w:p w14:paraId="4EFE2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985" w:type="dxa"/>
            <w:tcBorders>
              <w:left w:val="single" w:color="000000" w:sz="4" w:space="0"/>
              <w:bottom w:val="single" w:color="000000" w:sz="4" w:space="0"/>
              <w:right w:val="single" w:color="000000" w:sz="4" w:space="0"/>
            </w:tcBorders>
            <w:shd w:val="clear" w:color="auto" w:fill="auto"/>
            <w:vAlign w:val="center"/>
          </w:tcPr>
          <w:p w14:paraId="60AE12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度量单位</w:t>
            </w:r>
          </w:p>
        </w:tc>
        <w:tc>
          <w:tcPr>
            <w:tcW w:w="1052" w:type="dxa"/>
            <w:tcBorders>
              <w:left w:val="single" w:color="000000" w:sz="4" w:space="0"/>
              <w:bottom w:val="single" w:color="000000" w:sz="4" w:space="0"/>
              <w:right w:val="single" w:color="000000" w:sz="4" w:space="0"/>
            </w:tcBorders>
            <w:shd w:val="clear" w:color="auto" w:fill="auto"/>
            <w:vAlign w:val="center"/>
          </w:tcPr>
          <w:p w14:paraId="438CDE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完成值</w:t>
            </w:r>
          </w:p>
        </w:tc>
        <w:tc>
          <w:tcPr>
            <w:tcW w:w="1044" w:type="dxa"/>
            <w:tcBorders>
              <w:left w:val="single" w:color="000000" w:sz="4" w:space="0"/>
              <w:bottom w:val="single" w:color="000000" w:sz="4" w:space="0"/>
              <w:right w:val="single" w:color="000000" w:sz="4" w:space="0"/>
            </w:tcBorders>
            <w:shd w:val="clear" w:color="auto" w:fill="auto"/>
            <w:vAlign w:val="center"/>
          </w:tcPr>
          <w:p w14:paraId="68BC8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权重</w:t>
            </w:r>
          </w:p>
        </w:tc>
        <w:tc>
          <w:tcPr>
            <w:tcW w:w="1020" w:type="dxa"/>
            <w:tcBorders>
              <w:left w:val="single" w:color="000000" w:sz="4" w:space="0"/>
              <w:bottom w:val="single" w:color="000000" w:sz="4" w:space="0"/>
              <w:right w:val="single" w:color="000000" w:sz="4" w:space="0"/>
            </w:tcBorders>
            <w:shd w:val="clear" w:color="auto" w:fill="auto"/>
            <w:vAlign w:val="center"/>
          </w:tcPr>
          <w:p w14:paraId="52971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144" w:type="dxa"/>
            <w:tcBorders>
              <w:left w:val="single" w:color="000000" w:sz="4" w:space="0"/>
              <w:bottom w:val="single" w:color="000000" w:sz="4" w:space="0"/>
              <w:right w:val="single" w:color="000000" w:sz="4" w:space="0"/>
            </w:tcBorders>
            <w:shd w:val="clear" w:color="auto" w:fill="auto"/>
            <w:vAlign w:val="center"/>
          </w:tcPr>
          <w:p w14:paraId="7C55B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未完成原因分析</w:t>
            </w:r>
          </w:p>
        </w:tc>
      </w:tr>
      <w:tr w14:paraId="0A43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7AC4C359">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B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8A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72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0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E6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AB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7A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7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5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FB4">
            <w:pPr>
              <w:jc w:val="center"/>
              <w:rPr>
                <w:rFonts w:hint="eastAsia" w:ascii="宋体" w:hAnsi="宋体" w:eastAsia="宋体" w:cs="宋体"/>
                <w:i/>
                <w:color w:val="000000"/>
                <w:sz w:val="20"/>
                <w:szCs w:val="20"/>
                <w:u w:val="none"/>
              </w:rPr>
            </w:pPr>
          </w:p>
        </w:tc>
      </w:tr>
      <w:tr w14:paraId="3C08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vMerge w:val="continue"/>
            <w:tcBorders>
              <w:left w:val="single" w:color="000000" w:sz="4" w:space="0"/>
              <w:bottom w:val="single" w:color="000000" w:sz="4" w:space="0"/>
              <w:right w:val="single" w:color="000000" w:sz="4" w:space="0"/>
            </w:tcBorders>
            <w:shd w:val="clear" w:color="auto" w:fill="auto"/>
            <w:vAlign w:val="center"/>
          </w:tcPr>
          <w:p w14:paraId="03C5A126">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5B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8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1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6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EB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B7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6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4D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748D">
            <w:pPr>
              <w:jc w:val="center"/>
              <w:rPr>
                <w:rFonts w:hint="eastAsia" w:ascii="宋体" w:hAnsi="宋体" w:eastAsia="宋体" w:cs="宋体"/>
                <w:i/>
                <w:color w:val="000000"/>
                <w:sz w:val="20"/>
                <w:szCs w:val="20"/>
                <w:u w:val="none"/>
              </w:rPr>
            </w:pPr>
          </w:p>
        </w:tc>
      </w:tr>
      <w:tr w14:paraId="0C88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9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3B4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A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F8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5F32">
            <w:pPr>
              <w:rPr>
                <w:rFonts w:hint="eastAsia" w:ascii="宋体" w:hAnsi="宋体" w:eastAsia="宋体" w:cs="宋体"/>
                <w:i w:val="0"/>
                <w:color w:val="000000"/>
                <w:sz w:val="20"/>
                <w:szCs w:val="20"/>
                <w:u w:val="none"/>
              </w:rPr>
            </w:pPr>
          </w:p>
        </w:tc>
      </w:tr>
      <w:tr w14:paraId="245D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F9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评价结论</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0BE51E">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14:paraId="4AA1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A7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存在问题</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FD05B">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614F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A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改进措施</w:t>
            </w:r>
          </w:p>
        </w:tc>
        <w:tc>
          <w:tcPr>
            <w:tcW w:w="103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192719">
            <w:pPr>
              <w:keepNext w:val="0"/>
              <w:keepLines w:val="0"/>
              <w:widowControl/>
              <w:suppressLineNumbers w:val="0"/>
              <w:jc w:val="left"/>
              <w:textAlignment w:val="center"/>
              <w:rPr>
                <w:rFonts w:hint="eastAsia" w:ascii="宋体" w:hAnsi="宋体" w:eastAsia="宋体" w:cs="宋体"/>
                <w:i/>
                <w:color w:val="000000"/>
                <w:sz w:val="20"/>
                <w:szCs w:val="20"/>
                <w:u w:val="none"/>
              </w:rPr>
            </w:pPr>
            <w:r>
              <w:rPr>
                <w:rFonts w:hint="eastAsia" w:ascii="宋体" w:hAnsi="宋体" w:eastAsia="宋体" w:cs="宋体"/>
                <w:i/>
                <w:color w:val="000000"/>
                <w:kern w:val="0"/>
                <w:sz w:val="20"/>
                <w:szCs w:val="20"/>
                <w:u w:val="none"/>
                <w:lang w:val="en-US" w:eastAsia="zh-CN" w:bidi="ar"/>
              </w:rPr>
              <w:t>无</w:t>
            </w:r>
          </w:p>
        </w:tc>
      </w:tr>
      <w:tr w14:paraId="6F16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4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433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项目负责人：谢金华</w:t>
            </w:r>
          </w:p>
        </w:tc>
        <w:tc>
          <w:tcPr>
            <w:tcW w:w="6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0A7B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财务负责人：肖冬梅</w:t>
            </w:r>
          </w:p>
        </w:tc>
      </w:tr>
    </w:tbl>
    <w:p w14:paraId="1EA45A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3C88D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AD7F903">
      <w:pPr>
        <w:widowControl/>
        <w:jc w:val="center"/>
        <w:rPr>
          <w:rFonts w:hint="eastAsia" w:ascii="Times New Roman" w:hAnsi="Times New Roman" w:eastAsia="仿宋_GB2312"/>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8"/>
      <w:bookmarkStart w:id="59" w:name="_Toc15396619"/>
    </w:p>
    <w:p w14:paraId="07C6F8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251D32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9"/>
    </w:p>
    <w:p w14:paraId="48AF95D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0"/>
      <w:r>
        <w:rPr>
          <w:rFonts w:hint="eastAsia" w:ascii="Times New Roman" w:hAnsi="Times New Roman" w:eastAsia="仿宋_GB2312" w:cs="仿宋_GB2312"/>
          <w:color w:val="auto"/>
          <w:sz w:val="32"/>
          <w:szCs w:val="32"/>
          <w:highlight w:val="none"/>
        </w:rPr>
        <w:t>二、收入决算表</w:t>
      </w:r>
      <w:bookmarkEnd w:id="60"/>
    </w:p>
    <w:p w14:paraId="584489E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1"/>
      <w:r>
        <w:rPr>
          <w:rFonts w:hint="eastAsia" w:ascii="Times New Roman" w:hAnsi="Times New Roman" w:eastAsia="仿宋_GB2312" w:cs="仿宋_GB2312"/>
          <w:color w:val="auto"/>
          <w:sz w:val="32"/>
          <w:szCs w:val="32"/>
          <w:highlight w:val="none"/>
        </w:rPr>
        <w:t>三、支出决算表</w:t>
      </w:r>
      <w:bookmarkEnd w:id="61"/>
    </w:p>
    <w:p w14:paraId="48703E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2"/>
      <w:r>
        <w:rPr>
          <w:rFonts w:hint="eastAsia" w:ascii="Times New Roman" w:hAnsi="Times New Roman" w:eastAsia="仿宋_GB2312" w:cs="仿宋_GB2312"/>
          <w:color w:val="auto"/>
          <w:sz w:val="32"/>
          <w:szCs w:val="32"/>
          <w:highlight w:val="none"/>
        </w:rPr>
        <w:t>四、财政拨款收入支出决算总表</w:t>
      </w:r>
      <w:bookmarkEnd w:id="62"/>
    </w:p>
    <w:p w14:paraId="45CC950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3"/>
      <w:r>
        <w:rPr>
          <w:rFonts w:hint="eastAsia" w:ascii="Times New Roman" w:hAnsi="Times New Roman" w:eastAsia="仿宋_GB2312" w:cs="仿宋_GB2312"/>
          <w:color w:val="auto"/>
          <w:sz w:val="32"/>
          <w:szCs w:val="32"/>
          <w:highlight w:val="none"/>
        </w:rPr>
        <w:t>五、财政拨款支出决算明细表</w:t>
      </w:r>
      <w:bookmarkEnd w:id="63"/>
      <w:bookmarkStart w:id="64" w:name="_Toc15396624"/>
    </w:p>
    <w:p w14:paraId="3311D60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4"/>
    </w:p>
    <w:p w14:paraId="2D58E1C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5"/>
      <w:r>
        <w:rPr>
          <w:rFonts w:hint="eastAsia" w:ascii="Times New Roman" w:hAnsi="Times New Roman" w:eastAsia="仿宋_GB2312" w:cs="仿宋_GB2312"/>
          <w:color w:val="auto"/>
          <w:sz w:val="32"/>
          <w:szCs w:val="32"/>
          <w:highlight w:val="none"/>
        </w:rPr>
        <w:t>七、一般公共预算财政拨款支出决算明细表</w:t>
      </w:r>
      <w:bookmarkEnd w:id="65"/>
    </w:p>
    <w:p w14:paraId="5662E86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6"/>
      <w:r>
        <w:rPr>
          <w:rFonts w:hint="eastAsia" w:ascii="Times New Roman" w:hAnsi="Times New Roman" w:eastAsia="仿宋_GB2312" w:cs="仿宋_GB2312"/>
          <w:color w:val="auto"/>
          <w:sz w:val="32"/>
          <w:szCs w:val="32"/>
          <w:highlight w:val="none"/>
        </w:rPr>
        <w:t>八、一般公共预算财政拨款基本支出决算表</w:t>
      </w:r>
      <w:bookmarkEnd w:id="66"/>
    </w:p>
    <w:p w14:paraId="74F62B8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7"/>
      <w:r>
        <w:rPr>
          <w:rFonts w:hint="eastAsia" w:ascii="Times New Roman" w:hAnsi="Times New Roman" w:eastAsia="仿宋_GB2312" w:cs="仿宋_GB2312"/>
          <w:color w:val="auto"/>
          <w:sz w:val="32"/>
          <w:szCs w:val="32"/>
          <w:highlight w:val="none"/>
        </w:rPr>
        <w:t>九、一般公共预算财政拨款项目支出决算表</w:t>
      </w:r>
      <w:bookmarkEnd w:id="67"/>
    </w:p>
    <w:p w14:paraId="042C885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8"/>
      <w:r>
        <w:rPr>
          <w:rFonts w:hint="eastAsia" w:ascii="Times New Roman" w:hAnsi="Times New Roman" w:eastAsia="仿宋_GB2312" w:cs="仿宋_GB2312"/>
          <w:color w:val="auto"/>
          <w:sz w:val="32"/>
          <w:szCs w:val="32"/>
          <w:highlight w:val="none"/>
        </w:rPr>
        <w:t>十、</w:t>
      </w:r>
      <w:bookmarkEnd w:id="68"/>
      <w:r>
        <w:rPr>
          <w:rFonts w:hint="eastAsia" w:ascii="Times New Roman" w:hAnsi="Times New Roman" w:eastAsia="仿宋_GB2312" w:cs="仿宋_GB2312"/>
          <w:color w:val="auto"/>
          <w:sz w:val="32"/>
          <w:szCs w:val="32"/>
          <w:highlight w:val="none"/>
        </w:rPr>
        <w:t>政府性基金预算财政拨款收入支出决算表</w:t>
      </w:r>
    </w:p>
    <w:p w14:paraId="1C3CFAA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9"/>
      <w:r>
        <w:rPr>
          <w:rFonts w:hint="eastAsia" w:ascii="Times New Roman" w:hAnsi="Times New Roman" w:eastAsia="仿宋_GB2312" w:cs="仿宋_GB2312"/>
          <w:color w:val="auto"/>
          <w:sz w:val="32"/>
          <w:szCs w:val="32"/>
          <w:highlight w:val="none"/>
        </w:rPr>
        <w:t>十一、</w:t>
      </w:r>
      <w:bookmarkEnd w:id="6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F42306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30"/>
      <w:r>
        <w:rPr>
          <w:rFonts w:hint="eastAsia" w:ascii="Times New Roman" w:hAnsi="Times New Roman" w:eastAsia="仿宋_GB2312" w:cs="仿宋_GB2312"/>
          <w:color w:val="auto"/>
          <w:sz w:val="32"/>
          <w:szCs w:val="32"/>
          <w:highlight w:val="none"/>
        </w:rPr>
        <w:t>十二、</w:t>
      </w:r>
      <w:bookmarkEnd w:id="70"/>
      <w:r>
        <w:rPr>
          <w:rFonts w:hint="eastAsia" w:ascii="Times New Roman" w:hAnsi="Times New Roman" w:eastAsia="仿宋_GB2312" w:cs="仿宋_GB2312"/>
          <w:color w:val="auto"/>
          <w:sz w:val="32"/>
          <w:szCs w:val="32"/>
          <w:highlight w:val="none"/>
          <w:lang w:eastAsia="zh-CN"/>
        </w:rPr>
        <w:t>国有资本经营预算财政拨款支出决算表</w:t>
      </w:r>
    </w:p>
    <w:p w14:paraId="72BA96D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1" w:name="_Toc15396631"/>
      <w:r>
        <w:rPr>
          <w:rFonts w:hint="eastAsia" w:ascii="Times New Roman" w:hAnsi="Times New Roman" w:eastAsia="仿宋_GB2312" w:cs="仿宋_GB2312"/>
          <w:color w:val="auto"/>
          <w:sz w:val="32"/>
          <w:szCs w:val="32"/>
          <w:highlight w:val="none"/>
        </w:rPr>
        <w:t>十三、</w:t>
      </w:r>
      <w:bookmarkEnd w:id="71"/>
      <w:r>
        <w:rPr>
          <w:rFonts w:hint="eastAsia" w:ascii="Times New Roman" w:hAnsi="Times New Roman" w:eastAsia="仿宋_GB2312" w:cs="仿宋_GB2312"/>
          <w:color w:val="auto"/>
          <w:sz w:val="32"/>
          <w:szCs w:val="32"/>
          <w:highlight w:val="none"/>
          <w:lang w:eastAsia="zh-CN"/>
        </w:rPr>
        <w:t>财政拨款“三公”经费支出决算表</w:t>
      </w:r>
    </w:p>
    <w:p w14:paraId="7047B794">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E105">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C2F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D1C2F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FB1E91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FCE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2E78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FA2E780">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3BBD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7DEA9EBF"/>
    <w:multiLevelType w:val="singleLevel"/>
    <w:tmpl w:val="7DEA9EB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87D31"/>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42F93"/>
    <w:rsid w:val="012A5EC2"/>
    <w:rsid w:val="015975B8"/>
    <w:rsid w:val="02FEBE30"/>
    <w:rsid w:val="04916F1E"/>
    <w:rsid w:val="061E35DE"/>
    <w:rsid w:val="066E0107"/>
    <w:rsid w:val="07996F6E"/>
    <w:rsid w:val="07DFD8BA"/>
    <w:rsid w:val="09867E8F"/>
    <w:rsid w:val="0A2032A3"/>
    <w:rsid w:val="0B8529E5"/>
    <w:rsid w:val="0CA8290A"/>
    <w:rsid w:val="0D35B1ED"/>
    <w:rsid w:val="0D8375C6"/>
    <w:rsid w:val="0D974F25"/>
    <w:rsid w:val="0E254B6B"/>
    <w:rsid w:val="0F98263C"/>
    <w:rsid w:val="101860EC"/>
    <w:rsid w:val="101F47CC"/>
    <w:rsid w:val="10774DF6"/>
    <w:rsid w:val="10C055FF"/>
    <w:rsid w:val="11694EBD"/>
    <w:rsid w:val="11772AA4"/>
    <w:rsid w:val="118107EC"/>
    <w:rsid w:val="12E24EE2"/>
    <w:rsid w:val="13D50BC4"/>
    <w:rsid w:val="146F3E66"/>
    <w:rsid w:val="147C5FE2"/>
    <w:rsid w:val="14B17F78"/>
    <w:rsid w:val="165E0673"/>
    <w:rsid w:val="16B831D5"/>
    <w:rsid w:val="16BB723D"/>
    <w:rsid w:val="17E50567"/>
    <w:rsid w:val="186504BB"/>
    <w:rsid w:val="18B67417"/>
    <w:rsid w:val="18BF4802"/>
    <w:rsid w:val="19A445FC"/>
    <w:rsid w:val="1BE8440E"/>
    <w:rsid w:val="1CDB7EE7"/>
    <w:rsid w:val="1D155CEE"/>
    <w:rsid w:val="1D1638FE"/>
    <w:rsid w:val="1D2B438B"/>
    <w:rsid w:val="1E312DEB"/>
    <w:rsid w:val="1E740ACF"/>
    <w:rsid w:val="1E9067AB"/>
    <w:rsid w:val="1FF35744"/>
    <w:rsid w:val="1FF6BC77"/>
    <w:rsid w:val="2186353C"/>
    <w:rsid w:val="23474AD7"/>
    <w:rsid w:val="23860B96"/>
    <w:rsid w:val="240371BF"/>
    <w:rsid w:val="244F3473"/>
    <w:rsid w:val="24C97D99"/>
    <w:rsid w:val="25A718F0"/>
    <w:rsid w:val="25BB59F6"/>
    <w:rsid w:val="260F557C"/>
    <w:rsid w:val="26970054"/>
    <w:rsid w:val="280E251F"/>
    <w:rsid w:val="281408E2"/>
    <w:rsid w:val="29FD04D3"/>
    <w:rsid w:val="2AD07FCD"/>
    <w:rsid w:val="2BFF7BC6"/>
    <w:rsid w:val="2C6044B3"/>
    <w:rsid w:val="2C8A61B5"/>
    <w:rsid w:val="2DF04E50"/>
    <w:rsid w:val="2E586DFA"/>
    <w:rsid w:val="2F040D46"/>
    <w:rsid w:val="2F6B035B"/>
    <w:rsid w:val="2F767465"/>
    <w:rsid w:val="2FAE5751"/>
    <w:rsid w:val="2FB1A395"/>
    <w:rsid w:val="2FD9A7D8"/>
    <w:rsid w:val="2FDBF714"/>
    <w:rsid w:val="30AB6865"/>
    <w:rsid w:val="319F7F4E"/>
    <w:rsid w:val="32BD1EF1"/>
    <w:rsid w:val="3304709D"/>
    <w:rsid w:val="33384104"/>
    <w:rsid w:val="33A773CB"/>
    <w:rsid w:val="33C95381"/>
    <w:rsid w:val="349D6851"/>
    <w:rsid w:val="351D6219"/>
    <w:rsid w:val="36AA5135"/>
    <w:rsid w:val="36BE0DA7"/>
    <w:rsid w:val="376B6AA6"/>
    <w:rsid w:val="376D39B2"/>
    <w:rsid w:val="37E16F03"/>
    <w:rsid w:val="37F132AB"/>
    <w:rsid w:val="37F53A3B"/>
    <w:rsid w:val="389B6C89"/>
    <w:rsid w:val="38D469F0"/>
    <w:rsid w:val="39627CCD"/>
    <w:rsid w:val="397BAF1F"/>
    <w:rsid w:val="39B03B51"/>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267222"/>
    <w:rsid w:val="4489070B"/>
    <w:rsid w:val="44E268DA"/>
    <w:rsid w:val="450D13D7"/>
    <w:rsid w:val="45506656"/>
    <w:rsid w:val="486A6C7A"/>
    <w:rsid w:val="497D06C0"/>
    <w:rsid w:val="4A627F82"/>
    <w:rsid w:val="4B0A54E8"/>
    <w:rsid w:val="4B0E749A"/>
    <w:rsid w:val="4B2477C4"/>
    <w:rsid w:val="4B4F25DA"/>
    <w:rsid w:val="4BE068DB"/>
    <w:rsid w:val="4D577224"/>
    <w:rsid w:val="4DBF1CEB"/>
    <w:rsid w:val="4DF0007C"/>
    <w:rsid w:val="4EAB630A"/>
    <w:rsid w:val="4ECE2238"/>
    <w:rsid w:val="4F833267"/>
    <w:rsid w:val="4FE9BD67"/>
    <w:rsid w:val="4FFB052F"/>
    <w:rsid w:val="50F544EB"/>
    <w:rsid w:val="537E6D0A"/>
    <w:rsid w:val="53F74C96"/>
    <w:rsid w:val="55170BA8"/>
    <w:rsid w:val="553218C9"/>
    <w:rsid w:val="567E1AA5"/>
    <w:rsid w:val="56E47B74"/>
    <w:rsid w:val="57175D52"/>
    <w:rsid w:val="57BD3DD4"/>
    <w:rsid w:val="5AF92295"/>
    <w:rsid w:val="5B250254"/>
    <w:rsid w:val="5B6B7211"/>
    <w:rsid w:val="5BB07AC8"/>
    <w:rsid w:val="5BDD79E6"/>
    <w:rsid w:val="5BF561CA"/>
    <w:rsid w:val="5BFF5DFC"/>
    <w:rsid w:val="5C9D0718"/>
    <w:rsid w:val="5CD71FC4"/>
    <w:rsid w:val="5D1F11B5"/>
    <w:rsid w:val="5D695134"/>
    <w:rsid w:val="5DAE1B18"/>
    <w:rsid w:val="5DE7D9E5"/>
    <w:rsid w:val="5E392097"/>
    <w:rsid w:val="5E3964B4"/>
    <w:rsid w:val="5ECEC941"/>
    <w:rsid w:val="5FBF9FF3"/>
    <w:rsid w:val="5FCD4E2C"/>
    <w:rsid w:val="5FEF394A"/>
    <w:rsid w:val="5FF67715"/>
    <w:rsid w:val="6127285D"/>
    <w:rsid w:val="61955914"/>
    <w:rsid w:val="623D770F"/>
    <w:rsid w:val="62BF3928"/>
    <w:rsid w:val="63B3701E"/>
    <w:rsid w:val="647F5392"/>
    <w:rsid w:val="65E66580"/>
    <w:rsid w:val="664B1D71"/>
    <w:rsid w:val="664B4E8E"/>
    <w:rsid w:val="67277B67"/>
    <w:rsid w:val="67AA3209"/>
    <w:rsid w:val="68EF2810"/>
    <w:rsid w:val="698D0931"/>
    <w:rsid w:val="6A7FE5F3"/>
    <w:rsid w:val="6B053271"/>
    <w:rsid w:val="6BDD78B3"/>
    <w:rsid w:val="6C4A05C8"/>
    <w:rsid w:val="6C8742B8"/>
    <w:rsid w:val="6D0E0A2A"/>
    <w:rsid w:val="6DBF5E93"/>
    <w:rsid w:val="6DDF217E"/>
    <w:rsid w:val="6DFF077E"/>
    <w:rsid w:val="6E296D1B"/>
    <w:rsid w:val="6E714EF0"/>
    <w:rsid w:val="6E7A39A7"/>
    <w:rsid w:val="6E7E3605"/>
    <w:rsid w:val="6E7FDCC7"/>
    <w:rsid w:val="6EC97B0C"/>
    <w:rsid w:val="6ED6A62E"/>
    <w:rsid w:val="6EE00B15"/>
    <w:rsid w:val="6F6FB3EB"/>
    <w:rsid w:val="6F8731EA"/>
    <w:rsid w:val="6FCE6052"/>
    <w:rsid w:val="6FD57C00"/>
    <w:rsid w:val="6FEFFFD8"/>
    <w:rsid w:val="6FF56E3E"/>
    <w:rsid w:val="6FF5CC65"/>
    <w:rsid w:val="6FFB47EC"/>
    <w:rsid w:val="6FFF034A"/>
    <w:rsid w:val="70484440"/>
    <w:rsid w:val="712A28F1"/>
    <w:rsid w:val="715C0E4B"/>
    <w:rsid w:val="71992E7C"/>
    <w:rsid w:val="72233669"/>
    <w:rsid w:val="72734D90"/>
    <w:rsid w:val="72AF2EBE"/>
    <w:rsid w:val="72E547E5"/>
    <w:rsid w:val="72FB7C35"/>
    <w:rsid w:val="73160E6D"/>
    <w:rsid w:val="7332FE48"/>
    <w:rsid w:val="738F69B9"/>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2870DA"/>
    <w:rsid w:val="7D7EC23E"/>
    <w:rsid w:val="7E8ADEBF"/>
    <w:rsid w:val="7ED54F0B"/>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_\2023-2024&#23545;&#27604;&#25968;&#2545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_\2023-2024&#23545;&#27604;&#25968;&#2545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_\2023-2024&#23545;&#27604;&#25968;&#2545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_\2023-2024&#23545;&#27604;&#25968;&#2545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_\2023-2024&#23545;&#27604;&#25968;&#2545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'[2023-2024对比数据.xls]Sheet1'!$B$3:$B$4</c:f>
              <c:strCache>
                <c:ptCount val="2"/>
                <c:pt idx="0">
                  <c:v>2023年</c:v>
                </c:pt>
                <c:pt idx="1">
                  <c:v>2024年</c:v>
                </c:pt>
              </c:strCache>
            </c:strRef>
          </c:cat>
          <c:val>
            <c:numRef>
              <c:f>'[2023-2024对比数据.xls]Sheet1'!$C$3:$C$4</c:f>
              <c:numCache>
                <c:formatCode>General</c:formatCode>
                <c:ptCount val="2"/>
                <c:pt idx="0">
                  <c:v>360.34</c:v>
                </c:pt>
                <c:pt idx="1">
                  <c:v>355.89</c:v>
                </c:pt>
              </c:numCache>
            </c:numRef>
          </c:val>
        </c:ser>
        <c:dLbls>
          <c:showLegendKey val="0"/>
          <c:showVal val="0"/>
          <c:showCatName val="0"/>
          <c:showSerName val="0"/>
          <c:showPercent val="0"/>
          <c:showBubbleSize val="0"/>
        </c:dLbls>
        <c:gapWidth val="219"/>
        <c:overlap val="-27"/>
        <c:axId val="358992588"/>
        <c:axId val="880803822"/>
      </c:barChart>
      <c:catAx>
        <c:axId val="3589925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0803822"/>
        <c:crosses val="autoZero"/>
        <c:auto val="1"/>
        <c:lblAlgn val="ctr"/>
        <c:lblOffset val="100"/>
        <c:noMultiLvlLbl val="0"/>
      </c:catAx>
      <c:valAx>
        <c:axId val="8808038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992588"/>
        <c:crosses val="autoZero"/>
        <c:crossBetween val="between"/>
      </c:valAx>
      <c:spPr>
        <a:noFill/>
        <a:ln>
          <a:noFill/>
        </a:ln>
        <a:effectLst/>
      </c:spPr>
    </c:plotArea>
    <c:plotVisOnly val="1"/>
    <c:dispBlanksAs val="gap"/>
    <c:showDLblsOverMax val="0"/>
    <c:extLst>
      <c:ext uri="{0b15fc19-7d7d-44ad-8c2d-2c3a37ce22c3}">
        <chartProps xmlns="https://web.wps.cn/et/2018/main" chartId="{09f362e5-49bf-4cdb-8d76-0871c9ca1d5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265056213113563"/>
                  <c:y val="-0.051615471141658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7613084989826"/>
                      <c:h val="0.11515940143136"/>
                    </c:manualLayout>
                  </c15:layout>
                </c:ext>
              </c:extLst>
            </c:dLbl>
            <c:dLbl>
              <c:idx val="1"/>
              <c:delete val="1"/>
            </c:dLbl>
            <c:dLbl>
              <c:idx val="2"/>
              <c:delete val="1"/>
            </c:dLbl>
            <c:dLbl>
              <c:idx val="3"/>
              <c:layout>
                <c:manualLayout>
                  <c:x val="0.243228671418773"/>
                  <c:y val="-0.004510940612281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9265925809986"/>
                      <c:h val="0.0803513337670787"/>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'[2023-2024对比数据.xls]Sheet1'!$C$14:$C$17</c:f>
              <c:strCache>
                <c:ptCount val="4"/>
                <c:pt idx="0">
                  <c:v>一般公共预算财政拨款收入</c:v>
                </c:pt>
                <c:pt idx="1">
                  <c:v>政府性基金预算财政拨款收入</c:v>
                </c:pt>
                <c:pt idx="2">
                  <c:v>事业收入</c:v>
                </c:pt>
                <c:pt idx="3">
                  <c:v>其他收入</c:v>
                </c:pt>
              </c:strCache>
            </c:strRef>
          </c:cat>
          <c:val>
            <c:numRef>
              <c:f>'[2023-2024对比数据.xls]Sheet1'!$D$14:$D$17</c:f>
              <c:numCache>
                <c:formatCode>General</c:formatCode>
                <c:ptCount val="4"/>
                <c:pt idx="0">
                  <c:v>340.06</c:v>
                </c:pt>
                <c:pt idx="1">
                  <c:v>0</c:v>
                </c:pt>
                <c:pt idx="2">
                  <c:v>0</c:v>
                </c:pt>
                <c:pt idx="3">
                  <c:v>15.83</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40e52da6-2c94-4600-8c92-9bc23cb79e0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54237134810498"/>
                  <c:y val="-0.089611026762195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34232582503929"/>
                      <c:h val="0.0823329853862213"/>
                    </c:manualLayout>
                  </c15:layout>
                </c:ext>
              </c:extLst>
            </c:dLbl>
            <c:dLbl>
              <c:idx val="1"/>
              <c:layout>
                <c:manualLayout>
                  <c:x val="-0.107356812045819"/>
                  <c:y val="0.0246814741757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'[2023-2024对比数据.xls]Sheet1'!$C$25:$C$26</c:f>
              <c:strCache>
                <c:ptCount val="2"/>
                <c:pt idx="0">
                  <c:v>基本支出</c:v>
                </c:pt>
                <c:pt idx="1">
                  <c:v>项目支出</c:v>
                </c:pt>
              </c:strCache>
            </c:strRef>
          </c:cat>
          <c:val>
            <c:numRef>
              <c:f>'[2023-2024对比数据.xls]Sheet1'!$D$25:$D$26</c:f>
              <c:numCache>
                <c:formatCode>General</c:formatCode>
                <c:ptCount val="2"/>
                <c:pt idx="0">
                  <c:v>301.81</c:v>
                </c:pt>
                <c:pt idx="1">
                  <c:v>54.08</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d38d75c-fc13-4203-bf97-4e5e7f1073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'[2023-2024对比数据.xls]Sheet1'!$B$41:$B$42</c:f>
              <c:strCache>
                <c:ptCount val="2"/>
                <c:pt idx="0">
                  <c:v>2023年</c:v>
                </c:pt>
                <c:pt idx="1">
                  <c:v>2024年</c:v>
                </c:pt>
              </c:strCache>
            </c:strRef>
          </c:cat>
          <c:val>
            <c:numRef>
              <c:f>'[2023-2024对比数据.xls]Sheet1'!$C$41:$C$42</c:f>
              <c:numCache>
                <c:formatCode>General</c:formatCode>
                <c:ptCount val="2"/>
                <c:pt idx="0">
                  <c:v>360.34</c:v>
                </c:pt>
                <c:pt idx="1">
                  <c:v>340.06</c:v>
                </c:pt>
              </c:numCache>
            </c:numRef>
          </c:val>
        </c:ser>
        <c:dLbls>
          <c:showLegendKey val="0"/>
          <c:showVal val="0"/>
          <c:showCatName val="0"/>
          <c:showSerName val="0"/>
          <c:showPercent val="0"/>
          <c:showBubbleSize val="0"/>
        </c:dLbls>
        <c:gapWidth val="219"/>
        <c:overlap val="-27"/>
        <c:axId val="799188113"/>
        <c:axId val="124744907"/>
      </c:barChart>
      <c:catAx>
        <c:axId val="799188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744907"/>
        <c:crosses val="autoZero"/>
        <c:auto val="1"/>
        <c:lblAlgn val="ctr"/>
        <c:lblOffset val="100"/>
        <c:noMultiLvlLbl val="0"/>
      </c:catAx>
      <c:valAx>
        <c:axId val="1247449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9188113"/>
        <c:crosses val="autoZero"/>
        <c:crossBetween val="between"/>
      </c:valAx>
      <c:spPr>
        <a:noFill/>
        <a:ln>
          <a:noFill/>
        </a:ln>
        <a:effectLst/>
      </c:spPr>
    </c:plotArea>
    <c:plotVisOnly val="1"/>
    <c:dispBlanksAs val="gap"/>
    <c:showDLblsOverMax val="0"/>
    <c:extLst>
      <c:ext uri="{0b15fc19-7d7d-44ad-8c2d-2c3a37ce22c3}">
        <chartProps xmlns="https://web.wps.cn/et/2018/main" chartId="{4e06a934-66b8-47b7-bdba-759c111e940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'[2023-2024对比数据.xls]Sheet1'!$B$53:$B$54</c:f>
              <c:strCache>
                <c:ptCount val="2"/>
                <c:pt idx="0">
                  <c:v>2023年</c:v>
                </c:pt>
                <c:pt idx="1">
                  <c:v>2024年</c:v>
                </c:pt>
              </c:strCache>
            </c:strRef>
          </c:cat>
          <c:val>
            <c:numRef>
              <c:f>'[2023-2024对比数据.xls]Sheet1'!$C$53:$C$54</c:f>
              <c:numCache>
                <c:formatCode>General</c:formatCode>
                <c:ptCount val="2"/>
                <c:pt idx="0">
                  <c:v>360.34</c:v>
                </c:pt>
                <c:pt idx="1">
                  <c:v>340.06</c:v>
                </c:pt>
              </c:numCache>
            </c:numRef>
          </c:val>
        </c:ser>
        <c:dLbls>
          <c:showLegendKey val="0"/>
          <c:showVal val="0"/>
          <c:showCatName val="0"/>
          <c:showSerName val="0"/>
          <c:showPercent val="0"/>
          <c:showBubbleSize val="0"/>
        </c:dLbls>
        <c:gapWidth val="219"/>
        <c:overlap val="-27"/>
        <c:axId val="696564788"/>
        <c:axId val="625820851"/>
      </c:barChart>
      <c:catAx>
        <c:axId val="6965647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820851"/>
        <c:crosses val="autoZero"/>
        <c:auto val="1"/>
        <c:lblAlgn val="ctr"/>
        <c:lblOffset val="100"/>
        <c:noMultiLvlLbl val="0"/>
      </c:catAx>
      <c:valAx>
        <c:axId val="6258208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564788"/>
        <c:crosses val="autoZero"/>
        <c:crossBetween val="between"/>
      </c:valAx>
      <c:spPr>
        <a:noFill/>
        <a:ln>
          <a:noFill/>
        </a:ln>
        <a:effectLst/>
      </c:spPr>
    </c:plotArea>
    <c:plotVisOnly val="1"/>
    <c:dispBlanksAs val="gap"/>
    <c:showDLblsOverMax val="0"/>
    <c:extLst>
      <c:ext uri="{0b15fc19-7d7d-44ad-8c2d-2c3a37ce22c3}">
        <chartProps xmlns="https://web.wps.cn/et/2018/main" chartId="{1a36ecc6-8dec-4aca-81dc-8eea3d0f8f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30098723885796"/>
                  <c:y val="-0.04090904548658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52508151022902"/>
                  <c:y val="0.055352990566574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91436695020832"/>
                  <c:y val="0.025382838912675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257914791366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4033656297807"/>
                      <c:h val="0.0982619170538633"/>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'[2024决算公开-公式-部门预算项目支出绩效自评表.xlsx]Sheet1'!$C$7:$C$10</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'[2024决算公开-公式-部门预算项目支出绩效自评表.xlsx]Sheet1'!$D$7:$D$10</c:f>
              <c:numCache>
                <c:formatCode>General</c:formatCode>
                <c:ptCount val="4"/>
                <c:pt idx="0">
                  <c:v>271.81</c:v>
                </c:pt>
                <c:pt idx="1">
                  <c:v>32.73</c:v>
                </c:pt>
                <c:pt idx="2">
                  <c:v>13.08</c:v>
                </c:pt>
                <c:pt idx="3">
                  <c:v>22.44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5c3903b-2343-44e6-adcf-99165fc6836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7762</Words>
  <Characters>8352</Characters>
  <Lines>61</Lines>
  <Paragraphs>17</Paragraphs>
  <TotalTime>2</TotalTime>
  <ScaleCrop>false</ScaleCrop>
  <LinksUpToDate>false</LinksUpToDate>
  <CharactersWithSpaces>8417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2025-08-19T08:06:00Z</cp:lastPrinted>
  <dcterms:modified xsi:type="dcterms:W3CDTF">2025-08-29T03:08:27Z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eyJoZGlkIjoiZGM4NjUzNDA1NDkyY2MxZmJmZThlN2U3ZTFkMjcwOGYifQ==</vt:lpwstr>
  </property>
</Properties>
</file>