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26A61">
      <w:pPr>
        <w:rPr>
          <w:rFonts w:ascii="Times New Roman" w:hAnsi="Times New Roman"/>
        </w:rPr>
      </w:pPr>
      <w:bookmarkStart w:id="0" w:name="_Toc15396475"/>
      <w:bookmarkStart w:id="1" w:name="_Toc15396597"/>
      <w:bookmarkStart w:id="2" w:name="_Toc15378441"/>
      <w:bookmarkStart w:id="3" w:name="_Toc15377425"/>
      <w:bookmarkStart w:id="4" w:name="_Toc15377193"/>
      <w:bookmarkStart w:id="5" w:name="_Toc15306267"/>
    </w:p>
    <w:p w14:paraId="42004B77">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4BBA286D">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1B7172DB">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17C3B5AE">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8259CA5">
      <w:pPr>
        <w:pStyle w:val="8"/>
        <w:jc w:val="center"/>
        <w:rPr>
          <w:rFonts w:hint="eastAsia" w:ascii="Times New Roman" w:eastAsia="方正小标宋简体" w:cs="Times New Roman"/>
          <w:color w:val="auto"/>
          <w:kern w:val="2"/>
          <w:sz w:val="44"/>
          <w:szCs w:val="44"/>
          <w:highlight w:val="none"/>
          <w:lang w:val="en-US" w:eastAsia="zh-CN" w:bidi="ar-SA"/>
        </w:rPr>
      </w:pPr>
      <w:bookmarkStart w:id="6" w:name="_Toc15377426"/>
      <w:bookmarkStart w:id="7" w:name="_Toc15396598"/>
      <w:bookmarkStart w:id="8" w:name="_Toc15378442"/>
      <w:bookmarkStart w:id="9" w:name="_Toc15396476"/>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遂宁市安居区东禅镇中心小学校</w:t>
      </w:r>
    </w:p>
    <w:p w14:paraId="774C1FFF">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27384A0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2DE534F6">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7B689DEC">
      <w:pPr>
        <w:widowControl/>
        <w:jc w:val="center"/>
        <w:rPr>
          <w:rFonts w:ascii="Times New Roman" w:hAnsi="Times New Roman" w:eastAsia="黑体" w:cstheme="minorBidi"/>
          <w:color w:val="auto"/>
          <w:sz w:val="28"/>
          <w:szCs w:val="28"/>
          <w:highlight w:val="none"/>
        </w:rPr>
      </w:pPr>
    </w:p>
    <w:p w14:paraId="2684F4DD">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1119DBDD">
      <w:pPr>
        <w:rPr>
          <w:rFonts w:ascii="Times New Roman" w:hAnsi="Times New Roman"/>
          <w:color w:val="auto"/>
          <w:highlight w:val="none"/>
        </w:rPr>
      </w:pPr>
    </w:p>
    <w:p w14:paraId="4AF04F96">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18"/>
          <w:szCs w:val="1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5150C75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7AE38B1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w:t>
      </w:r>
      <w:r>
        <w:rPr>
          <w:rFonts w:hint="eastAsia" w:eastAsia="仿宋_GB2312" w:cs="仿宋_GB2312"/>
          <w:color w:val="auto"/>
          <w:sz w:val="32"/>
          <w:szCs w:val="32"/>
          <w:highlight w:val="none"/>
          <w:lang w:val="en-US" w:eastAsia="zh-CN"/>
        </w:rPr>
        <w:t xml:space="preserve">机构设置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4C6DA6E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18"/>
          <w:szCs w:val="1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7A8C198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黑体" w:cs="黑体"/>
          <w:color w:val="auto"/>
          <w:sz w:val="18"/>
          <w:szCs w:val="1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39C9A63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黑体" w:cs="黑体"/>
          <w:color w:val="auto"/>
          <w:sz w:val="18"/>
          <w:szCs w:val="1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2769DDE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黑体" w:cs="黑体"/>
          <w:color w:val="auto"/>
          <w:sz w:val="18"/>
          <w:szCs w:val="1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14:paraId="510DD8B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rPr>
        <w:t>收入支出决算总体情况说明</w:t>
      </w:r>
      <w:r>
        <w:rPr>
          <w:rFonts w:hint="eastAsia" w:ascii="Times New Roman" w:hAnsi="Times New Roman" w:eastAsia="黑体" w:cs="黑体"/>
          <w:color w:val="auto"/>
          <w:sz w:val="18"/>
          <w:szCs w:val="1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p>
    <w:p w14:paraId="6B08056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rPr>
        <w:t>支出决算情况说明</w:t>
      </w:r>
      <w:r>
        <w:rPr>
          <w:rFonts w:hint="eastAsia" w:ascii="Times New Roman" w:hAnsi="Times New Roman" w:eastAsia="黑体" w:cs="黑体"/>
          <w:color w:val="auto"/>
          <w:sz w:val="18"/>
          <w:szCs w:val="1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p>
    <w:p w14:paraId="629AFC4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rPr>
        <w:t>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14:paraId="6A826FF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14:paraId="5788E56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p>
    <w:p w14:paraId="25C831D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p>
    <w:p w14:paraId="664EE82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p>
    <w:p w14:paraId="50B2494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18"/>
          <w:szCs w:val="1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16</w:t>
      </w:r>
    </w:p>
    <w:p w14:paraId="1A3B329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18"/>
          <w:szCs w:val="1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w:t>
      </w:r>
    </w:p>
    <w:p w14:paraId="3542AA6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18"/>
          <w:szCs w:val="1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33</w:t>
      </w:r>
    </w:p>
    <w:p w14:paraId="7F2473F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一、收入支出决算总表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48F0581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二、收入决算表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543323F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三、支出决算表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71524EF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bCs w:val="0"/>
          <w:color w:val="auto"/>
          <w:sz w:val="32"/>
          <w:szCs w:val="32"/>
          <w:highlight w:val="none"/>
          <w:lang w:eastAsia="zh-CN"/>
        </w:rPr>
        <w:t>财政拨款</w:t>
      </w:r>
      <w:r>
        <w:rPr>
          <w:rFonts w:hint="eastAsia" w:ascii="仿宋_GB2312" w:hAnsi="仿宋_GB2312" w:eastAsia="仿宋_GB2312" w:cs="仿宋_GB2312"/>
          <w:b w:val="0"/>
          <w:bCs w:val="0"/>
          <w:color w:val="auto"/>
          <w:sz w:val="32"/>
          <w:szCs w:val="32"/>
          <w:highlight w:val="none"/>
        </w:rPr>
        <w:t>收入支出决算总表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5D010CE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bCs w:val="0"/>
          <w:color w:val="auto"/>
          <w:sz w:val="32"/>
          <w:szCs w:val="32"/>
          <w:highlight w:val="none"/>
          <w:lang w:eastAsia="zh-CN"/>
        </w:rPr>
        <w:t>财政拨款</w:t>
      </w:r>
      <w:r>
        <w:rPr>
          <w:rFonts w:hint="eastAsia" w:ascii="仿宋_GB2312" w:hAnsi="仿宋_GB2312" w:eastAsia="仿宋_GB2312" w:cs="仿宋_GB2312"/>
          <w:b w:val="0"/>
          <w:bCs w:val="0"/>
          <w:color w:val="auto"/>
          <w:sz w:val="32"/>
          <w:szCs w:val="32"/>
          <w:highlight w:val="none"/>
        </w:rPr>
        <w:t>支出决算明细表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37BB61B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六、一般公共预算</w:t>
      </w:r>
      <w:r>
        <w:rPr>
          <w:rFonts w:hint="eastAsia" w:ascii="仿宋_GB2312" w:hAnsi="仿宋_GB2312" w:eastAsia="仿宋_GB2312" w:cs="仿宋_GB2312"/>
          <w:b w:val="0"/>
          <w:bCs w:val="0"/>
          <w:color w:val="auto"/>
          <w:sz w:val="32"/>
          <w:szCs w:val="32"/>
          <w:highlight w:val="none"/>
          <w:lang w:eastAsia="zh-CN"/>
        </w:rPr>
        <w:t>财政拨款</w:t>
      </w:r>
      <w:r>
        <w:rPr>
          <w:rFonts w:hint="eastAsia" w:ascii="仿宋_GB2312" w:hAnsi="仿宋_GB2312" w:eastAsia="仿宋_GB2312" w:cs="仿宋_GB2312"/>
          <w:b w:val="0"/>
          <w:bCs w:val="0"/>
          <w:color w:val="auto"/>
          <w:sz w:val="32"/>
          <w:szCs w:val="32"/>
          <w:highlight w:val="none"/>
        </w:rPr>
        <w:t>支出决算表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53BC7BA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七、一般公共预算</w:t>
      </w:r>
      <w:r>
        <w:rPr>
          <w:rFonts w:hint="eastAsia" w:ascii="仿宋_GB2312" w:hAnsi="仿宋_GB2312" w:eastAsia="仿宋_GB2312" w:cs="仿宋_GB2312"/>
          <w:b w:val="0"/>
          <w:bCs w:val="0"/>
          <w:color w:val="auto"/>
          <w:sz w:val="32"/>
          <w:szCs w:val="32"/>
          <w:highlight w:val="none"/>
          <w:lang w:eastAsia="zh-CN"/>
        </w:rPr>
        <w:t>财政拨款</w:t>
      </w:r>
      <w:r>
        <w:rPr>
          <w:rFonts w:hint="eastAsia" w:ascii="仿宋_GB2312" w:hAnsi="仿宋_GB2312" w:eastAsia="仿宋_GB2312" w:cs="仿宋_GB2312"/>
          <w:b w:val="0"/>
          <w:bCs w:val="0"/>
          <w:color w:val="auto"/>
          <w:sz w:val="32"/>
          <w:szCs w:val="32"/>
          <w:highlight w:val="none"/>
        </w:rPr>
        <w:t>支出决算明细表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2C1FD29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八、一般公共预算</w:t>
      </w:r>
      <w:r>
        <w:rPr>
          <w:rFonts w:hint="eastAsia" w:ascii="仿宋_GB2312" w:hAnsi="仿宋_GB2312" w:eastAsia="仿宋_GB2312" w:cs="仿宋_GB2312"/>
          <w:b w:val="0"/>
          <w:bCs w:val="0"/>
          <w:color w:val="auto"/>
          <w:sz w:val="32"/>
          <w:szCs w:val="32"/>
          <w:highlight w:val="none"/>
          <w:lang w:eastAsia="zh-CN"/>
        </w:rPr>
        <w:t>财政拨款</w:t>
      </w:r>
      <w:r>
        <w:rPr>
          <w:rFonts w:hint="eastAsia" w:ascii="仿宋_GB2312" w:hAnsi="仿宋_GB2312" w:eastAsia="仿宋_GB2312" w:cs="仿宋_GB2312"/>
          <w:b w:val="0"/>
          <w:bCs w:val="0"/>
          <w:color w:val="auto"/>
          <w:sz w:val="32"/>
          <w:szCs w:val="32"/>
          <w:highlight w:val="none"/>
        </w:rPr>
        <w:t>基本支出决算明细表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4CAECE8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九、一般公共预算</w:t>
      </w:r>
      <w:r>
        <w:rPr>
          <w:rFonts w:hint="eastAsia" w:ascii="仿宋_GB2312" w:hAnsi="仿宋_GB2312" w:eastAsia="仿宋_GB2312" w:cs="仿宋_GB2312"/>
          <w:b w:val="0"/>
          <w:bCs w:val="0"/>
          <w:color w:val="auto"/>
          <w:sz w:val="32"/>
          <w:szCs w:val="32"/>
          <w:highlight w:val="none"/>
          <w:lang w:eastAsia="zh-CN"/>
        </w:rPr>
        <w:t>财政拨款</w:t>
      </w:r>
      <w:r>
        <w:rPr>
          <w:rFonts w:hint="eastAsia" w:ascii="仿宋_GB2312" w:hAnsi="仿宋_GB2312" w:eastAsia="仿宋_GB2312" w:cs="仿宋_GB2312"/>
          <w:b w:val="0"/>
          <w:bCs w:val="0"/>
          <w:color w:val="auto"/>
          <w:sz w:val="32"/>
          <w:szCs w:val="32"/>
          <w:highlight w:val="none"/>
        </w:rPr>
        <w:t>项目支出决算表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406B7F4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十、政府性基金预算</w:t>
      </w:r>
      <w:r>
        <w:rPr>
          <w:rFonts w:hint="eastAsia" w:ascii="仿宋_GB2312" w:hAnsi="仿宋_GB2312" w:eastAsia="仿宋_GB2312" w:cs="仿宋_GB2312"/>
          <w:b w:val="0"/>
          <w:bCs w:val="0"/>
          <w:color w:val="auto"/>
          <w:sz w:val="32"/>
          <w:szCs w:val="32"/>
          <w:highlight w:val="none"/>
          <w:lang w:eastAsia="zh-CN"/>
        </w:rPr>
        <w:t>财政拨款</w:t>
      </w:r>
      <w:r>
        <w:rPr>
          <w:rFonts w:hint="eastAsia" w:ascii="仿宋_GB2312" w:hAnsi="仿宋_GB2312" w:eastAsia="仿宋_GB2312" w:cs="仿宋_GB2312"/>
          <w:b w:val="0"/>
          <w:bCs w:val="0"/>
          <w:color w:val="auto"/>
          <w:sz w:val="32"/>
          <w:szCs w:val="32"/>
          <w:highlight w:val="none"/>
        </w:rPr>
        <w:t>收入支出决算表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1D20D8A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十一、国有资本经营预算</w:t>
      </w:r>
      <w:r>
        <w:rPr>
          <w:rFonts w:hint="eastAsia" w:ascii="仿宋_GB2312" w:hAnsi="仿宋_GB2312" w:eastAsia="仿宋_GB2312" w:cs="仿宋_GB2312"/>
          <w:b w:val="0"/>
          <w:bCs w:val="0"/>
          <w:color w:val="auto"/>
          <w:sz w:val="32"/>
          <w:szCs w:val="32"/>
          <w:highlight w:val="none"/>
          <w:lang w:eastAsia="zh-CN"/>
        </w:rPr>
        <w:t>财政拨款</w:t>
      </w:r>
      <w:r>
        <w:rPr>
          <w:rFonts w:hint="eastAsia" w:ascii="仿宋_GB2312" w:hAnsi="仿宋_GB2312" w:eastAsia="仿宋_GB2312" w:cs="仿宋_GB2312"/>
          <w:b w:val="0"/>
          <w:bCs w:val="0"/>
          <w:color w:val="auto"/>
          <w:sz w:val="32"/>
          <w:szCs w:val="32"/>
          <w:highlight w:val="none"/>
        </w:rPr>
        <w:t>收入支出决算表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5D38226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十二、国有资本经营预算</w:t>
      </w:r>
      <w:r>
        <w:rPr>
          <w:rFonts w:hint="eastAsia" w:ascii="仿宋_GB2312" w:hAnsi="仿宋_GB2312" w:eastAsia="仿宋_GB2312" w:cs="仿宋_GB2312"/>
          <w:b w:val="0"/>
          <w:bCs w:val="0"/>
          <w:color w:val="auto"/>
          <w:sz w:val="32"/>
          <w:szCs w:val="32"/>
          <w:highlight w:val="none"/>
          <w:lang w:eastAsia="zh-CN"/>
        </w:rPr>
        <w:t>财政拨款</w:t>
      </w:r>
      <w:r>
        <w:rPr>
          <w:rFonts w:hint="eastAsia" w:ascii="仿宋_GB2312" w:hAnsi="仿宋_GB2312" w:eastAsia="仿宋_GB2312" w:cs="仿宋_GB2312"/>
          <w:b w:val="0"/>
          <w:bCs w:val="0"/>
          <w:color w:val="auto"/>
          <w:sz w:val="32"/>
          <w:szCs w:val="32"/>
          <w:highlight w:val="none"/>
        </w:rPr>
        <w:t>支出决算表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3947C50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十三、</w:t>
      </w:r>
      <w:r>
        <w:rPr>
          <w:rFonts w:hint="eastAsia" w:ascii="仿宋_GB2312" w:hAnsi="仿宋_GB2312" w:eastAsia="仿宋_GB2312" w:cs="仿宋_GB2312"/>
          <w:b w:val="0"/>
          <w:bCs w:val="0"/>
          <w:color w:val="auto"/>
          <w:sz w:val="32"/>
          <w:szCs w:val="32"/>
          <w:highlight w:val="none"/>
          <w:lang w:eastAsia="zh-CN"/>
        </w:rPr>
        <w:t>财政拨款</w:t>
      </w:r>
      <w:r>
        <w:rPr>
          <w:rFonts w:hint="eastAsia" w:ascii="仿宋_GB2312" w:hAnsi="仿宋_GB2312" w:eastAsia="仿宋_GB2312" w:cs="仿宋_GB2312"/>
          <w:b w:val="0"/>
          <w:bCs w:val="0"/>
          <w:color w:val="auto"/>
          <w:sz w:val="32"/>
          <w:szCs w:val="32"/>
          <w:highlight w:val="none"/>
        </w:rPr>
        <w:t>“三公”经费支出决算表</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33</w:t>
      </w:r>
    </w:p>
    <w:p w14:paraId="11751EC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3B95B43F">
      <w:pPr>
        <w:pStyle w:val="5"/>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250CD410">
      <w:pPr>
        <w:widowControl/>
        <w:jc w:val="left"/>
        <w:rPr>
          <w:rFonts w:ascii="Times New Roman" w:hAnsi="Times New Roman" w:eastAsia="黑体"/>
          <w:color w:val="auto"/>
          <w:sz w:val="32"/>
          <w:szCs w:val="32"/>
          <w:highlight w:val="none"/>
        </w:rPr>
      </w:pPr>
    </w:p>
    <w:p w14:paraId="723A1F69">
      <w:pPr>
        <w:pStyle w:val="6"/>
        <w:rPr>
          <w:rFonts w:hint="eastAsia" w:ascii="Times New Roman" w:hAnsi="Times New Roman" w:eastAsia="黑体"/>
          <w:b w:val="0"/>
          <w:color w:val="auto"/>
          <w:highlight w:val="none"/>
          <w:lang w:eastAsia="zh-CN"/>
        </w:rPr>
      </w:pPr>
      <w:bookmarkStart w:id="14" w:name="_Toc15377197"/>
      <w:bookmarkStart w:id="15" w:name="_Toc15396600"/>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14:paraId="5B7DFF8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lang w:eastAsia="zh-CN"/>
        </w:rPr>
      </w:pPr>
      <w:r>
        <w:rPr>
          <w:rFonts w:hint="eastAsia" w:ascii="仿宋_GB2312" w:hAnsi="仿宋" w:eastAsia="仿宋_GB2312"/>
          <w:sz w:val="32"/>
          <w:szCs w:val="32"/>
          <w:lang w:eastAsia="zh-CN"/>
        </w:rPr>
        <w:t>四川省</w:t>
      </w:r>
      <w:r>
        <w:rPr>
          <w:rFonts w:hint="eastAsia" w:ascii="仿宋_GB2312" w:hAnsi="仿宋" w:eastAsia="仿宋_GB2312"/>
          <w:sz w:val="32"/>
          <w:szCs w:val="32"/>
        </w:rPr>
        <w:t>遂宁市安居区</w:t>
      </w:r>
      <w:r>
        <w:rPr>
          <w:rFonts w:hint="eastAsia" w:ascii="仿宋_GB2312" w:hAnsi="仿宋" w:eastAsia="仿宋_GB2312"/>
          <w:sz w:val="32"/>
          <w:szCs w:val="32"/>
          <w:lang w:eastAsia="zh-CN"/>
        </w:rPr>
        <w:t>东禅</w:t>
      </w:r>
      <w:r>
        <w:rPr>
          <w:rFonts w:hint="eastAsia" w:ascii="仿宋_GB2312" w:hAnsi="仿宋" w:eastAsia="仿宋_GB2312"/>
          <w:sz w:val="32"/>
          <w:szCs w:val="32"/>
        </w:rPr>
        <w:t>镇中心小学校地处遂宁市安居区</w:t>
      </w:r>
      <w:r>
        <w:rPr>
          <w:rFonts w:hint="eastAsia" w:ascii="仿宋_GB2312" w:hAnsi="仿宋" w:eastAsia="仿宋_GB2312"/>
          <w:sz w:val="32"/>
          <w:szCs w:val="32"/>
          <w:lang w:val="en-US" w:eastAsia="zh-CN"/>
        </w:rPr>
        <w:t>东禅镇琼江上路149号</w:t>
      </w:r>
      <w:r>
        <w:rPr>
          <w:rFonts w:hint="eastAsia" w:ascii="仿宋_GB2312" w:hAnsi="仿宋" w:eastAsia="仿宋_GB2312"/>
          <w:sz w:val="32"/>
          <w:szCs w:val="32"/>
        </w:rPr>
        <w:t>，占地面积</w:t>
      </w:r>
      <w:r>
        <w:rPr>
          <w:rFonts w:hint="eastAsia" w:ascii="仿宋_GB2312" w:hAnsi="仿宋" w:eastAsia="仿宋_GB2312"/>
          <w:sz w:val="32"/>
          <w:szCs w:val="32"/>
          <w:lang w:val="en-US" w:eastAsia="zh-CN"/>
        </w:rPr>
        <w:t>24500多</w:t>
      </w:r>
      <w:r>
        <w:rPr>
          <w:rFonts w:hint="eastAsia" w:ascii="仿宋_GB2312" w:hAnsi="仿宋" w:eastAsia="仿宋_GB2312"/>
          <w:sz w:val="32"/>
          <w:szCs w:val="32"/>
        </w:rPr>
        <w:t>平方米，</w:t>
      </w:r>
      <w:r>
        <w:rPr>
          <w:rFonts w:hint="eastAsia" w:ascii="仿宋_GB2312" w:hAnsi="仿宋" w:eastAsia="仿宋_GB2312"/>
          <w:sz w:val="32"/>
          <w:szCs w:val="32"/>
          <w:lang w:eastAsia="zh-CN"/>
        </w:rPr>
        <w:t>我校</w:t>
      </w:r>
      <w:r>
        <w:rPr>
          <w:rFonts w:hint="eastAsia" w:ascii="仿宋_GB2312" w:hAnsi="仿宋" w:eastAsia="仿宋_GB2312"/>
          <w:sz w:val="32"/>
          <w:szCs w:val="32"/>
        </w:rPr>
        <w:t>主要服务区域为</w:t>
      </w:r>
      <w:r>
        <w:rPr>
          <w:rFonts w:hint="eastAsia" w:ascii="仿宋_GB2312" w:hAnsi="仿宋" w:eastAsia="仿宋_GB2312"/>
          <w:sz w:val="32"/>
          <w:szCs w:val="32"/>
          <w:lang w:eastAsia="zh-CN"/>
        </w:rPr>
        <w:t>四川省</w:t>
      </w:r>
      <w:r>
        <w:rPr>
          <w:rFonts w:hint="eastAsia" w:ascii="仿宋_GB2312" w:hAnsi="仿宋" w:eastAsia="仿宋_GB2312"/>
          <w:sz w:val="32"/>
          <w:szCs w:val="32"/>
        </w:rPr>
        <w:t>遂宁市</w:t>
      </w:r>
      <w:r>
        <w:rPr>
          <w:rFonts w:hint="eastAsia" w:ascii="仿宋_GB2312" w:hAnsi="仿宋" w:eastAsia="仿宋_GB2312"/>
          <w:sz w:val="32"/>
          <w:szCs w:val="32"/>
          <w:lang w:eastAsia="zh-CN"/>
        </w:rPr>
        <w:t>安居区东禅镇</w:t>
      </w:r>
      <w:r>
        <w:rPr>
          <w:rFonts w:hint="eastAsia" w:ascii="仿宋_GB2312" w:hAnsi="仿宋" w:eastAsia="仿宋_GB2312"/>
          <w:sz w:val="32"/>
          <w:szCs w:val="32"/>
        </w:rPr>
        <w:t>所辖行政区及附近区域</w:t>
      </w:r>
      <w:r>
        <w:rPr>
          <w:rFonts w:hint="eastAsia" w:ascii="仿宋_GB2312" w:hAnsi="仿宋" w:eastAsia="仿宋_GB2312"/>
          <w:sz w:val="32"/>
          <w:szCs w:val="32"/>
          <w:lang w:eastAsia="zh-CN"/>
        </w:rPr>
        <w:t>。我校正确贯彻执行党和国家的教育方针、政策、法规；实施小学义务教育，促进基础教育发展，负责小学学历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w:t>
      </w:r>
      <w:r>
        <w:rPr>
          <w:rFonts w:hint="eastAsia" w:ascii="仿宋_GB2312" w:hAnsi="仿宋" w:eastAsia="仿宋_GB2312"/>
          <w:sz w:val="32"/>
          <w:szCs w:val="32"/>
          <w:lang w:val="en-US" w:eastAsia="zh-CN"/>
        </w:rPr>
        <w:t>身</w:t>
      </w:r>
      <w:r>
        <w:rPr>
          <w:rFonts w:hint="eastAsia" w:ascii="仿宋_GB2312" w:hAnsi="仿宋" w:eastAsia="仿宋_GB2312"/>
          <w:sz w:val="32"/>
          <w:szCs w:val="32"/>
          <w:lang w:eastAsia="zh-CN"/>
        </w:rPr>
        <w:t>安全</w:t>
      </w:r>
    </w:p>
    <w:p w14:paraId="213EE133">
      <w:pPr>
        <w:pStyle w:val="6"/>
        <w:rPr>
          <w:rStyle w:val="30"/>
          <w:rFonts w:ascii="Times New Roman" w:hAnsi="Times New Roman"/>
          <w:b w:val="0"/>
          <w:bCs w:val="0"/>
          <w:color w:val="auto"/>
          <w:highlight w:val="none"/>
        </w:rPr>
      </w:pPr>
      <w:bookmarkStart w:id="16" w:name="_Toc15396601"/>
      <w:bookmarkStart w:id="17"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p>
    <w:p w14:paraId="1E8BE91A">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我校为独立编制机构1</w:t>
      </w:r>
      <w:r>
        <w:rPr>
          <w:rFonts w:hint="eastAsia" w:ascii="仿宋_GB2312" w:hAnsi="仿宋" w:eastAsia="仿宋_GB2312"/>
          <w:sz w:val="32"/>
          <w:szCs w:val="32"/>
          <w:lang w:eastAsia="zh-CN"/>
        </w:rPr>
        <w:t>个</w:t>
      </w:r>
      <w:r>
        <w:rPr>
          <w:rFonts w:hint="eastAsia" w:ascii="仿宋_GB2312" w:hAnsi="仿宋" w:eastAsia="仿宋_GB2312"/>
          <w:sz w:val="32"/>
          <w:szCs w:val="32"/>
        </w:rPr>
        <w:t>，独立核算机构1</w:t>
      </w:r>
      <w:r>
        <w:rPr>
          <w:rFonts w:hint="eastAsia" w:ascii="仿宋_GB2312" w:hAnsi="仿宋" w:eastAsia="仿宋_GB2312"/>
          <w:sz w:val="32"/>
          <w:szCs w:val="32"/>
          <w:lang w:eastAsia="zh-CN"/>
        </w:rPr>
        <w:t>个</w:t>
      </w:r>
      <w:r>
        <w:rPr>
          <w:rFonts w:hint="eastAsia" w:ascii="仿宋_GB2312" w:hAnsi="仿宋" w:eastAsia="仿宋_GB2312"/>
          <w:sz w:val="32"/>
          <w:szCs w:val="32"/>
        </w:rPr>
        <w:t>。</w:t>
      </w:r>
    </w:p>
    <w:p w14:paraId="1315833F">
      <w:pPr>
        <w:pStyle w:val="8"/>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仿宋_GB2312" w:hAnsi="仿宋" w:eastAsia="仿宋_GB2312"/>
          <w:sz w:val="32"/>
          <w:szCs w:val="32"/>
        </w:rPr>
        <w:t>我校现有在编教师</w:t>
      </w:r>
      <w:r>
        <w:rPr>
          <w:rFonts w:hint="eastAsia" w:hAnsi="仿宋"/>
          <w:sz w:val="32"/>
          <w:szCs w:val="32"/>
          <w:lang w:val="en-US" w:eastAsia="zh-CN"/>
        </w:rPr>
        <w:t>75</w:t>
      </w:r>
      <w:r>
        <w:rPr>
          <w:rFonts w:hint="eastAsia" w:ascii="仿宋_GB2312" w:hAnsi="仿宋" w:eastAsia="仿宋_GB2312"/>
          <w:sz w:val="32"/>
          <w:szCs w:val="32"/>
        </w:rPr>
        <w:t>人，遗属</w:t>
      </w:r>
      <w:r>
        <w:rPr>
          <w:rFonts w:hint="eastAsia" w:ascii="仿宋_GB2312" w:hAnsi="仿宋" w:eastAsia="仿宋_GB2312"/>
          <w:sz w:val="32"/>
          <w:szCs w:val="32"/>
          <w:lang w:val="en-US" w:eastAsia="zh-CN"/>
        </w:rPr>
        <w:t>1</w:t>
      </w:r>
      <w:r>
        <w:rPr>
          <w:rFonts w:hint="eastAsia" w:hAnsi="仿宋"/>
          <w:sz w:val="32"/>
          <w:szCs w:val="32"/>
          <w:lang w:val="en-US" w:eastAsia="zh-CN"/>
        </w:rPr>
        <w:t>8</w:t>
      </w:r>
      <w:r>
        <w:rPr>
          <w:rFonts w:hint="eastAsia" w:ascii="仿宋_GB2312" w:hAnsi="仿宋" w:eastAsia="仿宋_GB2312"/>
          <w:sz w:val="32"/>
          <w:szCs w:val="32"/>
        </w:rPr>
        <w:t>人</w:t>
      </w:r>
      <w:r>
        <w:rPr>
          <w:rFonts w:hint="eastAsia" w:ascii="仿宋_GB2312" w:hAnsi="仿宋" w:eastAsia="仿宋_GB2312"/>
          <w:sz w:val="32"/>
          <w:szCs w:val="32"/>
          <w:lang w:eastAsia="zh-CN"/>
        </w:rPr>
        <w:t>，退休教师</w:t>
      </w:r>
      <w:r>
        <w:rPr>
          <w:rFonts w:hint="eastAsia" w:hAnsi="仿宋"/>
          <w:sz w:val="32"/>
          <w:szCs w:val="32"/>
          <w:lang w:val="en-US" w:eastAsia="zh-CN"/>
        </w:rPr>
        <w:t>159</w:t>
      </w:r>
      <w:r>
        <w:rPr>
          <w:rFonts w:hint="eastAsia" w:ascii="仿宋_GB2312" w:hAnsi="仿宋" w:eastAsia="仿宋_GB2312"/>
          <w:sz w:val="32"/>
          <w:szCs w:val="32"/>
          <w:lang w:val="en-US" w:eastAsia="zh-CN"/>
        </w:rPr>
        <w:t>人</w:t>
      </w:r>
      <w:r>
        <w:rPr>
          <w:rFonts w:hint="eastAsia" w:ascii="仿宋_GB2312" w:hAnsi="仿宋" w:eastAsia="仿宋_GB2312"/>
          <w:sz w:val="32"/>
          <w:szCs w:val="32"/>
        </w:rPr>
        <w:t>。学生</w:t>
      </w:r>
      <w:r>
        <w:rPr>
          <w:rFonts w:hint="eastAsia" w:hAnsi="仿宋"/>
          <w:sz w:val="32"/>
          <w:szCs w:val="32"/>
          <w:lang w:val="en-US" w:eastAsia="zh-CN"/>
        </w:rPr>
        <w:t>691</w:t>
      </w:r>
      <w:r>
        <w:rPr>
          <w:rFonts w:hint="eastAsia" w:ascii="仿宋_GB2312" w:hAnsi="仿宋" w:eastAsia="仿宋_GB2312"/>
          <w:sz w:val="32"/>
          <w:szCs w:val="32"/>
        </w:rPr>
        <w:t>人</w:t>
      </w:r>
      <w:r>
        <w:rPr>
          <w:rFonts w:hint="eastAsia" w:ascii="仿宋_GB2312" w:hAnsi="仿宋" w:eastAsia="仿宋_GB2312"/>
          <w:sz w:val="32"/>
          <w:szCs w:val="32"/>
          <w:lang w:eastAsia="zh-CN"/>
        </w:rPr>
        <w:t>。学校现设有行政办、德育处、教导处、后勤处等部门。</w:t>
      </w:r>
    </w:p>
    <w:p w14:paraId="65FB2BF4">
      <w:pPr>
        <w:widowControl/>
        <w:jc w:val="left"/>
        <w:rPr>
          <w:rFonts w:ascii="Times New Roman" w:hAnsi="Times New Roman" w:eastAsia="仿宋_GB2312"/>
          <w:color w:val="auto"/>
          <w:kern w:val="0"/>
          <w:sz w:val="32"/>
          <w:szCs w:val="32"/>
          <w:highlight w:val="none"/>
        </w:rPr>
      </w:pPr>
      <w:r>
        <w:rPr>
          <w:rFonts w:ascii="Times New Roman" w:hAnsi="Times New Roman" w:eastAsia="仿宋_GB2312"/>
          <w:color w:val="auto"/>
          <w:sz w:val="32"/>
          <w:szCs w:val="32"/>
          <w:highlight w:val="none"/>
        </w:rPr>
        <w:br w:type="page"/>
      </w:r>
    </w:p>
    <w:p w14:paraId="5266FEE1">
      <w:pPr>
        <w:pStyle w:val="5"/>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2CF39FE9">
      <w:pPr>
        <w:rPr>
          <w:rFonts w:ascii="Times New Roman" w:hAnsi="Times New Roman"/>
          <w:color w:val="auto"/>
          <w:highlight w:val="none"/>
        </w:rPr>
      </w:pPr>
    </w:p>
    <w:p w14:paraId="266508B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0"/>
      <w:bookmarkEnd w:id="21"/>
    </w:p>
    <w:p w14:paraId="1194531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2236.46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481.86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27.46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本年度单位教职员工工资</w:t>
      </w:r>
      <w:r>
        <w:rPr>
          <w:rFonts w:hint="eastAsia" w:eastAsia="仿宋_GB2312" w:cs="仿宋_GB2312"/>
          <w:color w:val="auto"/>
          <w:sz w:val="32"/>
          <w:szCs w:val="32"/>
          <w:highlight w:val="none"/>
          <w:lang w:val="en-US" w:eastAsia="zh-CN"/>
        </w:rPr>
        <w:t>增加及五险两金增加导致人员经费增加；本年度单位新增校园维修项目“义务教育薄弱环节改善与能力提升建设项目”增加政府性基金预算财政拨款；本年度学生伙食费和学生课后服务费纳入了决算。故本年度收入、支出增加。</w:t>
      </w:r>
    </w:p>
    <w:p w14:paraId="2A9D96FF">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eastAsia="仿宋_GB2312" w:cs="仿宋_GB2312"/>
          <w:color w:val="auto"/>
          <w:sz w:val="32"/>
          <w:szCs w:val="32"/>
          <w:highlight w:val="none"/>
          <w:lang w:val="en-US" w:eastAsia="zh-CN"/>
        </w:rPr>
      </w:pPr>
      <w:r>
        <w:drawing>
          <wp:inline distT="0" distB="0" distL="114300" distR="114300">
            <wp:extent cx="3857625" cy="2727325"/>
            <wp:effectExtent l="4445" t="4445" r="5080" b="11430"/>
            <wp:docPr id="17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AF7F2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4FFBBFF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_GB2312" w:cs="仿宋_GB2312"/>
          <w:color w:val="auto"/>
          <w:sz w:val="32"/>
          <w:szCs w:val="32"/>
          <w:highlight w:val="none"/>
        </w:rPr>
      </w:pPr>
    </w:p>
    <w:p w14:paraId="5FCC879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2"/>
      <w:bookmarkEnd w:id="23"/>
    </w:p>
    <w:p w14:paraId="50F4A75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2236.46万元，其中：一般公共预算</w:t>
      </w:r>
      <w:r>
        <w:rPr>
          <w:rFonts w:hint="eastAsia" w:ascii="仿宋_GB2312" w:hAnsi="仿宋_GB2312" w:eastAsia="仿宋_GB2312" w:cs="仿宋_GB2312"/>
          <w:sz w:val="32"/>
          <w:szCs w:val="32"/>
          <w:lang w:eastAsia="zh-CN"/>
        </w:rPr>
        <w:t>财政拨款</w:t>
      </w:r>
      <w:r>
        <w:rPr>
          <w:rFonts w:hint="eastAsia" w:ascii="仿宋_GB2312" w:hAnsi="仿宋_GB2312" w:eastAsia="仿宋_GB2312" w:cs="仿宋_GB2312"/>
          <w:sz w:val="32"/>
          <w:szCs w:val="32"/>
        </w:rPr>
        <w:t>收入1875.05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83.84</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8.94</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161.41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14:paraId="5F468AB6">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仿宋_GB2312" w:hAnsi="仿宋_GB2312" w:eastAsia="仿宋_GB2312" w:cs="仿宋_GB2312"/>
          <w:color w:val="auto"/>
          <w:sz w:val="32"/>
          <w:szCs w:val="32"/>
          <w:highlight w:val="none"/>
          <w:lang w:eastAsia="zh-CN"/>
        </w:rPr>
      </w:pPr>
      <w:r>
        <w:drawing>
          <wp:inline distT="0" distB="0" distL="114300" distR="114300">
            <wp:extent cx="4546600" cy="3900170"/>
            <wp:effectExtent l="4445" t="4445" r="20955" b="196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A0EF37">
      <w:pPr>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674122F6">
      <w:pPr>
        <w:ind w:firstLine="800" w:firstLineChars="250"/>
        <w:rPr>
          <w:rFonts w:hint="eastAsia" w:ascii="Times New Roman" w:hAnsi="Times New Roman" w:eastAsia="仿宋_GB2312" w:cs="仿宋_GB2312"/>
          <w:color w:val="auto"/>
          <w:sz w:val="32"/>
          <w:szCs w:val="32"/>
          <w:highlight w:val="none"/>
          <w:lang w:eastAsia="zh-CN"/>
        </w:rPr>
      </w:pPr>
    </w:p>
    <w:p w14:paraId="08AF7B2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4"/>
      <w:bookmarkEnd w:id="25"/>
    </w:p>
    <w:p w14:paraId="098A6F8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2236.46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1771.75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79.2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464.71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20.7</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w:t>
      </w:r>
    </w:p>
    <w:p w14:paraId="7E7AE20C">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仿宋_GB2312" w:hAnsi="仿宋_GB2312" w:eastAsia="仿宋_GB2312" w:cs="仿宋_GB2312"/>
          <w:color w:val="auto"/>
          <w:sz w:val="32"/>
          <w:szCs w:val="32"/>
          <w:highlight w:val="none"/>
          <w:lang w:eastAsia="zh-CN"/>
        </w:rPr>
      </w:pPr>
      <w:r>
        <w:drawing>
          <wp:inline distT="0" distB="0" distL="114300" distR="114300">
            <wp:extent cx="3629025" cy="3905250"/>
            <wp:effectExtent l="4445" t="4445" r="5080" b="14605"/>
            <wp:docPr id="172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587DDC">
      <w:pPr>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22A8CAD4">
      <w:pPr>
        <w:ind w:firstLine="800" w:firstLineChars="250"/>
        <w:rPr>
          <w:rFonts w:hint="eastAsia" w:ascii="Times New Roman" w:hAnsi="Times New Roman" w:eastAsia="仿宋_GB2312" w:cs="仿宋_GB2312"/>
          <w:color w:val="auto"/>
          <w:sz w:val="32"/>
          <w:szCs w:val="32"/>
          <w:highlight w:val="none"/>
          <w:lang w:eastAsia="zh-CN"/>
        </w:rPr>
      </w:pPr>
    </w:p>
    <w:p w14:paraId="255CA2F1">
      <w:pPr>
        <w:spacing w:line="600" w:lineRule="exact"/>
        <w:ind w:firstLine="640" w:firstLineChars="200"/>
        <w:outlineLvl w:val="1"/>
        <w:rPr>
          <w:rStyle w:val="30"/>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w:t>
      </w:r>
      <w:r>
        <w:rPr>
          <w:rFonts w:hint="eastAsia" w:eastAsia="黑体"/>
          <w:color w:val="auto"/>
          <w:sz w:val="32"/>
          <w:szCs w:val="32"/>
          <w:highlight w:val="none"/>
          <w:lang w:eastAsia="zh-CN"/>
        </w:rPr>
        <w:t>财政拨款</w:t>
      </w:r>
      <w:r>
        <w:rPr>
          <w:rStyle w:val="30"/>
          <w:rFonts w:hint="eastAsia" w:ascii="Times New Roman" w:hAnsi="Times New Roman" w:eastAsia="黑体"/>
          <w:b w:val="0"/>
          <w:color w:val="auto"/>
          <w:highlight w:val="none"/>
        </w:rPr>
        <w:t>收入支出决算总体情况说明</w:t>
      </w:r>
      <w:bookmarkEnd w:id="26"/>
      <w:bookmarkEnd w:id="27"/>
    </w:p>
    <w:p w14:paraId="134F7C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收入、支出总计均为</w:t>
      </w:r>
      <w:r>
        <w:rPr>
          <w:rFonts w:hint="eastAsia" w:ascii="仿宋_GB2312" w:hAnsi="仿宋_GB2312" w:eastAsia="仿宋_GB2312" w:cs="仿宋_GB2312"/>
          <w:sz w:val="32"/>
          <w:szCs w:val="32"/>
        </w:rPr>
        <w:t>2075.05</w:t>
      </w:r>
      <w:r>
        <w:rPr>
          <w:rFonts w:hint="eastAsia" w:ascii="Times New Roman" w:hAnsi="Times New Roman" w:eastAsia="仿宋_GB2312" w:cs="仿宋_GB2312"/>
          <w:color w:val="auto"/>
          <w:kern w:val="2"/>
          <w:sz w:val="32"/>
          <w:szCs w:val="32"/>
          <w:highlight w:val="none"/>
          <w:lang w:val="en-US" w:eastAsia="zh-CN" w:bidi="ar-SA"/>
        </w:rPr>
        <w:t>万元。与2023年度相比，</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收入总计、支出总计各增加</w:t>
      </w:r>
      <w:r>
        <w:rPr>
          <w:rFonts w:hint="eastAsia" w:eastAsia="仿宋_GB2312" w:cs="仿宋_GB2312"/>
          <w:color w:val="auto"/>
          <w:kern w:val="2"/>
          <w:sz w:val="32"/>
          <w:szCs w:val="32"/>
          <w:highlight w:val="none"/>
          <w:lang w:val="en-US" w:eastAsia="zh-CN" w:bidi="ar-SA"/>
        </w:rPr>
        <w:t>320.45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18.26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本年度单位教职员工工资</w:t>
      </w:r>
      <w:r>
        <w:rPr>
          <w:rFonts w:hint="eastAsia" w:eastAsia="仿宋_GB2312" w:cs="仿宋_GB2312"/>
          <w:color w:val="auto"/>
          <w:sz w:val="32"/>
          <w:szCs w:val="32"/>
          <w:highlight w:val="none"/>
          <w:lang w:val="en-US" w:eastAsia="zh-CN"/>
        </w:rPr>
        <w:t>增加及五险两金增加导致人员经费增加；本年度单位新增校园维修项目“义务教育薄弱环节改善与能力提升建设项目”增加政府性基金预算财政拨款。</w:t>
      </w:r>
    </w:p>
    <w:p w14:paraId="49612824">
      <w:pPr>
        <w:pStyle w:val="2"/>
        <w:ind w:left="0" w:leftChars="0" w:firstLine="0" w:firstLineChars="0"/>
        <w:jc w:val="center"/>
        <w:rPr>
          <w:rFonts w:hint="eastAsia"/>
          <w:lang w:val="en-US" w:eastAsia="zh-CN"/>
        </w:rPr>
      </w:pPr>
      <w:r>
        <w:drawing>
          <wp:inline distT="0" distB="0" distL="114300" distR="114300">
            <wp:extent cx="4572000" cy="2742565"/>
            <wp:effectExtent l="4445" t="4445" r="14605" b="15240"/>
            <wp:docPr id="172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B9AABA">
      <w:pPr>
        <w:spacing w:line="600" w:lineRule="exact"/>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收、支决算总计变动情况）</w:t>
      </w:r>
    </w:p>
    <w:p w14:paraId="5225ED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CC580F">
      <w:pPr>
        <w:spacing w:line="600" w:lineRule="exact"/>
        <w:ind w:firstLine="640" w:firstLineChars="200"/>
        <w:outlineLvl w:val="1"/>
        <w:rPr>
          <w:rStyle w:val="30"/>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w:t>
      </w:r>
      <w:r>
        <w:rPr>
          <w:rStyle w:val="30"/>
          <w:rFonts w:hint="eastAsia" w:eastAsia="黑体"/>
          <w:b w:val="0"/>
          <w:color w:val="auto"/>
          <w:highlight w:val="none"/>
          <w:lang w:eastAsia="zh-CN"/>
        </w:rPr>
        <w:t>财政拨款</w:t>
      </w:r>
      <w:r>
        <w:rPr>
          <w:rStyle w:val="30"/>
          <w:rFonts w:hint="eastAsia" w:ascii="Times New Roman" w:hAnsi="Times New Roman" w:eastAsia="黑体"/>
          <w:b w:val="0"/>
          <w:color w:val="auto"/>
          <w:highlight w:val="none"/>
        </w:rPr>
        <w:t>支出决算情况说明</w:t>
      </w:r>
      <w:bookmarkEnd w:id="28"/>
      <w:bookmarkEnd w:id="29"/>
    </w:p>
    <w:p w14:paraId="67F888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w:t>
      </w:r>
      <w:r>
        <w:rPr>
          <w:rFonts w:hint="eastAsia" w:eastAsia="楷体_GB2312" w:cs="楷体_GB2312"/>
          <w:b/>
          <w:color w:val="auto"/>
          <w:sz w:val="32"/>
          <w:szCs w:val="32"/>
          <w:highlight w:val="none"/>
          <w:lang w:eastAsia="zh-CN"/>
        </w:rPr>
        <w:t>财政拨款</w:t>
      </w:r>
      <w:r>
        <w:rPr>
          <w:rFonts w:hint="eastAsia" w:ascii="Times New Roman" w:hAnsi="Times New Roman" w:eastAsia="楷体_GB2312" w:cs="楷体_GB2312"/>
          <w:b/>
          <w:color w:val="auto"/>
          <w:sz w:val="32"/>
          <w:szCs w:val="32"/>
          <w:highlight w:val="none"/>
        </w:rPr>
        <w:t>支出决算总体情况</w:t>
      </w:r>
      <w:bookmarkEnd w:id="30"/>
    </w:p>
    <w:p w14:paraId="39BE818A">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1875.05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83.84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%。与2023年度相比，一般公共预算财政拨款支出增加120万元，增长6.86%。主要变动原因是</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本年度单位教职员工工资</w:t>
      </w:r>
      <w:r>
        <w:rPr>
          <w:rFonts w:hint="eastAsia" w:eastAsia="仿宋_GB2312" w:cs="仿宋_GB2312"/>
          <w:color w:val="auto"/>
          <w:sz w:val="32"/>
          <w:szCs w:val="32"/>
          <w:highlight w:val="none"/>
          <w:lang w:val="en-US" w:eastAsia="zh-CN"/>
        </w:rPr>
        <w:t>增加及五险两金增加导致人员经费增加。</w:t>
      </w:r>
    </w:p>
    <w:p w14:paraId="2A4261A5">
      <w:pPr>
        <w:pStyle w:val="2"/>
        <w:ind w:left="0" w:leftChars="0" w:firstLine="0" w:firstLineChars="0"/>
        <w:jc w:val="center"/>
        <w:rPr>
          <w:rFonts w:hint="eastAsia"/>
          <w:lang w:val="en-US" w:eastAsia="zh-CN"/>
        </w:rPr>
      </w:pPr>
      <w:r>
        <w:drawing>
          <wp:inline distT="0" distB="0" distL="114300" distR="114300">
            <wp:extent cx="4874260" cy="3314065"/>
            <wp:effectExtent l="4445" t="5080" r="17145" b="14605"/>
            <wp:docPr id="172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7F5CCA">
      <w:pPr>
        <w:spacing w:line="600" w:lineRule="exact"/>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支出决算变动情况）</w:t>
      </w:r>
    </w:p>
    <w:p w14:paraId="0A3D1FAB">
      <w:pPr>
        <w:pStyle w:val="2"/>
        <w:rPr>
          <w:rFonts w:hint="eastAsia"/>
          <w:lang w:val="en-US" w:eastAsia="zh-CN"/>
        </w:rPr>
      </w:pPr>
    </w:p>
    <w:p w14:paraId="662E4A8C">
      <w:pPr>
        <w:pStyle w:val="3"/>
        <w:rPr>
          <w:rFonts w:hint="eastAsia"/>
          <w:lang w:val="en-US" w:eastAsia="zh-CN"/>
        </w:rPr>
      </w:pPr>
    </w:p>
    <w:p w14:paraId="0E077A4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w:t>
      </w:r>
      <w:r>
        <w:rPr>
          <w:rFonts w:hint="eastAsia" w:eastAsia="楷体_GB2312" w:cs="楷体_GB2312"/>
          <w:b/>
          <w:color w:val="auto"/>
          <w:sz w:val="32"/>
          <w:szCs w:val="32"/>
          <w:highlight w:val="none"/>
          <w:lang w:eastAsia="zh-CN"/>
        </w:rPr>
        <w:t>财政拨款</w:t>
      </w:r>
      <w:r>
        <w:rPr>
          <w:rFonts w:hint="eastAsia" w:ascii="Times New Roman" w:hAnsi="Times New Roman" w:eastAsia="楷体_GB2312" w:cs="楷体_GB2312"/>
          <w:b/>
          <w:color w:val="auto"/>
          <w:sz w:val="32"/>
          <w:szCs w:val="32"/>
          <w:highlight w:val="none"/>
        </w:rPr>
        <w:t>支出决算结构情况</w:t>
      </w:r>
      <w:bookmarkEnd w:id="31"/>
    </w:p>
    <w:p w14:paraId="6A36D046">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ascii="仿宋_GB2312" w:hAnsi="仿宋_GB2312" w:eastAsia="仿宋_GB2312" w:cs="仿宋_GB2312"/>
          <w:sz w:val="32"/>
          <w:szCs w:val="32"/>
        </w:rPr>
        <w:t>1875.05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1438.84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76.74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256.3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13.67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68.27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3.64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111.64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5.95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EB95C76">
      <w:pPr>
        <w:pStyle w:val="2"/>
        <w:rPr>
          <w:rFonts w:hint="eastAsia"/>
          <w:lang w:val="en-US" w:eastAsia="zh-CN"/>
        </w:rPr>
      </w:pPr>
      <w:r>
        <w:drawing>
          <wp:inline distT="0" distB="0" distL="114300" distR="114300">
            <wp:extent cx="5114925" cy="3533775"/>
            <wp:effectExtent l="4445" t="4445" r="5080" b="5080"/>
            <wp:docPr id="172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7068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支出决算结构）</w:t>
      </w:r>
    </w:p>
    <w:p w14:paraId="7A54D5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B9377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w:t>
      </w:r>
      <w:r>
        <w:rPr>
          <w:rFonts w:hint="eastAsia" w:eastAsia="楷体_GB2312" w:cs="楷体_GB2312"/>
          <w:b/>
          <w:color w:val="auto"/>
          <w:sz w:val="32"/>
          <w:szCs w:val="32"/>
          <w:highlight w:val="none"/>
          <w:lang w:eastAsia="zh-CN"/>
        </w:rPr>
        <w:t>财政拨款</w:t>
      </w:r>
      <w:r>
        <w:rPr>
          <w:rFonts w:hint="eastAsia" w:ascii="Times New Roman" w:hAnsi="Times New Roman" w:eastAsia="楷体_GB2312" w:cs="楷体_GB2312"/>
          <w:b/>
          <w:color w:val="auto"/>
          <w:sz w:val="32"/>
          <w:szCs w:val="32"/>
          <w:highlight w:val="none"/>
        </w:rPr>
        <w:t>支出决算具体情况</w:t>
      </w:r>
      <w:bookmarkEnd w:id="32"/>
    </w:p>
    <w:p w14:paraId="1539E7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444"/>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支出决算数为</w:t>
      </w:r>
      <w:r>
        <w:rPr>
          <w:rFonts w:hint="eastAsia" w:ascii="仿宋_GB2312" w:hAnsi="仿宋_GB2312" w:eastAsia="仿宋_GB2312" w:cs="仿宋_GB2312"/>
          <w:sz w:val="32"/>
          <w:szCs w:val="32"/>
        </w:rPr>
        <w:t>1875.05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53914506">
      <w:pPr>
        <w:numPr>
          <w:ilvl w:val="0"/>
          <w:numId w:val="1"/>
        </w:num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教育支出205(类)普通教育02(款)学前教育01(款)：支出决算为11.03万元，完成预算100%。</w:t>
      </w:r>
    </w:p>
    <w:p w14:paraId="7C342E4A">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教育支出205(类)普通教育02(款)小学教育02(款)：支出决算为1385.13万元，完成预算100%。</w:t>
      </w:r>
    </w:p>
    <w:p w14:paraId="43135631">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教育支出205(类)普通教育02(款)其他普通教育支出99(款)：支出决算为1.69万元，完成预算100%。</w:t>
      </w:r>
    </w:p>
    <w:p w14:paraId="77ECFB39">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教育支出205(类)教育费附加安排的支出09(款)其他教育费附加安排的支出99(款)：支出决算为38.95万元，完成预算100%。</w:t>
      </w:r>
    </w:p>
    <w:p w14:paraId="713E8B8E">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教育支出205(类)其他教育支出99(款)其他教育支出99(款)：支出决算为2.04万元，完成预算100%。</w:t>
      </w:r>
    </w:p>
    <w:p w14:paraId="7EE936C2">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社会保障和就业支出208(类)行政事业单位养老支出05(款)事业单位离退休02(款)：支出决算为50.3万元，完成预算100%。</w:t>
      </w:r>
    </w:p>
    <w:p w14:paraId="65BAEB93">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社会保障和就业支出208(类)行政事业单位养老支出05(款)机关事业单位基本养老保险缴费支出05(款)：支出决算为154.13万元，完成预算100%。</w:t>
      </w:r>
    </w:p>
    <w:p w14:paraId="5D4C9C9C">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社会保障和就业支出208(类)行政事业单位养老支出05(款)其他行政事业单位养老支出99(款)：支出决算为28.92万元，完成预算100%。</w:t>
      </w:r>
    </w:p>
    <w:p w14:paraId="3F7523F8">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社会保障和就业支出208(类)抚恤08(款)死亡抚恤01(款)：支出决算为9.12万元，完成预算100%。</w:t>
      </w:r>
    </w:p>
    <w:p w14:paraId="5F5DED17">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社会保障和就业支出208(类)其他社会保障和就业支出99(款)其他社会保障和就业支出99(款)：支出决算为13.83万元，完成预算100%。</w:t>
      </w:r>
    </w:p>
    <w:p w14:paraId="7F918E7E">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卫生健康支出210(类)行政事业单位医疗11(款)事业单位医疗02(款)：支出决算为68.27万元，完成预算100%。</w:t>
      </w:r>
    </w:p>
    <w:p w14:paraId="7C7E1EDA">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城乡社区支出212(类)国有土地使用权出让收入安排的支出08(款)其他国有土地使用权出让收入安排的支出99(款)：支出决算为200万元，完成预算100%。</w:t>
      </w:r>
    </w:p>
    <w:p w14:paraId="322E1C2A">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住房保障支出221(类)住房改革支出02(款)住房公积金01(款)：支出决算为111.64万元，完成预算100%。</w:t>
      </w:r>
    </w:p>
    <w:p w14:paraId="53BB30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3A2F270">
      <w:pPr>
        <w:tabs>
          <w:tab w:val="right" w:pos="8306"/>
        </w:tabs>
        <w:spacing w:line="600" w:lineRule="exact"/>
        <w:ind w:firstLine="640"/>
        <w:outlineLvl w:val="1"/>
        <w:rPr>
          <w:rStyle w:val="30"/>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w:t>
      </w:r>
      <w:r>
        <w:rPr>
          <w:rStyle w:val="30"/>
          <w:rFonts w:hint="eastAsia" w:eastAsia="黑体"/>
          <w:b w:val="0"/>
          <w:color w:val="auto"/>
          <w:highlight w:val="none"/>
          <w:lang w:eastAsia="zh-CN"/>
        </w:rPr>
        <w:t>财政拨款</w:t>
      </w:r>
      <w:r>
        <w:rPr>
          <w:rStyle w:val="30"/>
          <w:rFonts w:hint="eastAsia" w:ascii="Times New Roman" w:hAnsi="Times New Roman" w:eastAsia="黑体"/>
          <w:b w:val="0"/>
          <w:color w:val="auto"/>
          <w:highlight w:val="none"/>
        </w:rPr>
        <w:t>基本支出决算情况说明</w:t>
      </w:r>
      <w:bookmarkEnd w:id="36"/>
      <w:bookmarkEnd w:id="37"/>
      <w:r>
        <w:rPr>
          <w:rStyle w:val="30"/>
          <w:rFonts w:ascii="Times New Roman" w:hAnsi="Times New Roman" w:eastAsia="黑体"/>
          <w:b w:val="0"/>
          <w:color w:val="auto"/>
          <w:highlight w:val="none"/>
        </w:rPr>
        <w:tab/>
      </w:r>
    </w:p>
    <w:p w14:paraId="4987AB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基本支出</w:t>
      </w:r>
      <w:r>
        <w:rPr>
          <w:rFonts w:hint="eastAsia" w:ascii="仿宋_GB2312" w:hAnsi="仿宋_GB2312" w:eastAsia="仿宋_GB2312" w:cs="仿宋_GB2312"/>
          <w:sz w:val="32"/>
          <w:szCs w:val="32"/>
        </w:rPr>
        <w:t>1771.75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BE66AE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1641.0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130.68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F23E3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FAE1E9E">
      <w:pPr>
        <w:spacing w:line="600" w:lineRule="exact"/>
        <w:ind w:firstLine="640"/>
        <w:outlineLvl w:val="1"/>
        <w:rPr>
          <w:rStyle w:val="30"/>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30"/>
          <w:rFonts w:hint="eastAsia" w:eastAsia="黑体"/>
          <w:b w:val="0"/>
          <w:color w:val="auto"/>
          <w:highlight w:val="none"/>
          <w:lang w:eastAsia="zh-CN"/>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8"/>
      <w:bookmarkEnd w:id="39"/>
    </w:p>
    <w:p w14:paraId="1237A6B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w:t>
      </w:r>
      <w:r>
        <w:rPr>
          <w:rFonts w:hint="eastAsia" w:eastAsia="楷体_GB2312" w:cs="楷体_GB2312"/>
          <w:b/>
          <w:color w:val="auto"/>
          <w:sz w:val="32"/>
          <w:szCs w:val="32"/>
          <w:highlight w:val="none"/>
          <w:lang w:eastAsia="zh-CN"/>
        </w:rPr>
        <w:t>财政拨款</w:t>
      </w:r>
      <w:r>
        <w:rPr>
          <w:rFonts w:hint="eastAsia" w:ascii="Times New Roman" w:hAnsi="Times New Roman" w:eastAsia="楷体_GB2312" w:cs="楷体_GB2312"/>
          <w:b/>
          <w:color w:val="auto"/>
          <w:sz w:val="32"/>
          <w:szCs w:val="32"/>
          <w:highlight w:val="none"/>
        </w:rPr>
        <w:t>支出决算总体情况说明</w:t>
      </w:r>
      <w:bookmarkEnd w:id="40"/>
    </w:p>
    <w:p w14:paraId="3C8884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16BABA9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w:t>
      </w:r>
      <w:r>
        <w:rPr>
          <w:rFonts w:hint="eastAsia" w:eastAsia="楷体_GB2312" w:cs="楷体_GB2312"/>
          <w:b/>
          <w:color w:val="auto"/>
          <w:sz w:val="32"/>
          <w:szCs w:val="32"/>
          <w:highlight w:val="none"/>
          <w:lang w:eastAsia="zh-CN"/>
        </w:rPr>
        <w:t>财政拨款</w:t>
      </w:r>
      <w:r>
        <w:rPr>
          <w:rFonts w:hint="eastAsia" w:ascii="Times New Roman" w:hAnsi="Times New Roman" w:eastAsia="楷体_GB2312" w:cs="楷体_GB2312"/>
          <w:b/>
          <w:color w:val="auto"/>
          <w:sz w:val="32"/>
          <w:szCs w:val="32"/>
          <w:highlight w:val="none"/>
        </w:rPr>
        <w:t>支出决算具体情况说明</w:t>
      </w:r>
      <w:bookmarkEnd w:id="41"/>
    </w:p>
    <w:p w14:paraId="4B0FCA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72EE6A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1C00160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0A7E05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3862C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3313BB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4C4A04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334BA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686169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96610"/>
      <w:bookmarkStart w:id="43" w:name="_Toc15377218"/>
    </w:p>
    <w:p w14:paraId="6158B3F9">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2"/>
      <w:bookmarkEnd w:id="43"/>
    </w:p>
    <w:p w14:paraId="5EE518B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200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8.94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支出增加</w:t>
      </w:r>
      <w:r>
        <w:rPr>
          <w:rFonts w:hint="eastAsia" w:eastAsia="仿宋_GB2312" w:cs="仿宋_GB2312"/>
          <w:color w:val="auto"/>
          <w:kern w:val="2"/>
          <w:sz w:val="32"/>
          <w:szCs w:val="32"/>
          <w:highlight w:val="none"/>
          <w:lang w:val="en-US" w:eastAsia="zh-CN" w:bidi="ar-SA"/>
        </w:rPr>
        <w:t>200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%。主要变动原因是本年度单位新增校园维修项目“义务教育薄弱环节改善与能力提升建设项目”增加政府性基金预算</w:t>
      </w:r>
      <w:r>
        <w:rPr>
          <w:rFonts w:hint="eastAsia" w:eastAsia="仿宋_GB2312" w:cs="仿宋_GB2312"/>
          <w:color w:val="auto"/>
          <w:kern w:val="2"/>
          <w:sz w:val="32"/>
          <w:szCs w:val="32"/>
          <w:highlight w:val="none"/>
          <w:lang w:val="en-US" w:eastAsia="zh-CN" w:bidi="ar-SA"/>
        </w:rPr>
        <w:t>财政拨款。</w:t>
      </w:r>
    </w:p>
    <w:p w14:paraId="2387E6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DC71FB">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4" w:name="_Toc15396611"/>
      <w:bookmarkStart w:id="45"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4"/>
      <w:bookmarkEnd w:id="45"/>
    </w:p>
    <w:p w14:paraId="26F83DE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决算数持平。</w:t>
      </w:r>
    </w:p>
    <w:p w14:paraId="41BCF2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1CF303">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6" w:name="_Toc15377221"/>
      <w:bookmarkStart w:id="47"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6"/>
      <w:bookmarkEnd w:id="47"/>
    </w:p>
    <w:p w14:paraId="2EF598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712271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遂宁市安居区东禅镇中心小学校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14:paraId="4F4B66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0D73AC7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遂宁市安居区东禅镇中心小学校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2174AA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A4222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1A92A3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遂宁市安居区东禅镇中心小学校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64104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ACC6C9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4F0C95B">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在2024年度预算编制阶段，组织对驻村工作队补助</w:t>
      </w:r>
      <w:r>
        <w:rPr>
          <w:rFonts w:hint="eastAsia" w:eastAsia="仿宋_GB2312" w:cs="仿宋_GB2312"/>
          <w:color w:val="auto"/>
          <w:kern w:val="2"/>
          <w:sz w:val="32"/>
          <w:szCs w:val="32"/>
          <w:highlight w:val="none"/>
          <w:lang w:val="en-US" w:eastAsia="zh-CN" w:bidi="ar-SA"/>
        </w:rPr>
        <w:t>、义务教育家庭经济困难学生</w:t>
      </w:r>
      <w:r>
        <w:rPr>
          <w:rFonts w:hint="eastAsia" w:ascii="Times New Roman" w:hAnsi="Times New Roman" w:eastAsia="仿宋_GB2312" w:cs="仿宋_GB2312"/>
          <w:color w:val="auto"/>
          <w:kern w:val="2"/>
          <w:sz w:val="32"/>
          <w:szCs w:val="32"/>
          <w:highlight w:val="none"/>
          <w:lang w:val="en-US" w:eastAsia="zh-CN" w:bidi="ar-SA"/>
        </w:rPr>
        <w:t>生活补助、校舍维修、义务教育薄弱环节改善与能力提升建设项目资金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免作业本费</w:t>
      </w:r>
      <w:r>
        <w:rPr>
          <w:rFonts w:hint="eastAsia" w:eastAsia="仿宋_GB2312" w:cs="仿宋_GB2312"/>
          <w:color w:val="auto"/>
          <w:kern w:val="2"/>
          <w:sz w:val="32"/>
          <w:szCs w:val="32"/>
          <w:highlight w:val="none"/>
          <w:lang w:val="en-US" w:eastAsia="zh-CN" w:bidi="ar-SA"/>
        </w:rPr>
        <w:t>、城乡义务教育-综合奖补资金、普惠性民办幼儿园财政补助</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F9C17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年我单位部门整体（含部门预算项目）绩效自评报告，第一书记、驻村工作队补助、义务教育家庭经济困难学生生活补助、校舍维修、城乡义务教育-免作业本费、义务教育薄弱环节改善与能力提升建设项目资金、城乡义务教育-综合奖补资金、普惠性民办幼儿园财政补助等预算项目绩效自评报告，其中，2024年我单位部门整体（含部门预算项目）绩效自评得分为95分，绩效自评综述绩效自评综述严格执行相关政策，保障工资及时发放、足额发放，预算编制科学合理，减少结余资金，广泛听取意见，认真总结分析,搜集完善各类资料。进一步深化课程改革，提高教育质量，努力改善办学条件，促进教育均衡发展。第一书记、驻村工作队补助预算项目绩效自评得分为100分，绩效自评综述严格执行相关政策，保障资金及时、合规、足额支付到位，减少结余资金。义务教育家庭经济困难学生生活补助预算项目绩效自评得分为100分，绩效自评综述保障了学校家庭经济困难学生正常入学，减轻其家庭经济负担。校舍维修预算项目绩效自评得分为100分，绩效自评综述严格执行预算，及时申请支付资金，促进学校健康发展。城乡义务教育-免作业本费预算项目绩效自评得分为100分，绩效自评综述严格执行预算，及时申请支付资金，保证学生作业本按时发放。义务教育薄弱环节改善与能力提升建设项目资金预算项目绩效自评得分为100分，绩效自评综述严格执行预算，及时申请支付资金，促进学校健康发展。城乡义务教育-综合奖补资金预算项目绩效自评得分为100分，绩效自评综述严格执行预算，及时申请支付资金，促进学校健康发展。普惠性民办幼儿园财政补助预算项目绩效自评得分为100分，绩效自评综述严格执行预算，及时申请支付资金，促进学前教育健康发展。</w:t>
      </w:r>
    </w:p>
    <w:p w14:paraId="47D271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51205D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568C97D">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96613"/>
      <w:bookmarkStart w:id="52" w:name="_Toc15377225"/>
      <w:r>
        <w:rPr>
          <w:rFonts w:hint="eastAsia" w:ascii="Times New Roman" w:hAnsi="Times New Roman" w:eastAsia="黑体"/>
          <w:color w:val="auto"/>
          <w:sz w:val="44"/>
          <w:szCs w:val="44"/>
          <w:highlight w:val="none"/>
        </w:rPr>
        <w:br w:type="page"/>
      </w:r>
    </w:p>
    <w:p w14:paraId="32F1F05A">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11DC72EE">
      <w:pPr>
        <w:spacing w:line="600" w:lineRule="exact"/>
        <w:jc w:val="left"/>
        <w:rPr>
          <w:rFonts w:ascii="Times New Roman" w:hAnsi="Times New Roman"/>
          <w:b/>
          <w:color w:val="auto"/>
          <w:sz w:val="44"/>
          <w:szCs w:val="44"/>
          <w:highlight w:val="none"/>
        </w:rPr>
      </w:pPr>
    </w:p>
    <w:p w14:paraId="1A1AEE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收入：指单位从同级财政部门取得的财政预算资金。</w:t>
      </w:r>
    </w:p>
    <w:p w14:paraId="173C28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2.事业收入：指事业单位开展专业业务活动及辅助活动取得的收入。如学前教育保教费收入等。</w:t>
      </w:r>
    </w:p>
    <w:p w14:paraId="035CD5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563A1E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4.其他收入：指单位取得的除上述收入以外的各项收入。主要是利息收入、捐赠收入等。 </w:t>
      </w:r>
    </w:p>
    <w:p w14:paraId="44D2E9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结余（含专用结余）：指事业单位使用以前年度积累的非</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 xml:space="preserve">结余弥补当年收支差额的金额。 </w:t>
      </w:r>
    </w:p>
    <w:p w14:paraId="19F194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32229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结余的金额等。</w:t>
      </w:r>
    </w:p>
    <w:p w14:paraId="47FDDF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CEBC0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9.教育（205类）教育管理事务（01款）行政运行（01项）: 反映行政单位（包括实行公务员管理的事业单位）的基本支出。</w:t>
      </w:r>
    </w:p>
    <w:p w14:paraId="7624A1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10.教育（205类）教育管理事务（01款）一般行政管理事务（02项）: 反映行政单位（包括实行公务员管理的事业单位）未单独设置项级科目的其他项目支出。</w:t>
      </w:r>
    </w:p>
    <w:p w14:paraId="5959E7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11.教育（205类）教育管理事务（01款）其他教育管理事务支出（99项）: 反映除上述项目以外其他用于教育管理事务方面的支出。</w:t>
      </w:r>
    </w:p>
    <w:p w14:paraId="2B79ED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12.教育（205类）普通教育（02款）学前教育（01项）: 反映各部门举办的学前教育支出。</w:t>
      </w:r>
    </w:p>
    <w:p w14:paraId="3D8CA8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13.教育（205类）普通教育（02款）小学教育（02项）: 反映各部门举办的小学教育支出。政府各部门对社会中介组织等举办的小学的资助，如各类捐赠、补贴等，也在本科目中反映。</w:t>
      </w:r>
    </w:p>
    <w:p w14:paraId="58DE4C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14.教育（205类）普通教育（02款）其他普通教育支出（99项）: 反映除上述项目以外其他用于普通教育方面的支出。</w:t>
      </w:r>
    </w:p>
    <w:p w14:paraId="5DA46C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15.教育（205类）其他教育支出（09款）其他教育支出（99项）: 反映除上述项目以外其他教育费附加安排的支出。</w:t>
      </w:r>
    </w:p>
    <w:p w14:paraId="26BE40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16.教育（205类）其他教育支出（99款）其他教育支出（99项）: 反映除上述项目以外其他教育方面的支出。</w:t>
      </w:r>
    </w:p>
    <w:p w14:paraId="35A7E0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17.社会保障和就业（208类）行政事业单位养老支出（05款）事业单位离退休（02项）: 反映机关事业单位实施事业单位</w:t>
      </w:r>
      <w:r>
        <w:rPr>
          <w:rFonts w:hint="eastAsia" w:eastAsia="仿宋_GB2312" w:cs="仿宋_GB2312"/>
          <w:color w:val="auto"/>
          <w:kern w:val="2"/>
          <w:sz w:val="32"/>
          <w:szCs w:val="32"/>
          <w:highlight w:val="none"/>
          <w:lang w:val="en-US" w:eastAsia="zh-CN" w:bidi="ar-SA"/>
        </w:rPr>
        <w:t>离退休支出</w:t>
      </w:r>
      <w:r>
        <w:rPr>
          <w:rFonts w:hint="eastAsia" w:ascii="Times New Roman" w:hAnsi="Times New Roman" w:eastAsia="仿宋_GB2312" w:cs="仿宋_GB2312"/>
          <w:color w:val="auto"/>
          <w:kern w:val="2"/>
          <w:sz w:val="32"/>
          <w:szCs w:val="32"/>
          <w:highlight w:val="none"/>
          <w:lang w:val="en-US" w:eastAsia="zh-CN" w:bidi="ar-SA"/>
        </w:rPr>
        <w:t>。</w:t>
      </w:r>
    </w:p>
    <w:p w14:paraId="04F6FB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18.社会保障和就业（208类）行政事业单位养老支出（05款）机关事业单位基本养老保险缴费支出（05项）: 反映机关事业单位实施养老保险制度由单位缴纳的基本养老保险费支出。</w:t>
      </w:r>
    </w:p>
    <w:p w14:paraId="6D62C2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19.社会保障和就业（208类）行政事业单位养老支出（05款）其他行政事业单位养老支出（99项）: 反映机关事业单位实施养老保险制度其他行政事业单位养老支出支出。</w:t>
      </w:r>
    </w:p>
    <w:p w14:paraId="70E27A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20.社会保障和就业（208类）其他社会保障和就业支出（99款）其他社会保障和就业支出（99项）: 反映上述项目以外</w:t>
      </w:r>
      <w:bookmarkStart w:id="72" w:name="_GoBack"/>
      <w:bookmarkEnd w:id="72"/>
      <w:r>
        <w:rPr>
          <w:rFonts w:hint="eastAsia" w:eastAsia="仿宋_GB2312" w:cs="仿宋_GB2312"/>
          <w:color w:val="auto"/>
          <w:kern w:val="2"/>
          <w:sz w:val="32"/>
          <w:szCs w:val="32"/>
          <w:highlight w:val="none"/>
          <w:lang w:val="en-US" w:eastAsia="zh-CN" w:bidi="ar-SA"/>
        </w:rPr>
        <w:t>其他用于</w:t>
      </w:r>
      <w:r>
        <w:rPr>
          <w:rFonts w:hint="eastAsia" w:ascii="Times New Roman" w:hAnsi="Times New Roman" w:eastAsia="仿宋_GB2312" w:cs="仿宋_GB2312"/>
          <w:color w:val="auto"/>
          <w:kern w:val="2"/>
          <w:sz w:val="32"/>
          <w:szCs w:val="32"/>
          <w:highlight w:val="none"/>
          <w:lang w:val="en-US" w:eastAsia="zh-CN" w:bidi="ar-SA"/>
        </w:rPr>
        <w:t>社会保障和就业方面的支出。</w:t>
      </w:r>
    </w:p>
    <w:p w14:paraId="3CB627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卫生健康支出（210类）行政事业单位医疗（11款）事业单位医疗（02项）:反映财政部门集中安排的事业单位基本医疗保险缴费经费，未参加医疗保险的事业单位的公费医疗经费，按国家规定享受离休人员待遇的医疗经费。</w:t>
      </w:r>
    </w:p>
    <w:p w14:paraId="53A0BF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22.住房保障支出（221类）住房改革支出（02款）住房公积金（01项）:反映行政事业单位按人力资源和社会保障部、财政部规定的基本工资和津贴补贴以及规定比例为职工缴纳的住房公积金。</w:t>
      </w:r>
    </w:p>
    <w:p w14:paraId="372059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23.基本支出：指为保障机构正常运转、完成日常工作任务而发生的人员支出和公用支出。</w:t>
      </w:r>
    </w:p>
    <w:p w14:paraId="3DD55A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24.项目支出：指在基本支出之外为完成特定行政任务和事业发展目标所发生的支出。  </w:t>
      </w:r>
    </w:p>
    <w:p w14:paraId="0BC603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25.经营支出：指事业单位在专业业务活动及其辅助活动之外开展非独立核算经营活动发生的支出。</w:t>
      </w:r>
    </w:p>
    <w:p w14:paraId="777B3F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26.“三公”经费：指部门用</w:t>
      </w:r>
      <w:r>
        <w:rPr>
          <w:rFonts w:hint="eastAsia"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kern w:val="2"/>
          <w:sz w:val="32"/>
          <w:szCs w:val="32"/>
          <w:highlight w:val="none"/>
          <w:lang w:val="en-US" w:eastAsia="zh-CN" w:bidi="ar-SA"/>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4C8F4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27.工资福利：反映单位开支的在职职工和编制外长期聘用人员的各类劳动报酬，以及为上述人员缴纳的各项社会保险费等。</w:t>
      </w:r>
    </w:p>
    <w:p w14:paraId="54610E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28.商品和服务：反映单位购买商品和服务的支出，不包括用于购置固定资产、战略性和应急性物资储备等资本支出。</w:t>
      </w:r>
    </w:p>
    <w:p w14:paraId="17C71B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29.对个人和家庭的补助：反映政府用于对个人和家庭的补助支出。</w:t>
      </w:r>
    </w:p>
    <w:p w14:paraId="7AC0549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30.资本性支出：反映各单位安排的资本性支出。切块由发展改革部门安排的基本建设支出不在此科目反映。</w:t>
      </w:r>
    </w:p>
    <w:p w14:paraId="60F1C17E">
      <w:pPr>
        <w:spacing w:line="600" w:lineRule="exact"/>
        <w:jc w:val="center"/>
        <w:rPr>
          <w:rStyle w:val="29"/>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3D4C38B8">
      <w:pPr>
        <w:spacing w:line="600" w:lineRule="exact"/>
        <w:outlineLvl w:val="0"/>
        <w:rPr>
          <w:rFonts w:ascii="仿宋" w:hAnsi="仿宋" w:eastAsia="仿宋_GB2312"/>
          <w:bCs/>
          <w:sz w:val="36"/>
          <w:szCs w:val="36"/>
        </w:rPr>
      </w:pPr>
      <w:bookmarkStart w:id="55" w:name="OLE_LINK1"/>
      <w:bookmarkStart w:id="56" w:name="OLE_LINK2"/>
      <w:r>
        <w:rPr>
          <w:rFonts w:hint="eastAsia"/>
          <w:bCs/>
          <w:sz w:val="32"/>
          <w:szCs w:val="32"/>
        </w:rPr>
        <w:t>附件1</w:t>
      </w:r>
      <w:r>
        <w:rPr>
          <w:rFonts w:ascii="仿宋" w:hAnsi="仿宋" w:eastAsia="仿宋_GB2312"/>
          <w:bCs/>
          <w:sz w:val="36"/>
          <w:szCs w:val="36"/>
        </w:rPr>
        <w:t>：</w:t>
      </w:r>
      <w:r>
        <w:rPr>
          <w:rFonts w:ascii="仿宋" w:hAnsi="仿宋" w:eastAsia="仿宋_GB2312"/>
          <w:bCs/>
          <w:sz w:val="36"/>
          <w:szCs w:val="36"/>
        </w:rPr>
        <w:fldChar w:fldCharType="begin"/>
      </w:r>
      <w:r>
        <w:rPr>
          <w:rFonts w:ascii="仿宋" w:hAnsi="仿宋" w:eastAsia="仿宋_GB2312"/>
          <w:bCs/>
          <w:sz w:val="36"/>
          <w:szCs w:val="36"/>
        </w:rPr>
        <w:instrText xml:space="preserve"> </w:instrText>
      </w:r>
      <w:r>
        <w:rPr>
          <w:rFonts w:hint="eastAsia" w:ascii="仿宋" w:hAnsi="仿宋" w:eastAsia="仿宋_GB2312"/>
          <w:bCs/>
          <w:sz w:val="36"/>
          <w:szCs w:val="36"/>
        </w:rPr>
        <w:instrText xml:space="preserve">LINK </w:instrText>
      </w:r>
      <w:r>
        <w:rPr>
          <w:rFonts w:ascii="仿宋" w:hAnsi="仿宋" w:eastAsia="仿宋_GB2312"/>
          <w:bCs/>
          <w:sz w:val="36"/>
          <w:szCs w:val="36"/>
        </w:rPr>
        <w:instrText xml:space="preserve">Excel.Sheet.8</w:instrText>
      </w:r>
      <w:r>
        <w:rPr>
          <w:rFonts w:hint="eastAsia" w:ascii="仿宋" w:hAnsi="仿宋" w:eastAsia="仿宋_GB2312"/>
          <w:bCs/>
          <w:sz w:val="36"/>
          <w:szCs w:val="36"/>
        </w:rPr>
        <w:instrText xml:space="preserve"> "E:\\磨幼2023\\2022年决算\\2022年决算公开\\绩效自评表\\（公开5项）磨幼2022绩效自评表 -5.xls" 自评表!R2C1:R102C11 \a \f 4 \h</w:instrText>
      </w:r>
      <w:r>
        <w:rPr>
          <w:rFonts w:ascii="仿宋" w:hAnsi="仿宋" w:eastAsia="仿宋_GB2312"/>
          <w:bCs/>
          <w:sz w:val="36"/>
          <w:szCs w:val="36"/>
        </w:rPr>
        <w:instrText xml:space="preserve">  \* MERGEFORMAT </w:instrText>
      </w:r>
      <w:bookmarkStart w:id="57" w:name="_1753987489"/>
      <w:bookmarkEnd w:id="57"/>
      <w:r>
        <w:rPr>
          <w:rFonts w:ascii="仿宋" w:hAnsi="仿宋" w:eastAsia="仿宋_GB2312"/>
          <w:bCs/>
          <w:sz w:val="36"/>
          <w:szCs w:val="36"/>
        </w:rPr>
        <w:fldChar w:fldCharType="separate"/>
      </w:r>
    </w:p>
    <w:p w14:paraId="52465D1C">
      <w:pPr>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ascii="仿宋" w:hAnsi="仿宋" w:eastAsia="仿宋_GB2312"/>
          <w:b/>
          <w:bCs/>
          <w:sz w:val="22"/>
          <w:szCs w:val="22"/>
        </w:rPr>
      </w:pPr>
      <w:r>
        <w:rPr>
          <w:rFonts w:ascii="仿宋" w:hAnsi="仿宋" w:eastAsia="仿宋_GB2312"/>
          <w:b/>
          <w:bCs/>
          <w:sz w:val="36"/>
          <w:szCs w:val="36"/>
        </w:rPr>
        <w:fldChar w:fldCharType="end"/>
      </w:r>
      <w:bookmarkEnd w:id="55"/>
      <w:bookmarkEnd w:id="56"/>
    </w:p>
    <w:p w14:paraId="70F044D2">
      <w:pPr>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2024年整体支出绩效自评报告</w:t>
      </w:r>
    </w:p>
    <w:p w14:paraId="22C59588">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zh-CN"/>
        </w:rPr>
      </w:pPr>
      <w:r>
        <w:rPr>
          <w:rFonts w:hint="eastAsia" w:ascii="宋体" w:hAnsi="宋体" w:eastAsia="黑体" w:cs="Times New Roman"/>
          <w:color w:val="000000"/>
          <w:sz w:val="32"/>
          <w:szCs w:val="32"/>
          <w:shd w:val="clear" w:color="auto" w:fill="FFFFFF"/>
          <w:lang w:val="en-US" w:eastAsia="zh-CN"/>
        </w:rPr>
        <w:t>一、</w:t>
      </w:r>
      <w:r>
        <w:rPr>
          <w:rFonts w:hint="eastAsia" w:ascii="宋体" w:hAnsi="宋体" w:eastAsia="黑体" w:cs="Times New Roman"/>
          <w:color w:val="000000"/>
          <w:sz w:val="32"/>
          <w:szCs w:val="32"/>
          <w:shd w:val="clear" w:color="auto" w:fill="FFFFFF"/>
          <w:lang w:val="zh-CN"/>
        </w:rPr>
        <w:t>部门基本情况</w:t>
      </w:r>
    </w:p>
    <w:p w14:paraId="13586E9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遂宁市安居区东禅镇中心小学校是遂宁市安居区农村公办幼小学，负责辖区内适龄儿童的义务小学教育服务。</w:t>
      </w:r>
    </w:p>
    <w:p w14:paraId="23BC2DF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1、机构组成</w:t>
      </w:r>
    </w:p>
    <w:p w14:paraId="7A776C9A">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属遂宁市安居区教育和体育局下属二级事业单位，主要承担义务教育阶段</w:t>
      </w:r>
      <w:r>
        <w:rPr>
          <w:rFonts w:hint="eastAsia" w:ascii="仿宋_GB2312" w:hAnsi="仿宋_GB2312" w:eastAsia="仿宋_GB2312" w:cs="仿宋_GB2312"/>
          <w:sz w:val="32"/>
          <w:szCs w:val="32"/>
          <w:lang w:val="en-US" w:eastAsia="zh-CN"/>
        </w:rPr>
        <w:t>小学</w:t>
      </w:r>
      <w:r>
        <w:rPr>
          <w:rFonts w:hint="eastAsia" w:ascii="仿宋_GB2312" w:hAnsi="仿宋_GB2312" w:eastAsia="仿宋_GB2312" w:cs="仿宋_GB2312"/>
          <w:sz w:val="32"/>
          <w:szCs w:val="32"/>
        </w:rPr>
        <w:t>教育教学</w:t>
      </w:r>
      <w:r>
        <w:rPr>
          <w:rFonts w:hint="eastAsia" w:ascii="仿宋_GB2312" w:hAnsi="仿宋_GB2312" w:eastAsia="仿宋_GB2312" w:cs="仿宋_GB2312"/>
          <w:sz w:val="32"/>
          <w:szCs w:val="32"/>
          <w:lang w:val="en-US" w:eastAsia="zh-CN"/>
        </w:rPr>
        <w:t>及相关的服务</w:t>
      </w:r>
      <w:r>
        <w:rPr>
          <w:rFonts w:hint="eastAsia" w:ascii="仿宋_GB2312" w:hAnsi="仿宋_GB2312" w:eastAsia="仿宋_GB2312" w:cs="仿宋_GB2312"/>
          <w:sz w:val="32"/>
          <w:szCs w:val="32"/>
        </w:rPr>
        <w:t>，学校现设有行政办、德育处、教导处、后勤处等部门。</w:t>
      </w:r>
    </w:p>
    <w:p w14:paraId="1C1641C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2、机构职能</w:t>
      </w:r>
    </w:p>
    <w:p w14:paraId="7DBA43AB">
      <w:pPr>
        <w:spacing w:line="540" w:lineRule="exact"/>
        <w:ind w:firstLine="640" w:firstLineChars="200"/>
        <w:rPr>
          <w:rFonts w:hint="eastAsia" w:ascii="仿宋_GB2312" w:hAnsi="仿宋_GB2312" w:eastAsia="仿宋_GB2312" w:cs="仿宋_GB2312"/>
          <w:lang w:val="en-US"/>
        </w:rPr>
      </w:pPr>
      <w:r>
        <w:rPr>
          <w:rFonts w:hint="eastAsia" w:ascii="仿宋_GB2312" w:hAnsi="仿宋_GB2312" w:eastAsia="仿宋_GB2312" w:cs="仿宋_GB2312"/>
          <w:sz w:val="32"/>
          <w:szCs w:val="32"/>
        </w:rPr>
        <w:t>在尊重</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身心健康发展的基础上，对</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进行五大领域的教育。培养</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良好的行为习惯和个性品质，促进</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 xml:space="preserve">身心健康和谐的发展。 </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的教育</w:t>
      </w:r>
      <w:r>
        <w:rPr>
          <w:rFonts w:hint="eastAsia" w:ascii="仿宋_GB2312" w:hAnsi="仿宋_GB2312" w:eastAsia="仿宋_GB2312" w:cs="仿宋_GB2312"/>
          <w:sz w:val="32"/>
          <w:szCs w:val="32"/>
          <w:lang w:val="en-US" w:eastAsia="zh-CN"/>
        </w:rPr>
        <w:t>全面促进学生德智体全面发展，提升学生能力、知识、技能等全方面发展，适应高速社会发展的需求，为党和人民培养社会主义人才而努力。</w:t>
      </w:r>
    </w:p>
    <w:p w14:paraId="54CC5525">
      <w:pPr>
        <w:spacing w:line="540" w:lineRule="exact"/>
        <w:ind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3、人员概况</w:t>
      </w:r>
    </w:p>
    <w:p w14:paraId="4C20FF7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截至2024年末，本单位编制人数</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人，退休教师</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遗属18人，在校学生691人</w:t>
      </w:r>
      <w:r>
        <w:rPr>
          <w:rFonts w:hint="eastAsia" w:ascii="仿宋_GB2312" w:hAnsi="仿宋_GB2312" w:eastAsia="仿宋_GB2312" w:cs="仿宋_GB2312"/>
          <w:sz w:val="32"/>
          <w:szCs w:val="32"/>
        </w:rPr>
        <w:t>。</w:t>
      </w:r>
    </w:p>
    <w:p w14:paraId="753E6A6A">
      <w:pPr>
        <w:pStyle w:val="2"/>
        <w:rPr>
          <w:rFonts w:hint="eastAsia"/>
        </w:rPr>
      </w:pPr>
    </w:p>
    <w:p w14:paraId="360FBB2E">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二、部门资金收支情况</w:t>
      </w:r>
    </w:p>
    <w:p w14:paraId="003AEB03">
      <w:pPr>
        <w:numPr>
          <w:ilvl w:val="0"/>
          <w:numId w:val="2"/>
        </w:numPr>
        <w:spacing w:line="540" w:lineRule="exact"/>
        <w:rPr>
          <w:rFonts w:hint="eastAsia" w:ascii="仿宋" w:hAnsi="仿宋" w:eastAsia="仿宋_GB2312"/>
          <w:sz w:val="32"/>
          <w:szCs w:val="32"/>
        </w:rPr>
      </w:pPr>
      <w:r>
        <w:rPr>
          <w:rFonts w:hint="eastAsia" w:ascii="仿宋" w:hAnsi="仿宋" w:eastAsia="仿宋_GB2312"/>
          <w:sz w:val="32"/>
          <w:szCs w:val="32"/>
        </w:rPr>
        <w:t>收入情况</w:t>
      </w:r>
    </w:p>
    <w:p w14:paraId="7A0B38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收入</w:t>
      </w:r>
      <w:r>
        <w:rPr>
          <w:rFonts w:hint="eastAsia" w:ascii="仿宋" w:hAnsi="仿宋" w:eastAsia="仿宋_GB2312"/>
          <w:sz w:val="32"/>
          <w:szCs w:val="32"/>
          <w:lang w:val="en-US" w:eastAsia="zh-CN"/>
        </w:rPr>
        <w:t>2236.46万元，其中：一般公共预算财政拨款收入1875.05万元，占83.84%；政府性基金预算财政拨款收入200万元，占8.94%；其他收入161.41万元，占7.22%。</w:t>
      </w:r>
      <w:r>
        <w:rPr>
          <w:rFonts w:ascii="仿宋_GB2312" w:eastAsia="仿宋_GB2312"/>
          <w:sz w:val="32"/>
          <w:szCs w:val="32"/>
        </w:rPr>
        <w:t>。</w:t>
      </w:r>
    </w:p>
    <w:p w14:paraId="34BA003C">
      <w:pPr>
        <w:numPr>
          <w:ilvl w:val="0"/>
          <w:numId w:val="2"/>
        </w:numPr>
        <w:spacing w:line="600" w:lineRule="exact"/>
        <w:rPr>
          <w:rFonts w:hint="eastAsia" w:ascii="仿宋" w:hAnsi="仿宋" w:eastAsia="仿宋_GB2312"/>
          <w:sz w:val="32"/>
          <w:szCs w:val="32"/>
        </w:rPr>
      </w:pPr>
      <w:r>
        <w:rPr>
          <w:rFonts w:hint="eastAsia" w:ascii="仿宋" w:hAnsi="仿宋" w:eastAsia="仿宋_GB2312"/>
          <w:sz w:val="32"/>
          <w:szCs w:val="32"/>
        </w:rPr>
        <w:t>支出情况</w:t>
      </w:r>
    </w:p>
    <w:p w14:paraId="1009D0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_GB2312"/>
          <w:sz w:val="32"/>
          <w:szCs w:val="32"/>
        </w:rPr>
      </w:pPr>
      <w:r>
        <w:rPr>
          <w:rFonts w:hint="eastAsia" w:ascii="仿宋" w:hAnsi="仿宋" w:eastAsia="仿宋_GB2312"/>
          <w:sz w:val="32"/>
          <w:szCs w:val="32"/>
        </w:rPr>
        <w:t>2024年度本年支出合计2236.46万元，其中：基本支出1771.75万元，占79.2</w:t>
      </w:r>
      <w:r>
        <w:rPr>
          <w:rFonts w:hint="eastAsia" w:ascii="仿宋" w:hAnsi="仿宋" w:eastAsia="仿宋_GB2312"/>
          <w:sz w:val="32"/>
          <w:szCs w:val="32"/>
          <w:lang w:val="en-US" w:eastAsia="zh-CN"/>
        </w:rPr>
        <w:t>2</w:t>
      </w:r>
      <w:r>
        <w:rPr>
          <w:rFonts w:hint="eastAsia" w:ascii="仿宋" w:hAnsi="仿宋" w:eastAsia="仿宋_GB2312"/>
          <w:sz w:val="32"/>
          <w:szCs w:val="32"/>
        </w:rPr>
        <w:t>%；项目支出464.71万元，占20.7</w:t>
      </w:r>
      <w:r>
        <w:rPr>
          <w:rFonts w:hint="eastAsia" w:ascii="仿宋" w:hAnsi="仿宋" w:eastAsia="仿宋_GB2312"/>
          <w:sz w:val="32"/>
          <w:szCs w:val="32"/>
          <w:lang w:val="en-US" w:eastAsia="zh-CN"/>
        </w:rPr>
        <w:t>8</w:t>
      </w:r>
      <w:r>
        <w:rPr>
          <w:rFonts w:hint="eastAsia" w:ascii="仿宋" w:hAnsi="仿宋" w:eastAsia="仿宋_GB2312"/>
          <w:sz w:val="32"/>
          <w:szCs w:val="32"/>
        </w:rPr>
        <w:t>%。</w:t>
      </w:r>
    </w:p>
    <w:p w14:paraId="21A6E44B">
      <w:pPr>
        <w:numPr>
          <w:ilvl w:val="0"/>
          <w:numId w:val="2"/>
        </w:numPr>
        <w:spacing w:line="600" w:lineRule="exact"/>
        <w:rPr>
          <w:rFonts w:ascii="仿宋" w:hAnsi="仿宋" w:eastAsia="仿宋_GB2312"/>
          <w:sz w:val="32"/>
          <w:szCs w:val="32"/>
        </w:rPr>
      </w:pPr>
      <w:r>
        <w:rPr>
          <w:rFonts w:ascii="仿宋" w:hAnsi="仿宋" w:eastAsia="仿宋_GB2312"/>
          <w:sz w:val="32"/>
          <w:szCs w:val="32"/>
        </w:rPr>
        <w:t>结余分配和结转结余情况</w:t>
      </w:r>
    </w:p>
    <w:p w14:paraId="52F096B5">
      <w:pPr>
        <w:widowControl/>
        <w:adjustRightInd w:val="0"/>
        <w:snapToGrid w:val="0"/>
        <w:spacing w:line="578" w:lineRule="exact"/>
        <w:ind w:left="709"/>
        <w:contextualSpacing/>
        <w:jc w:val="left"/>
        <w:rPr>
          <w:rFonts w:eastAsia="仿宋_GB2312"/>
          <w:sz w:val="32"/>
          <w:szCs w:val="32"/>
        </w:rPr>
      </w:pPr>
      <w:r>
        <w:rPr>
          <w:rFonts w:hint="eastAsia" w:eastAsia="仿宋_GB2312"/>
          <w:sz w:val="32"/>
          <w:szCs w:val="32"/>
        </w:rPr>
        <w:t>2024年决算报表无</w:t>
      </w:r>
      <w:r>
        <w:rPr>
          <w:rFonts w:eastAsia="仿宋_GB2312"/>
          <w:sz w:val="32"/>
          <w:szCs w:val="32"/>
        </w:rPr>
        <w:t>结转结余。</w:t>
      </w:r>
    </w:p>
    <w:p w14:paraId="4BD21932">
      <w:pPr>
        <w:pStyle w:val="2"/>
        <w:rPr>
          <w:rFonts w:hint="eastAsia"/>
          <w:lang w:val="zh-CN"/>
        </w:rPr>
      </w:pPr>
    </w:p>
    <w:p w14:paraId="31D428F0">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 xml:space="preserve">三、部门预算绩效分析 </w:t>
      </w:r>
    </w:p>
    <w:p w14:paraId="6DD924EC">
      <w:pPr>
        <w:spacing w:line="578" w:lineRule="exact"/>
        <w:ind w:firstLine="643" w:firstLineChars="200"/>
        <w:contextualSpacing/>
        <w:rPr>
          <w:rFonts w:hint="eastAsia" w:ascii="宋体" w:hAnsi="宋体" w:eastAsia="仿宋_GB2312"/>
          <w:b/>
          <w:bCs/>
          <w:color w:val="000000"/>
          <w:sz w:val="32"/>
          <w:szCs w:val="32"/>
          <w:shd w:val="clear" w:color="auto" w:fill="FFFFFF"/>
          <w:lang w:val="zh-CN"/>
        </w:rPr>
      </w:pPr>
      <w:r>
        <w:rPr>
          <w:rFonts w:ascii="宋体" w:hAnsi="宋体" w:eastAsia="楷体_GB2312"/>
          <w:b/>
          <w:bCs/>
          <w:color w:val="000000"/>
          <w:sz w:val="32"/>
          <w:szCs w:val="32"/>
          <w:shd w:val="clear" w:color="auto" w:fill="FFFFFF"/>
          <w:lang w:val="zh-CN"/>
        </w:rPr>
        <w:t>（一）部门预算总体绩效分析。</w:t>
      </w:r>
    </w:p>
    <w:p w14:paraId="03F65A1B">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14:paraId="3637C41D">
      <w:pPr>
        <w:pStyle w:val="15"/>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2024年，我校在各级领导重视与全体教职员工努力下，</w:t>
      </w:r>
      <w:r>
        <w:rPr>
          <w:rFonts w:hint="eastAsia" w:eastAsia="仿宋_GB2312"/>
          <w:color w:val="000000"/>
          <w:sz w:val="32"/>
          <w:szCs w:val="32"/>
          <w:shd w:val="clear" w:color="auto" w:fill="FFFFFF"/>
          <w:lang w:val="zh-CN"/>
        </w:rPr>
        <w:t>抓实党风廉政建设，营造风清气正氛围，强化意识形态教育监督，坚持依法依规办事，开展丰富多彩的校园活动，全面加强教学科研体系建设、后勤保障体系建设</w:t>
      </w:r>
      <w:r>
        <w:rPr>
          <w:rFonts w:hint="eastAsia" w:eastAsia="仿宋_GB2312"/>
          <w:color w:val="000000"/>
          <w:sz w:val="32"/>
          <w:szCs w:val="32"/>
          <w:shd w:val="clear" w:color="auto" w:fill="FFFFFF"/>
          <w:lang w:val="en-US" w:eastAsia="zh-CN"/>
        </w:rPr>
        <w:t>等</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办学条件得以改善，各项工作稳步提升。</w:t>
      </w:r>
      <w:r>
        <w:rPr>
          <w:rFonts w:hint="default" w:ascii="Arial" w:hAnsi="Arial" w:eastAsia="仿宋_GB2312" w:cs="Arial"/>
          <w:color w:val="000000"/>
          <w:sz w:val="32"/>
          <w:szCs w:val="32"/>
          <w:shd w:val="clear" w:color="auto" w:fill="FFFFFF"/>
          <w:lang w:val="zh-CN"/>
        </w:rPr>
        <w:t>​</w:t>
      </w:r>
    </w:p>
    <w:p w14:paraId="4285C557">
      <w:pPr>
        <w:pStyle w:val="15"/>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14:paraId="0F6B30F0">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14:paraId="33DED6E0">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14:paraId="56B4DA9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14:paraId="68284DF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14:paraId="7556885A">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14:paraId="1EDD48EC">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14:paraId="6E9C832A">
      <w:pPr>
        <w:spacing w:line="540" w:lineRule="exact"/>
        <w:ind w:firstLine="709"/>
        <w:rPr>
          <w:rFonts w:hint="eastAsia" w:ascii="仿宋" w:hAnsi="仿宋" w:eastAsia="仿宋_GB2312"/>
          <w:sz w:val="32"/>
          <w:szCs w:val="32"/>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r>
        <w:rPr>
          <w:rFonts w:hint="eastAsia" w:ascii="仿宋" w:hAnsi="仿宋" w:eastAsia="仿宋_GB2312"/>
          <w:sz w:val="32"/>
          <w:szCs w:val="32"/>
        </w:rPr>
        <w:t xml:space="preserve"> </w:t>
      </w:r>
    </w:p>
    <w:p w14:paraId="1D36F8DF">
      <w:pPr>
        <w:spacing w:line="578" w:lineRule="exact"/>
        <w:ind w:firstLine="643" w:firstLineChars="200"/>
        <w:contextualSpacing/>
        <w:rPr>
          <w:rFonts w:hint="eastAsia" w:ascii="宋体" w:hAnsi="宋体" w:eastAsia="楷体_GB2312" w:cs="Times New Roman"/>
          <w:b/>
          <w:bCs/>
          <w:color w:val="000000"/>
          <w:sz w:val="32"/>
          <w:szCs w:val="32"/>
          <w:shd w:val="clear" w:color="auto" w:fill="FFFFFF"/>
          <w:lang w:val="zh-CN"/>
        </w:rPr>
      </w:pPr>
      <w:r>
        <w:rPr>
          <w:rFonts w:ascii="宋体" w:hAnsi="宋体" w:eastAsia="楷体_GB2312" w:cs="Times New Roman"/>
          <w:b/>
          <w:bCs/>
          <w:color w:val="000000"/>
          <w:sz w:val="32"/>
          <w:szCs w:val="32"/>
          <w:shd w:val="clear" w:color="auto" w:fill="FFFFFF"/>
          <w:lang w:val="zh-CN"/>
        </w:rPr>
        <w:t>（</w:t>
      </w:r>
      <w:r>
        <w:rPr>
          <w:rFonts w:hint="eastAsia" w:ascii="宋体" w:hAnsi="宋体" w:eastAsia="楷体_GB2312" w:cs="Times New Roman"/>
          <w:b/>
          <w:bCs/>
          <w:color w:val="000000"/>
          <w:sz w:val="32"/>
          <w:szCs w:val="32"/>
          <w:shd w:val="clear" w:color="auto" w:fill="FFFFFF"/>
          <w:lang w:val="en-US" w:eastAsia="zh-CN"/>
        </w:rPr>
        <w:t>二</w:t>
      </w:r>
      <w:r>
        <w:rPr>
          <w:rFonts w:ascii="宋体" w:hAnsi="宋体" w:eastAsia="楷体_GB2312" w:cs="Times New Roman"/>
          <w:b/>
          <w:bCs/>
          <w:color w:val="000000"/>
          <w:sz w:val="32"/>
          <w:szCs w:val="32"/>
          <w:shd w:val="clear" w:color="auto" w:fill="FFFFFF"/>
          <w:lang w:val="zh-CN"/>
        </w:rPr>
        <w:t>）绩效结果应用情况</w:t>
      </w:r>
      <w:r>
        <w:rPr>
          <w:rFonts w:hint="eastAsia" w:ascii="宋体" w:hAnsi="宋体" w:eastAsia="楷体_GB2312" w:cs="Times New Roman"/>
          <w:b/>
          <w:bCs/>
          <w:color w:val="000000"/>
          <w:sz w:val="32"/>
          <w:szCs w:val="32"/>
          <w:shd w:val="clear" w:color="auto" w:fill="FFFFFF"/>
          <w:lang w:val="zh-CN"/>
        </w:rPr>
        <w:t>。</w:t>
      </w:r>
    </w:p>
    <w:p w14:paraId="26B4A94F">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14:paraId="2566F644">
      <w:pPr>
        <w:widowControl/>
        <w:adjustRightInd w:val="0"/>
        <w:snapToGrid w:val="0"/>
        <w:spacing w:line="560" w:lineRule="exact"/>
        <w:ind w:firstLine="640" w:firstLineChars="200"/>
        <w:contextualSpacing/>
        <w:jc w:val="left"/>
        <w:rPr>
          <w:rFonts w:hint="default" w:eastAsia="仿宋_GB2312"/>
          <w:lang w:val="en-US" w:eastAsia="zh-CN"/>
        </w:rPr>
      </w:pPr>
      <w:r>
        <w:rPr>
          <w:rFonts w:hint="eastAsia" w:ascii="仿宋_GB2312" w:hAnsi="仿宋" w:eastAsia="仿宋_GB2312" w:cs="Times New Roman"/>
          <w:sz w:val="32"/>
          <w:szCs w:val="32"/>
          <w:lang w:val="en-US" w:eastAsia="zh-CN"/>
        </w:rPr>
        <w:t>我单位</w:t>
      </w:r>
      <w:r>
        <w:rPr>
          <w:rFonts w:hint="eastAsia" w:ascii="仿宋_GB2312" w:hAnsi="仿宋" w:eastAsia="仿宋_GB2312" w:cs="Times New Roman"/>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14:paraId="090AE81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四、评价结论及建议</w:t>
      </w:r>
    </w:p>
    <w:p w14:paraId="07D789EB">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（一）评价结论。</w:t>
      </w:r>
    </w:p>
    <w:p w14:paraId="4A95471E">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95</w:t>
      </w:r>
      <w:r>
        <w:rPr>
          <w:rFonts w:hint="eastAsia" w:ascii="仿宋_GB2312" w:hAnsi="仿宋" w:eastAsia="仿宋_GB2312" w:cs="Times New Roman"/>
          <w:sz w:val="32"/>
          <w:szCs w:val="32"/>
        </w:rPr>
        <w:t>分 。</w:t>
      </w:r>
    </w:p>
    <w:p w14:paraId="6F93D70C">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二）</w:t>
      </w:r>
      <w:r>
        <w:rPr>
          <w:rFonts w:hint="eastAsia" w:ascii="仿宋_GB2312" w:hAnsi="仿宋" w:eastAsia="仿宋_GB2312" w:cs="Times New Roman"/>
          <w:b/>
          <w:bCs/>
          <w:sz w:val="32"/>
          <w:szCs w:val="32"/>
        </w:rPr>
        <w:t>存在问题。</w:t>
      </w:r>
    </w:p>
    <w:p w14:paraId="6122ED11">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1、因</w:t>
      </w:r>
      <w:r>
        <w:rPr>
          <w:rFonts w:hint="eastAsia" w:ascii="仿宋_GB2312" w:hAnsi="仿宋" w:eastAsia="仿宋_GB2312" w:cs="Times New Roman"/>
          <w:sz w:val="32"/>
          <w:szCs w:val="32"/>
        </w:rPr>
        <w:t>人口下降，出生率降低，</w:t>
      </w:r>
      <w:r>
        <w:rPr>
          <w:rFonts w:hint="eastAsia" w:ascii="仿宋_GB2312" w:hAnsi="仿宋" w:eastAsia="仿宋_GB2312" w:cs="Times New Roman"/>
          <w:sz w:val="32"/>
          <w:szCs w:val="32"/>
          <w:lang w:val="en-US" w:eastAsia="zh-CN"/>
        </w:rPr>
        <w:t>招收的学生逐年减少</w:t>
      </w:r>
      <w:r>
        <w:rPr>
          <w:rFonts w:hint="eastAsia" w:ascii="仿宋_GB2312" w:hAnsi="仿宋" w:eastAsia="仿宋_GB2312" w:cs="Times New Roman"/>
          <w:sz w:val="32"/>
          <w:szCs w:val="32"/>
        </w:rPr>
        <w:t>。</w:t>
      </w:r>
    </w:p>
    <w:p w14:paraId="7A805A26">
      <w:pPr>
        <w:widowControl/>
        <w:adjustRightInd w:val="0"/>
        <w:snapToGrid w:val="0"/>
        <w:spacing w:line="560" w:lineRule="exact"/>
        <w:ind w:firstLine="640" w:firstLineChars="200"/>
        <w:contextualSpacing/>
        <w:jc w:val="left"/>
        <w:rPr>
          <w:rFonts w:hint="eastAsia"/>
        </w:rPr>
      </w:pPr>
      <w:r>
        <w:rPr>
          <w:rFonts w:hint="eastAsia" w:ascii="仿宋_GB2312" w:hAnsi="仿宋" w:eastAsia="仿宋_GB2312" w:cs="Times New Roman"/>
          <w:sz w:val="32"/>
          <w:szCs w:val="32"/>
          <w:lang w:val="en-US" w:eastAsia="zh-CN"/>
        </w:rPr>
        <w:t>2、绩效目标编制需进一步规范、完善；绩效监督与评价体系需进一步健全</w:t>
      </w:r>
      <w:r>
        <w:rPr>
          <w:rFonts w:hint="eastAsia" w:ascii="仿宋_GB2312" w:hAnsi="仿宋" w:eastAsia="仿宋_GB2312" w:cs="Times New Roman"/>
          <w:sz w:val="32"/>
          <w:szCs w:val="32"/>
        </w:rPr>
        <w:t>。</w:t>
      </w:r>
    </w:p>
    <w:p w14:paraId="69D59244">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w:t>
      </w:r>
      <w:r>
        <w:rPr>
          <w:rFonts w:hint="eastAsia" w:ascii="仿宋_GB2312" w:hAnsi="仿宋" w:eastAsia="仿宋_GB2312" w:cs="Times New Roman"/>
          <w:b/>
          <w:bCs/>
          <w:sz w:val="32"/>
          <w:szCs w:val="32"/>
          <w:lang w:val="en-US" w:eastAsia="zh-CN"/>
        </w:rPr>
        <w:t>三</w:t>
      </w:r>
      <w:r>
        <w:rPr>
          <w:rFonts w:hint="eastAsia" w:ascii="仿宋_GB2312" w:hAnsi="仿宋" w:eastAsia="仿宋_GB2312" w:cs="Times New Roman"/>
          <w:b/>
          <w:bCs/>
          <w:sz w:val="32"/>
          <w:szCs w:val="32"/>
        </w:rPr>
        <w:t>）改进建议。</w:t>
      </w:r>
    </w:p>
    <w:p w14:paraId="72A120CE">
      <w:pPr>
        <w:spacing w:line="540" w:lineRule="exact"/>
        <w:ind w:firstLine="640" w:firstLineChars="200"/>
        <w:rPr>
          <w:rFonts w:hint="eastAsia" w:ascii="仿宋_GB2312" w:hAnsi="仿宋" w:eastAsia="仿宋_GB2312" w:cs="Times New Roman"/>
          <w:sz w:val="32"/>
          <w:szCs w:val="32"/>
        </w:rPr>
      </w:pPr>
      <w:r>
        <w:rPr>
          <w:rFonts w:hint="eastAsia" w:ascii="仿宋" w:hAnsi="仿宋" w:eastAsia="仿宋_GB2312"/>
          <w:sz w:val="32"/>
          <w:szCs w:val="32"/>
        </w:rPr>
        <w:t>1、</w:t>
      </w: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14:paraId="27E83A87">
      <w:pPr>
        <w:spacing w:line="540" w:lineRule="exact"/>
        <w:ind w:firstLine="640" w:firstLineChars="200"/>
        <w:rPr>
          <w:rFonts w:ascii="仿宋" w:hAnsi="仿宋" w:eastAsia="仿宋_GB2312"/>
          <w:sz w:val="32"/>
          <w:szCs w:val="32"/>
        </w:rPr>
      </w:pPr>
      <w:r>
        <w:rPr>
          <w:rFonts w:hint="eastAsia" w:ascii="仿宋_GB2312" w:hAnsi="仿宋" w:eastAsia="仿宋_GB2312" w:cs="Times New Roman"/>
          <w:sz w:val="32"/>
          <w:szCs w:val="32"/>
          <w:lang w:val="en-US" w:eastAsia="zh-CN"/>
        </w:rPr>
        <w:t>2、</w:t>
      </w:r>
      <w:r>
        <w:rPr>
          <w:rFonts w:hint="eastAsia" w:ascii="仿宋" w:hAnsi="仿宋" w:eastAsia="仿宋_GB2312"/>
          <w:sz w:val="32"/>
          <w:szCs w:val="32"/>
        </w:rPr>
        <w:t xml:space="preserve">加强绩效评价管理制度和流程的建设。进一步深化、完善绩效管理体系，建立全过程的预算绩效管理机制。 规范绩效评价管理资料的收集整理。确保相关信息完整、可靠，客观公正地反映项目资金实际使用和产生的绩效状况。   </w:t>
      </w:r>
      <w:r>
        <w:rPr>
          <w:rFonts w:ascii="仿宋" w:hAnsi="仿宋" w:eastAsia="仿宋_GB2312"/>
          <w:sz w:val="32"/>
          <w:szCs w:val="32"/>
        </w:rPr>
        <w:t xml:space="preserve">  </w:t>
      </w:r>
    </w:p>
    <w:p w14:paraId="609E6921">
      <w:pPr>
        <w:spacing w:line="540" w:lineRule="exact"/>
        <w:ind w:firstLine="640" w:firstLineChars="200"/>
        <w:rPr>
          <w:rFonts w:ascii="仿宋" w:hAnsi="仿宋" w:eastAsia="仿宋_GB2312"/>
          <w:sz w:val="32"/>
          <w:szCs w:val="32"/>
        </w:rPr>
      </w:pPr>
    </w:p>
    <w:p w14:paraId="7010C3EF">
      <w:pPr>
        <w:spacing w:line="540" w:lineRule="exact"/>
        <w:ind w:firstLine="640" w:firstLineChars="200"/>
        <w:rPr>
          <w:rFonts w:ascii="仿宋" w:hAnsi="仿宋" w:eastAsia="仿宋_GB2312"/>
          <w:sz w:val="32"/>
          <w:szCs w:val="32"/>
        </w:rPr>
      </w:pPr>
      <w:r>
        <w:rPr>
          <w:rFonts w:ascii="仿宋" w:hAnsi="仿宋" w:eastAsia="仿宋_GB2312"/>
          <w:sz w:val="32"/>
          <w:szCs w:val="32"/>
        </w:rPr>
        <w:t>附表：</w:t>
      </w:r>
      <w:r>
        <w:rPr>
          <w:rFonts w:hint="eastAsia" w:ascii="仿宋" w:hAnsi="仿宋" w:eastAsia="仿宋_GB2312"/>
          <w:sz w:val="32"/>
          <w:szCs w:val="32"/>
        </w:rPr>
        <w:t>1、部门整体支出绩效自评表</w:t>
      </w:r>
    </w:p>
    <w:p w14:paraId="4753E89C">
      <w:pPr>
        <w:keepNext w:val="0"/>
        <w:keepLines w:val="0"/>
        <w:pageBreakBefore w:val="0"/>
        <w:kinsoku/>
        <w:wordWrap/>
        <w:overflowPunct/>
        <w:topLinePunct w:val="0"/>
        <w:autoSpaceDE/>
        <w:autoSpaceDN/>
        <w:bidi w:val="0"/>
        <w:spacing w:line="572" w:lineRule="exact"/>
        <w:ind w:firstLine="1600" w:firstLineChars="500"/>
        <w:jc w:val="left"/>
        <w:textAlignment w:val="auto"/>
        <w:outlineLvl w:val="9"/>
        <w:rPr>
          <w:rFonts w:hint="eastAsia" w:eastAsia="黑体" w:cs="黑体"/>
          <w:color w:val="auto"/>
          <w:sz w:val="32"/>
          <w:szCs w:val="32"/>
          <w:highlight w:val="none"/>
          <w:lang w:val="en-US" w:eastAsia="zh-CN"/>
        </w:rPr>
      </w:pPr>
      <w:r>
        <w:rPr>
          <w:rFonts w:hint="eastAsia" w:ascii="仿宋" w:hAnsi="仿宋" w:eastAsia="仿宋_GB2312"/>
          <w:sz w:val="32"/>
          <w:szCs w:val="32"/>
        </w:rPr>
        <w:t>2、部门预算项目支出绩效自评表（2</w:t>
      </w:r>
      <w:r>
        <w:rPr>
          <w:rFonts w:ascii="仿宋" w:hAnsi="仿宋" w:eastAsia="仿宋_GB2312"/>
          <w:sz w:val="32"/>
          <w:szCs w:val="32"/>
        </w:rPr>
        <w:t>024年）</w:t>
      </w:r>
    </w:p>
    <w:p w14:paraId="3DF8E6C1">
      <w:pPr>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br w:type="page"/>
      </w:r>
    </w:p>
    <w:p w14:paraId="29FFB516">
      <w:pPr>
        <w:pStyle w:val="2"/>
        <w:rPr>
          <w:rFonts w:hint="default" w:eastAsia="黑体" w:cs="黑体"/>
          <w:color w:val="auto"/>
          <w:sz w:val="32"/>
          <w:szCs w:val="32"/>
          <w:highlight w:val="none"/>
          <w:lang w:val="en-US" w:eastAsia="zh-CN"/>
        </w:rPr>
      </w:pPr>
      <w:r>
        <w:rPr>
          <w:rFonts w:hint="eastAsia" w:eastAsia="黑体" w:cs="黑体"/>
          <w:color w:val="auto"/>
          <w:sz w:val="32"/>
          <w:szCs w:val="32"/>
          <w:highlight w:val="none"/>
          <w:lang w:val="en-US" w:eastAsia="zh-CN"/>
        </w:rPr>
        <w:t>附表1：</w:t>
      </w:r>
    </w:p>
    <w:tbl>
      <w:tblPr>
        <w:tblStyle w:val="16"/>
        <w:tblW w:w="10243" w:type="dxa"/>
        <w:jc w:val="center"/>
        <w:tblLayout w:type="autofit"/>
        <w:tblCellMar>
          <w:top w:w="0" w:type="dxa"/>
          <w:left w:w="108" w:type="dxa"/>
          <w:bottom w:w="0" w:type="dxa"/>
          <w:right w:w="108" w:type="dxa"/>
        </w:tblCellMar>
      </w:tblPr>
      <w:tblGrid>
        <w:gridCol w:w="699"/>
        <w:gridCol w:w="861"/>
        <w:gridCol w:w="1819"/>
        <w:gridCol w:w="748"/>
        <w:gridCol w:w="2552"/>
        <w:gridCol w:w="2268"/>
        <w:gridCol w:w="729"/>
        <w:gridCol w:w="567"/>
      </w:tblGrid>
      <w:tr w14:paraId="2650EC4D">
        <w:tblPrEx>
          <w:tblCellMar>
            <w:top w:w="0" w:type="dxa"/>
            <w:left w:w="108" w:type="dxa"/>
            <w:bottom w:w="0" w:type="dxa"/>
            <w:right w:w="108" w:type="dxa"/>
          </w:tblCellMar>
        </w:tblPrEx>
        <w:trPr>
          <w:trHeight w:val="645" w:hRule="atLeast"/>
          <w:jc w:val="center"/>
        </w:trPr>
        <w:tc>
          <w:tcPr>
            <w:tcW w:w="10243" w:type="dxa"/>
            <w:gridSpan w:val="8"/>
            <w:tcBorders>
              <w:top w:val="nil"/>
              <w:left w:val="nil"/>
              <w:bottom w:val="nil"/>
              <w:right w:val="nil"/>
            </w:tcBorders>
            <w:noWrap w:val="0"/>
            <w:vAlign w:val="center"/>
          </w:tcPr>
          <w:p w14:paraId="6A17D9B2">
            <w:pPr>
              <w:ind w:firstLine="2880" w:firstLineChars="800"/>
              <w:rPr>
                <w:rFonts w:ascii="黑体" w:hAnsi="黑体" w:eastAsia="黑体" w:cs="黑体"/>
                <w:kern w:val="0"/>
                <w:sz w:val="36"/>
                <w:szCs w:val="36"/>
                <w:shd w:val="clear" w:color="auto" w:fill="FFFFFF"/>
                <w:lang w:val="zh-CN"/>
              </w:rPr>
            </w:pPr>
            <w:r>
              <w:rPr>
                <w:rFonts w:hint="eastAsia" w:ascii="黑体" w:hAnsi="黑体" w:eastAsia="黑体" w:cs="宋体"/>
                <w:kern w:val="0"/>
                <w:sz w:val="36"/>
                <w:szCs w:val="36"/>
              </w:rPr>
              <w:t>部门整体支出绩效自评表</w:t>
            </w:r>
          </w:p>
        </w:tc>
      </w:tr>
      <w:tr w14:paraId="55793488">
        <w:tblPrEx>
          <w:tblCellMar>
            <w:top w:w="0" w:type="dxa"/>
            <w:left w:w="108" w:type="dxa"/>
            <w:bottom w:w="0" w:type="dxa"/>
            <w:right w:w="108" w:type="dxa"/>
          </w:tblCellMar>
        </w:tblPrEx>
        <w:trPr>
          <w:trHeight w:val="519" w:hRule="atLeast"/>
          <w:jc w:val="center"/>
        </w:trPr>
        <w:tc>
          <w:tcPr>
            <w:tcW w:w="4127" w:type="dxa"/>
            <w:gridSpan w:val="4"/>
            <w:tcBorders>
              <w:top w:val="single" w:color="auto" w:sz="4" w:space="0"/>
              <w:left w:val="single" w:color="auto" w:sz="4" w:space="0"/>
              <w:bottom w:val="single" w:color="auto" w:sz="4" w:space="0"/>
              <w:right w:val="single" w:color="auto" w:sz="4" w:space="0"/>
            </w:tcBorders>
            <w:noWrap w:val="0"/>
            <w:vAlign w:val="center"/>
          </w:tcPr>
          <w:p w14:paraId="053DC02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绩效指标</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0FA9A5CD">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指标解释</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1CB8F147">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评分说明</w:t>
            </w:r>
          </w:p>
        </w:tc>
        <w:tc>
          <w:tcPr>
            <w:tcW w:w="729" w:type="dxa"/>
            <w:vMerge w:val="restart"/>
            <w:tcBorders>
              <w:top w:val="single" w:color="auto" w:sz="4" w:space="0"/>
              <w:left w:val="single" w:color="auto" w:sz="4" w:space="0"/>
              <w:bottom w:val="single" w:color="000000" w:sz="4" w:space="0"/>
              <w:right w:val="single" w:color="auto" w:sz="4" w:space="0"/>
            </w:tcBorders>
            <w:noWrap w:val="0"/>
            <w:vAlign w:val="center"/>
          </w:tcPr>
          <w:p w14:paraId="3946DE9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自评  得分</w:t>
            </w:r>
          </w:p>
        </w:tc>
        <w:tc>
          <w:tcPr>
            <w:tcW w:w="567" w:type="dxa"/>
            <w:vMerge w:val="restart"/>
            <w:tcBorders>
              <w:top w:val="single" w:color="auto" w:sz="4" w:space="0"/>
              <w:left w:val="single" w:color="auto" w:sz="4" w:space="0"/>
              <w:bottom w:val="single" w:color="000000" w:sz="4" w:space="0"/>
              <w:right w:val="single" w:color="auto" w:sz="4" w:space="0"/>
            </w:tcBorders>
            <w:noWrap w:val="0"/>
            <w:vAlign w:val="center"/>
          </w:tcPr>
          <w:p w14:paraId="1419B57B">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14:paraId="4DD565FE">
        <w:tblPrEx>
          <w:tblCellMar>
            <w:top w:w="0" w:type="dxa"/>
            <w:left w:w="108" w:type="dxa"/>
            <w:bottom w:w="0" w:type="dxa"/>
            <w:right w:w="108" w:type="dxa"/>
          </w:tblCellMar>
        </w:tblPrEx>
        <w:trPr>
          <w:trHeight w:val="498" w:hRule="atLeast"/>
          <w:jc w:val="center"/>
        </w:trPr>
        <w:tc>
          <w:tcPr>
            <w:tcW w:w="699" w:type="dxa"/>
            <w:tcBorders>
              <w:top w:val="nil"/>
              <w:left w:val="single" w:color="auto" w:sz="4" w:space="0"/>
              <w:bottom w:val="single" w:color="auto" w:sz="4" w:space="0"/>
              <w:right w:val="nil"/>
            </w:tcBorders>
            <w:noWrap w:val="0"/>
            <w:vAlign w:val="center"/>
          </w:tcPr>
          <w:p w14:paraId="4DAFB8F1">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一级指标</w:t>
            </w:r>
          </w:p>
        </w:tc>
        <w:tc>
          <w:tcPr>
            <w:tcW w:w="861" w:type="dxa"/>
            <w:tcBorders>
              <w:top w:val="nil"/>
              <w:left w:val="single" w:color="auto" w:sz="4" w:space="0"/>
              <w:bottom w:val="single" w:color="auto" w:sz="4" w:space="0"/>
              <w:right w:val="single" w:color="auto" w:sz="4" w:space="0"/>
            </w:tcBorders>
            <w:noWrap w:val="0"/>
            <w:vAlign w:val="center"/>
          </w:tcPr>
          <w:p w14:paraId="4364390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二级 指标</w:t>
            </w:r>
          </w:p>
        </w:tc>
        <w:tc>
          <w:tcPr>
            <w:tcW w:w="1819" w:type="dxa"/>
            <w:tcBorders>
              <w:top w:val="nil"/>
              <w:left w:val="nil"/>
              <w:bottom w:val="single" w:color="auto" w:sz="4" w:space="0"/>
              <w:right w:val="single" w:color="auto" w:sz="4" w:space="0"/>
            </w:tcBorders>
            <w:noWrap w:val="0"/>
            <w:vAlign w:val="center"/>
          </w:tcPr>
          <w:p w14:paraId="767080F3">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三级指标</w:t>
            </w:r>
          </w:p>
        </w:tc>
        <w:tc>
          <w:tcPr>
            <w:tcW w:w="748" w:type="dxa"/>
            <w:tcBorders>
              <w:top w:val="nil"/>
              <w:left w:val="nil"/>
              <w:bottom w:val="single" w:color="auto" w:sz="4" w:space="0"/>
              <w:right w:val="single" w:color="auto" w:sz="4" w:space="0"/>
            </w:tcBorders>
            <w:noWrap w:val="0"/>
            <w:vAlign w:val="center"/>
          </w:tcPr>
          <w:p w14:paraId="637C8C8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指标分值</w:t>
            </w: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F5A50EE">
            <w:pPr>
              <w:widowControl/>
              <w:jc w:val="left"/>
              <w:rPr>
                <w:rFonts w:hint="eastAsia" w:asciiTheme="minorEastAsia" w:hAnsiTheme="minorEastAsia" w:eastAsiaTheme="minorEastAsia" w:cstheme="minorEastAsia"/>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4211E326">
            <w:pPr>
              <w:widowControl/>
              <w:jc w:val="left"/>
              <w:rPr>
                <w:rFonts w:hint="eastAsia" w:asciiTheme="minorEastAsia" w:hAnsiTheme="minorEastAsia" w:eastAsiaTheme="minorEastAsia" w:cstheme="minorEastAsia"/>
                <w:kern w:val="0"/>
                <w:szCs w:val="21"/>
              </w:rPr>
            </w:pPr>
          </w:p>
        </w:tc>
        <w:tc>
          <w:tcPr>
            <w:tcW w:w="729" w:type="dxa"/>
            <w:vMerge w:val="continue"/>
            <w:tcBorders>
              <w:top w:val="single" w:color="auto" w:sz="4" w:space="0"/>
              <w:left w:val="single" w:color="auto" w:sz="4" w:space="0"/>
              <w:bottom w:val="single" w:color="000000" w:sz="4" w:space="0"/>
              <w:right w:val="single" w:color="auto" w:sz="4" w:space="0"/>
            </w:tcBorders>
            <w:noWrap w:val="0"/>
            <w:vAlign w:val="center"/>
          </w:tcPr>
          <w:p w14:paraId="784CB313">
            <w:pPr>
              <w:widowControl/>
              <w:jc w:val="center"/>
              <w:rPr>
                <w:rFonts w:hint="eastAsia" w:asciiTheme="minorEastAsia" w:hAnsiTheme="minorEastAsia" w:eastAsiaTheme="minorEastAsia" w:cstheme="minorEastAsia"/>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14:paraId="29BCA81E">
            <w:pPr>
              <w:widowControl/>
              <w:jc w:val="center"/>
              <w:rPr>
                <w:rFonts w:hint="eastAsia" w:asciiTheme="minorEastAsia" w:hAnsiTheme="minorEastAsia" w:eastAsiaTheme="minorEastAsia" w:cstheme="minorEastAsia"/>
                <w:kern w:val="0"/>
                <w:szCs w:val="21"/>
              </w:rPr>
            </w:pPr>
          </w:p>
        </w:tc>
      </w:tr>
      <w:tr w14:paraId="1D7CF6E8">
        <w:tblPrEx>
          <w:tblCellMar>
            <w:top w:w="0" w:type="dxa"/>
            <w:left w:w="108" w:type="dxa"/>
            <w:bottom w:w="0" w:type="dxa"/>
            <w:right w:w="108" w:type="dxa"/>
          </w:tblCellMar>
        </w:tblPrEx>
        <w:trPr>
          <w:trHeight w:val="477" w:hRule="atLeast"/>
          <w:jc w:val="center"/>
        </w:trPr>
        <w:tc>
          <w:tcPr>
            <w:tcW w:w="699" w:type="dxa"/>
            <w:vMerge w:val="restart"/>
            <w:tcBorders>
              <w:top w:val="nil"/>
              <w:left w:val="single" w:color="auto" w:sz="4" w:space="0"/>
              <w:right w:val="nil"/>
            </w:tcBorders>
            <w:noWrap w:val="0"/>
            <w:vAlign w:val="center"/>
          </w:tcPr>
          <w:p w14:paraId="6BEB8D6B">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总体绩效</w:t>
            </w:r>
            <w:r>
              <w:rPr>
                <w:rFonts w:hint="eastAsia" w:asciiTheme="minorEastAsia" w:hAnsiTheme="minorEastAsia" w:eastAsiaTheme="minorEastAsia" w:cstheme="minorEastAsia"/>
                <w:b/>
                <w:bCs/>
                <w:kern w:val="0"/>
                <w:sz w:val="15"/>
                <w:szCs w:val="15"/>
              </w:rPr>
              <w:t>（65分）</w:t>
            </w:r>
          </w:p>
        </w:tc>
        <w:tc>
          <w:tcPr>
            <w:tcW w:w="861" w:type="dxa"/>
            <w:vMerge w:val="restart"/>
            <w:tcBorders>
              <w:top w:val="nil"/>
              <w:left w:val="single" w:color="auto" w:sz="4" w:space="0"/>
              <w:right w:val="single" w:color="auto" w:sz="4" w:space="0"/>
            </w:tcBorders>
            <w:noWrap w:val="0"/>
            <w:vAlign w:val="center"/>
          </w:tcPr>
          <w:p w14:paraId="62141384">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bCs/>
                <w:kern w:val="0"/>
                <w:szCs w:val="21"/>
              </w:rPr>
              <w:t>履职 效能</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（20分）</w:t>
            </w:r>
          </w:p>
        </w:tc>
        <w:tc>
          <w:tcPr>
            <w:tcW w:w="1819" w:type="dxa"/>
            <w:tcBorders>
              <w:top w:val="nil"/>
              <w:left w:val="nil"/>
              <w:bottom w:val="single" w:color="auto" w:sz="4" w:space="0"/>
              <w:right w:val="single" w:color="auto" w:sz="4" w:space="0"/>
            </w:tcBorders>
            <w:noWrap w:val="0"/>
            <w:vAlign w:val="center"/>
          </w:tcPr>
          <w:p w14:paraId="3BC39B54">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kern w:val="0"/>
                <w:szCs w:val="21"/>
              </w:rPr>
              <w:t>绩效目标合理性</w:t>
            </w:r>
          </w:p>
        </w:tc>
        <w:tc>
          <w:tcPr>
            <w:tcW w:w="748" w:type="dxa"/>
            <w:vMerge w:val="restart"/>
            <w:tcBorders>
              <w:top w:val="nil"/>
              <w:left w:val="nil"/>
              <w:right w:val="single" w:color="auto" w:sz="4" w:space="0"/>
            </w:tcBorders>
            <w:noWrap w:val="0"/>
            <w:vAlign w:val="center"/>
          </w:tcPr>
          <w:p w14:paraId="5A71B94F">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20</w:t>
            </w:r>
          </w:p>
        </w:tc>
        <w:tc>
          <w:tcPr>
            <w:tcW w:w="2552" w:type="dxa"/>
            <w:vMerge w:val="restart"/>
            <w:tcBorders>
              <w:top w:val="single" w:color="auto" w:sz="4" w:space="0"/>
              <w:left w:val="single" w:color="auto" w:sz="4" w:space="0"/>
              <w:right w:val="single" w:color="auto" w:sz="4" w:space="0"/>
            </w:tcBorders>
            <w:noWrap w:val="0"/>
            <w:vAlign w:val="center"/>
          </w:tcPr>
          <w:p w14:paraId="4836F448">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是否符合发展规划</w:t>
            </w:r>
          </w:p>
          <w:p w14:paraId="78397AFF">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是否清晰可衡量可考核</w:t>
            </w:r>
          </w:p>
        </w:tc>
        <w:tc>
          <w:tcPr>
            <w:tcW w:w="2268" w:type="dxa"/>
            <w:vMerge w:val="restart"/>
            <w:tcBorders>
              <w:top w:val="single" w:color="auto" w:sz="4" w:space="0"/>
              <w:left w:val="single" w:color="auto" w:sz="4" w:space="0"/>
              <w:right w:val="single" w:color="auto" w:sz="4" w:space="0"/>
            </w:tcBorders>
            <w:noWrap w:val="0"/>
            <w:vAlign w:val="center"/>
          </w:tcPr>
          <w:p w14:paraId="1DBA8C7F">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kern w:val="0"/>
                <w:szCs w:val="21"/>
              </w:rPr>
              <w:t>目标明确、合理</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教学效果好，社会满意度高，校园无安全事故。</w:t>
            </w:r>
          </w:p>
        </w:tc>
        <w:tc>
          <w:tcPr>
            <w:tcW w:w="729" w:type="dxa"/>
            <w:vMerge w:val="restart"/>
            <w:tcBorders>
              <w:top w:val="single" w:color="auto" w:sz="4" w:space="0"/>
              <w:left w:val="single" w:color="auto" w:sz="4" w:space="0"/>
              <w:right w:val="single" w:color="auto" w:sz="4" w:space="0"/>
            </w:tcBorders>
            <w:noWrap w:val="0"/>
            <w:vAlign w:val="center"/>
          </w:tcPr>
          <w:p w14:paraId="441AF822">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20</w:t>
            </w:r>
          </w:p>
        </w:tc>
        <w:tc>
          <w:tcPr>
            <w:tcW w:w="567" w:type="dxa"/>
            <w:vMerge w:val="restart"/>
            <w:tcBorders>
              <w:top w:val="single" w:color="auto" w:sz="4" w:space="0"/>
              <w:left w:val="single" w:color="auto" w:sz="4" w:space="0"/>
              <w:right w:val="single" w:color="auto" w:sz="4" w:space="0"/>
            </w:tcBorders>
            <w:noWrap w:val="0"/>
            <w:vAlign w:val="center"/>
          </w:tcPr>
          <w:p w14:paraId="02E29582">
            <w:pPr>
              <w:widowControl/>
              <w:jc w:val="center"/>
              <w:rPr>
                <w:rFonts w:hint="eastAsia" w:asciiTheme="minorEastAsia" w:hAnsiTheme="minorEastAsia" w:eastAsiaTheme="minorEastAsia" w:cstheme="minorEastAsia"/>
                <w:kern w:val="0"/>
                <w:szCs w:val="21"/>
              </w:rPr>
            </w:pPr>
          </w:p>
        </w:tc>
      </w:tr>
      <w:tr w14:paraId="1B7A791A">
        <w:tblPrEx>
          <w:tblCellMar>
            <w:top w:w="0" w:type="dxa"/>
            <w:left w:w="108" w:type="dxa"/>
            <w:bottom w:w="0" w:type="dxa"/>
            <w:right w:w="108" w:type="dxa"/>
          </w:tblCellMar>
        </w:tblPrEx>
        <w:trPr>
          <w:trHeight w:val="123" w:hRule="atLeast"/>
          <w:jc w:val="center"/>
        </w:trPr>
        <w:tc>
          <w:tcPr>
            <w:tcW w:w="699" w:type="dxa"/>
            <w:vMerge w:val="continue"/>
            <w:tcBorders>
              <w:left w:val="single" w:color="auto" w:sz="4" w:space="0"/>
              <w:right w:val="single" w:color="auto" w:sz="4" w:space="0"/>
            </w:tcBorders>
            <w:noWrap w:val="0"/>
            <w:vAlign w:val="center"/>
          </w:tcPr>
          <w:p w14:paraId="411DF36A">
            <w:pPr>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nil"/>
              <w:right w:val="single" w:color="auto" w:sz="4" w:space="0"/>
            </w:tcBorders>
            <w:noWrap w:val="0"/>
            <w:vAlign w:val="center"/>
          </w:tcPr>
          <w:p w14:paraId="15EFAE4B">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20EC20C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教学质量达标</w:t>
            </w:r>
          </w:p>
        </w:tc>
        <w:tc>
          <w:tcPr>
            <w:tcW w:w="748" w:type="dxa"/>
            <w:vMerge w:val="continue"/>
            <w:tcBorders>
              <w:left w:val="nil"/>
              <w:bottom w:val="nil"/>
              <w:right w:val="single" w:color="auto" w:sz="4" w:space="0"/>
            </w:tcBorders>
            <w:noWrap w:val="0"/>
            <w:vAlign w:val="center"/>
          </w:tcPr>
          <w:p w14:paraId="30193D71">
            <w:pPr>
              <w:widowControl/>
              <w:jc w:val="center"/>
              <w:rPr>
                <w:rFonts w:hint="eastAsia" w:asciiTheme="minorEastAsia" w:hAnsiTheme="minorEastAsia" w:eastAsiaTheme="minorEastAsia" w:cstheme="minorEastAsia"/>
                <w:kern w:val="0"/>
                <w:szCs w:val="21"/>
              </w:rPr>
            </w:pPr>
          </w:p>
        </w:tc>
        <w:tc>
          <w:tcPr>
            <w:tcW w:w="2552" w:type="dxa"/>
            <w:vMerge w:val="continue"/>
            <w:tcBorders>
              <w:left w:val="single" w:color="auto" w:sz="4" w:space="0"/>
              <w:right w:val="single" w:color="auto" w:sz="4" w:space="0"/>
            </w:tcBorders>
            <w:noWrap w:val="0"/>
            <w:vAlign w:val="center"/>
          </w:tcPr>
          <w:p w14:paraId="2DF48868">
            <w:pPr>
              <w:widowControl/>
              <w:jc w:val="left"/>
              <w:rPr>
                <w:rFonts w:hint="eastAsia" w:asciiTheme="minorEastAsia" w:hAnsiTheme="minorEastAsia" w:eastAsiaTheme="minorEastAsia" w:cstheme="minorEastAsia"/>
                <w:color w:val="000000"/>
                <w:kern w:val="0"/>
                <w:szCs w:val="21"/>
              </w:rPr>
            </w:pPr>
          </w:p>
        </w:tc>
        <w:tc>
          <w:tcPr>
            <w:tcW w:w="2268" w:type="dxa"/>
            <w:vMerge w:val="continue"/>
            <w:tcBorders>
              <w:left w:val="single" w:color="auto" w:sz="4" w:space="0"/>
              <w:right w:val="single" w:color="auto" w:sz="4" w:space="0"/>
            </w:tcBorders>
            <w:noWrap w:val="0"/>
            <w:vAlign w:val="center"/>
          </w:tcPr>
          <w:p w14:paraId="44671F16">
            <w:pPr>
              <w:widowControl/>
              <w:jc w:val="left"/>
              <w:rPr>
                <w:rFonts w:hint="eastAsia" w:asciiTheme="minorEastAsia" w:hAnsiTheme="minorEastAsia" w:eastAsiaTheme="minorEastAsia" w:cstheme="minorEastAsia"/>
                <w:color w:val="000000"/>
                <w:kern w:val="0"/>
                <w:szCs w:val="21"/>
              </w:rPr>
            </w:pPr>
          </w:p>
        </w:tc>
        <w:tc>
          <w:tcPr>
            <w:tcW w:w="729" w:type="dxa"/>
            <w:vMerge w:val="continue"/>
            <w:tcBorders>
              <w:left w:val="single" w:color="auto" w:sz="4" w:space="0"/>
              <w:right w:val="single" w:color="auto" w:sz="4" w:space="0"/>
            </w:tcBorders>
            <w:noWrap w:val="0"/>
            <w:vAlign w:val="center"/>
          </w:tcPr>
          <w:p w14:paraId="47BCC686">
            <w:pPr>
              <w:widowControl/>
              <w:jc w:val="center"/>
              <w:rPr>
                <w:rFonts w:hint="eastAsia" w:asciiTheme="minorEastAsia" w:hAnsiTheme="minorEastAsia" w:eastAsiaTheme="minorEastAsia" w:cstheme="minorEastAsia"/>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4B0711BF">
            <w:pPr>
              <w:widowControl/>
              <w:jc w:val="center"/>
              <w:rPr>
                <w:rFonts w:hint="eastAsia" w:asciiTheme="minorEastAsia" w:hAnsiTheme="minorEastAsia" w:eastAsiaTheme="minorEastAsia" w:cstheme="minorEastAsia"/>
                <w:kern w:val="0"/>
                <w:szCs w:val="21"/>
              </w:rPr>
            </w:pPr>
          </w:p>
        </w:tc>
      </w:tr>
      <w:tr w14:paraId="7404B86F">
        <w:tblPrEx>
          <w:tblCellMar>
            <w:top w:w="0" w:type="dxa"/>
            <w:left w:w="108" w:type="dxa"/>
            <w:bottom w:w="0" w:type="dxa"/>
            <w:right w:w="108" w:type="dxa"/>
          </w:tblCellMar>
        </w:tblPrEx>
        <w:trPr>
          <w:trHeight w:val="355" w:hRule="atLeast"/>
          <w:jc w:val="center"/>
        </w:trPr>
        <w:tc>
          <w:tcPr>
            <w:tcW w:w="699" w:type="dxa"/>
            <w:vMerge w:val="continue"/>
            <w:tcBorders>
              <w:left w:val="single" w:color="auto" w:sz="4" w:space="0"/>
              <w:right w:val="single" w:color="auto" w:sz="4" w:space="0"/>
            </w:tcBorders>
            <w:noWrap w:val="0"/>
            <w:vAlign w:val="center"/>
          </w:tcPr>
          <w:p w14:paraId="0EF79237">
            <w:pPr>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nil"/>
              <w:right w:val="single" w:color="auto" w:sz="4" w:space="0"/>
            </w:tcBorders>
            <w:noWrap w:val="0"/>
            <w:vAlign w:val="center"/>
          </w:tcPr>
          <w:p w14:paraId="3365B84F">
            <w:pPr>
              <w:widowControl/>
              <w:jc w:val="left"/>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15403B13">
            <w:pPr>
              <w:widowControl/>
              <w:jc w:val="left"/>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校园安全无事故</w:t>
            </w:r>
          </w:p>
        </w:tc>
        <w:tc>
          <w:tcPr>
            <w:tcW w:w="748" w:type="dxa"/>
            <w:vMerge w:val="continue"/>
            <w:tcBorders>
              <w:left w:val="nil"/>
              <w:bottom w:val="nil"/>
              <w:right w:val="single" w:color="auto" w:sz="4" w:space="0"/>
            </w:tcBorders>
            <w:noWrap w:val="0"/>
            <w:vAlign w:val="center"/>
          </w:tcPr>
          <w:p w14:paraId="429E5B5E">
            <w:pPr>
              <w:widowControl/>
              <w:jc w:val="center"/>
              <w:rPr>
                <w:rFonts w:hint="eastAsia" w:asciiTheme="minorEastAsia" w:hAnsiTheme="minorEastAsia" w:eastAsiaTheme="minorEastAsia" w:cstheme="minorEastAsia"/>
                <w:kern w:val="0"/>
                <w:szCs w:val="21"/>
              </w:rPr>
            </w:pPr>
          </w:p>
        </w:tc>
        <w:tc>
          <w:tcPr>
            <w:tcW w:w="2552" w:type="dxa"/>
            <w:vMerge w:val="continue"/>
            <w:tcBorders>
              <w:left w:val="single" w:color="auto" w:sz="4" w:space="0"/>
              <w:bottom w:val="nil"/>
              <w:right w:val="single" w:color="auto" w:sz="4" w:space="0"/>
            </w:tcBorders>
            <w:noWrap w:val="0"/>
            <w:vAlign w:val="center"/>
          </w:tcPr>
          <w:p w14:paraId="1B20AAD2">
            <w:pPr>
              <w:widowControl/>
              <w:jc w:val="left"/>
              <w:rPr>
                <w:rFonts w:hint="eastAsia" w:asciiTheme="minorEastAsia" w:hAnsiTheme="minorEastAsia" w:eastAsiaTheme="minorEastAsia" w:cstheme="minorEastAsia"/>
                <w:color w:val="000000"/>
                <w:kern w:val="0"/>
                <w:szCs w:val="21"/>
              </w:rPr>
            </w:pPr>
          </w:p>
        </w:tc>
        <w:tc>
          <w:tcPr>
            <w:tcW w:w="2268" w:type="dxa"/>
            <w:vMerge w:val="continue"/>
            <w:tcBorders>
              <w:left w:val="single" w:color="auto" w:sz="4" w:space="0"/>
              <w:bottom w:val="nil"/>
              <w:right w:val="single" w:color="auto" w:sz="4" w:space="0"/>
            </w:tcBorders>
            <w:noWrap w:val="0"/>
            <w:vAlign w:val="center"/>
          </w:tcPr>
          <w:p w14:paraId="21FE39B2">
            <w:pPr>
              <w:widowControl/>
              <w:jc w:val="left"/>
              <w:rPr>
                <w:rFonts w:hint="eastAsia" w:asciiTheme="minorEastAsia" w:hAnsiTheme="minorEastAsia" w:eastAsiaTheme="minorEastAsia" w:cstheme="minorEastAsia"/>
                <w:color w:val="000000"/>
                <w:kern w:val="0"/>
                <w:szCs w:val="21"/>
              </w:rPr>
            </w:pPr>
          </w:p>
        </w:tc>
        <w:tc>
          <w:tcPr>
            <w:tcW w:w="729" w:type="dxa"/>
            <w:vMerge w:val="continue"/>
            <w:tcBorders>
              <w:left w:val="single" w:color="auto" w:sz="4" w:space="0"/>
              <w:bottom w:val="nil"/>
              <w:right w:val="single" w:color="auto" w:sz="4" w:space="0"/>
            </w:tcBorders>
            <w:noWrap w:val="0"/>
            <w:vAlign w:val="center"/>
          </w:tcPr>
          <w:p w14:paraId="0B5A1EF4">
            <w:pPr>
              <w:widowControl/>
              <w:jc w:val="center"/>
              <w:rPr>
                <w:rFonts w:hint="eastAsia" w:asciiTheme="minorEastAsia" w:hAnsiTheme="minorEastAsia" w:eastAsiaTheme="minorEastAsia" w:cstheme="minorEastAsia"/>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0CA03B91">
            <w:pPr>
              <w:widowControl/>
              <w:jc w:val="center"/>
              <w:rPr>
                <w:rFonts w:hint="eastAsia" w:asciiTheme="minorEastAsia" w:hAnsiTheme="minorEastAsia" w:eastAsiaTheme="minorEastAsia" w:cstheme="minorEastAsia"/>
                <w:kern w:val="0"/>
                <w:szCs w:val="21"/>
              </w:rPr>
            </w:pPr>
          </w:p>
        </w:tc>
      </w:tr>
      <w:tr w14:paraId="28A38B90">
        <w:tblPrEx>
          <w:tblCellMar>
            <w:top w:w="0" w:type="dxa"/>
            <w:left w:w="108" w:type="dxa"/>
            <w:bottom w:w="0" w:type="dxa"/>
            <w:right w:w="108" w:type="dxa"/>
          </w:tblCellMar>
        </w:tblPrEx>
        <w:trPr>
          <w:trHeight w:val="363" w:hRule="atLeast"/>
          <w:jc w:val="center"/>
        </w:trPr>
        <w:tc>
          <w:tcPr>
            <w:tcW w:w="699" w:type="dxa"/>
            <w:vMerge w:val="continue"/>
            <w:tcBorders>
              <w:left w:val="single" w:color="auto" w:sz="4" w:space="0"/>
              <w:right w:val="single" w:color="auto" w:sz="4" w:space="0"/>
            </w:tcBorders>
            <w:noWrap w:val="0"/>
            <w:vAlign w:val="center"/>
          </w:tcPr>
          <w:p w14:paraId="51DC2E66">
            <w:pPr>
              <w:jc w:val="center"/>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14:paraId="39BD380D">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预算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（20分）</w:t>
            </w:r>
          </w:p>
        </w:tc>
        <w:tc>
          <w:tcPr>
            <w:tcW w:w="1819" w:type="dxa"/>
            <w:tcBorders>
              <w:top w:val="nil"/>
              <w:left w:val="nil"/>
              <w:bottom w:val="single" w:color="auto" w:sz="4" w:space="0"/>
              <w:right w:val="single" w:color="auto" w:sz="4" w:space="0"/>
            </w:tcBorders>
            <w:noWrap w:val="0"/>
            <w:vAlign w:val="center"/>
          </w:tcPr>
          <w:p w14:paraId="0A898CBE">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预算编制质量</w:t>
            </w:r>
          </w:p>
        </w:tc>
        <w:tc>
          <w:tcPr>
            <w:tcW w:w="748" w:type="dxa"/>
            <w:tcBorders>
              <w:top w:val="single" w:color="auto" w:sz="4" w:space="0"/>
              <w:left w:val="nil"/>
              <w:bottom w:val="single" w:color="auto" w:sz="4" w:space="0"/>
              <w:right w:val="single" w:color="auto" w:sz="4" w:space="0"/>
            </w:tcBorders>
            <w:noWrap w:val="0"/>
            <w:vAlign w:val="center"/>
          </w:tcPr>
          <w:p w14:paraId="76FE3E6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single" w:color="auto" w:sz="4" w:space="0"/>
              <w:left w:val="nil"/>
              <w:bottom w:val="single" w:color="auto" w:sz="4" w:space="0"/>
              <w:right w:val="single" w:color="auto" w:sz="4" w:space="0"/>
            </w:tcBorders>
            <w:noWrap w:val="0"/>
            <w:vAlign w:val="center"/>
          </w:tcPr>
          <w:p w14:paraId="108B488F">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是否纳入预算管理</w:t>
            </w:r>
          </w:p>
        </w:tc>
        <w:tc>
          <w:tcPr>
            <w:tcW w:w="2268" w:type="dxa"/>
            <w:tcBorders>
              <w:top w:val="single" w:color="auto" w:sz="4" w:space="0"/>
              <w:left w:val="nil"/>
              <w:bottom w:val="single" w:color="auto" w:sz="4" w:space="0"/>
              <w:right w:val="single" w:color="auto" w:sz="4" w:space="0"/>
            </w:tcBorders>
            <w:noWrap w:val="0"/>
            <w:vAlign w:val="center"/>
          </w:tcPr>
          <w:p w14:paraId="4277954F">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single" w:color="auto" w:sz="4" w:space="0"/>
              <w:left w:val="nil"/>
              <w:bottom w:val="single" w:color="auto" w:sz="4" w:space="0"/>
              <w:right w:val="single" w:color="auto" w:sz="4" w:space="0"/>
            </w:tcBorders>
            <w:noWrap w:val="0"/>
            <w:vAlign w:val="center"/>
          </w:tcPr>
          <w:p w14:paraId="74CCE40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14:paraId="2EA115FB">
            <w:pPr>
              <w:widowControl/>
              <w:jc w:val="center"/>
              <w:rPr>
                <w:rFonts w:hint="eastAsia" w:asciiTheme="minorEastAsia" w:hAnsiTheme="minorEastAsia" w:eastAsiaTheme="minorEastAsia" w:cstheme="minorEastAsia"/>
                <w:kern w:val="0"/>
                <w:szCs w:val="21"/>
              </w:rPr>
            </w:pPr>
          </w:p>
        </w:tc>
      </w:tr>
      <w:tr w14:paraId="2B929B9B">
        <w:tblPrEx>
          <w:tblCellMar>
            <w:top w:w="0" w:type="dxa"/>
            <w:left w:w="108" w:type="dxa"/>
            <w:bottom w:w="0" w:type="dxa"/>
            <w:right w:w="108" w:type="dxa"/>
          </w:tblCellMar>
        </w:tblPrEx>
        <w:trPr>
          <w:trHeight w:val="390" w:hRule="atLeast"/>
          <w:jc w:val="center"/>
        </w:trPr>
        <w:tc>
          <w:tcPr>
            <w:tcW w:w="699" w:type="dxa"/>
            <w:vMerge w:val="continue"/>
            <w:tcBorders>
              <w:left w:val="single" w:color="auto" w:sz="4" w:space="0"/>
              <w:right w:val="single" w:color="auto" w:sz="4" w:space="0"/>
            </w:tcBorders>
            <w:noWrap w:val="0"/>
            <w:vAlign w:val="center"/>
          </w:tcPr>
          <w:p w14:paraId="01279C47">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73F94CFB">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0516E79A">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支出执行进度</w:t>
            </w:r>
          </w:p>
        </w:tc>
        <w:tc>
          <w:tcPr>
            <w:tcW w:w="748" w:type="dxa"/>
            <w:tcBorders>
              <w:top w:val="nil"/>
              <w:left w:val="nil"/>
              <w:bottom w:val="single" w:color="auto" w:sz="4" w:space="0"/>
              <w:right w:val="single" w:color="auto" w:sz="4" w:space="0"/>
            </w:tcBorders>
            <w:noWrap w:val="0"/>
            <w:vAlign w:val="center"/>
          </w:tcPr>
          <w:p w14:paraId="4B2228B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441270D1">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按时间节点完成支付</w:t>
            </w:r>
          </w:p>
        </w:tc>
        <w:tc>
          <w:tcPr>
            <w:tcW w:w="2268" w:type="dxa"/>
            <w:tcBorders>
              <w:top w:val="nil"/>
              <w:left w:val="nil"/>
              <w:bottom w:val="single" w:color="auto" w:sz="4" w:space="0"/>
              <w:right w:val="single" w:color="auto" w:sz="4" w:space="0"/>
            </w:tcBorders>
            <w:noWrap w:val="0"/>
            <w:vAlign w:val="center"/>
          </w:tcPr>
          <w:p w14:paraId="2005A6B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按进度执行</w:t>
            </w:r>
          </w:p>
        </w:tc>
        <w:tc>
          <w:tcPr>
            <w:tcW w:w="729" w:type="dxa"/>
            <w:tcBorders>
              <w:top w:val="nil"/>
              <w:left w:val="nil"/>
              <w:bottom w:val="single" w:color="auto" w:sz="4" w:space="0"/>
              <w:right w:val="single" w:color="auto" w:sz="4" w:space="0"/>
            </w:tcBorders>
            <w:noWrap w:val="0"/>
            <w:vAlign w:val="center"/>
          </w:tcPr>
          <w:p w14:paraId="5FF84B8E">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32B7CABF">
            <w:pPr>
              <w:widowControl/>
              <w:jc w:val="center"/>
              <w:rPr>
                <w:rFonts w:hint="eastAsia" w:asciiTheme="minorEastAsia" w:hAnsiTheme="minorEastAsia" w:eastAsiaTheme="minorEastAsia" w:cstheme="minorEastAsia"/>
                <w:kern w:val="0"/>
                <w:szCs w:val="21"/>
              </w:rPr>
            </w:pPr>
          </w:p>
        </w:tc>
      </w:tr>
      <w:tr w14:paraId="5F2A4B98">
        <w:tblPrEx>
          <w:tblCellMar>
            <w:top w:w="0" w:type="dxa"/>
            <w:left w:w="108" w:type="dxa"/>
            <w:bottom w:w="0" w:type="dxa"/>
            <w:right w:w="108" w:type="dxa"/>
          </w:tblCellMar>
        </w:tblPrEx>
        <w:trPr>
          <w:trHeight w:val="446" w:hRule="atLeast"/>
          <w:jc w:val="center"/>
        </w:trPr>
        <w:tc>
          <w:tcPr>
            <w:tcW w:w="699" w:type="dxa"/>
            <w:vMerge w:val="continue"/>
            <w:tcBorders>
              <w:left w:val="single" w:color="auto" w:sz="4" w:space="0"/>
              <w:right w:val="single" w:color="auto" w:sz="4" w:space="0"/>
            </w:tcBorders>
            <w:noWrap w:val="0"/>
            <w:vAlign w:val="center"/>
          </w:tcPr>
          <w:p w14:paraId="79A57A30">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73C78D57">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3664856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重点支出安排率</w:t>
            </w:r>
          </w:p>
        </w:tc>
        <w:tc>
          <w:tcPr>
            <w:tcW w:w="748" w:type="dxa"/>
            <w:tcBorders>
              <w:top w:val="nil"/>
              <w:left w:val="nil"/>
              <w:bottom w:val="single" w:color="auto" w:sz="4" w:space="0"/>
              <w:right w:val="single" w:color="auto" w:sz="4" w:space="0"/>
            </w:tcBorders>
            <w:noWrap w:val="0"/>
            <w:vAlign w:val="center"/>
          </w:tcPr>
          <w:p w14:paraId="1CA6AFC8">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0F5F728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是否优先保障重点支出</w:t>
            </w:r>
          </w:p>
        </w:tc>
        <w:tc>
          <w:tcPr>
            <w:tcW w:w="2268" w:type="dxa"/>
            <w:tcBorders>
              <w:top w:val="nil"/>
              <w:left w:val="nil"/>
              <w:bottom w:val="single" w:color="auto" w:sz="4" w:space="0"/>
              <w:right w:val="single" w:color="auto" w:sz="4" w:space="0"/>
            </w:tcBorders>
            <w:noWrap w:val="0"/>
            <w:vAlign w:val="center"/>
          </w:tcPr>
          <w:p w14:paraId="600ED3C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4AC569FD">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47758248">
            <w:pPr>
              <w:widowControl/>
              <w:jc w:val="center"/>
              <w:rPr>
                <w:rFonts w:hint="eastAsia" w:asciiTheme="minorEastAsia" w:hAnsiTheme="minorEastAsia" w:eastAsiaTheme="minorEastAsia" w:cstheme="minorEastAsia"/>
                <w:kern w:val="0"/>
                <w:szCs w:val="21"/>
              </w:rPr>
            </w:pPr>
          </w:p>
        </w:tc>
      </w:tr>
      <w:tr w14:paraId="2FC66B7B">
        <w:tblPrEx>
          <w:tblCellMar>
            <w:top w:w="0" w:type="dxa"/>
            <w:left w:w="108" w:type="dxa"/>
            <w:bottom w:w="0" w:type="dxa"/>
            <w:right w:w="108" w:type="dxa"/>
          </w:tblCellMar>
        </w:tblPrEx>
        <w:trPr>
          <w:trHeight w:val="397" w:hRule="atLeast"/>
          <w:jc w:val="center"/>
        </w:trPr>
        <w:tc>
          <w:tcPr>
            <w:tcW w:w="699" w:type="dxa"/>
            <w:vMerge w:val="continue"/>
            <w:tcBorders>
              <w:left w:val="single" w:color="auto" w:sz="4" w:space="0"/>
              <w:right w:val="single" w:color="auto" w:sz="4" w:space="0"/>
            </w:tcBorders>
            <w:noWrap w:val="0"/>
            <w:vAlign w:val="center"/>
          </w:tcPr>
          <w:p w14:paraId="566041D9">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5C1A8C7A">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4F6A6FFF">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预算结转结余</w:t>
            </w:r>
          </w:p>
        </w:tc>
        <w:tc>
          <w:tcPr>
            <w:tcW w:w="748" w:type="dxa"/>
            <w:tcBorders>
              <w:top w:val="nil"/>
              <w:left w:val="nil"/>
              <w:bottom w:val="single" w:color="auto" w:sz="4" w:space="0"/>
              <w:right w:val="single" w:color="auto" w:sz="4" w:space="0"/>
            </w:tcBorders>
            <w:noWrap w:val="0"/>
            <w:vAlign w:val="center"/>
          </w:tcPr>
          <w:p w14:paraId="352867E6">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6F0D500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年度预算结转结余控制</w:t>
            </w:r>
          </w:p>
        </w:tc>
        <w:tc>
          <w:tcPr>
            <w:tcW w:w="2268" w:type="dxa"/>
            <w:tcBorders>
              <w:top w:val="nil"/>
              <w:left w:val="nil"/>
              <w:bottom w:val="single" w:color="auto" w:sz="4" w:space="0"/>
              <w:right w:val="single" w:color="auto" w:sz="4" w:space="0"/>
            </w:tcBorders>
            <w:noWrap w:val="0"/>
            <w:vAlign w:val="center"/>
          </w:tcPr>
          <w:p w14:paraId="73479E7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无结转结余</w:t>
            </w:r>
          </w:p>
        </w:tc>
        <w:tc>
          <w:tcPr>
            <w:tcW w:w="729" w:type="dxa"/>
            <w:tcBorders>
              <w:top w:val="nil"/>
              <w:left w:val="nil"/>
              <w:bottom w:val="single" w:color="auto" w:sz="4" w:space="0"/>
              <w:right w:val="single" w:color="auto" w:sz="4" w:space="0"/>
            </w:tcBorders>
            <w:noWrap w:val="0"/>
            <w:vAlign w:val="center"/>
          </w:tcPr>
          <w:p w14:paraId="0BE71B62">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7B61353D">
            <w:pPr>
              <w:widowControl/>
              <w:jc w:val="center"/>
              <w:rPr>
                <w:rFonts w:hint="eastAsia" w:asciiTheme="minorEastAsia" w:hAnsiTheme="minorEastAsia" w:eastAsiaTheme="minorEastAsia" w:cstheme="minorEastAsia"/>
                <w:kern w:val="0"/>
                <w:szCs w:val="21"/>
              </w:rPr>
            </w:pPr>
          </w:p>
        </w:tc>
      </w:tr>
      <w:tr w14:paraId="6ECAF26D">
        <w:tblPrEx>
          <w:tblCellMar>
            <w:top w:w="0" w:type="dxa"/>
            <w:left w:w="108" w:type="dxa"/>
            <w:bottom w:w="0" w:type="dxa"/>
            <w:right w:w="108" w:type="dxa"/>
          </w:tblCellMar>
        </w:tblPrEx>
        <w:trPr>
          <w:trHeight w:val="550" w:hRule="atLeast"/>
          <w:jc w:val="center"/>
        </w:trPr>
        <w:tc>
          <w:tcPr>
            <w:tcW w:w="699" w:type="dxa"/>
            <w:vMerge w:val="continue"/>
            <w:tcBorders>
              <w:left w:val="single" w:color="auto" w:sz="4" w:space="0"/>
              <w:right w:val="single" w:color="auto" w:sz="4" w:space="0"/>
            </w:tcBorders>
            <w:noWrap w:val="0"/>
            <w:vAlign w:val="center"/>
          </w:tcPr>
          <w:p w14:paraId="359B8CB1">
            <w:pPr>
              <w:jc w:val="center"/>
              <w:rPr>
                <w:rFonts w:hint="eastAsia" w:asciiTheme="minorEastAsia" w:hAnsiTheme="minorEastAsia" w:eastAsiaTheme="minorEastAsia" w:cstheme="minorEastAsia"/>
                <w:b/>
                <w:bCs/>
                <w:kern w:val="0"/>
                <w:szCs w:val="21"/>
              </w:rPr>
            </w:pPr>
          </w:p>
        </w:tc>
        <w:tc>
          <w:tcPr>
            <w:tcW w:w="861" w:type="dxa"/>
            <w:vMerge w:val="restart"/>
            <w:tcBorders>
              <w:top w:val="nil"/>
              <w:left w:val="single" w:color="auto" w:sz="4" w:space="0"/>
              <w:right w:val="single" w:color="auto" w:sz="4" w:space="0"/>
            </w:tcBorders>
            <w:noWrap w:val="0"/>
            <w:vAlign w:val="center"/>
          </w:tcPr>
          <w:p w14:paraId="50F0F007">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资产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（15分）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C60309">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资产管理规范性</w:t>
            </w:r>
          </w:p>
        </w:tc>
        <w:tc>
          <w:tcPr>
            <w:tcW w:w="748" w:type="dxa"/>
            <w:tcBorders>
              <w:top w:val="single" w:color="000000" w:sz="4" w:space="0"/>
              <w:left w:val="nil"/>
              <w:bottom w:val="single" w:color="000000" w:sz="4" w:space="0"/>
              <w:right w:val="single" w:color="000000" w:sz="4" w:space="0"/>
            </w:tcBorders>
            <w:noWrap w:val="0"/>
            <w:vAlign w:val="center"/>
          </w:tcPr>
          <w:p w14:paraId="31F46C08">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w:t>
            </w:r>
          </w:p>
        </w:tc>
        <w:tc>
          <w:tcPr>
            <w:tcW w:w="2552" w:type="dxa"/>
            <w:tcBorders>
              <w:top w:val="single" w:color="000000" w:sz="4" w:space="0"/>
              <w:left w:val="nil"/>
              <w:bottom w:val="single" w:color="000000" w:sz="4" w:space="0"/>
              <w:right w:val="single" w:color="000000" w:sz="4" w:space="0"/>
            </w:tcBorders>
            <w:noWrap w:val="0"/>
            <w:vAlign w:val="center"/>
          </w:tcPr>
          <w:p w14:paraId="13343036">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制度是否健全，是否完成保存，按要求处置。</w:t>
            </w:r>
          </w:p>
        </w:tc>
        <w:tc>
          <w:tcPr>
            <w:tcW w:w="2268" w:type="dxa"/>
            <w:tcBorders>
              <w:top w:val="single" w:color="000000" w:sz="4" w:space="0"/>
              <w:left w:val="nil"/>
              <w:bottom w:val="single" w:color="000000" w:sz="4" w:space="0"/>
              <w:right w:val="single" w:color="000000" w:sz="4" w:space="0"/>
            </w:tcBorders>
            <w:noWrap w:val="0"/>
            <w:vAlign w:val="center"/>
          </w:tcPr>
          <w:p w14:paraId="4DDF7A9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制度健全管理规范，无闲置资产</w:t>
            </w:r>
          </w:p>
        </w:tc>
        <w:tc>
          <w:tcPr>
            <w:tcW w:w="729" w:type="dxa"/>
            <w:tcBorders>
              <w:top w:val="nil"/>
              <w:left w:val="single" w:color="auto" w:sz="4" w:space="0"/>
              <w:bottom w:val="single" w:color="auto" w:sz="4" w:space="0"/>
              <w:right w:val="single" w:color="auto" w:sz="4" w:space="0"/>
            </w:tcBorders>
            <w:noWrap w:val="0"/>
            <w:vAlign w:val="center"/>
          </w:tcPr>
          <w:p w14:paraId="7925797D">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7</w:t>
            </w:r>
          </w:p>
        </w:tc>
        <w:tc>
          <w:tcPr>
            <w:tcW w:w="567" w:type="dxa"/>
            <w:vMerge w:val="restart"/>
            <w:tcBorders>
              <w:top w:val="nil"/>
              <w:left w:val="single" w:color="auto" w:sz="4" w:space="0"/>
              <w:right w:val="single" w:color="auto" w:sz="4" w:space="0"/>
            </w:tcBorders>
            <w:noWrap w:val="0"/>
            <w:vAlign w:val="center"/>
          </w:tcPr>
          <w:p w14:paraId="75D015EF">
            <w:pPr>
              <w:widowControl/>
              <w:jc w:val="center"/>
              <w:rPr>
                <w:rFonts w:hint="eastAsia" w:asciiTheme="minorEastAsia" w:hAnsiTheme="minorEastAsia" w:eastAsiaTheme="minorEastAsia" w:cstheme="minorEastAsia"/>
                <w:kern w:val="0"/>
                <w:szCs w:val="21"/>
              </w:rPr>
            </w:pPr>
          </w:p>
        </w:tc>
      </w:tr>
      <w:tr w14:paraId="52D46150">
        <w:tblPrEx>
          <w:tblCellMar>
            <w:top w:w="0" w:type="dxa"/>
            <w:left w:w="108" w:type="dxa"/>
            <w:bottom w:w="0" w:type="dxa"/>
            <w:right w:w="108" w:type="dxa"/>
          </w:tblCellMar>
        </w:tblPrEx>
        <w:trPr>
          <w:trHeight w:val="489" w:hRule="atLeast"/>
          <w:jc w:val="center"/>
        </w:trPr>
        <w:tc>
          <w:tcPr>
            <w:tcW w:w="699" w:type="dxa"/>
            <w:vMerge w:val="continue"/>
            <w:tcBorders>
              <w:left w:val="single" w:color="auto" w:sz="4" w:space="0"/>
              <w:right w:val="single" w:color="auto" w:sz="4" w:space="0"/>
            </w:tcBorders>
            <w:noWrap w:val="0"/>
            <w:vAlign w:val="center"/>
          </w:tcPr>
          <w:p w14:paraId="13CDEEB8">
            <w:pPr>
              <w:widowControl/>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single" w:color="auto" w:sz="4" w:space="0"/>
              <w:right w:val="single" w:color="auto" w:sz="4" w:space="0"/>
            </w:tcBorders>
            <w:noWrap w:val="0"/>
            <w:vAlign w:val="center"/>
          </w:tcPr>
          <w:p w14:paraId="5D119806">
            <w:pPr>
              <w:widowControl/>
              <w:jc w:val="center"/>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3BE95AD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资产使用率</w:t>
            </w:r>
          </w:p>
        </w:tc>
        <w:tc>
          <w:tcPr>
            <w:tcW w:w="748" w:type="dxa"/>
            <w:tcBorders>
              <w:top w:val="single" w:color="auto" w:sz="4" w:space="0"/>
              <w:left w:val="nil"/>
              <w:bottom w:val="single" w:color="auto" w:sz="4" w:space="0"/>
              <w:right w:val="single" w:color="auto" w:sz="4" w:space="0"/>
            </w:tcBorders>
            <w:noWrap w:val="0"/>
            <w:vAlign w:val="center"/>
          </w:tcPr>
          <w:p w14:paraId="7A8A95D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w:t>
            </w:r>
          </w:p>
        </w:tc>
        <w:tc>
          <w:tcPr>
            <w:tcW w:w="2552" w:type="dxa"/>
            <w:tcBorders>
              <w:top w:val="single" w:color="auto" w:sz="4" w:space="0"/>
              <w:left w:val="nil"/>
              <w:bottom w:val="single" w:color="auto" w:sz="4" w:space="0"/>
              <w:right w:val="single" w:color="auto" w:sz="4" w:space="0"/>
            </w:tcBorders>
            <w:noWrap w:val="0"/>
            <w:vAlign w:val="center"/>
          </w:tcPr>
          <w:p w14:paraId="0431422F">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是否充分充分高效使用</w:t>
            </w:r>
          </w:p>
        </w:tc>
        <w:tc>
          <w:tcPr>
            <w:tcW w:w="2268" w:type="dxa"/>
            <w:tcBorders>
              <w:top w:val="single" w:color="auto" w:sz="4" w:space="0"/>
              <w:left w:val="nil"/>
              <w:bottom w:val="single" w:color="auto" w:sz="4" w:space="0"/>
              <w:right w:val="single" w:color="auto" w:sz="4" w:space="0"/>
            </w:tcBorders>
            <w:noWrap w:val="0"/>
            <w:vAlign w:val="center"/>
          </w:tcPr>
          <w:p w14:paraId="6E6D439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10C34033">
            <w:pPr>
              <w:widowControl/>
              <w:jc w:val="center"/>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val="en-US" w:eastAsia="zh-CN"/>
              </w:rPr>
              <w:t>6</w:t>
            </w:r>
          </w:p>
        </w:tc>
        <w:tc>
          <w:tcPr>
            <w:tcW w:w="567" w:type="dxa"/>
            <w:vMerge w:val="continue"/>
            <w:tcBorders>
              <w:left w:val="single" w:color="auto" w:sz="4" w:space="0"/>
              <w:bottom w:val="single" w:color="auto" w:sz="4" w:space="0"/>
              <w:right w:val="single" w:color="auto" w:sz="4" w:space="0"/>
            </w:tcBorders>
            <w:noWrap w:val="0"/>
            <w:vAlign w:val="center"/>
          </w:tcPr>
          <w:p w14:paraId="4C4E25FD">
            <w:pPr>
              <w:widowControl/>
              <w:jc w:val="center"/>
              <w:rPr>
                <w:rFonts w:hint="eastAsia" w:asciiTheme="minorEastAsia" w:hAnsiTheme="minorEastAsia" w:eastAsiaTheme="minorEastAsia" w:cstheme="minorEastAsia"/>
                <w:kern w:val="0"/>
                <w:szCs w:val="21"/>
              </w:rPr>
            </w:pPr>
          </w:p>
        </w:tc>
      </w:tr>
      <w:tr w14:paraId="1010E359">
        <w:tblPrEx>
          <w:tblCellMar>
            <w:top w:w="0" w:type="dxa"/>
            <w:left w:w="108" w:type="dxa"/>
            <w:bottom w:w="0" w:type="dxa"/>
            <w:right w:w="108" w:type="dxa"/>
          </w:tblCellMar>
        </w:tblPrEx>
        <w:trPr>
          <w:trHeight w:val="801" w:hRule="atLeast"/>
          <w:jc w:val="center"/>
        </w:trPr>
        <w:tc>
          <w:tcPr>
            <w:tcW w:w="699" w:type="dxa"/>
            <w:vMerge w:val="continue"/>
            <w:tcBorders>
              <w:left w:val="single" w:color="auto" w:sz="4" w:space="0"/>
              <w:right w:val="single" w:color="auto" w:sz="4" w:space="0"/>
            </w:tcBorders>
            <w:noWrap w:val="0"/>
            <w:vAlign w:val="center"/>
          </w:tcPr>
          <w:p w14:paraId="50B94B65">
            <w:pPr>
              <w:widowControl/>
              <w:jc w:val="left"/>
              <w:rPr>
                <w:rFonts w:hint="eastAsia" w:asciiTheme="minorEastAsia" w:hAnsiTheme="minorEastAsia" w:eastAsiaTheme="minorEastAsia" w:cstheme="minorEastAsia"/>
                <w:b/>
                <w:bCs/>
                <w:kern w:val="0"/>
                <w:szCs w:val="21"/>
              </w:rPr>
            </w:pPr>
          </w:p>
        </w:tc>
        <w:tc>
          <w:tcPr>
            <w:tcW w:w="861" w:type="dxa"/>
            <w:tcBorders>
              <w:top w:val="nil"/>
              <w:left w:val="single" w:color="auto" w:sz="4" w:space="0"/>
              <w:bottom w:val="single" w:color="auto" w:sz="4" w:space="0"/>
              <w:right w:val="single" w:color="auto" w:sz="4" w:space="0"/>
            </w:tcBorders>
            <w:noWrap w:val="0"/>
            <w:vAlign w:val="center"/>
          </w:tcPr>
          <w:p w14:paraId="768A6B39">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采购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（10分）</w:t>
            </w:r>
          </w:p>
        </w:tc>
        <w:tc>
          <w:tcPr>
            <w:tcW w:w="1819" w:type="dxa"/>
            <w:tcBorders>
              <w:top w:val="nil"/>
              <w:left w:val="nil"/>
              <w:bottom w:val="single" w:color="auto" w:sz="4" w:space="0"/>
              <w:right w:val="single" w:color="auto" w:sz="4" w:space="0"/>
            </w:tcBorders>
            <w:noWrap w:val="0"/>
            <w:vAlign w:val="center"/>
          </w:tcPr>
          <w:p w14:paraId="713106B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政府采购执行率</w:t>
            </w:r>
          </w:p>
        </w:tc>
        <w:tc>
          <w:tcPr>
            <w:tcW w:w="748" w:type="dxa"/>
            <w:tcBorders>
              <w:top w:val="nil"/>
              <w:left w:val="nil"/>
              <w:bottom w:val="single" w:color="auto" w:sz="4" w:space="0"/>
              <w:right w:val="single" w:color="auto" w:sz="4" w:space="0"/>
            </w:tcBorders>
            <w:noWrap w:val="0"/>
            <w:vAlign w:val="center"/>
          </w:tcPr>
          <w:p w14:paraId="4D4949F9">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2552" w:type="dxa"/>
            <w:tcBorders>
              <w:top w:val="nil"/>
              <w:left w:val="nil"/>
              <w:bottom w:val="single" w:color="auto" w:sz="4" w:space="0"/>
              <w:right w:val="single" w:color="auto" w:sz="4" w:space="0"/>
            </w:tcBorders>
            <w:noWrap w:val="0"/>
            <w:vAlign w:val="center"/>
          </w:tcPr>
          <w:p w14:paraId="5DD138F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政府采购预算的实际执行情况</w:t>
            </w:r>
          </w:p>
        </w:tc>
        <w:tc>
          <w:tcPr>
            <w:tcW w:w="2268" w:type="dxa"/>
            <w:tcBorders>
              <w:top w:val="nil"/>
              <w:left w:val="nil"/>
              <w:bottom w:val="single" w:color="auto" w:sz="4" w:space="0"/>
              <w:right w:val="single" w:color="auto" w:sz="4" w:space="0"/>
            </w:tcBorders>
            <w:noWrap w:val="0"/>
            <w:vAlign w:val="center"/>
          </w:tcPr>
          <w:p w14:paraId="4121C561">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按预算和计划执行</w:t>
            </w:r>
          </w:p>
        </w:tc>
        <w:tc>
          <w:tcPr>
            <w:tcW w:w="729" w:type="dxa"/>
            <w:tcBorders>
              <w:top w:val="nil"/>
              <w:left w:val="nil"/>
              <w:bottom w:val="single" w:color="auto" w:sz="4" w:space="0"/>
              <w:right w:val="single" w:color="auto" w:sz="4" w:space="0"/>
            </w:tcBorders>
            <w:noWrap w:val="0"/>
            <w:vAlign w:val="center"/>
          </w:tcPr>
          <w:p w14:paraId="35278DB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567" w:type="dxa"/>
            <w:tcBorders>
              <w:top w:val="nil"/>
              <w:left w:val="single" w:color="auto" w:sz="4" w:space="0"/>
              <w:bottom w:val="single" w:color="auto" w:sz="4" w:space="0"/>
              <w:right w:val="single" w:color="auto" w:sz="4" w:space="0"/>
            </w:tcBorders>
            <w:noWrap w:val="0"/>
            <w:vAlign w:val="center"/>
          </w:tcPr>
          <w:p w14:paraId="7878257D">
            <w:pPr>
              <w:widowControl/>
              <w:jc w:val="center"/>
              <w:rPr>
                <w:rFonts w:hint="eastAsia" w:asciiTheme="minorEastAsia" w:hAnsiTheme="minorEastAsia" w:eastAsiaTheme="minorEastAsia" w:cstheme="minorEastAsia"/>
                <w:kern w:val="0"/>
                <w:szCs w:val="21"/>
              </w:rPr>
            </w:pPr>
          </w:p>
        </w:tc>
      </w:tr>
      <w:tr w14:paraId="140DF4DA">
        <w:tblPrEx>
          <w:tblCellMar>
            <w:top w:w="0" w:type="dxa"/>
            <w:left w:w="108" w:type="dxa"/>
            <w:bottom w:w="0" w:type="dxa"/>
            <w:right w:w="108" w:type="dxa"/>
          </w:tblCellMar>
        </w:tblPrEx>
        <w:trPr>
          <w:trHeight w:val="472"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14:paraId="79689EED">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项目绩效</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（35分）</w:t>
            </w:r>
          </w:p>
        </w:tc>
        <w:tc>
          <w:tcPr>
            <w:tcW w:w="861" w:type="dxa"/>
            <w:vMerge w:val="restart"/>
            <w:tcBorders>
              <w:top w:val="nil"/>
              <w:left w:val="single" w:color="auto" w:sz="4" w:space="0"/>
              <w:bottom w:val="nil"/>
              <w:right w:val="single" w:color="auto" w:sz="4" w:space="0"/>
            </w:tcBorders>
            <w:noWrap w:val="0"/>
            <w:vAlign w:val="center"/>
          </w:tcPr>
          <w:p w14:paraId="3CC4E285">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 决策</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77AF7E5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决策程序</w:t>
            </w:r>
          </w:p>
        </w:tc>
        <w:tc>
          <w:tcPr>
            <w:tcW w:w="748" w:type="dxa"/>
            <w:tcBorders>
              <w:top w:val="nil"/>
              <w:left w:val="nil"/>
              <w:bottom w:val="single" w:color="auto" w:sz="4" w:space="0"/>
              <w:right w:val="single" w:color="auto" w:sz="4" w:space="0"/>
            </w:tcBorders>
            <w:noWrap w:val="0"/>
            <w:vAlign w:val="center"/>
          </w:tcPr>
          <w:p w14:paraId="5D647EC8">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7E2821F">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决策程序是否规范</w:t>
            </w:r>
          </w:p>
        </w:tc>
        <w:tc>
          <w:tcPr>
            <w:tcW w:w="2268" w:type="dxa"/>
            <w:tcBorders>
              <w:top w:val="nil"/>
              <w:left w:val="nil"/>
              <w:bottom w:val="single" w:color="auto" w:sz="4" w:space="0"/>
              <w:right w:val="single" w:color="auto" w:sz="4" w:space="0"/>
            </w:tcBorders>
            <w:noWrap w:val="0"/>
            <w:vAlign w:val="center"/>
          </w:tcPr>
          <w:p w14:paraId="1515DC0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20CD6DA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23DA4F1C">
            <w:pPr>
              <w:widowControl/>
              <w:jc w:val="center"/>
              <w:rPr>
                <w:rFonts w:hint="eastAsia" w:asciiTheme="minorEastAsia" w:hAnsiTheme="minorEastAsia" w:eastAsiaTheme="minorEastAsia" w:cstheme="minorEastAsia"/>
                <w:kern w:val="0"/>
                <w:sz w:val="20"/>
                <w:szCs w:val="21"/>
              </w:rPr>
            </w:pPr>
          </w:p>
        </w:tc>
      </w:tr>
      <w:tr w14:paraId="645E20B3">
        <w:tblPrEx>
          <w:tblCellMar>
            <w:top w:w="0" w:type="dxa"/>
            <w:left w:w="108" w:type="dxa"/>
            <w:bottom w:w="0" w:type="dxa"/>
            <w:right w:w="108" w:type="dxa"/>
          </w:tblCellMar>
        </w:tblPrEx>
        <w:trPr>
          <w:trHeight w:val="40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5FC4AFB8">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4A24AD01">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37B0B2B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目标设置</w:t>
            </w:r>
          </w:p>
        </w:tc>
        <w:tc>
          <w:tcPr>
            <w:tcW w:w="748" w:type="dxa"/>
            <w:tcBorders>
              <w:top w:val="nil"/>
              <w:left w:val="nil"/>
              <w:bottom w:val="single" w:color="auto" w:sz="4" w:space="0"/>
              <w:right w:val="single" w:color="auto" w:sz="4" w:space="0"/>
            </w:tcBorders>
            <w:noWrap w:val="0"/>
            <w:vAlign w:val="center"/>
          </w:tcPr>
          <w:p w14:paraId="69F52DC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417B37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是否明确可衡量</w:t>
            </w:r>
          </w:p>
        </w:tc>
        <w:tc>
          <w:tcPr>
            <w:tcW w:w="2268" w:type="dxa"/>
            <w:tcBorders>
              <w:top w:val="nil"/>
              <w:left w:val="nil"/>
              <w:bottom w:val="single" w:color="auto" w:sz="4" w:space="0"/>
              <w:right w:val="single" w:color="auto" w:sz="4" w:space="0"/>
            </w:tcBorders>
            <w:noWrap w:val="0"/>
            <w:vAlign w:val="center"/>
          </w:tcPr>
          <w:p w14:paraId="5DFD8E2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43F2112C">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00518FEB">
            <w:pPr>
              <w:widowControl/>
              <w:jc w:val="center"/>
              <w:rPr>
                <w:rFonts w:hint="eastAsia" w:asciiTheme="minorEastAsia" w:hAnsiTheme="minorEastAsia" w:eastAsiaTheme="minorEastAsia" w:cstheme="minorEastAsia"/>
                <w:kern w:val="0"/>
                <w:sz w:val="20"/>
                <w:szCs w:val="21"/>
              </w:rPr>
            </w:pPr>
          </w:p>
        </w:tc>
      </w:tr>
      <w:tr w14:paraId="0BB7138E">
        <w:tblPrEx>
          <w:tblCellMar>
            <w:top w:w="0" w:type="dxa"/>
            <w:left w:w="108" w:type="dxa"/>
            <w:bottom w:w="0" w:type="dxa"/>
            <w:right w:w="108" w:type="dxa"/>
          </w:tblCellMar>
        </w:tblPrEx>
        <w:trPr>
          <w:trHeight w:val="41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1CAB5417">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60297387">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44A9C52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项目入库</w:t>
            </w:r>
          </w:p>
        </w:tc>
        <w:tc>
          <w:tcPr>
            <w:tcW w:w="748" w:type="dxa"/>
            <w:tcBorders>
              <w:top w:val="nil"/>
              <w:left w:val="nil"/>
              <w:bottom w:val="single" w:color="auto" w:sz="4" w:space="0"/>
              <w:right w:val="single" w:color="auto" w:sz="4" w:space="0"/>
            </w:tcBorders>
            <w:noWrap w:val="0"/>
            <w:vAlign w:val="center"/>
          </w:tcPr>
          <w:p w14:paraId="7571487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0109BC6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是否纳入项目库管理</w:t>
            </w:r>
          </w:p>
        </w:tc>
        <w:tc>
          <w:tcPr>
            <w:tcW w:w="2268" w:type="dxa"/>
            <w:tcBorders>
              <w:top w:val="nil"/>
              <w:left w:val="nil"/>
              <w:bottom w:val="single" w:color="auto" w:sz="4" w:space="0"/>
              <w:right w:val="single" w:color="auto" w:sz="4" w:space="0"/>
            </w:tcBorders>
            <w:noWrap w:val="0"/>
            <w:vAlign w:val="center"/>
          </w:tcPr>
          <w:p w14:paraId="1D42073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40A0264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22F4D20D">
            <w:pPr>
              <w:widowControl/>
              <w:jc w:val="center"/>
              <w:rPr>
                <w:rFonts w:hint="eastAsia" w:asciiTheme="minorEastAsia" w:hAnsiTheme="minorEastAsia" w:eastAsiaTheme="minorEastAsia" w:cstheme="minorEastAsia"/>
                <w:kern w:val="0"/>
                <w:szCs w:val="21"/>
              </w:rPr>
            </w:pPr>
          </w:p>
        </w:tc>
      </w:tr>
      <w:tr w14:paraId="52656582">
        <w:tblPrEx>
          <w:tblCellMar>
            <w:top w:w="0" w:type="dxa"/>
            <w:left w:w="108" w:type="dxa"/>
            <w:bottom w:w="0" w:type="dxa"/>
            <w:right w:w="108" w:type="dxa"/>
          </w:tblCellMar>
        </w:tblPrEx>
        <w:trPr>
          <w:trHeight w:val="40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217B5935">
            <w:pPr>
              <w:widowControl/>
              <w:jc w:val="left"/>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nil"/>
              <w:right w:val="single" w:color="auto" w:sz="4" w:space="0"/>
            </w:tcBorders>
            <w:noWrap w:val="0"/>
            <w:vAlign w:val="center"/>
          </w:tcPr>
          <w:p w14:paraId="561FAECD">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 执行</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202ACAC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执行同向</w:t>
            </w:r>
          </w:p>
        </w:tc>
        <w:tc>
          <w:tcPr>
            <w:tcW w:w="748" w:type="dxa"/>
            <w:tcBorders>
              <w:top w:val="nil"/>
              <w:left w:val="nil"/>
              <w:bottom w:val="single" w:color="auto" w:sz="4" w:space="0"/>
              <w:right w:val="single" w:color="auto" w:sz="4" w:space="0"/>
            </w:tcBorders>
            <w:noWrap w:val="0"/>
            <w:vAlign w:val="center"/>
          </w:tcPr>
          <w:p w14:paraId="5E65E19F">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C3CAA11">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预算与执行一致性</w:t>
            </w:r>
          </w:p>
        </w:tc>
        <w:tc>
          <w:tcPr>
            <w:tcW w:w="2268" w:type="dxa"/>
            <w:tcBorders>
              <w:top w:val="nil"/>
              <w:left w:val="nil"/>
              <w:bottom w:val="single" w:color="auto" w:sz="4" w:space="0"/>
              <w:right w:val="single" w:color="auto" w:sz="4" w:space="0"/>
            </w:tcBorders>
            <w:noWrap w:val="0"/>
            <w:vAlign w:val="center"/>
          </w:tcPr>
          <w:p w14:paraId="55438C31">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一致</w:t>
            </w:r>
          </w:p>
        </w:tc>
        <w:tc>
          <w:tcPr>
            <w:tcW w:w="729" w:type="dxa"/>
            <w:tcBorders>
              <w:top w:val="nil"/>
              <w:left w:val="nil"/>
              <w:bottom w:val="single" w:color="auto" w:sz="4" w:space="0"/>
              <w:right w:val="single" w:color="auto" w:sz="4" w:space="0"/>
            </w:tcBorders>
            <w:noWrap w:val="0"/>
            <w:vAlign w:val="center"/>
          </w:tcPr>
          <w:p w14:paraId="6D0D86D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768E4494">
            <w:pPr>
              <w:widowControl/>
              <w:jc w:val="center"/>
              <w:rPr>
                <w:rFonts w:hint="eastAsia" w:asciiTheme="minorEastAsia" w:hAnsiTheme="minorEastAsia" w:eastAsiaTheme="minorEastAsia" w:cstheme="minorEastAsia"/>
                <w:kern w:val="0"/>
                <w:szCs w:val="21"/>
              </w:rPr>
            </w:pPr>
          </w:p>
        </w:tc>
      </w:tr>
      <w:tr w14:paraId="17E6B6B0">
        <w:tblPrEx>
          <w:tblCellMar>
            <w:top w:w="0" w:type="dxa"/>
            <w:left w:w="108" w:type="dxa"/>
            <w:bottom w:w="0" w:type="dxa"/>
            <w:right w:w="108" w:type="dxa"/>
          </w:tblCellMar>
        </w:tblPrEx>
        <w:trPr>
          <w:trHeight w:val="42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3C2C9AF3">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1ECA3652">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nil"/>
              <w:right w:val="single" w:color="auto" w:sz="4" w:space="0"/>
            </w:tcBorders>
            <w:noWrap w:val="0"/>
            <w:vAlign w:val="center"/>
          </w:tcPr>
          <w:p w14:paraId="4F139FB6">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项目调整</w:t>
            </w:r>
          </w:p>
        </w:tc>
        <w:tc>
          <w:tcPr>
            <w:tcW w:w="748" w:type="dxa"/>
            <w:tcBorders>
              <w:top w:val="nil"/>
              <w:left w:val="nil"/>
              <w:bottom w:val="single" w:color="auto" w:sz="4" w:space="0"/>
              <w:right w:val="single" w:color="auto" w:sz="4" w:space="0"/>
            </w:tcBorders>
            <w:noWrap w:val="0"/>
            <w:vAlign w:val="center"/>
          </w:tcPr>
          <w:p w14:paraId="396D2D76">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C222A4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调整程序是否规范</w:t>
            </w:r>
          </w:p>
        </w:tc>
        <w:tc>
          <w:tcPr>
            <w:tcW w:w="2268" w:type="dxa"/>
            <w:tcBorders>
              <w:top w:val="nil"/>
              <w:left w:val="nil"/>
              <w:bottom w:val="single" w:color="auto" w:sz="4" w:space="0"/>
              <w:right w:val="single" w:color="auto" w:sz="4" w:space="0"/>
            </w:tcBorders>
            <w:noWrap w:val="0"/>
            <w:vAlign w:val="center"/>
          </w:tcPr>
          <w:p w14:paraId="2C0F7F3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3FB63DE1">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14:paraId="59991FCE">
            <w:pPr>
              <w:widowControl/>
              <w:jc w:val="center"/>
              <w:rPr>
                <w:rFonts w:hint="eastAsia" w:asciiTheme="minorEastAsia" w:hAnsiTheme="minorEastAsia" w:eastAsiaTheme="minorEastAsia" w:cstheme="minorEastAsia"/>
                <w:kern w:val="0"/>
                <w:szCs w:val="21"/>
              </w:rPr>
            </w:pPr>
          </w:p>
        </w:tc>
      </w:tr>
      <w:tr w14:paraId="2D8AF97F">
        <w:tblPrEx>
          <w:tblCellMar>
            <w:top w:w="0" w:type="dxa"/>
            <w:left w:w="108" w:type="dxa"/>
            <w:bottom w:w="0" w:type="dxa"/>
            <w:right w:w="108" w:type="dxa"/>
          </w:tblCellMar>
        </w:tblPrEx>
        <w:trPr>
          <w:trHeight w:val="41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654FF18B">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50B5E78F">
            <w:pPr>
              <w:widowControl/>
              <w:jc w:val="left"/>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57A744B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执行结果</w:t>
            </w:r>
          </w:p>
        </w:tc>
        <w:tc>
          <w:tcPr>
            <w:tcW w:w="748" w:type="dxa"/>
            <w:tcBorders>
              <w:top w:val="nil"/>
              <w:left w:val="nil"/>
              <w:bottom w:val="single" w:color="auto" w:sz="4" w:space="0"/>
              <w:right w:val="single" w:color="auto" w:sz="4" w:space="0"/>
            </w:tcBorders>
            <w:noWrap w:val="0"/>
            <w:vAlign w:val="center"/>
          </w:tcPr>
          <w:p w14:paraId="08E2ECC9">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03A3325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完成率</w:t>
            </w:r>
          </w:p>
        </w:tc>
        <w:tc>
          <w:tcPr>
            <w:tcW w:w="2268" w:type="dxa"/>
            <w:tcBorders>
              <w:top w:val="nil"/>
              <w:left w:val="nil"/>
              <w:bottom w:val="single" w:color="auto" w:sz="4" w:space="0"/>
              <w:right w:val="single" w:color="auto" w:sz="4" w:space="0"/>
            </w:tcBorders>
            <w:noWrap w:val="0"/>
            <w:vAlign w:val="center"/>
          </w:tcPr>
          <w:p w14:paraId="200DA43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100%</w:t>
            </w:r>
          </w:p>
        </w:tc>
        <w:tc>
          <w:tcPr>
            <w:tcW w:w="729" w:type="dxa"/>
            <w:tcBorders>
              <w:top w:val="nil"/>
              <w:left w:val="nil"/>
              <w:bottom w:val="single" w:color="auto" w:sz="4" w:space="0"/>
              <w:right w:val="single" w:color="auto" w:sz="4" w:space="0"/>
            </w:tcBorders>
            <w:noWrap w:val="0"/>
            <w:vAlign w:val="center"/>
          </w:tcPr>
          <w:p w14:paraId="03F426F9">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65CB718B">
            <w:pPr>
              <w:widowControl/>
              <w:jc w:val="center"/>
              <w:rPr>
                <w:rFonts w:hint="eastAsia" w:asciiTheme="minorEastAsia" w:hAnsiTheme="minorEastAsia" w:eastAsiaTheme="minorEastAsia" w:cstheme="minorEastAsia"/>
                <w:kern w:val="0"/>
                <w:szCs w:val="21"/>
              </w:rPr>
            </w:pPr>
          </w:p>
        </w:tc>
      </w:tr>
      <w:tr w14:paraId="7A50DC91">
        <w:tblPrEx>
          <w:tblCellMar>
            <w:top w:w="0" w:type="dxa"/>
            <w:left w:w="108" w:type="dxa"/>
            <w:bottom w:w="0" w:type="dxa"/>
            <w:right w:w="108" w:type="dxa"/>
          </w:tblCellMar>
        </w:tblPrEx>
        <w:trPr>
          <w:trHeight w:val="364"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00A9585F">
            <w:pPr>
              <w:widowControl/>
              <w:jc w:val="left"/>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single" w:color="000000" w:sz="4" w:space="0"/>
              <w:right w:val="single" w:color="auto" w:sz="4" w:space="0"/>
            </w:tcBorders>
            <w:noWrap w:val="0"/>
            <w:vAlign w:val="center"/>
          </w:tcPr>
          <w:p w14:paraId="4A793F49">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目标 实现</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（11分）</w:t>
            </w:r>
          </w:p>
        </w:tc>
        <w:tc>
          <w:tcPr>
            <w:tcW w:w="1819" w:type="dxa"/>
            <w:tcBorders>
              <w:top w:val="nil"/>
              <w:left w:val="nil"/>
              <w:bottom w:val="single" w:color="auto" w:sz="4" w:space="0"/>
              <w:right w:val="single" w:color="auto" w:sz="4" w:space="0"/>
            </w:tcBorders>
            <w:noWrap w:val="0"/>
            <w:vAlign w:val="center"/>
          </w:tcPr>
          <w:p w14:paraId="295F990E">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目标完成</w:t>
            </w:r>
          </w:p>
        </w:tc>
        <w:tc>
          <w:tcPr>
            <w:tcW w:w="748" w:type="dxa"/>
            <w:tcBorders>
              <w:top w:val="nil"/>
              <w:left w:val="nil"/>
              <w:bottom w:val="single" w:color="auto" w:sz="4" w:space="0"/>
              <w:right w:val="single" w:color="auto" w:sz="4" w:space="0"/>
            </w:tcBorders>
            <w:noWrap w:val="0"/>
            <w:vAlign w:val="center"/>
          </w:tcPr>
          <w:p w14:paraId="716CF0FC">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65B4D3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项目目标完成率</w:t>
            </w:r>
          </w:p>
        </w:tc>
        <w:tc>
          <w:tcPr>
            <w:tcW w:w="2268" w:type="dxa"/>
            <w:tcBorders>
              <w:top w:val="nil"/>
              <w:left w:val="nil"/>
              <w:bottom w:val="single" w:color="auto" w:sz="4" w:space="0"/>
              <w:right w:val="single" w:color="auto" w:sz="4" w:space="0"/>
            </w:tcBorders>
            <w:noWrap w:val="0"/>
            <w:vAlign w:val="center"/>
          </w:tcPr>
          <w:p w14:paraId="393AA1D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100%</w:t>
            </w:r>
          </w:p>
        </w:tc>
        <w:tc>
          <w:tcPr>
            <w:tcW w:w="729" w:type="dxa"/>
            <w:tcBorders>
              <w:top w:val="nil"/>
              <w:left w:val="nil"/>
              <w:bottom w:val="single" w:color="auto" w:sz="4" w:space="0"/>
              <w:right w:val="single" w:color="auto" w:sz="4" w:space="0"/>
            </w:tcBorders>
            <w:noWrap w:val="0"/>
            <w:vAlign w:val="center"/>
          </w:tcPr>
          <w:p w14:paraId="21B7C74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36CD737C">
            <w:pPr>
              <w:widowControl/>
              <w:jc w:val="center"/>
              <w:rPr>
                <w:rFonts w:hint="eastAsia" w:asciiTheme="minorEastAsia" w:hAnsiTheme="minorEastAsia" w:eastAsiaTheme="minorEastAsia" w:cstheme="minorEastAsia"/>
                <w:kern w:val="0"/>
                <w:szCs w:val="21"/>
              </w:rPr>
            </w:pPr>
          </w:p>
        </w:tc>
      </w:tr>
      <w:tr w14:paraId="61717CBB">
        <w:tblPrEx>
          <w:tblCellMar>
            <w:top w:w="0" w:type="dxa"/>
            <w:left w:w="108" w:type="dxa"/>
            <w:bottom w:w="0" w:type="dxa"/>
            <w:right w:w="108" w:type="dxa"/>
          </w:tblCellMar>
        </w:tblPrEx>
        <w:trPr>
          <w:trHeight w:val="372"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6AFE5054">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77FC9EDE">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5B05377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目标偏离</w:t>
            </w:r>
          </w:p>
        </w:tc>
        <w:tc>
          <w:tcPr>
            <w:tcW w:w="748" w:type="dxa"/>
            <w:tcBorders>
              <w:top w:val="nil"/>
              <w:left w:val="nil"/>
              <w:bottom w:val="single" w:color="auto" w:sz="4" w:space="0"/>
              <w:right w:val="single" w:color="auto" w:sz="4" w:space="0"/>
            </w:tcBorders>
            <w:noWrap w:val="0"/>
            <w:vAlign w:val="center"/>
          </w:tcPr>
          <w:p w14:paraId="78709AF3">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1BA3590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偏离度</w:t>
            </w:r>
          </w:p>
        </w:tc>
        <w:tc>
          <w:tcPr>
            <w:tcW w:w="2268" w:type="dxa"/>
            <w:tcBorders>
              <w:top w:val="nil"/>
              <w:left w:val="nil"/>
              <w:bottom w:val="single" w:color="auto" w:sz="4" w:space="0"/>
              <w:right w:val="single" w:color="auto" w:sz="4" w:space="0"/>
            </w:tcBorders>
            <w:noWrap w:val="0"/>
            <w:vAlign w:val="center"/>
          </w:tcPr>
          <w:p w14:paraId="6C7FC8F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729" w:type="dxa"/>
            <w:tcBorders>
              <w:top w:val="nil"/>
              <w:left w:val="nil"/>
              <w:bottom w:val="single" w:color="auto" w:sz="4" w:space="0"/>
              <w:right w:val="single" w:color="auto" w:sz="4" w:space="0"/>
            </w:tcBorders>
            <w:noWrap w:val="0"/>
            <w:vAlign w:val="center"/>
          </w:tcPr>
          <w:p w14:paraId="6829EA53">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01106258">
            <w:pPr>
              <w:widowControl/>
              <w:jc w:val="center"/>
              <w:rPr>
                <w:rFonts w:hint="eastAsia" w:asciiTheme="minorEastAsia" w:hAnsiTheme="minorEastAsia" w:eastAsiaTheme="minorEastAsia" w:cstheme="minorEastAsia"/>
                <w:kern w:val="0"/>
                <w:szCs w:val="21"/>
              </w:rPr>
            </w:pPr>
          </w:p>
        </w:tc>
      </w:tr>
      <w:tr w14:paraId="2BF9635F">
        <w:tblPrEx>
          <w:tblCellMar>
            <w:top w:w="0" w:type="dxa"/>
            <w:left w:w="108" w:type="dxa"/>
            <w:bottom w:w="0" w:type="dxa"/>
            <w:right w:w="108" w:type="dxa"/>
          </w:tblCellMar>
        </w:tblPrEx>
        <w:trPr>
          <w:trHeight w:val="3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75E16FD4">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765B1626">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2927C31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实现效果</w:t>
            </w:r>
          </w:p>
        </w:tc>
        <w:tc>
          <w:tcPr>
            <w:tcW w:w="748" w:type="dxa"/>
            <w:tcBorders>
              <w:top w:val="nil"/>
              <w:left w:val="nil"/>
              <w:bottom w:val="single" w:color="auto" w:sz="4" w:space="0"/>
              <w:right w:val="single" w:color="auto" w:sz="4" w:space="0"/>
            </w:tcBorders>
            <w:noWrap w:val="0"/>
            <w:vAlign w:val="center"/>
          </w:tcPr>
          <w:p w14:paraId="1F784014">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2552" w:type="dxa"/>
            <w:tcBorders>
              <w:top w:val="nil"/>
              <w:left w:val="nil"/>
              <w:bottom w:val="single" w:color="auto" w:sz="4" w:space="0"/>
              <w:right w:val="single" w:color="auto" w:sz="4" w:space="0"/>
            </w:tcBorders>
            <w:noWrap w:val="0"/>
            <w:vAlign w:val="center"/>
          </w:tcPr>
          <w:p w14:paraId="7FA0E34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项目完成实际效果</w:t>
            </w:r>
          </w:p>
        </w:tc>
        <w:tc>
          <w:tcPr>
            <w:tcW w:w="2268" w:type="dxa"/>
            <w:tcBorders>
              <w:top w:val="nil"/>
              <w:left w:val="nil"/>
              <w:bottom w:val="single" w:color="auto" w:sz="4" w:space="0"/>
              <w:right w:val="single" w:color="auto" w:sz="4" w:space="0"/>
            </w:tcBorders>
            <w:noWrap w:val="0"/>
            <w:vAlign w:val="center"/>
          </w:tcPr>
          <w:p w14:paraId="4458D42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符合项目要求</w:t>
            </w:r>
          </w:p>
        </w:tc>
        <w:tc>
          <w:tcPr>
            <w:tcW w:w="729" w:type="dxa"/>
            <w:tcBorders>
              <w:top w:val="nil"/>
              <w:left w:val="nil"/>
              <w:bottom w:val="single" w:color="auto" w:sz="4" w:space="0"/>
              <w:right w:val="single" w:color="auto" w:sz="4" w:space="0"/>
            </w:tcBorders>
            <w:noWrap w:val="0"/>
            <w:vAlign w:val="center"/>
          </w:tcPr>
          <w:p w14:paraId="2923A4E6">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567" w:type="dxa"/>
            <w:tcBorders>
              <w:top w:val="nil"/>
              <w:left w:val="nil"/>
              <w:bottom w:val="single" w:color="auto" w:sz="4" w:space="0"/>
              <w:right w:val="single" w:color="auto" w:sz="4" w:space="0"/>
            </w:tcBorders>
            <w:noWrap w:val="0"/>
            <w:vAlign w:val="center"/>
          </w:tcPr>
          <w:p w14:paraId="1F81D38E">
            <w:pPr>
              <w:widowControl/>
              <w:jc w:val="center"/>
              <w:rPr>
                <w:rFonts w:hint="eastAsia" w:asciiTheme="minorEastAsia" w:hAnsiTheme="minorEastAsia" w:eastAsiaTheme="minorEastAsia" w:cstheme="minorEastAsia"/>
                <w:kern w:val="0"/>
                <w:szCs w:val="21"/>
              </w:rPr>
            </w:pPr>
          </w:p>
        </w:tc>
      </w:tr>
      <w:tr w14:paraId="35F48BB0">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14:paraId="5987839C">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扣分项</w:t>
            </w:r>
          </w:p>
        </w:tc>
        <w:tc>
          <w:tcPr>
            <w:tcW w:w="861" w:type="dxa"/>
            <w:vMerge w:val="restart"/>
            <w:tcBorders>
              <w:top w:val="nil"/>
              <w:left w:val="single" w:color="auto" w:sz="4" w:space="0"/>
              <w:bottom w:val="single" w:color="auto" w:sz="4" w:space="0"/>
              <w:right w:val="single" w:color="auto" w:sz="4" w:space="0"/>
            </w:tcBorders>
            <w:noWrap w:val="0"/>
            <w:vAlign w:val="center"/>
          </w:tcPr>
          <w:p w14:paraId="3CEB28CF">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财务 管理</w:t>
            </w:r>
          </w:p>
        </w:tc>
        <w:tc>
          <w:tcPr>
            <w:tcW w:w="1819" w:type="dxa"/>
            <w:tcBorders>
              <w:top w:val="nil"/>
              <w:left w:val="nil"/>
              <w:bottom w:val="single" w:color="auto" w:sz="4" w:space="0"/>
              <w:right w:val="single" w:color="auto" w:sz="4" w:space="0"/>
            </w:tcBorders>
            <w:noWrap w:val="0"/>
            <w:vAlign w:val="center"/>
          </w:tcPr>
          <w:p w14:paraId="57B2D53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财务管理制度</w:t>
            </w:r>
          </w:p>
        </w:tc>
        <w:tc>
          <w:tcPr>
            <w:tcW w:w="748" w:type="dxa"/>
            <w:tcBorders>
              <w:top w:val="nil"/>
              <w:left w:val="nil"/>
              <w:bottom w:val="single" w:color="auto" w:sz="4" w:space="0"/>
              <w:right w:val="single" w:color="auto" w:sz="4" w:space="0"/>
            </w:tcBorders>
            <w:noWrap w:val="0"/>
            <w:vAlign w:val="center"/>
          </w:tcPr>
          <w:p w14:paraId="5F80FC5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2F6582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制度健全与执行情况</w:t>
            </w:r>
          </w:p>
        </w:tc>
        <w:tc>
          <w:tcPr>
            <w:tcW w:w="2268" w:type="dxa"/>
            <w:tcBorders>
              <w:top w:val="nil"/>
              <w:left w:val="nil"/>
              <w:bottom w:val="single" w:color="auto" w:sz="4" w:space="0"/>
              <w:right w:val="single" w:color="auto" w:sz="4" w:space="0"/>
            </w:tcBorders>
            <w:noWrap w:val="0"/>
            <w:vAlign w:val="center"/>
          </w:tcPr>
          <w:p w14:paraId="1CE545D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0CEDB5F3">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14:paraId="233D2390">
            <w:pPr>
              <w:widowControl/>
              <w:jc w:val="center"/>
              <w:rPr>
                <w:rFonts w:hint="eastAsia" w:asciiTheme="minorEastAsia" w:hAnsiTheme="minorEastAsia" w:eastAsiaTheme="minorEastAsia" w:cstheme="minorEastAsia"/>
                <w:kern w:val="0"/>
                <w:szCs w:val="21"/>
              </w:rPr>
            </w:pPr>
          </w:p>
        </w:tc>
      </w:tr>
      <w:tr w14:paraId="3B46249B">
        <w:tblPrEx>
          <w:tblCellMar>
            <w:top w:w="0" w:type="dxa"/>
            <w:left w:w="108" w:type="dxa"/>
            <w:bottom w:w="0" w:type="dxa"/>
            <w:right w:w="108" w:type="dxa"/>
          </w:tblCellMar>
        </w:tblPrEx>
        <w:trPr>
          <w:trHeight w:val="423"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6334E0E5">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4BF80AEF">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2F51918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财务岗位设置</w:t>
            </w:r>
          </w:p>
        </w:tc>
        <w:tc>
          <w:tcPr>
            <w:tcW w:w="748" w:type="dxa"/>
            <w:tcBorders>
              <w:top w:val="nil"/>
              <w:left w:val="nil"/>
              <w:bottom w:val="single" w:color="auto" w:sz="4" w:space="0"/>
              <w:right w:val="single" w:color="auto" w:sz="4" w:space="0"/>
            </w:tcBorders>
            <w:noWrap w:val="0"/>
            <w:vAlign w:val="center"/>
          </w:tcPr>
          <w:p w14:paraId="55F70537">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8992DBF">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岗位设置合规性</w:t>
            </w:r>
          </w:p>
        </w:tc>
        <w:tc>
          <w:tcPr>
            <w:tcW w:w="2268" w:type="dxa"/>
            <w:tcBorders>
              <w:top w:val="nil"/>
              <w:left w:val="nil"/>
              <w:bottom w:val="single" w:color="auto" w:sz="4" w:space="0"/>
              <w:right w:val="single" w:color="auto" w:sz="4" w:space="0"/>
            </w:tcBorders>
            <w:noWrap w:val="0"/>
            <w:vAlign w:val="center"/>
          </w:tcPr>
          <w:p w14:paraId="48327BCA">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3AC699FF">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14:paraId="792572AA">
            <w:pPr>
              <w:widowControl/>
              <w:jc w:val="center"/>
              <w:rPr>
                <w:rFonts w:hint="eastAsia" w:asciiTheme="minorEastAsia" w:hAnsiTheme="minorEastAsia" w:eastAsiaTheme="minorEastAsia" w:cstheme="minorEastAsia"/>
                <w:kern w:val="0"/>
                <w:szCs w:val="21"/>
              </w:rPr>
            </w:pPr>
          </w:p>
        </w:tc>
      </w:tr>
      <w:tr w14:paraId="1C156862">
        <w:tblPrEx>
          <w:tblCellMar>
            <w:top w:w="0" w:type="dxa"/>
            <w:left w:w="108" w:type="dxa"/>
            <w:bottom w:w="0" w:type="dxa"/>
            <w:right w:w="108" w:type="dxa"/>
          </w:tblCellMar>
        </w:tblPrEx>
        <w:trPr>
          <w:trHeight w:val="39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759F8AEB">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58F5ACAF">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3903508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资金使用规范</w:t>
            </w:r>
          </w:p>
        </w:tc>
        <w:tc>
          <w:tcPr>
            <w:tcW w:w="748" w:type="dxa"/>
            <w:tcBorders>
              <w:top w:val="nil"/>
              <w:left w:val="nil"/>
              <w:bottom w:val="single" w:color="auto" w:sz="4" w:space="0"/>
              <w:right w:val="single" w:color="auto" w:sz="4" w:space="0"/>
            </w:tcBorders>
            <w:noWrap w:val="0"/>
            <w:vAlign w:val="center"/>
          </w:tcPr>
          <w:p w14:paraId="0A941B03">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189EB06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资金使用合规性</w:t>
            </w:r>
          </w:p>
        </w:tc>
        <w:tc>
          <w:tcPr>
            <w:tcW w:w="2268" w:type="dxa"/>
            <w:tcBorders>
              <w:top w:val="nil"/>
              <w:left w:val="nil"/>
              <w:bottom w:val="single" w:color="auto" w:sz="4" w:space="0"/>
              <w:right w:val="single" w:color="auto" w:sz="4" w:space="0"/>
            </w:tcBorders>
            <w:noWrap w:val="0"/>
            <w:vAlign w:val="center"/>
          </w:tcPr>
          <w:p w14:paraId="1D5ACAD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07EDC091">
            <w:pPr>
              <w:widowControl/>
              <w:jc w:val="center"/>
              <w:rPr>
                <w:rFonts w:hint="eastAsia"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4" w:space="0"/>
            </w:tcBorders>
            <w:noWrap w:val="0"/>
            <w:vAlign w:val="center"/>
          </w:tcPr>
          <w:p w14:paraId="50E6CDD0">
            <w:pPr>
              <w:widowControl/>
              <w:jc w:val="center"/>
              <w:rPr>
                <w:rFonts w:hint="eastAsia" w:asciiTheme="minorEastAsia" w:hAnsiTheme="minorEastAsia" w:eastAsiaTheme="minorEastAsia" w:cstheme="minorEastAsia"/>
                <w:kern w:val="0"/>
                <w:szCs w:val="21"/>
              </w:rPr>
            </w:pPr>
          </w:p>
        </w:tc>
      </w:tr>
      <w:tr w14:paraId="107B81C7">
        <w:tblPrEx>
          <w:tblCellMar>
            <w:top w:w="0" w:type="dxa"/>
            <w:left w:w="108" w:type="dxa"/>
            <w:bottom w:w="0" w:type="dxa"/>
            <w:right w:w="108" w:type="dxa"/>
          </w:tblCellMar>
        </w:tblPrEx>
        <w:trPr>
          <w:trHeight w:val="41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08BCDFB6">
            <w:pPr>
              <w:widowControl/>
              <w:jc w:val="left"/>
              <w:rPr>
                <w:rFonts w:hint="eastAsia" w:asciiTheme="minorEastAsia" w:hAnsiTheme="minorEastAsia" w:eastAsiaTheme="minorEastAsia" w:cstheme="minorEastAsia"/>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739D1BC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预算绩效存在问题</w:t>
            </w:r>
          </w:p>
        </w:tc>
        <w:tc>
          <w:tcPr>
            <w:tcW w:w="748" w:type="dxa"/>
            <w:tcBorders>
              <w:top w:val="nil"/>
              <w:left w:val="nil"/>
              <w:bottom w:val="single" w:color="auto" w:sz="4" w:space="0"/>
              <w:right w:val="single" w:color="auto" w:sz="4" w:space="0"/>
            </w:tcBorders>
            <w:noWrap w:val="0"/>
            <w:vAlign w:val="center"/>
          </w:tcPr>
          <w:p w14:paraId="6F2EDB88">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761C379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绩效管理中发现的问题</w:t>
            </w:r>
          </w:p>
        </w:tc>
        <w:tc>
          <w:tcPr>
            <w:tcW w:w="2268" w:type="dxa"/>
            <w:tcBorders>
              <w:top w:val="nil"/>
              <w:left w:val="nil"/>
              <w:bottom w:val="single" w:color="auto" w:sz="4" w:space="0"/>
              <w:right w:val="single" w:color="auto" w:sz="4" w:space="0"/>
            </w:tcBorders>
            <w:noWrap w:val="0"/>
            <w:vAlign w:val="center"/>
          </w:tcPr>
          <w:p w14:paraId="0A22CC9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1DD16E5C">
            <w:pPr>
              <w:widowControl/>
              <w:jc w:val="center"/>
              <w:rPr>
                <w:rFonts w:hint="eastAsia"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4" w:space="0"/>
            </w:tcBorders>
            <w:noWrap w:val="0"/>
            <w:vAlign w:val="center"/>
          </w:tcPr>
          <w:p w14:paraId="39016E6E">
            <w:pPr>
              <w:widowControl/>
              <w:jc w:val="center"/>
              <w:rPr>
                <w:rFonts w:hint="eastAsia" w:asciiTheme="minorEastAsia" w:hAnsiTheme="minorEastAsia" w:eastAsiaTheme="minorEastAsia" w:cstheme="minorEastAsia"/>
                <w:kern w:val="0"/>
                <w:szCs w:val="21"/>
              </w:rPr>
            </w:pPr>
          </w:p>
        </w:tc>
      </w:tr>
      <w:tr w14:paraId="0679647A">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1581145E">
            <w:pPr>
              <w:widowControl/>
              <w:jc w:val="left"/>
              <w:rPr>
                <w:rFonts w:hint="eastAsia" w:asciiTheme="minorEastAsia" w:hAnsiTheme="minorEastAsia" w:eastAsiaTheme="minorEastAsia" w:cstheme="minorEastAsia"/>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4E05460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被评价部门配合度</w:t>
            </w:r>
          </w:p>
        </w:tc>
        <w:tc>
          <w:tcPr>
            <w:tcW w:w="748" w:type="dxa"/>
            <w:tcBorders>
              <w:top w:val="nil"/>
              <w:left w:val="nil"/>
              <w:bottom w:val="single" w:color="auto" w:sz="4" w:space="0"/>
              <w:right w:val="single" w:color="auto" w:sz="4" w:space="0"/>
            </w:tcBorders>
            <w:noWrap w:val="0"/>
            <w:vAlign w:val="center"/>
          </w:tcPr>
          <w:p w14:paraId="206129C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ADCBF4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评价过程中的部门配合度</w:t>
            </w:r>
          </w:p>
        </w:tc>
        <w:tc>
          <w:tcPr>
            <w:tcW w:w="2268" w:type="dxa"/>
            <w:tcBorders>
              <w:top w:val="nil"/>
              <w:left w:val="nil"/>
              <w:bottom w:val="single" w:color="auto" w:sz="4" w:space="0"/>
              <w:right w:val="single" w:color="auto" w:sz="4" w:space="0"/>
            </w:tcBorders>
            <w:noWrap w:val="0"/>
            <w:vAlign w:val="center"/>
          </w:tcPr>
          <w:p w14:paraId="1060D1D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配合不够扣1-2分  </w:t>
            </w:r>
          </w:p>
        </w:tc>
        <w:tc>
          <w:tcPr>
            <w:tcW w:w="729" w:type="dxa"/>
            <w:tcBorders>
              <w:top w:val="nil"/>
              <w:left w:val="nil"/>
              <w:bottom w:val="single" w:color="auto" w:sz="4" w:space="0"/>
              <w:right w:val="single" w:color="auto" w:sz="4" w:space="0"/>
            </w:tcBorders>
            <w:noWrap w:val="0"/>
            <w:vAlign w:val="center"/>
          </w:tcPr>
          <w:p w14:paraId="77F9ECDB">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14:paraId="5ED1DDC6">
            <w:pPr>
              <w:widowControl/>
              <w:jc w:val="center"/>
              <w:rPr>
                <w:rFonts w:hint="eastAsia" w:asciiTheme="minorEastAsia" w:hAnsiTheme="minorEastAsia" w:eastAsiaTheme="minorEastAsia" w:cstheme="minorEastAsia"/>
                <w:kern w:val="0"/>
                <w:szCs w:val="21"/>
              </w:rPr>
            </w:pPr>
          </w:p>
        </w:tc>
      </w:tr>
      <w:tr w14:paraId="5C04EC6A">
        <w:tblPrEx>
          <w:tblCellMar>
            <w:top w:w="0" w:type="dxa"/>
            <w:left w:w="108" w:type="dxa"/>
            <w:bottom w:w="0" w:type="dxa"/>
            <w:right w:w="108" w:type="dxa"/>
          </w:tblCellMar>
        </w:tblPrEx>
        <w:trPr>
          <w:trHeight w:val="405" w:hRule="atLeast"/>
          <w:jc w:val="center"/>
        </w:trPr>
        <w:tc>
          <w:tcPr>
            <w:tcW w:w="3379" w:type="dxa"/>
            <w:gridSpan w:val="3"/>
            <w:tcBorders>
              <w:top w:val="single" w:color="auto" w:sz="4" w:space="0"/>
              <w:left w:val="single" w:color="auto" w:sz="4" w:space="0"/>
              <w:bottom w:val="single" w:color="auto" w:sz="4" w:space="0"/>
              <w:right w:val="single" w:color="auto" w:sz="4" w:space="0"/>
            </w:tcBorders>
            <w:noWrap/>
            <w:vAlign w:val="center"/>
          </w:tcPr>
          <w:p w14:paraId="5E21597C">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分值</w:t>
            </w:r>
          </w:p>
        </w:tc>
        <w:tc>
          <w:tcPr>
            <w:tcW w:w="748" w:type="dxa"/>
            <w:tcBorders>
              <w:top w:val="nil"/>
              <w:left w:val="nil"/>
              <w:bottom w:val="single" w:color="auto" w:sz="4" w:space="0"/>
              <w:right w:val="single" w:color="auto" w:sz="4" w:space="0"/>
            </w:tcBorders>
            <w:noWrap/>
            <w:vAlign w:val="center"/>
          </w:tcPr>
          <w:p w14:paraId="7F36566F">
            <w:pPr>
              <w:widowControl/>
              <w:jc w:val="center"/>
              <w:rPr>
                <w:rFonts w:hint="eastAsia" w:asciiTheme="minorEastAsia" w:hAnsiTheme="minorEastAsia" w:eastAsiaTheme="minorEastAsia" w:cstheme="minorEastAsia"/>
                <w:color w:val="000000"/>
                <w:kern w:val="0"/>
                <w:szCs w:val="21"/>
              </w:rPr>
            </w:pPr>
          </w:p>
        </w:tc>
        <w:tc>
          <w:tcPr>
            <w:tcW w:w="2552" w:type="dxa"/>
            <w:tcBorders>
              <w:top w:val="nil"/>
              <w:left w:val="nil"/>
              <w:bottom w:val="single" w:color="auto" w:sz="4" w:space="0"/>
              <w:right w:val="single" w:color="auto" w:sz="4" w:space="0"/>
            </w:tcBorders>
            <w:noWrap/>
            <w:vAlign w:val="center"/>
          </w:tcPr>
          <w:p w14:paraId="4D77B6C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c>
          <w:tcPr>
            <w:tcW w:w="2268" w:type="dxa"/>
            <w:tcBorders>
              <w:top w:val="nil"/>
              <w:left w:val="nil"/>
              <w:bottom w:val="single" w:color="auto" w:sz="4" w:space="0"/>
              <w:right w:val="single" w:color="auto" w:sz="4" w:space="0"/>
            </w:tcBorders>
            <w:noWrap/>
            <w:vAlign w:val="center"/>
          </w:tcPr>
          <w:p w14:paraId="12E491E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c>
          <w:tcPr>
            <w:tcW w:w="729" w:type="dxa"/>
            <w:tcBorders>
              <w:top w:val="nil"/>
              <w:left w:val="nil"/>
              <w:bottom w:val="single" w:color="auto" w:sz="4" w:space="0"/>
              <w:right w:val="single" w:color="auto" w:sz="4" w:space="0"/>
            </w:tcBorders>
            <w:noWrap/>
            <w:vAlign w:val="center"/>
          </w:tcPr>
          <w:p w14:paraId="19816223">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fldChar w:fldCharType="begin"/>
            </w:r>
            <w:r>
              <w:rPr>
                <w:rFonts w:hint="eastAsia" w:asciiTheme="minorEastAsia" w:hAnsiTheme="minorEastAsia" w:eastAsiaTheme="minorEastAsia" w:cstheme="minorEastAsia"/>
                <w:color w:val="000000"/>
                <w:kern w:val="0"/>
                <w:szCs w:val="21"/>
              </w:rPr>
              <w:instrText xml:space="preserve"> =sum(above) \# "0" \* MERGEFORMAT </w:instrText>
            </w:r>
            <w:r>
              <w:rPr>
                <w:rFonts w:hint="eastAsia" w:asciiTheme="minorEastAsia" w:hAnsiTheme="minorEastAsia" w:eastAsiaTheme="minorEastAsia" w:cstheme="minorEastAsia"/>
                <w:color w:val="000000"/>
                <w:kern w:val="0"/>
                <w:szCs w:val="21"/>
              </w:rPr>
              <w:fldChar w:fldCharType="separate"/>
            </w:r>
            <w:r>
              <w:rPr>
                <w:rFonts w:hint="eastAsia" w:asciiTheme="minorEastAsia" w:hAnsiTheme="minorEastAsia" w:eastAsiaTheme="minorEastAsia" w:cstheme="minorEastAsia"/>
              </w:rPr>
              <w:t>95</w:t>
            </w:r>
            <w:r>
              <w:rPr>
                <w:rFonts w:hint="eastAsia" w:asciiTheme="minorEastAsia" w:hAnsiTheme="minorEastAsia" w:eastAsiaTheme="minorEastAsia" w:cstheme="minorEastAsia"/>
                <w:color w:val="000000"/>
                <w:kern w:val="0"/>
                <w:szCs w:val="21"/>
              </w:rPr>
              <w:fldChar w:fldCharType="end"/>
            </w:r>
          </w:p>
        </w:tc>
        <w:tc>
          <w:tcPr>
            <w:tcW w:w="567" w:type="dxa"/>
            <w:tcBorders>
              <w:top w:val="nil"/>
              <w:left w:val="nil"/>
              <w:bottom w:val="single" w:color="auto" w:sz="4" w:space="0"/>
              <w:right w:val="single" w:color="auto" w:sz="4" w:space="0"/>
            </w:tcBorders>
            <w:noWrap/>
            <w:vAlign w:val="center"/>
          </w:tcPr>
          <w:p w14:paraId="793D2D5F">
            <w:pPr>
              <w:widowControl/>
              <w:jc w:val="center"/>
              <w:rPr>
                <w:rFonts w:hint="eastAsia" w:asciiTheme="minorEastAsia" w:hAnsiTheme="minorEastAsia" w:eastAsiaTheme="minorEastAsia" w:cstheme="minorEastAsia"/>
                <w:color w:val="000000"/>
                <w:kern w:val="0"/>
                <w:szCs w:val="21"/>
              </w:rPr>
            </w:pPr>
          </w:p>
        </w:tc>
      </w:tr>
    </w:tbl>
    <w:p w14:paraId="119EDDD4">
      <w:pPr>
        <w:pStyle w:val="3"/>
        <w:rPr>
          <w:rFonts w:hint="eastAsia"/>
          <w:lang w:val="en-US" w:eastAsia="zh-CN"/>
        </w:rPr>
      </w:pPr>
    </w:p>
    <w:p w14:paraId="5718D24A">
      <w:pPr>
        <w:pStyle w:val="3"/>
        <w:rPr>
          <w:rFonts w:hint="eastAsia"/>
          <w:lang w:val="en-US" w:eastAsia="zh-CN"/>
        </w:rPr>
      </w:pPr>
    </w:p>
    <w:p w14:paraId="0EBD0820">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r>
        <w:rPr>
          <w:rFonts w:hint="eastAsia" w:eastAsia="黑体" w:cs="黑体"/>
          <w:color w:val="auto"/>
          <w:sz w:val="32"/>
          <w:szCs w:val="32"/>
          <w:highlight w:val="none"/>
          <w:lang w:val="en-US" w:eastAsia="zh-CN"/>
        </w:rPr>
        <w:t>附表2：</w:t>
      </w:r>
    </w:p>
    <w:tbl>
      <w:tblPr>
        <w:tblStyle w:val="16"/>
        <w:tblW w:w="111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4"/>
        <w:gridCol w:w="1123"/>
        <w:gridCol w:w="1090"/>
        <w:gridCol w:w="1035"/>
        <w:gridCol w:w="818"/>
        <w:gridCol w:w="1027"/>
        <w:gridCol w:w="983"/>
        <w:gridCol w:w="1051"/>
        <w:gridCol w:w="1043"/>
        <w:gridCol w:w="1019"/>
        <w:gridCol w:w="1146"/>
      </w:tblGrid>
      <w:tr w14:paraId="5B22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14:paraId="76D1CDD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0F04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D94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D6E8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51090421R000000042930-第一书记、驻村工作队补助</w:t>
            </w:r>
          </w:p>
        </w:tc>
      </w:tr>
      <w:tr w14:paraId="4BB2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45B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205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遂宁市安居区东禅镇中心小学校部门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51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FCE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w:t>
            </w:r>
          </w:p>
        </w:tc>
      </w:tr>
      <w:tr w14:paraId="698D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7EC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33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15A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616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65CC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F3B42">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755A3">
            <w:pPr>
              <w:jc w:val="center"/>
              <w:rPr>
                <w:rFonts w:hint="eastAsia" w:ascii="宋体" w:hAnsi="宋体" w:eastAsia="宋体" w:cs="宋体"/>
                <w:i w:val="0"/>
                <w:color w:val="000000"/>
                <w:sz w:val="20"/>
                <w:szCs w:val="20"/>
                <w:u w:val="none"/>
              </w:rPr>
            </w:pP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66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严格执行相关政策，保障工资及时、足额发放或社保及时、足额缴纳，预算编制科学合理，减少结余资金。</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CAA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严格执行相关政策，保障资金及时、合规、足额支付到位，减少结余资金。</w:t>
            </w:r>
          </w:p>
        </w:tc>
      </w:tr>
      <w:tr w14:paraId="5428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F5C5C">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D1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E268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及时申报，保障补助及时、足额发放，预算编制科学合理，减少结余资金</w:t>
            </w:r>
          </w:p>
        </w:tc>
      </w:tr>
      <w:tr w14:paraId="2A53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156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CE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78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86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8C1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14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02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40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43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4EB1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0DF8">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CA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EB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B3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D76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93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C9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83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DE75B">
            <w:pPr>
              <w:rPr>
                <w:rFonts w:hint="eastAsia" w:ascii="宋体" w:hAnsi="宋体" w:eastAsia="宋体" w:cs="宋体"/>
                <w:i/>
                <w:color w:val="000000"/>
                <w:sz w:val="20"/>
                <w:szCs w:val="20"/>
                <w:u w:val="none"/>
              </w:rPr>
            </w:pPr>
          </w:p>
        </w:tc>
      </w:tr>
      <w:tr w14:paraId="7B25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50D1">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5A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36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6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E18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2C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AF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67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0C2D1">
            <w:pPr>
              <w:rPr>
                <w:rFonts w:hint="eastAsia" w:ascii="宋体" w:hAnsi="宋体" w:eastAsia="宋体" w:cs="宋体"/>
                <w:i/>
                <w:color w:val="000000"/>
                <w:sz w:val="20"/>
                <w:szCs w:val="20"/>
                <w:u w:val="none"/>
              </w:rPr>
            </w:pPr>
          </w:p>
        </w:tc>
      </w:tr>
      <w:tr w14:paraId="2B9D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6684">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D6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2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73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66A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FA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98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4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C4A0">
            <w:pPr>
              <w:rPr>
                <w:rFonts w:hint="eastAsia" w:ascii="宋体" w:hAnsi="宋体" w:eastAsia="宋体" w:cs="宋体"/>
                <w:i/>
                <w:color w:val="000000"/>
                <w:sz w:val="20"/>
                <w:szCs w:val="20"/>
                <w:u w:val="none"/>
              </w:rPr>
            </w:pPr>
          </w:p>
        </w:tc>
      </w:tr>
      <w:tr w14:paraId="39C3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4296">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21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80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EE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A5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A8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56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42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31C6">
            <w:pPr>
              <w:rPr>
                <w:rFonts w:hint="eastAsia" w:ascii="宋体" w:hAnsi="宋体" w:eastAsia="宋体" w:cs="宋体"/>
                <w:i/>
                <w:color w:val="000000"/>
                <w:sz w:val="20"/>
                <w:szCs w:val="20"/>
                <w:u w:val="none"/>
              </w:rPr>
            </w:pPr>
          </w:p>
        </w:tc>
      </w:tr>
      <w:tr w14:paraId="3C2D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16E8">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02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6396">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C74">
            <w:pPr>
              <w:jc w:val="center"/>
              <w:rPr>
                <w:rFonts w:hint="eastAsia" w:ascii="宋体" w:hAnsi="宋体" w:eastAsia="宋体" w:cs="宋体"/>
                <w:i w:val="0"/>
                <w:color w:val="000000"/>
                <w:sz w:val="20"/>
                <w:szCs w:val="20"/>
                <w:u w:val="none"/>
              </w:rPr>
            </w:pP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5A833">
            <w:pPr>
              <w:jc w:val="center"/>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6D17">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487E">
            <w:pPr>
              <w:jc w:val="center"/>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2F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E5C9">
            <w:pPr>
              <w:rPr>
                <w:rFonts w:hint="eastAsia" w:ascii="宋体" w:hAnsi="宋体" w:eastAsia="宋体" w:cs="宋体"/>
                <w:i/>
                <w:color w:val="000000"/>
                <w:sz w:val="20"/>
                <w:szCs w:val="20"/>
                <w:u w:val="none"/>
              </w:rPr>
            </w:pPr>
          </w:p>
        </w:tc>
      </w:tr>
      <w:tr w14:paraId="447A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left w:val="single" w:color="000000" w:sz="4" w:space="0"/>
              <w:bottom w:val="single" w:color="000000" w:sz="4" w:space="0"/>
              <w:right w:val="single" w:color="000000" w:sz="4" w:space="0"/>
            </w:tcBorders>
            <w:shd w:val="clear" w:color="auto" w:fill="auto"/>
            <w:vAlign w:val="center"/>
          </w:tcPr>
          <w:p w14:paraId="14A526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3" w:type="dxa"/>
            <w:tcBorders>
              <w:left w:val="single" w:color="000000" w:sz="4" w:space="0"/>
              <w:bottom w:val="single" w:color="000000" w:sz="4" w:space="0"/>
              <w:right w:val="single" w:color="000000" w:sz="4" w:space="0"/>
            </w:tcBorders>
            <w:shd w:val="clear" w:color="auto" w:fill="auto"/>
            <w:vAlign w:val="center"/>
          </w:tcPr>
          <w:p w14:paraId="22A0C9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0" w:type="dxa"/>
            <w:tcBorders>
              <w:left w:val="single" w:color="000000" w:sz="4" w:space="0"/>
              <w:bottom w:val="single" w:color="000000" w:sz="4" w:space="0"/>
              <w:right w:val="single" w:color="000000" w:sz="4" w:space="0"/>
            </w:tcBorders>
            <w:shd w:val="clear" w:color="auto" w:fill="auto"/>
            <w:vAlign w:val="center"/>
          </w:tcPr>
          <w:p w14:paraId="15FFFD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5" w:type="dxa"/>
            <w:tcBorders>
              <w:left w:val="single" w:color="000000" w:sz="4" w:space="0"/>
              <w:bottom w:val="single" w:color="000000" w:sz="4" w:space="0"/>
              <w:right w:val="single" w:color="000000" w:sz="4" w:space="0"/>
            </w:tcBorders>
            <w:shd w:val="clear" w:color="auto" w:fill="auto"/>
            <w:vAlign w:val="center"/>
          </w:tcPr>
          <w:p w14:paraId="74290E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8" w:type="dxa"/>
            <w:tcBorders>
              <w:left w:val="single" w:color="000000" w:sz="4" w:space="0"/>
              <w:bottom w:val="single" w:color="000000" w:sz="4" w:space="0"/>
              <w:right w:val="single" w:color="000000" w:sz="4" w:space="0"/>
            </w:tcBorders>
            <w:shd w:val="clear" w:color="auto" w:fill="auto"/>
            <w:vAlign w:val="center"/>
          </w:tcPr>
          <w:p w14:paraId="19A45F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7" w:type="dxa"/>
            <w:tcBorders>
              <w:left w:val="single" w:color="000000" w:sz="4" w:space="0"/>
              <w:bottom w:val="single" w:color="000000" w:sz="4" w:space="0"/>
              <w:right w:val="single" w:color="000000" w:sz="4" w:space="0"/>
            </w:tcBorders>
            <w:shd w:val="clear" w:color="auto" w:fill="auto"/>
            <w:vAlign w:val="center"/>
          </w:tcPr>
          <w:p w14:paraId="7113C9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3" w:type="dxa"/>
            <w:tcBorders>
              <w:left w:val="single" w:color="000000" w:sz="4" w:space="0"/>
              <w:bottom w:val="single" w:color="000000" w:sz="4" w:space="0"/>
              <w:right w:val="single" w:color="000000" w:sz="4" w:space="0"/>
            </w:tcBorders>
            <w:shd w:val="clear" w:color="auto" w:fill="auto"/>
            <w:vAlign w:val="center"/>
          </w:tcPr>
          <w:p w14:paraId="14752A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1" w:type="dxa"/>
            <w:tcBorders>
              <w:left w:val="single" w:color="000000" w:sz="4" w:space="0"/>
              <w:bottom w:val="single" w:color="000000" w:sz="4" w:space="0"/>
              <w:right w:val="single" w:color="000000" w:sz="4" w:space="0"/>
            </w:tcBorders>
            <w:shd w:val="clear" w:color="auto" w:fill="auto"/>
            <w:vAlign w:val="center"/>
          </w:tcPr>
          <w:p w14:paraId="58B653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3" w:type="dxa"/>
            <w:tcBorders>
              <w:left w:val="single" w:color="000000" w:sz="4" w:space="0"/>
              <w:bottom w:val="single" w:color="000000" w:sz="4" w:space="0"/>
              <w:right w:val="single" w:color="000000" w:sz="4" w:space="0"/>
            </w:tcBorders>
            <w:shd w:val="clear" w:color="auto" w:fill="auto"/>
            <w:vAlign w:val="center"/>
          </w:tcPr>
          <w:p w14:paraId="01A210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left w:val="single" w:color="000000" w:sz="4" w:space="0"/>
              <w:bottom w:val="single" w:color="000000" w:sz="4" w:space="0"/>
              <w:right w:val="single" w:color="000000" w:sz="4" w:space="0"/>
            </w:tcBorders>
            <w:shd w:val="clear" w:color="auto" w:fill="auto"/>
            <w:vAlign w:val="center"/>
          </w:tcPr>
          <w:p w14:paraId="3935EB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left w:val="single" w:color="000000" w:sz="4" w:space="0"/>
              <w:bottom w:val="single" w:color="000000" w:sz="4" w:space="0"/>
              <w:right w:val="single" w:color="000000" w:sz="4" w:space="0"/>
            </w:tcBorders>
            <w:shd w:val="clear" w:color="auto" w:fill="auto"/>
            <w:vAlign w:val="center"/>
          </w:tcPr>
          <w:p w14:paraId="18E214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2C17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2B49290A">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A0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6D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FC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发放（缴纳）覆盖率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B1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60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2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1DD">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1B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0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EC22">
            <w:pPr>
              <w:jc w:val="center"/>
              <w:rPr>
                <w:rFonts w:hint="eastAsia" w:ascii="宋体" w:hAnsi="宋体" w:eastAsia="宋体" w:cs="宋体"/>
                <w:i/>
                <w:color w:val="000000"/>
                <w:sz w:val="20"/>
                <w:szCs w:val="20"/>
                <w:u w:val="none"/>
              </w:rPr>
            </w:pPr>
          </w:p>
        </w:tc>
      </w:tr>
      <w:tr w14:paraId="32A2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2F0994A8">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7E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E3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99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足额保障率（参保率）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C1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60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28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C881">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59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72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2E7A">
            <w:pPr>
              <w:jc w:val="center"/>
              <w:rPr>
                <w:rFonts w:hint="eastAsia" w:ascii="宋体" w:hAnsi="宋体" w:eastAsia="宋体" w:cs="宋体"/>
                <w:i/>
                <w:color w:val="000000"/>
                <w:sz w:val="20"/>
                <w:szCs w:val="20"/>
                <w:u w:val="none"/>
              </w:rPr>
            </w:pPr>
          </w:p>
        </w:tc>
      </w:tr>
      <w:tr w14:paraId="19B3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3216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C8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E8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FF5A">
            <w:pPr>
              <w:rPr>
                <w:rFonts w:hint="eastAsia" w:ascii="宋体" w:hAnsi="宋体" w:eastAsia="宋体" w:cs="宋体"/>
                <w:i w:val="0"/>
                <w:color w:val="000000"/>
                <w:sz w:val="20"/>
                <w:szCs w:val="20"/>
                <w:u w:val="none"/>
              </w:rPr>
            </w:pPr>
          </w:p>
        </w:tc>
      </w:tr>
      <w:tr w14:paraId="7BA9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6E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BCEB8E">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w:t>
            </w:r>
          </w:p>
        </w:tc>
      </w:tr>
      <w:tr w14:paraId="3E9B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93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A730CF">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2FE8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A4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A49D94">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7163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7D9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项目负责人：刘剑军</w:t>
            </w:r>
          </w:p>
        </w:tc>
        <w:tc>
          <w:tcPr>
            <w:tcW w:w="6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1EF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财务负责人：贺欣</w:t>
            </w:r>
          </w:p>
        </w:tc>
      </w:tr>
      <w:tr w14:paraId="264F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34" w:type="dxa"/>
            <w:shd w:val="clear" w:color="auto" w:fill="auto"/>
            <w:vAlign w:val="center"/>
          </w:tcPr>
          <w:p w14:paraId="00A77290">
            <w:pPr>
              <w:rPr>
                <w:rFonts w:hint="eastAsia" w:ascii="宋体" w:hAnsi="宋体" w:eastAsia="宋体" w:cs="宋体"/>
                <w:i w:val="0"/>
                <w:color w:val="000000"/>
                <w:sz w:val="22"/>
                <w:szCs w:val="22"/>
                <w:u w:val="none"/>
              </w:rPr>
            </w:pPr>
          </w:p>
        </w:tc>
        <w:tc>
          <w:tcPr>
            <w:tcW w:w="1123" w:type="dxa"/>
            <w:shd w:val="clear" w:color="auto" w:fill="auto"/>
            <w:vAlign w:val="center"/>
          </w:tcPr>
          <w:p w14:paraId="00106E80">
            <w:pPr>
              <w:rPr>
                <w:rFonts w:hint="eastAsia" w:ascii="宋体" w:hAnsi="宋体" w:eastAsia="宋体" w:cs="宋体"/>
                <w:i w:val="0"/>
                <w:color w:val="000000"/>
                <w:sz w:val="22"/>
                <w:szCs w:val="22"/>
                <w:u w:val="none"/>
              </w:rPr>
            </w:pPr>
          </w:p>
        </w:tc>
        <w:tc>
          <w:tcPr>
            <w:tcW w:w="1090" w:type="dxa"/>
            <w:shd w:val="clear" w:color="auto" w:fill="auto"/>
            <w:vAlign w:val="center"/>
          </w:tcPr>
          <w:p w14:paraId="58EAC993">
            <w:pPr>
              <w:rPr>
                <w:rFonts w:hint="eastAsia" w:ascii="宋体" w:hAnsi="宋体" w:eastAsia="宋体" w:cs="宋体"/>
                <w:i w:val="0"/>
                <w:color w:val="000000"/>
                <w:sz w:val="22"/>
                <w:szCs w:val="22"/>
                <w:u w:val="none"/>
              </w:rPr>
            </w:pPr>
          </w:p>
        </w:tc>
        <w:tc>
          <w:tcPr>
            <w:tcW w:w="1035" w:type="dxa"/>
            <w:shd w:val="clear" w:color="auto" w:fill="auto"/>
            <w:vAlign w:val="center"/>
          </w:tcPr>
          <w:p w14:paraId="6FFD28A4">
            <w:pPr>
              <w:rPr>
                <w:rFonts w:hint="eastAsia" w:ascii="宋体" w:hAnsi="宋体" w:eastAsia="宋体" w:cs="宋体"/>
                <w:i w:val="0"/>
                <w:color w:val="000000"/>
                <w:sz w:val="22"/>
                <w:szCs w:val="22"/>
                <w:u w:val="none"/>
              </w:rPr>
            </w:pPr>
          </w:p>
        </w:tc>
        <w:tc>
          <w:tcPr>
            <w:tcW w:w="818" w:type="dxa"/>
            <w:shd w:val="clear" w:color="auto" w:fill="auto"/>
            <w:vAlign w:val="center"/>
          </w:tcPr>
          <w:p w14:paraId="3F54D8DE">
            <w:pPr>
              <w:rPr>
                <w:rFonts w:hint="eastAsia" w:ascii="宋体" w:hAnsi="宋体" w:eastAsia="宋体" w:cs="宋体"/>
                <w:i w:val="0"/>
                <w:color w:val="000000"/>
                <w:sz w:val="22"/>
                <w:szCs w:val="22"/>
                <w:u w:val="none"/>
              </w:rPr>
            </w:pPr>
          </w:p>
        </w:tc>
        <w:tc>
          <w:tcPr>
            <w:tcW w:w="1027" w:type="dxa"/>
            <w:shd w:val="clear" w:color="auto" w:fill="auto"/>
            <w:vAlign w:val="center"/>
          </w:tcPr>
          <w:p w14:paraId="21AE6DA4">
            <w:pPr>
              <w:rPr>
                <w:rFonts w:hint="eastAsia" w:ascii="宋体" w:hAnsi="宋体" w:eastAsia="宋体" w:cs="宋体"/>
                <w:i w:val="0"/>
                <w:color w:val="000000"/>
                <w:sz w:val="22"/>
                <w:szCs w:val="22"/>
                <w:u w:val="none"/>
              </w:rPr>
            </w:pPr>
          </w:p>
        </w:tc>
        <w:tc>
          <w:tcPr>
            <w:tcW w:w="983" w:type="dxa"/>
            <w:shd w:val="clear" w:color="auto" w:fill="auto"/>
            <w:vAlign w:val="center"/>
          </w:tcPr>
          <w:p w14:paraId="0F2F7628">
            <w:pPr>
              <w:rPr>
                <w:rFonts w:hint="eastAsia" w:ascii="宋体" w:hAnsi="宋体" w:eastAsia="宋体" w:cs="宋体"/>
                <w:i w:val="0"/>
                <w:color w:val="000000"/>
                <w:sz w:val="22"/>
                <w:szCs w:val="22"/>
                <w:u w:val="none"/>
              </w:rPr>
            </w:pPr>
          </w:p>
        </w:tc>
        <w:tc>
          <w:tcPr>
            <w:tcW w:w="1051" w:type="dxa"/>
            <w:shd w:val="clear" w:color="auto" w:fill="auto"/>
            <w:vAlign w:val="center"/>
          </w:tcPr>
          <w:p w14:paraId="7C826155">
            <w:pPr>
              <w:rPr>
                <w:rFonts w:hint="eastAsia" w:ascii="宋体" w:hAnsi="宋体" w:eastAsia="宋体" w:cs="宋体"/>
                <w:i w:val="0"/>
                <w:color w:val="000000"/>
                <w:sz w:val="22"/>
                <w:szCs w:val="22"/>
                <w:u w:val="none"/>
              </w:rPr>
            </w:pPr>
          </w:p>
        </w:tc>
        <w:tc>
          <w:tcPr>
            <w:tcW w:w="1043" w:type="dxa"/>
            <w:shd w:val="clear" w:color="auto" w:fill="auto"/>
            <w:vAlign w:val="center"/>
          </w:tcPr>
          <w:p w14:paraId="4BD3B9C0">
            <w:pPr>
              <w:rPr>
                <w:rFonts w:hint="eastAsia" w:ascii="宋体" w:hAnsi="宋体" w:eastAsia="宋体" w:cs="宋体"/>
                <w:i w:val="0"/>
                <w:color w:val="000000"/>
                <w:sz w:val="22"/>
                <w:szCs w:val="22"/>
                <w:u w:val="none"/>
              </w:rPr>
            </w:pPr>
          </w:p>
        </w:tc>
        <w:tc>
          <w:tcPr>
            <w:tcW w:w="1019" w:type="dxa"/>
            <w:shd w:val="clear" w:color="auto" w:fill="auto"/>
            <w:vAlign w:val="center"/>
          </w:tcPr>
          <w:p w14:paraId="32769209">
            <w:pPr>
              <w:rPr>
                <w:rFonts w:hint="eastAsia" w:ascii="宋体" w:hAnsi="宋体" w:eastAsia="宋体" w:cs="宋体"/>
                <w:i w:val="0"/>
                <w:color w:val="000000"/>
                <w:sz w:val="22"/>
                <w:szCs w:val="22"/>
                <w:u w:val="none"/>
              </w:rPr>
            </w:pPr>
          </w:p>
        </w:tc>
        <w:tc>
          <w:tcPr>
            <w:tcW w:w="1146" w:type="dxa"/>
            <w:shd w:val="clear" w:color="auto" w:fill="auto"/>
            <w:vAlign w:val="center"/>
          </w:tcPr>
          <w:p w14:paraId="6C604587">
            <w:pPr>
              <w:rPr>
                <w:rFonts w:hint="eastAsia" w:ascii="宋体" w:hAnsi="宋体" w:eastAsia="宋体" w:cs="宋体"/>
                <w:i w:val="0"/>
                <w:color w:val="000000"/>
                <w:sz w:val="22"/>
                <w:szCs w:val="22"/>
                <w:u w:val="none"/>
              </w:rPr>
            </w:pPr>
          </w:p>
        </w:tc>
      </w:tr>
      <w:tr w14:paraId="4AAE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14:paraId="6C8A2B0E">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38D7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98B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F3C2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51090422T000006815845-义务教育家庭经济困难学生生活补助</w:t>
            </w:r>
          </w:p>
        </w:tc>
      </w:tr>
      <w:tr w14:paraId="4112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6AF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F66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遂宁市安居区东禅镇中心小学校部门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34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37C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w:t>
            </w:r>
          </w:p>
        </w:tc>
      </w:tr>
      <w:tr w14:paraId="6200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7EC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046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796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2EE9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13AF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B4271">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F92F">
            <w:pPr>
              <w:jc w:val="center"/>
              <w:rPr>
                <w:rFonts w:hint="eastAsia" w:ascii="宋体" w:hAnsi="宋体" w:eastAsia="宋体" w:cs="宋体"/>
                <w:i w:val="0"/>
                <w:color w:val="000000"/>
                <w:sz w:val="20"/>
                <w:szCs w:val="20"/>
                <w:u w:val="none"/>
              </w:rPr>
            </w:pP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F1511">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保障学校家庭经济困难学生正常入学，减轻其家庭经济负担。</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A736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w:t>
            </w:r>
          </w:p>
        </w:tc>
      </w:tr>
      <w:tr w14:paraId="6CCA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9AE5">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F7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B568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加强民生资金专项管理，提高民生资金使用效益，确保专款专用，按程序及时兑现给学生（或监护人），及时报送资助政策落实情况及相关资料。</w:t>
            </w:r>
          </w:p>
        </w:tc>
      </w:tr>
      <w:tr w14:paraId="7F18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F83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63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3C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77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F6D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B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84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C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09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5236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2854">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7B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D8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24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DDD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2E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16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F4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C7666">
            <w:pPr>
              <w:rPr>
                <w:rFonts w:hint="eastAsia" w:ascii="宋体" w:hAnsi="宋体" w:eastAsia="宋体" w:cs="宋体"/>
                <w:i/>
                <w:color w:val="000000"/>
                <w:sz w:val="20"/>
                <w:szCs w:val="20"/>
                <w:u w:val="none"/>
              </w:rPr>
            </w:pPr>
          </w:p>
        </w:tc>
      </w:tr>
      <w:tr w14:paraId="59B8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C84E">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FE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E7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1E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806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9B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DD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8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93A5C">
            <w:pPr>
              <w:rPr>
                <w:rFonts w:hint="eastAsia" w:ascii="宋体" w:hAnsi="宋体" w:eastAsia="宋体" w:cs="宋体"/>
                <w:i/>
                <w:color w:val="000000"/>
                <w:sz w:val="20"/>
                <w:szCs w:val="20"/>
                <w:u w:val="none"/>
              </w:rPr>
            </w:pPr>
          </w:p>
        </w:tc>
      </w:tr>
      <w:tr w14:paraId="7EA7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B6E52">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7C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B7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29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F2C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BF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AF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2C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3255">
            <w:pPr>
              <w:rPr>
                <w:rFonts w:hint="eastAsia" w:ascii="宋体" w:hAnsi="宋体" w:eastAsia="宋体" w:cs="宋体"/>
                <w:i/>
                <w:color w:val="000000"/>
                <w:sz w:val="20"/>
                <w:szCs w:val="20"/>
                <w:u w:val="none"/>
              </w:rPr>
            </w:pPr>
          </w:p>
        </w:tc>
      </w:tr>
      <w:tr w14:paraId="5F8E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D0BC">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FD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BB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3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B4D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BC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3A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27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1CC04">
            <w:pPr>
              <w:rPr>
                <w:rFonts w:hint="eastAsia" w:ascii="宋体" w:hAnsi="宋体" w:eastAsia="宋体" w:cs="宋体"/>
                <w:i/>
                <w:color w:val="000000"/>
                <w:sz w:val="20"/>
                <w:szCs w:val="20"/>
                <w:u w:val="none"/>
              </w:rPr>
            </w:pPr>
          </w:p>
        </w:tc>
      </w:tr>
      <w:tr w14:paraId="18DB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6732">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F1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D144">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2086">
            <w:pPr>
              <w:jc w:val="center"/>
              <w:rPr>
                <w:rFonts w:hint="eastAsia" w:ascii="宋体" w:hAnsi="宋体" w:eastAsia="宋体" w:cs="宋体"/>
                <w:i w:val="0"/>
                <w:color w:val="000000"/>
                <w:sz w:val="20"/>
                <w:szCs w:val="20"/>
                <w:u w:val="none"/>
              </w:rPr>
            </w:pP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6043F">
            <w:pPr>
              <w:jc w:val="center"/>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2D80">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4FD2">
            <w:pPr>
              <w:jc w:val="center"/>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30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EAD8">
            <w:pPr>
              <w:rPr>
                <w:rFonts w:hint="eastAsia" w:ascii="宋体" w:hAnsi="宋体" w:eastAsia="宋体" w:cs="宋体"/>
                <w:i/>
                <w:color w:val="000000"/>
                <w:sz w:val="20"/>
                <w:szCs w:val="20"/>
                <w:u w:val="none"/>
              </w:rPr>
            </w:pPr>
          </w:p>
        </w:tc>
      </w:tr>
      <w:tr w14:paraId="5AE3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left w:val="single" w:color="000000" w:sz="4" w:space="0"/>
              <w:bottom w:val="single" w:color="000000" w:sz="4" w:space="0"/>
              <w:right w:val="single" w:color="000000" w:sz="4" w:space="0"/>
            </w:tcBorders>
            <w:shd w:val="clear" w:color="auto" w:fill="auto"/>
            <w:vAlign w:val="center"/>
          </w:tcPr>
          <w:p w14:paraId="013394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3" w:type="dxa"/>
            <w:tcBorders>
              <w:left w:val="single" w:color="000000" w:sz="4" w:space="0"/>
              <w:bottom w:val="single" w:color="000000" w:sz="4" w:space="0"/>
              <w:right w:val="single" w:color="000000" w:sz="4" w:space="0"/>
            </w:tcBorders>
            <w:shd w:val="clear" w:color="auto" w:fill="auto"/>
            <w:vAlign w:val="center"/>
          </w:tcPr>
          <w:p w14:paraId="1E5EAE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0" w:type="dxa"/>
            <w:tcBorders>
              <w:left w:val="single" w:color="000000" w:sz="4" w:space="0"/>
              <w:bottom w:val="single" w:color="000000" w:sz="4" w:space="0"/>
              <w:right w:val="single" w:color="000000" w:sz="4" w:space="0"/>
            </w:tcBorders>
            <w:shd w:val="clear" w:color="auto" w:fill="auto"/>
            <w:vAlign w:val="center"/>
          </w:tcPr>
          <w:p w14:paraId="6AAA1D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5" w:type="dxa"/>
            <w:tcBorders>
              <w:left w:val="single" w:color="000000" w:sz="4" w:space="0"/>
              <w:bottom w:val="single" w:color="000000" w:sz="4" w:space="0"/>
              <w:right w:val="single" w:color="000000" w:sz="4" w:space="0"/>
            </w:tcBorders>
            <w:shd w:val="clear" w:color="auto" w:fill="auto"/>
            <w:vAlign w:val="center"/>
          </w:tcPr>
          <w:p w14:paraId="754C81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8" w:type="dxa"/>
            <w:tcBorders>
              <w:left w:val="single" w:color="000000" w:sz="4" w:space="0"/>
              <w:bottom w:val="single" w:color="000000" w:sz="4" w:space="0"/>
              <w:right w:val="single" w:color="000000" w:sz="4" w:space="0"/>
            </w:tcBorders>
            <w:shd w:val="clear" w:color="auto" w:fill="auto"/>
            <w:vAlign w:val="center"/>
          </w:tcPr>
          <w:p w14:paraId="461856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7" w:type="dxa"/>
            <w:tcBorders>
              <w:left w:val="single" w:color="000000" w:sz="4" w:space="0"/>
              <w:bottom w:val="single" w:color="000000" w:sz="4" w:space="0"/>
              <w:right w:val="single" w:color="000000" w:sz="4" w:space="0"/>
            </w:tcBorders>
            <w:shd w:val="clear" w:color="auto" w:fill="auto"/>
            <w:vAlign w:val="center"/>
          </w:tcPr>
          <w:p w14:paraId="011A2E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3" w:type="dxa"/>
            <w:tcBorders>
              <w:left w:val="single" w:color="000000" w:sz="4" w:space="0"/>
              <w:bottom w:val="single" w:color="000000" w:sz="4" w:space="0"/>
              <w:right w:val="single" w:color="000000" w:sz="4" w:space="0"/>
            </w:tcBorders>
            <w:shd w:val="clear" w:color="auto" w:fill="auto"/>
            <w:vAlign w:val="center"/>
          </w:tcPr>
          <w:p w14:paraId="1876A7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1" w:type="dxa"/>
            <w:tcBorders>
              <w:left w:val="single" w:color="000000" w:sz="4" w:space="0"/>
              <w:bottom w:val="single" w:color="000000" w:sz="4" w:space="0"/>
              <w:right w:val="single" w:color="000000" w:sz="4" w:space="0"/>
            </w:tcBorders>
            <w:shd w:val="clear" w:color="auto" w:fill="auto"/>
            <w:vAlign w:val="center"/>
          </w:tcPr>
          <w:p w14:paraId="1601AA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3" w:type="dxa"/>
            <w:tcBorders>
              <w:left w:val="single" w:color="000000" w:sz="4" w:space="0"/>
              <w:bottom w:val="single" w:color="000000" w:sz="4" w:space="0"/>
              <w:right w:val="single" w:color="000000" w:sz="4" w:space="0"/>
            </w:tcBorders>
            <w:shd w:val="clear" w:color="auto" w:fill="auto"/>
            <w:vAlign w:val="center"/>
          </w:tcPr>
          <w:p w14:paraId="2D2ED8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left w:val="single" w:color="000000" w:sz="4" w:space="0"/>
              <w:bottom w:val="single" w:color="000000" w:sz="4" w:space="0"/>
              <w:right w:val="single" w:color="000000" w:sz="4" w:space="0"/>
            </w:tcBorders>
            <w:shd w:val="clear" w:color="auto" w:fill="auto"/>
            <w:vAlign w:val="center"/>
          </w:tcPr>
          <w:p w14:paraId="597DD2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left w:val="single" w:color="000000" w:sz="4" w:space="0"/>
              <w:bottom w:val="single" w:color="000000" w:sz="4" w:space="0"/>
              <w:right w:val="single" w:color="000000" w:sz="4" w:space="0"/>
            </w:tcBorders>
            <w:shd w:val="clear" w:color="auto" w:fill="auto"/>
            <w:vAlign w:val="center"/>
          </w:tcPr>
          <w:p w14:paraId="3326D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17C4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62B8DB94">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2F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40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9C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8A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D6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AB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4E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10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14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C119">
            <w:pPr>
              <w:jc w:val="center"/>
              <w:rPr>
                <w:rFonts w:hint="eastAsia" w:ascii="宋体" w:hAnsi="宋体" w:eastAsia="宋体" w:cs="宋体"/>
                <w:i/>
                <w:color w:val="000000"/>
                <w:sz w:val="20"/>
                <w:szCs w:val="20"/>
                <w:u w:val="none"/>
              </w:rPr>
            </w:pPr>
          </w:p>
        </w:tc>
      </w:tr>
      <w:tr w14:paraId="668C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5D57E188">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E1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C9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C6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88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04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E1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0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BE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97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4FF2">
            <w:pPr>
              <w:jc w:val="center"/>
              <w:rPr>
                <w:rFonts w:hint="eastAsia" w:ascii="宋体" w:hAnsi="宋体" w:eastAsia="宋体" w:cs="宋体"/>
                <w:i/>
                <w:color w:val="000000"/>
                <w:sz w:val="20"/>
                <w:szCs w:val="20"/>
                <w:u w:val="none"/>
              </w:rPr>
            </w:pPr>
          </w:p>
        </w:tc>
      </w:tr>
      <w:tr w14:paraId="66B4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9A3C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52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AA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4D02">
            <w:pPr>
              <w:rPr>
                <w:rFonts w:hint="eastAsia" w:ascii="宋体" w:hAnsi="宋体" w:eastAsia="宋体" w:cs="宋体"/>
                <w:i w:val="0"/>
                <w:color w:val="000000"/>
                <w:sz w:val="20"/>
                <w:szCs w:val="20"/>
                <w:u w:val="none"/>
              </w:rPr>
            </w:pPr>
          </w:p>
        </w:tc>
      </w:tr>
      <w:tr w14:paraId="69A8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04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66CCDA">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绩效目标实现指标自评得分100.00分，自评等次为：优，严格执行相关政策，按要求支付，保障资金及时、足额支付到位。切实提高扶贫成效。</w:t>
            </w:r>
          </w:p>
        </w:tc>
      </w:tr>
      <w:tr w14:paraId="5744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80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E5C984">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5F51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14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183902">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5D96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96F7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项目负责人：刘剑军</w:t>
            </w:r>
          </w:p>
        </w:tc>
        <w:tc>
          <w:tcPr>
            <w:tcW w:w="6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B560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财务负责人：贺欣</w:t>
            </w:r>
          </w:p>
        </w:tc>
      </w:tr>
      <w:tr w14:paraId="029C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34" w:type="dxa"/>
            <w:shd w:val="clear" w:color="auto" w:fill="auto"/>
            <w:vAlign w:val="center"/>
          </w:tcPr>
          <w:p w14:paraId="62AA0CFA">
            <w:pPr>
              <w:rPr>
                <w:rFonts w:hint="eastAsia" w:ascii="宋体" w:hAnsi="宋体" w:eastAsia="宋体" w:cs="宋体"/>
                <w:i w:val="0"/>
                <w:color w:val="000000"/>
                <w:sz w:val="22"/>
                <w:szCs w:val="22"/>
                <w:u w:val="none"/>
              </w:rPr>
            </w:pPr>
          </w:p>
        </w:tc>
        <w:tc>
          <w:tcPr>
            <w:tcW w:w="1123" w:type="dxa"/>
            <w:shd w:val="clear" w:color="auto" w:fill="auto"/>
            <w:vAlign w:val="center"/>
          </w:tcPr>
          <w:p w14:paraId="40F1913F">
            <w:pPr>
              <w:rPr>
                <w:rFonts w:hint="eastAsia" w:ascii="宋体" w:hAnsi="宋体" w:eastAsia="宋体" w:cs="宋体"/>
                <w:i w:val="0"/>
                <w:color w:val="000000"/>
                <w:sz w:val="22"/>
                <w:szCs w:val="22"/>
                <w:u w:val="none"/>
              </w:rPr>
            </w:pPr>
          </w:p>
        </w:tc>
        <w:tc>
          <w:tcPr>
            <w:tcW w:w="1090" w:type="dxa"/>
            <w:shd w:val="clear" w:color="auto" w:fill="auto"/>
            <w:vAlign w:val="center"/>
          </w:tcPr>
          <w:p w14:paraId="1F7D9EF4">
            <w:pPr>
              <w:rPr>
                <w:rFonts w:hint="eastAsia" w:ascii="宋体" w:hAnsi="宋体" w:eastAsia="宋体" w:cs="宋体"/>
                <w:i w:val="0"/>
                <w:color w:val="000000"/>
                <w:sz w:val="22"/>
                <w:szCs w:val="22"/>
                <w:u w:val="none"/>
              </w:rPr>
            </w:pPr>
          </w:p>
        </w:tc>
        <w:tc>
          <w:tcPr>
            <w:tcW w:w="1035" w:type="dxa"/>
            <w:shd w:val="clear" w:color="auto" w:fill="auto"/>
            <w:vAlign w:val="center"/>
          </w:tcPr>
          <w:p w14:paraId="16CCBC66">
            <w:pPr>
              <w:rPr>
                <w:rFonts w:hint="eastAsia" w:ascii="宋体" w:hAnsi="宋体" w:eastAsia="宋体" w:cs="宋体"/>
                <w:i w:val="0"/>
                <w:color w:val="000000"/>
                <w:sz w:val="22"/>
                <w:szCs w:val="22"/>
                <w:u w:val="none"/>
              </w:rPr>
            </w:pPr>
          </w:p>
        </w:tc>
        <w:tc>
          <w:tcPr>
            <w:tcW w:w="818" w:type="dxa"/>
            <w:shd w:val="clear" w:color="auto" w:fill="auto"/>
            <w:vAlign w:val="center"/>
          </w:tcPr>
          <w:p w14:paraId="1D2B8C7B">
            <w:pPr>
              <w:rPr>
                <w:rFonts w:hint="eastAsia" w:ascii="宋体" w:hAnsi="宋体" w:eastAsia="宋体" w:cs="宋体"/>
                <w:i w:val="0"/>
                <w:color w:val="000000"/>
                <w:sz w:val="22"/>
                <w:szCs w:val="22"/>
                <w:u w:val="none"/>
              </w:rPr>
            </w:pPr>
          </w:p>
        </w:tc>
        <w:tc>
          <w:tcPr>
            <w:tcW w:w="1027" w:type="dxa"/>
            <w:shd w:val="clear" w:color="auto" w:fill="auto"/>
            <w:vAlign w:val="center"/>
          </w:tcPr>
          <w:p w14:paraId="6283E79D">
            <w:pPr>
              <w:rPr>
                <w:rFonts w:hint="eastAsia" w:ascii="宋体" w:hAnsi="宋体" w:eastAsia="宋体" w:cs="宋体"/>
                <w:i w:val="0"/>
                <w:color w:val="000000"/>
                <w:sz w:val="22"/>
                <w:szCs w:val="22"/>
                <w:u w:val="none"/>
              </w:rPr>
            </w:pPr>
          </w:p>
        </w:tc>
        <w:tc>
          <w:tcPr>
            <w:tcW w:w="983" w:type="dxa"/>
            <w:shd w:val="clear" w:color="auto" w:fill="auto"/>
            <w:vAlign w:val="center"/>
          </w:tcPr>
          <w:p w14:paraId="24BD1C24">
            <w:pPr>
              <w:rPr>
                <w:rFonts w:hint="eastAsia" w:ascii="宋体" w:hAnsi="宋体" w:eastAsia="宋体" w:cs="宋体"/>
                <w:i w:val="0"/>
                <w:color w:val="000000"/>
                <w:sz w:val="22"/>
                <w:szCs w:val="22"/>
                <w:u w:val="none"/>
              </w:rPr>
            </w:pPr>
          </w:p>
        </w:tc>
        <w:tc>
          <w:tcPr>
            <w:tcW w:w="1051" w:type="dxa"/>
            <w:shd w:val="clear" w:color="auto" w:fill="auto"/>
            <w:vAlign w:val="center"/>
          </w:tcPr>
          <w:p w14:paraId="68E6CFF9">
            <w:pPr>
              <w:rPr>
                <w:rFonts w:hint="eastAsia" w:ascii="宋体" w:hAnsi="宋体" w:eastAsia="宋体" w:cs="宋体"/>
                <w:i w:val="0"/>
                <w:color w:val="000000"/>
                <w:sz w:val="22"/>
                <w:szCs w:val="22"/>
                <w:u w:val="none"/>
              </w:rPr>
            </w:pPr>
          </w:p>
        </w:tc>
        <w:tc>
          <w:tcPr>
            <w:tcW w:w="1043" w:type="dxa"/>
            <w:shd w:val="clear" w:color="auto" w:fill="auto"/>
            <w:vAlign w:val="center"/>
          </w:tcPr>
          <w:p w14:paraId="16E83630">
            <w:pPr>
              <w:rPr>
                <w:rFonts w:hint="eastAsia" w:ascii="宋体" w:hAnsi="宋体" w:eastAsia="宋体" w:cs="宋体"/>
                <w:i w:val="0"/>
                <w:color w:val="000000"/>
                <w:sz w:val="22"/>
                <w:szCs w:val="22"/>
                <w:u w:val="none"/>
              </w:rPr>
            </w:pPr>
          </w:p>
        </w:tc>
        <w:tc>
          <w:tcPr>
            <w:tcW w:w="1019" w:type="dxa"/>
            <w:shd w:val="clear" w:color="auto" w:fill="auto"/>
            <w:vAlign w:val="center"/>
          </w:tcPr>
          <w:p w14:paraId="5B7B9A94">
            <w:pPr>
              <w:rPr>
                <w:rFonts w:hint="eastAsia" w:ascii="宋体" w:hAnsi="宋体" w:eastAsia="宋体" w:cs="宋体"/>
                <w:i w:val="0"/>
                <w:color w:val="000000"/>
                <w:sz w:val="22"/>
                <w:szCs w:val="22"/>
                <w:u w:val="none"/>
              </w:rPr>
            </w:pPr>
          </w:p>
        </w:tc>
        <w:tc>
          <w:tcPr>
            <w:tcW w:w="1146" w:type="dxa"/>
            <w:shd w:val="clear" w:color="auto" w:fill="auto"/>
            <w:vAlign w:val="center"/>
          </w:tcPr>
          <w:p w14:paraId="5D6A8A1C">
            <w:pPr>
              <w:rPr>
                <w:rFonts w:hint="eastAsia" w:ascii="宋体" w:hAnsi="宋体" w:eastAsia="宋体" w:cs="宋体"/>
                <w:i w:val="0"/>
                <w:color w:val="000000"/>
                <w:sz w:val="22"/>
                <w:szCs w:val="22"/>
                <w:u w:val="none"/>
              </w:rPr>
            </w:pPr>
          </w:p>
        </w:tc>
      </w:tr>
      <w:tr w14:paraId="42C2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14:paraId="522BDFFF">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67A1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06A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2AAF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51090422T000007203223-校舍维修</w:t>
            </w:r>
          </w:p>
        </w:tc>
      </w:tr>
      <w:tr w14:paraId="02B4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381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A33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遂宁市安居区东禅镇中心小学校部门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A7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AB9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w:t>
            </w:r>
          </w:p>
        </w:tc>
      </w:tr>
      <w:tr w14:paraId="755F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F5D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19E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9CC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14B2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27EF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27ED8">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54EDC">
            <w:pPr>
              <w:jc w:val="center"/>
              <w:rPr>
                <w:rFonts w:hint="eastAsia" w:ascii="宋体" w:hAnsi="宋体" w:eastAsia="宋体" w:cs="宋体"/>
                <w:i w:val="0"/>
                <w:color w:val="000000"/>
                <w:sz w:val="20"/>
                <w:szCs w:val="20"/>
                <w:u w:val="none"/>
              </w:rPr>
            </w:pP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3548A">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EA0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r>
      <w:tr w14:paraId="56DE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FEA8">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B8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039B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及时申报经费，促进学校健康发展。</w:t>
            </w:r>
          </w:p>
        </w:tc>
      </w:tr>
      <w:tr w14:paraId="22AE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7AB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80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55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07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55F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5B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A6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E1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C9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4A4D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78428">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94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E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A3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223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85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48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3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780B7">
            <w:pPr>
              <w:rPr>
                <w:rFonts w:hint="eastAsia" w:ascii="宋体" w:hAnsi="宋体" w:eastAsia="宋体" w:cs="宋体"/>
                <w:i/>
                <w:color w:val="000000"/>
                <w:sz w:val="20"/>
                <w:szCs w:val="20"/>
                <w:u w:val="none"/>
              </w:rPr>
            </w:pPr>
          </w:p>
        </w:tc>
      </w:tr>
      <w:tr w14:paraId="0137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74E68">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15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44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28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F1E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75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6A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FD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D95B">
            <w:pPr>
              <w:rPr>
                <w:rFonts w:hint="eastAsia" w:ascii="宋体" w:hAnsi="宋体" w:eastAsia="宋体" w:cs="宋体"/>
                <w:i/>
                <w:color w:val="000000"/>
                <w:sz w:val="20"/>
                <w:szCs w:val="20"/>
                <w:u w:val="none"/>
              </w:rPr>
            </w:pPr>
          </w:p>
        </w:tc>
      </w:tr>
      <w:tr w14:paraId="10B7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9A9AC">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8E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54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AD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B51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68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38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AC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C45F">
            <w:pPr>
              <w:rPr>
                <w:rFonts w:hint="eastAsia" w:ascii="宋体" w:hAnsi="宋体" w:eastAsia="宋体" w:cs="宋体"/>
                <w:i/>
                <w:color w:val="000000"/>
                <w:sz w:val="20"/>
                <w:szCs w:val="20"/>
                <w:u w:val="none"/>
              </w:rPr>
            </w:pPr>
          </w:p>
        </w:tc>
      </w:tr>
      <w:tr w14:paraId="077B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8DC7">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C0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7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A6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244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46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2E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6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AE01">
            <w:pPr>
              <w:rPr>
                <w:rFonts w:hint="eastAsia" w:ascii="宋体" w:hAnsi="宋体" w:eastAsia="宋体" w:cs="宋体"/>
                <w:i/>
                <w:color w:val="000000"/>
                <w:sz w:val="20"/>
                <w:szCs w:val="20"/>
                <w:u w:val="none"/>
              </w:rPr>
            </w:pPr>
          </w:p>
        </w:tc>
      </w:tr>
      <w:tr w14:paraId="442F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22FB">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FC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5758">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A4FF">
            <w:pPr>
              <w:jc w:val="center"/>
              <w:rPr>
                <w:rFonts w:hint="eastAsia" w:ascii="宋体" w:hAnsi="宋体" w:eastAsia="宋体" w:cs="宋体"/>
                <w:i w:val="0"/>
                <w:color w:val="000000"/>
                <w:sz w:val="20"/>
                <w:szCs w:val="20"/>
                <w:u w:val="none"/>
              </w:rPr>
            </w:pP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38868">
            <w:pPr>
              <w:jc w:val="center"/>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E507">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09F">
            <w:pPr>
              <w:jc w:val="center"/>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0A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E1587">
            <w:pPr>
              <w:rPr>
                <w:rFonts w:hint="eastAsia" w:ascii="宋体" w:hAnsi="宋体" w:eastAsia="宋体" w:cs="宋体"/>
                <w:i/>
                <w:color w:val="000000"/>
                <w:sz w:val="20"/>
                <w:szCs w:val="20"/>
                <w:u w:val="none"/>
              </w:rPr>
            </w:pPr>
          </w:p>
        </w:tc>
      </w:tr>
      <w:tr w14:paraId="780B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left w:val="single" w:color="000000" w:sz="4" w:space="0"/>
              <w:bottom w:val="single" w:color="000000" w:sz="4" w:space="0"/>
              <w:right w:val="single" w:color="000000" w:sz="4" w:space="0"/>
            </w:tcBorders>
            <w:shd w:val="clear" w:color="auto" w:fill="auto"/>
            <w:vAlign w:val="center"/>
          </w:tcPr>
          <w:p w14:paraId="3E3307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3" w:type="dxa"/>
            <w:tcBorders>
              <w:left w:val="single" w:color="000000" w:sz="4" w:space="0"/>
              <w:bottom w:val="single" w:color="000000" w:sz="4" w:space="0"/>
              <w:right w:val="single" w:color="000000" w:sz="4" w:space="0"/>
            </w:tcBorders>
            <w:shd w:val="clear" w:color="auto" w:fill="auto"/>
            <w:vAlign w:val="center"/>
          </w:tcPr>
          <w:p w14:paraId="0229B8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0" w:type="dxa"/>
            <w:tcBorders>
              <w:left w:val="single" w:color="000000" w:sz="4" w:space="0"/>
              <w:bottom w:val="single" w:color="000000" w:sz="4" w:space="0"/>
              <w:right w:val="single" w:color="000000" w:sz="4" w:space="0"/>
            </w:tcBorders>
            <w:shd w:val="clear" w:color="auto" w:fill="auto"/>
            <w:vAlign w:val="center"/>
          </w:tcPr>
          <w:p w14:paraId="5B78AB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5" w:type="dxa"/>
            <w:tcBorders>
              <w:left w:val="single" w:color="000000" w:sz="4" w:space="0"/>
              <w:bottom w:val="single" w:color="000000" w:sz="4" w:space="0"/>
              <w:right w:val="single" w:color="000000" w:sz="4" w:space="0"/>
            </w:tcBorders>
            <w:shd w:val="clear" w:color="auto" w:fill="auto"/>
            <w:vAlign w:val="center"/>
          </w:tcPr>
          <w:p w14:paraId="4A4A61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8" w:type="dxa"/>
            <w:tcBorders>
              <w:left w:val="single" w:color="000000" w:sz="4" w:space="0"/>
              <w:bottom w:val="single" w:color="000000" w:sz="4" w:space="0"/>
              <w:right w:val="single" w:color="000000" w:sz="4" w:space="0"/>
            </w:tcBorders>
            <w:shd w:val="clear" w:color="auto" w:fill="auto"/>
            <w:vAlign w:val="center"/>
          </w:tcPr>
          <w:p w14:paraId="1594C2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7" w:type="dxa"/>
            <w:tcBorders>
              <w:left w:val="single" w:color="000000" w:sz="4" w:space="0"/>
              <w:bottom w:val="single" w:color="000000" w:sz="4" w:space="0"/>
              <w:right w:val="single" w:color="000000" w:sz="4" w:space="0"/>
            </w:tcBorders>
            <w:shd w:val="clear" w:color="auto" w:fill="auto"/>
            <w:vAlign w:val="center"/>
          </w:tcPr>
          <w:p w14:paraId="572E74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3" w:type="dxa"/>
            <w:tcBorders>
              <w:left w:val="single" w:color="000000" w:sz="4" w:space="0"/>
              <w:bottom w:val="single" w:color="000000" w:sz="4" w:space="0"/>
              <w:right w:val="single" w:color="000000" w:sz="4" w:space="0"/>
            </w:tcBorders>
            <w:shd w:val="clear" w:color="auto" w:fill="auto"/>
            <w:vAlign w:val="center"/>
          </w:tcPr>
          <w:p w14:paraId="189E0F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1" w:type="dxa"/>
            <w:tcBorders>
              <w:left w:val="single" w:color="000000" w:sz="4" w:space="0"/>
              <w:bottom w:val="single" w:color="000000" w:sz="4" w:space="0"/>
              <w:right w:val="single" w:color="000000" w:sz="4" w:space="0"/>
            </w:tcBorders>
            <w:shd w:val="clear" w:color="auto" w:fill="auto"/>
            <w:vAlign w:val="center"/>
          </w:tcPr>
          <w:p w14:paraId="08830C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3" w:type="dxa"/>
            <w:tcBorders>
              <w:left w:val="single" w:color="000000" w:sz="4" w:space="0"/>
              <w:bottom w:val="single" w:color="000000" w:sz="4" w:space="0"/>
              <w:right w:val="single" w:color="000000" w:sz="4" w:space="0"/>
            </w:tcBorders>
            <w:shd w:val="clear" w:color="auto" w:fill="auto"/>
            <w:vAlign w:val="center"/>
          </w:tcPr>
          <w:p w14:paraId="3289AA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left w:val="single" w:color="000000" w:sz="4" w:space="0"/>
              <w:bottom w:val="single" w:color="000000" w:sz="4" w:space="0"/>
              <w:right w:val="single" w:color="000000" w:sz="4" w:space="0"/>
            </w:tcBorders>
            <w:shd w:val="clear" w:color="auto" w:fill="auto"/>
            <w:vAlign w:val="center"/>
          </w:tcPr>
          <w:p w14:paraId="2A87A2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left w:val="single" w:color="000000" w:sz="4" w:space="0"/>
              <w:bottom w:val="single" w:color="000000" w:sz="4" w:space="0"/>
              <w:right w:val="single" w:color="000000" w:sz="4" w:space="0"/>
            </w:tcBorders>
            <w:shd w:val="clear" w:color="auto" w:fill="auto"/>
            <w:vAlign w:val="center"/>
          </w:tcPr>
          <w:p w14:paraId="5B79E9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74B7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1F0345E5">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03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06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86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CC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5A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8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1B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08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9B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3A5D">
            <w:pPr>
              <w:jc w:val="center"/>
              <w:rPr>
                <w:rFonts w:hint="eastAsia" w:ascii="宋体" w:hAnsi="宋体" w:eastAsia="宋体" w:cs="宋体"/>
                <w:i/>
                <w:color w:val="000000"/>
                <w:sz w:val="20"/>
                <w:szCs w:val="20"/>
                <w:u w:val="none"/>
              </w:rPr>
            </w:pPr>
          </w:p>
        </w:tc>
      </w:tr>
      <w:tr w14:paraId="67C3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65367914">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03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F8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F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1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EC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16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18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2A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45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D263">
            <w:pPr>
              <w:jc w:val="center"/>
              <w:rPr>
                <w:rFonts w:hint="eastAsia" w:ascii="宋体" w:hAnsi="宋体" w:eastAsia="宋体" w:cs="宋体"/>
                <w:i/>
                <w:color w:val="000000"/>
                <w:sz w:val="20"/>
                <w:szCs w:val="20"/>
                <w:u w:val="none"/>
              </w:rPr>
            </w:pPr>
          </w:p>
        </w:tc>
      </w:tr>
      <w:tr w14:paraId="6F0D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6BD9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2E4">
            <w:pPr>
              <w:keepNext w:val="0"/>
              <w:keepLines w:val="0"/>
              <w:widowControl/>
              <w:suppressLineNumbers w:val="0"/>
              <w:tabs>
                <w:tab w:val="left" w:pos="261"/>
                <w:tab w:val="center" w:pos="566"/>
              </w:tabs>
              <w:jc w:val="lef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ab/>
            </w:r>
            <w:r>
              <w:rPr>
                <w:rFonts w:hint="eastAsia" w:ascii="宋体" w:hAnsi="宋体" w:cs="宋体"/>
                <w:i w:val="0"/>
                <w:color w:val="000000"/>
                <w:kern w:val="0"/>
                <w:sz w:val="20"/>
                <w:szCs w:val="20"/>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2674">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51DE">
            <w:pPr>
              <w:rPr>
                <w:rFonts w:hint="eastAsia" w:ascii="宋体" w:hAnsi="宋体" w:eastAsia="宋体" w:cs="宋体"/>
                <w:i w:val="0"/>
                <w:color w:val="000000"/>
                <w:sz w:val="20"/>
                <w:szCs w:val="20"/>
                <w:u w:val="none"/>
              </w:rPr>
            </w:pPr>
          </w:p>
        </w:tc>
      </w:tr>
      <w:tr w14:paraId="751A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D7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6AA8D4">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14:paraId="51D6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8F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EA82E6">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66A09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F0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8A90B4">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0084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5620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项目负责人：刘剑军</w:t>
            </w:r>
          </w:p>
        </w:tc>
        <w:tc>
          <w:tcPr>
            <w:tcW w:w="6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F121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财务负责人：贺欣</w:t>
            </w:r>
          </w:p>
        </w:tc>
      </w:tr>
      <w:tr w14:paraId="0BAD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34" w:type="dxa"/>
            <w:shd w:val="clear" w:color="auto" w:fill="auto"/>
            <w:vAlign w:val="center"/>
          </w:tcPr>
          <w:p w14:paraId="1D4DCBEB">
            <w:pPr>
              <w:rPr>
                <w:rFonts w:hint="eastAsia" w:ascii="宋体" w:hAnsi="宋体" w:eastAsia="宋体" w:cs="宋体"/>
                <w:i w:val="0"/>
                <w:color w:val="000000"/>
                <w:sz w:val="22"/>
                <w:szCs w:val="22"/>
                <w:u w:val="none"/>
              </w:rPr>
            </w:pPr>
          </w:p>
        </w:tc>
        <w:tc>
          <w:tcPr>
            <w:tcW w:w="1123" w:type="dxa"/>
            <w:shd w:val="clear" w:color="auto" w:fill="auto"/>
            <w:vAlign w:val="center"/>
          </w:tcPr>
          <w:p w14:paraId="2A029C77">
            <w:pPr>
              <w:rPr>
                <w:rFonts w:hint="eastAsia" w:ascii="宋体" w:hAnsi="宋体" w:eastAsia="宋体" w:cs="宋体"/>
                <w:i w:val="0"/>
                <w:color w:val="000000"/>
                <w:sz w:val="22"/>
                <w:szCs w:val="22"/>
                <w:u w:val="none"/>
              </w:rPr>
            </w:pPr>
          </w:p>
        </w:tc>
        <w:tc>
          <w:tcPr>
            <w:tcW w:w="1090" w:type="dxa"/>
            <w:shd w:val="clear" w:color="auto" w:fill="auto"/>
            <w:vAlign w:val="center"/>
          </w:tcPr>
          <w:p w14:paraId="74FE7AC3">
            <w:pPr>
              <w:rPr>
                <w:rFonts w:hint="eastAsia" w:ascii="宋体" w:hAnsi="宋体" w:eastAsia="宋体" w:cs="宋体"/>
                <w:i w:val="0"/>
                <w:color w:val="000000"/>
                <w:sz w:val="22"/>
                <w:szCs w:val="22"/>
                <w:u w:val="none"/>
              </w:rPr>
            </w:pPr>
          </w:p>
        </w:tc>
        <w:tc>
          <w:tcPr>
            <w:tcW w:w="1035" w:type="dxa"/>
            <w:shd w:val="clear" w:color="auto" w:fill="auto"/>
            <w:vAlign w:val="center"/>
          </w:tcPr>
          <w:p w14:paraId="51BC904A">
            <w:pPr>
              <w:rPr>
                <w:rFonts w:hint="eastAsia" w:ascii="宋体" w:hAnsi="宋体" w:eastAsia="宋体" w:cs="宋体"/>
                <w:i w:val="0"/>
                <w:color w:val="000000"/>
                <w:sz w:val="22"/>
                <w:szCs w:val="22"/>
                <w:u w:val="none"/>
              </w:rPr>
            </w:pPr>
          </w:p>
        </w:tc>
        <w:tc>
          <w:tcPr>
            <w:tcW w:w="818" w:type="dxa"/>
            <w:shd w:val="clear" w:color="auto" w:fill="auto"/>
            <w:vAlign w:val="center"/>
          </w:tcPr>
          <w:p w14:paraId="0F9AC814">
            <w:pPr>
              <w:rPr>
                <w:rFonts w:hint="eastAsia" w:ascii="宋体" w:hAnsi="宋体" w:eastAsia="宋体" w:cs="宋体"/>
                <w:i w:val="0"/>
                <w:color w:val="000000"/>
                <w:sz w:val="22"/>
                <w:szCs w:val="22"/>
                <w:u w:val="none"/>
              </w:rPr>
            </w:pPr>
          </w:p>
        </w:tc>
        <w:tc>
          <w:tcPr>
            <w:tcW w:w="1027" w:type="dxa"/>
            <w:shd w:val="clear" w:color="auto" w:fill="auto"/>
            <w:vAlign w:val="center"/>
          </w:tcPr>
          <w:p w14:paraId="1E7A537C">
            <w:pPr>
              <w:rPr>
                <w:rFonts w:hint="eastAsia" w:ascii="宋体" w:hAnsi="宋体" w:eastAsia="宋体" w:cs="宋体"/>
                <w:i w:val="0"/>
                <w:color w:val="000000"/>
                <w:sz w:val="22"/>
                <w:szCs w:val="22"/>
                <w:u w:val="none"/>
              </w:rPr>
            </w:pPr>
          </w:p>
        </w:tc>
        <w:tc>
          <w:tcPr>
            <w:tcW w:w="983" w:type="dxa"/>
            <w:shd w:val="clear" w:color="auto" w:fill="auto"/>
            <w:vAlign w:val="center"/>
          </w:tcPr>
          <w:p w14:paraId="30D5EB72">
            <w:pPr>
              <w:rPr>
                <w:rFonts w:hint="eastAsia" w:ascii="宋体" w:hAnsi="宋体" w:eastAsia="宋体" w:cs="宋体"/>
                <w:i w:val="0"/>
                <w:color w:val="000000"/>
                <w:sz w:val="22"/>
                <w:szCs w:val="22"/>
                <w:u w:val="none"/>
              </w:rPr>
            </w:pPr>
          </w:p>
        </w:tc>
        <w:tc>
          <w:tcPr>
            <w:tcW w:w="1051" w:type="dxa"/>
            <w:shd w:val="clear" w:color="auto" w:fill="auto"/>
            <w:vAlign w:val="center"/>
          </w:tcPr>
          <w:p w14:paraId="44DB9913">
            <w:pPr>
              <w:rPr>
                <w:rFonts w:hint="eastAsia" w:ascii="宋体" w:hAnsi="宋体" w:eastAsia="宋体" w:cs="宋体"/>
                <w:i w:val="0"/>
                <w:color w:val="000000"/>
                <w:sz w:val="22"/>
                <w:szCs w:val="22"/>
                <w:u w:val="none"/>
              </w:rPr>
            </w:pPr>
          </w:p>
        </w:tc>
        <w:tc>
          <w:tcPr>
            <w:tcW w:w="1043" w:type="dxa"/>
            <w:shd w:val="clear" w:color="auto" w:fill="auto"/>
            <w:vAlign w:val="center"/>
          </w:tcPr>
          <w:p w14:paraId="73528439">
            <w:pPr>
              <w:rPr>
                <w:rFonts w:hint="eastAsia" w:ascii="宋体" w:hAnsi="宋体" w:eastAsia="宋体" w:cs="宋体"/>
                <w:i w:val="0"/>
                <w:color w:val="000000"/>
                <w:sz w:val="22"/>
                <w:szCs w:val="22"/>
                <w:u w:val="none"/>
              </w:rPr>
            </w:pPr>
          </w:p>
        </w:tc>
        <w:tc>
          <w:tcPr>
            <w:tcW w:w="1019" w:type="dxa"/>
            <w:shd w:val="clear" w:color="auto" w:fill="auto"/>
            <w:vAlign w:val="center"/>
          </w:tcPr>
          <w:p w14:paraId="432291DA">
            <w:pPr>
              <w:rPr>
                <w:rFonts w:hint="eastAsia" w:ascii="宋体" w:hAnsi="宋体" w:eastAsia="宋体" w:cs="宋体"/>
                <w:i w:val="0"/>
                <w:color w:val="000000"/>
                <w:sz w:val="22"/>
                <w:szCs w:val="22"/>
                <w:u w:val="none"/>
              </w:rPr>
            </w:pPr>
          </w:p>
        </w:tc>
        <w:tc>
          <w:tcPr>
            <w:tcW w:w="1146" w:type="dxa"/>
            <w:shd w:val="clear" w:color="auto" w:fill="auto"/>
            <w:vAlign w:val="center"/>
          </w:tcPr>
          <w:p w14:paraId="06DF1D7C">
            <w:pPr>
              <w:rPr>
                <w:rFonts w:hint="eastAsia" w:ascii="宋体" w:hAnsi="宋体" w:eastAsia="宋体" w:cs="宋体"/>
                <w:i w:val="0"/>
                <w:color w:val="000000"/>
                <w:sz w:val="22"/>
                <w:szCs w:val="22"/>
                <w:u w:val="none"/>
              </w:rPr>
            </w:pPr>
          </w:p>
        </w:tc>
      </w:tr>
      <w:tr w14:paraId="4F12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14:paraId="002451C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5983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48B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D733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51090423T000009404312-城乡义务教育-免作业本费</w:t>
            </w:r>
          </w:p>
        </w:tc>
      </w:tr>
      <w:tr w14:paraId="0622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ADF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FC9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遂宁市安居区东禅镇中心小学校部门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B3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7A1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w:t>
            </w:r>
          </w:p>
        </w:tc>
      </w:tr>
      <w:tr w14:paraId="5ED5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4FD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4F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FF7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21D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4752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1B036">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17E14">
            <w:pPr>
              <w:jc w:val="center"/>
              <w:rPr>
                <w:rFonts w:hint="eastAsia" w:ascii="宋体" w:hAnsi="宋体" w:eastAsia="宋体" w:cs="宋体"/>
                <w:i w:val="0"/>
                <w:color w:val="000000"/>
                <w:sz w:val="20"/>
                <w:szCs w:val="20"/>
                <w:u w:val="none"/>
              </w:rPr>
            </w:pP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3E85A">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及时申请支付资金，促进学校健康发展。</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3BB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严格执行预算，及时申请支付资金，保证学生作业本按时发放。</w:t>
            </w:r>
          </w:p>
        </w:tc>
      </w:tr>
      <w:tr w14:paraId="66AB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2BDC">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6A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3A6D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及时申报经费，保证学生作业本按时发放。</w:t>
            </w:r>
          </w:p>
        </w:tc>
      </w:tr>
      <w:tr w14:paraId="0AEA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039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90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CA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7E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1B1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3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84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D9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3D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4654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0538A">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0D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42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D1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0CB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20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F1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F6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4B0C6">
            <w:pPr>
              <w:rPr>
                <w:rFonts w:hint="eastAsia" w:ascii="宋体" w:hAnsi="宋体" w:eastAsia="宋体" w:cs="宋体"/>
                <w:i/>
                <w:color w:val="000000"/>
                <w:sz w:val="20"/>
                <w:szCs w:val="20"/>
                <w:u w:val="none"/>
              </w:rPr>
            </w:pPr>
          </w:p>
        </w:tc>
      </w:tr>
      <w:tr w14:paraId="4C0F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E5CD">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25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CF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51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155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77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9E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E9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28FF">
            <w:pPr>
              <w:rPr>
                <w:rFonts w:hint="eastAsia" w:ascii="宋体" w:hAnsi="宋体" w:eastAsia="宋体" w:cs="宋体"/>
                <w:i/>
                <w:color w:val="000000"/>
                <w:sz w:val="20"/>
                <w:szCs w:val="20"/>
                <w:u w:val="none"/>
              </w:rPr>
            </w:pPr>
          </w:p>
        </w:tc>
      </w:tr>
      <w:tr w14:paraId="30B3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3DED">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83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47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D0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29B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BA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78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F8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B450">
            <w:pPr>
              <w:rPr>
                <w:rFonts w:hint="eastAsia" w:ascii="宋体" w:hAnsi="宋体" w:eastAsia="宋体" w:cs="宋体"/>
                <w:i/>
                <w:color w:val="000000"/>
                <w:sz w:val="20"/>
                <w:szCs w:val="20"/>
                <w:u w:val="none"/>
              </w:rPr>
            </w:pPr>
          </w:p>
        </w:tc>
      </w:tr>
      <w:tr w14:paraId="5776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29C14">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97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3B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55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A5B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2F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2D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AF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8753B">
            <w:pPr>
              <w:rPr>
                <w:rFonts w:hint="eastAsia" w:ascii="宋体" w:hAnsi="宋体" w:eastAsia="宋体" w:cs="宋体"/>
                <w:i/>
                <w:color w:val="000000"/>
                <w:sz w:val="20"/>
                <w:szCs w:val="20"/>
                <w:u w:val="none"/>
              </w:rPr>
            </w:pPr>
          </w:p>
        </w:tc>
      </w:tr>
      <w:tr w14:paraId="17EB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6D10">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72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6F54">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8FA9">
            <w:pPr>
              <w:jc w:val="center"/>
              <w:rPr>
                <w:rFonts w:hint="eastAsia" w:ascii="宋体" w:hAnsi="宋体" w:eastAsia="宋体" w:cs="宋体"/>
                <w:i w:val="0"/>
                <w:color w:val="000000"/>
                <w:sz w:val="20"/>
                <w:szCs w:val="20"/>
                <w:u w:val="none"/>
              </w:rPr>
            </w:pP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1D5EE">
            <w:pPr>
              <w:jc w:val="center"/>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CEF7">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5C03">
            <w:pPr>
              <w:jc w:val="center"/>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70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C137">
            <w:pPr>
              <w:rPr>
                <w:rFonts w:hint="eastAsia" w:ascii="宋体" w:hAnsi="宋体" w:eastAsia="宋体" w:cs="宋体"/>
                <w:i/>
                <w:color w:val="000000"/>
                <w:sz w:val="20"/>
                <w:szCs w:val="20"/>
                <w:u w:val="none"/>
              </w:rPr>
            </w:pPr>
          </w:p>
        </w:tc>
      </w:tr>
      <w:tr w14:paraId="32BD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left w:val="single" w:color="000000" w:sz="4" w:space="0"/>
              <w:bottom w:val="single" w:color="000000" w:sz="4" w:space="0"/>
              <w:right w:val="single" w:color="000000" w:sz="4" w:space="0"/>
            </w:tcBorders>
            <w:shd w:val="clear" w:color="auto" w:fill="auto"/>
            <w:vAlign w:val="center"/>
          </w:tcPr>
          <w:p w14:paraId="462FA2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3" w:type="dxa"/>
            <w:tcBorders>
              <w:left w:val="single" w:color="000000" w:sz="4" w:space="0"/>
              <w:bottom w:val="single" w:color="000000" w:sz="4" w:space="0"/>
              <w:right w:val="single" w:color="000000" w:sz="4" w:space="0"/>
            </w:tcBorders>
            <w:shd w:val="clear" w:color="auto" w:fill="auto"/>
            <w:vAlign w:val="center"/>
          </w:tcPr>
          <w:p w14:paraId="04DE38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0" w:type="dxa"/>
            <w:tcBorders>
              <w:left w:val="single" w:color="000000" w:sz="4" w:space="0"/>
              <w:bottom w:val="single" w:color="000000" w:sz="4" w:space="0"/>
              <w:right w:val="single" w:color="000000" w:sz="4" w:space="0"/>
            </w:tcBorders>
            <w:shd w:val="clear" w:color="auto" w:fill="auto"/>
            <w:vAlign w:val="center"/>
          </w:tcPr>
          <w:p w14:paraId="483301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5" w:type="dxa"/>
            <w:tcBorders>
              <w:left w:val="single" w:color="000000" w:sz="4" w:space="0"/>
              <w:bottom w:val="single" w:color="000000" w:sz="4" w:space="0"/>
              <w:right w:val="single" w:color="000000" w:sz="4" w:space="0"/>
            </w:tcBorders>
            <w:shd w:val="clear" w:color="auto" w:fill="auto"/>
            <w:vAlign w:val="center"/>
          </w:tcPr>
          <w:p w14:paraId="15A19E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8" w:type="dxa"/>
            <w:tcBorders>
              <w:left w:val="single" w:color="000000" w:sz="4" w:space="0"/>
              <w:bottom w:val="single" w:color="000000" w:sz="4" w:space="0"/>
              <w:right w:val="single" w:color="000000" w:sz="4" w:space="0"/>
            </w:tcBorders>
            <w:shd w:val="clear" w:color="auto" w:fill="auto"/>
            <w:vAlign w:val="center"/>
          </w:tcPr>
          <w:p w14:paraId="457259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7" w:type="dxa"/>
            <w:tcBorders>
              <w:left w:val="single" w:color="000000" w:sz="4" w:space="0"/>
              <w:bottom w:val="single" w:color="000000" w:sz="4" w:space="0"/>
              <w:right w:val="single" w:color="000000" w:sz="4" w:space="0"/>
            </w:tcBorders>
            <w:shd w:val="clear" w:color="auto" w:fill="auto"/>
            <w:vAlign w:val="center"/>
          </w:tcPr>
          <w:p w14:paraId="319324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3" w:type="dxa"/>
            <w:tcBorders>
              <w:left w:val="single" w:color="000000" w:sz="4" w:space="0"/>
              <w:bottom w:val="single" w:color="000000" w:sz="4" w:space="0"/>
              <w:right w:val="single" w:color="000000" w:sz="4" w:space="0"/>
            </w:tcBorders>
            <w:shd w:val="clear" w:color="auto" w:fill="auto"/>
            <w:vAlign w:val="center"/>
          </w:tcPr>
          <w:p w14:paraId="174BD6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1" w:type="dxa"/>
            <w:tcBorders>
              <w:left w:val="single" w:color="000000" w:sz="4" w:space="0"/>
              <w:bottom w:val="single" w:color="000000" w:sz="4" w:space="0"/>
              <w:right w:val="single" w:color="000000" w:sz="4" w:space="0"/>
            </w:tcBorders>
            <w:shd w:val="clear" w:color="auto" w:fill="auto"/>
            <w:vAlign w:val="center"/>
          </w:tcPr>
          <w:p w14:paraId="6AD93D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3" w:type="dxa"/>
            <w:tcBorders>
              <w:left w:val="single" w:color="000000" w:sz="4" w:space="0"/>
              <w:bottom w:val="single" w:color="000000" w:sz="4" w:space="0"/>
              <w:right w:val="single" w:color="000000" w:sz="4" w:space="0"/>
            </w:tcBorders>
            <w:shd w:val="clear" w:color="auto" w:fill="auto"/>
            <w:vAlign w:val="center"/>
          </w:tcPr>
          <w:p w14:paraId="0E3158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left w:val="single" w:color="000000" w:sz="4" w:space="0"/>
              <w:bottom w:val="single" w:color="000000" w:sz="4" w:space="0"/>
              <w:right w:val="single" w:color="000000" w:sz="4" w:space="0"/>
            </w:tcBorders>
            <w:shd w:val="clear" w:color="auto" w:fill="auto"/>
            <w:vAlign w:val="center"/>
          </w:tcPr>
          <w:p w14:paraId="68B5A1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left w:val="single" w:color="000000" w:sz="4" w:space="0"/>
              <w:bottom w:val="single" w:color="000000" w:sz="4" w:space="0"/>
              <w:right w:val="single" w:color="000000" w:sz="4" w:space="0"/>
            </w:tcBorders>
            <w:shd w:val="clear" w:color="auto" w:fill="auto"/>
            <w:vAlign w:val="center"/>
          </w:tcPr>
          <w:p w14:paraId="48410B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3F43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2D81019F">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16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D9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BC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7B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5D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03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A9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C8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0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DD49">
            <w:pPr>
              <w:jc w:val="center"/>
              <w:rPr>
                <w:rFonts w:hint="eastAsia" w:ascii="宋体" w:hAnsi="宋体" w:eastAsia="宋体" w:cs="宋体"/>
                <w:i/>
                <w:color w:val="000000"/>
                <w:sz w:val="20"/>
                <w:szCs w:val="20"/>
                <w:u w:val="none"/>
              </w:rPr>
            </w:pPr>
          </w:p>
        </w:tc>
      </w:tr>
      <w:tr w14:paraId="3F18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2B9E59E7">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08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F9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C7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24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A6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E1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5D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6C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8A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E4CD">
            <w:pPr>
              <w:jc w:val="center"/>
              <w:rPr>
                <w:rFonts w:hint="eastAsia" w:ascii="宋体" w:hAnsi="宋体" w:eastAsia="宋体" w:cs="宋体"/>
                <w:i/>
                <w:color w:val="000000"/>
                <w:sz w:val="20"/>
                <w:szCs w:val="20"/>
                <w:u w:val="none"/>
              </w:rPr>
            </w:pPr>
          </w:p>
        </w:tc>
      </w:tr>
      <w:tr w14:paraId="52B4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1167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56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A4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F879">
            <w:pPr>
              <w:rPr>
                <w:rFonts w:hint="eastAsia" w:ascii="宋体" w:hAnsi="宋体" w:eastAsia="宋体" w:cs="宋体"/>
                <w:i w:val="0"/>
                <w:color w:val="000000"/>
                <w:sz w:val="20"/>
                <w:szCs w:val="20"/>
                <w:u w:val="none"/>
              </w:rPr>
            </w:pPr>
          </w:p>
        </w:tc>
      </w:tr>
      <w:tr w14:paraId="56CE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99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E76C7D">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绩效目标实现指标自评得分100.00分，自评等次为：优，严格执行相关政策，按要求支付，保障资金及时、足额支付到位。保障学校正常运行。</w:t>
            </w:r>
          </w:p>
        </w:tc>
      </w:tr>
      <w:tr w14:paraId="4F62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0E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6B875F">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7BDA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B9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0A3CB8">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61F1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F31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项目负责人：刘剑军</w:t>
            </w:r>
          </w:p>
        </w:tc>
        <w:tc>
          <w:tcPr>
            <w:tcW w:w="6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EBD4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财务负责人：贺欣</w:t>
            </w:r>
          </w:p>
        </w:tc>
      </w:tr>
      <w:tr w14:paraId="1C8C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34" w:type="dxa"/>
            <w:shd w:val="clear" w:color="auto" w:fill="auto"/>
            <w:vAlign w:val="center"/>
          </w:tcPr>
          <w:p w14:paraId="1E11EDDD">
            <w:pPr>
              <w:rPr>
                <w:rFonts w:hint="eastAsia" w:ascii="宋体" w:hAnsi="宋体" w:eastAsia="宋体" w:cs="宋体"/>
                <w:i w:val="0"/>
                <w:color w:val="000000"/>
                <w:sz w:val="22"/>
                <w:szCs w:val="22"/>
                <w:u w:val="none"/>
              </w:rPr>
            </w:pPr>
          </w:p>
        </w:tc>
        <w:tc>
          <w:tcPr>
            <w:tcW w:w="1123" w:type="dxa"/>
            <w:shd w:val="clear" w:color="auto" w:fill="auto"/>
            <w:vAlign w:val="center"/>
          </w:tcPr>
          <w:p w14:paraId="4EAE095E">
            <w:pPr>
              <w:rPr>
                <w:rFonts w:hint="eastAsia" w:ascii="宋体" w:hAnsi="宋体" w:eastAsia="宋体" w:cs="宋体"/>
                <w:i w:val="0"/>
                <w:color w:val="000000"/>
                <w:sz w:val="22"/>
                <w:szCs w:val="22"/>
                <w:u w:val="none"/>
              </w:rPr>
            </w:pPr>
          </w:p>
        </w:tc>
        <w:tc>
          <w:tcPr>
            <w:tcW w:w="1090" w:type="dxa"/>
            <w:shd w:val="clear" w:color="auto" w:fill="auto"/>
            <w:vAlign w:val="center"/>
          </w:tcPr>
          <w:p w14:paraId="44357E69">
            <w:pPr>
              <w:rPr>
                <w:rFonts w:hint="eastAsia" w:ascii="宋体" w:hAnsi="宋体" w:eastAsia="宋体" w:cs="宋体"/>
                <w:i w:val="0"/>
                <w:color w:val="000000"/>
                <w:sz w:val="22"/>
                <w:szCs w:val="22"/>
                <w:u w:val="none"/>
              </w:rPr>
            </w:pPr>
          </w:p>
        </w:tc>
        <w:tc>
          <w:tcPr>
            <w:tcW w:w="1035" w:type="dxa"/>
            <w:shd w:val="clear" w:color="auto" w:fill="auto"/>
            <w:vAlign w:val="center"/>
          </w:tcPr>
          <w:p w14:paraId="774113F1">
            <w:pPr>
              <w:rPr>
                <w:rFonts w:hint="eastAsia" w:ascii="宋体" w:hAnsi="宋体" w:eastAsia="宋体" w:cs="宋体"/>
                <w:i w:val="0"/>
                <w:color w:val="000000"/>
                <w:sz w:val="22"/>
                <w:szCs w:val="22"/>
                <w:u w:val="none"/>
              </w:rPr>
            </w:pPr>
          </w:p>
        </w:tc>
        <w:tc>
          <w:tcPr>
            <w:tcW w:w="818" w:type="dxa"/>
            <w:shd w:val="clear" w:color="auto" w:fill="auto"/>
            <w:vAlign w:val="center"/>
          </w:tcPr>
          <w:p w14:paraId="6630BADB">
            <w:pPr>
              <w:rPr>
                <w:rFonts w:hint="eastAsia" w:ascii="宋体" w:hAnsi="宋体" w:eastAsia="宋体" w:cs="宋体"/>
                <w:i w:val="0"/>
                <w:color w:val="000000"/>
                <w:sz w:val="22"/>
                <w:szCs w:val="22"/>
                <w:u w:val="none"/>
              </w:rPr>
            </w:pPr>
          </w:p>
        </w:tc>
        <w:tc>
          <w:tcPr>
            <w:tcW w:w="1027" w:type="dxa"/>
            <w:shd w:val="clear" w:color="auto" w:fill="auto"/>
            <w:vAlign w:val="center"/>
          </w:tcPr>
          <w:p w14:paraId="2CC2812E">
            <w:pPr>
              <w:rPr>
                <w:rFonts w:hint="eastAsia" w:ascii="宋体" w:hAnsi="宋体" w:eastAsia="宋体" w:cs="宋体"/>
                <w:i w:val="0"/>
                <w:color w:val="000000"/>
                <w:sz w:val="22"/>
                <w:szCs w:val="22"/>
                <w:u w:val="none"/>
              </w:rPr>
            </w:pPr>
          </w:p>
        </w:tc>
        <w:tc>
          <w:tcPr>
            <w:tcW w:w="983" w:type="dxa"/>
            <w:shd w:val="clear" w:color="auto" w:fill="auto"/>
            <w:vAlign w:val="center"/>
          </w:tcPr>
          <w:p w14:paraId="1AD298FD">
            <w:pPr>
              <w:rPr>
                <w:rFonts w:hint="eastAsia" w:ascii="宋体" w:hAnsi="宋体" w:eastAsia="宋体" w:cs="宋体"/>
                <w:i w:val="0"/>
                <w:color w:val="000000"/>
                <w:sz w:val="22"/>
                <w:szCs w:val="22"/>
                <w:u w:val="none"/>
              </w:rPr>
            </w:pPr>
          </w:p>
        </w:tc>
        <w:tc>
          <w:tcPr>
            <w:tcW w:w="1051" w:type="dxa"/>
            <w:shd w:val="clear" w:color="auto" w:fill="auto"/>
            <w:vAlign w:val="center"/>
          </w:tcPr>
          <w:p w14:paraId="2AA6C506">
            <w:pPr>
              <w:rPr>
                <w:rFonts w:hint="eastAsia" w:ascii="宋体" w:hAnsi="宋体" w:eastAsia="宋体" w:cs="宋体"/>
                <w:i w:val="0"/>
                <w:color w:val="000000"/>
                <w:sz w:val="22"/>
                <w:szCs w:val="22"/>
                <w:u w:val="none"/>
              </w:rPr>
            </w:pPr>
          </w:p>
        </w:tc>
        <w:tc>
          <w:tcPr>
            <w:tcW w:w="1043" w:type="dxa"/>
            <w:shd w:val="clear" w:color="auto" w:fill="auto"/>
            <w:vAlign w:val="center"/>
          </w:tcPr>
          <w:p w14:paraId="680877B8">
            <w:pPr>
              <w:rPr>
                <w:rFonts w:hint="eastAsia" w:ascii="宋体" w:hAnsi="宋体" w:eastAsia="宋体" w:cs="宋体"/>
                <w:i w:val="0"/>
                <w:color w:val="000000"/>
                <w:sz w:val="22"/>
                <w:szCs w:val="22"/>
                <w:u w:val="none"/>
              </w:rPr>
            </w:pPr>
          </w:p>
        </w:tc>
        <w:tc>
          <w:tcPr>
            <w:tcW w:w="1019" w:type="dxa"/>
            <w:shd w:val="clear" w:color="auto" w:fill="auto"/>
            <w:vAlign w:val="center"/>
          </w:tcPr>
          <w:p w14:paraId="3EC25C92">
            <w:pPr>
              <w:rPr>
                <w:rFonts w:hint="eastAsia" w:ascii="宋体" w:hAnsi="宋体" w:eastAsia="宋体" w:cs="宋体"/>
                <w:i w:val="0"/>
                <w:color w:val="000000"/>
                <w:sz w:val="22"/>
                <w:szCs w:val="22"/>
                <w:u w:val="none"/>
              </w:rPr>
            </w:pPr>
          </w:p>
        </w:tc>
        <w:tc>
          <w:tcPr>
            <w:tcW w:w="1146" w:type="dxa"/>
            <w:shd w:val="clear" w:color="auto" w:fill="auto"/>
            <w:vAlign w:val="center"/>
          </w:tcPr>
          <w:p w14:paraId="57D5AA5C">
            <w:pPr>
              <w:rPr>
                <w:rFonts w:hint="eastAsia" w:ascii="宋体" w:hAnsi="宋体" w:eastAsia="宋体" w:cs="宋体"/>
                <w:i w:val="0"/>
                <w:color w:val="000000"/>
                <w:sz w:val="22"/>
                <w:szCs w:val="22"/>
                <w:u w:val="none"/>
              </w:rPr>
            </w:pPr>
          </w:p>
        </w:tc>
      </w:tr>
      <w:tr w14:paraId="159C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14:paraId="42FE5A8F">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40D1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E5E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C8A7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51090423T000009639720-义务教育薄弱环节改善与能力提升建设项目资金</w:t>
            </w:r>
          </w:p>
        </w:tc>
      </w:tr>
      <w:tr w14:paraId="5BA1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A7E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42C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遂宁市安居区东禅镇中心小学校部门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7F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6EB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w:t>
            </w:r>
          </w:p>
        </w:tc>
      </w:tr>
      <w:tr w14:paraId="2F8A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479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842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285B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860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3367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212F">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6320">
            <w:pPr>
              <w:jc w:val="center"/>
              <w:rPr>
                <w:rFonts w:hint="eastAsia" w:ascii="宋体" w:hAnsi="宋体" w:eastAsia="宋体" w:cs="宋体"/>
                <w:i w:val="0"/>
                <w:color w:val="000000"/>
                <w:sz w:val="20"/>
                <w:szCs w:val="20"/>
                <w:u w:val="none"/>
              </w:rPr>
            </w:pP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9C4F8">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及时申请支付资金，促进学校健康发展。</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17B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r>
      <w:tr w14:paraId="670A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4C7F7">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14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F06F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及时申报经费，预算编制科学合理，减少结余资金,促进学校健康发展。</w:t>
            </w:r>
          </w:p>
        </w:tc>
      </w:tr>
      <w:tr w14:paraId="3113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862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47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72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E6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850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4C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12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37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01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5851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22E3">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D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0B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72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835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64.26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B3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98.87%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B4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9B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EA234">
            <w:pPr>
              <w:rPr>
                <w:rFonts w:hint="eastAsia" w:ascii="宋体" w:hAnsi="宋体" w:eastAsia="宋体" w:cs="宋体"/>
                <w:i/>
                <w:color w:val="000000"/>
                <w:sz w:val="20"/>
                <w:szCs w:val="20"/>
                <w:u w:val="none"/>
              </w:rPr>
            </w:pPr>
          </w:p>
        </w:tc>
      </w:tr>
      <w:tr w14:paraId="5069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420B">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F0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CE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70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BAA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64.26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1C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98.87%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EF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73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31BB">
            <w:pPr>
              <w:rPr>
                <w:rFonts w:hint="eastAsia" w:ascii="宋体" w:hAnsi="宋体" w:eastAsia="宋体" w:cs="宋体"/>
                <w:i/>
                <w:color w:val="000000"/>
                <w:sz w:val="20"/>
                <w:szCs w:val="20"/>
                <w:u w:val="none"/>
              </w:rPr>
            </w:pPr>
          </w:p>
        </w:tc>
      </w:tr>
      <w:tr w14:paraId="0078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A226A">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42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59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3E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06D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E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18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D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732A5">
            <w:pPr>
              <w:rPr>
                <w:rFonts w:hint="eastAsia" w:ascii="宋体" w:hAnsi="宋体" w:eastAsia="宋体" w:cs="宋体"/>
                <w:i/>
                <w:color w:val="000000"/>
                <w:sz w:val="20"/>
                <w:szCs w:val="20"/>
                <w:u w:val="none"/>
              </w:rPr>
            </w:pPr>
          </w:p>
        </w:tc>
      </w:tr>
      <w:tr w14:paraId="3887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2A82E">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38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4C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C5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550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0F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0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15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7CF2">
            <w:pPr>
              <w:rPr>
                <w:rFonts w:hint="eastAsia" w:ascii="宋体" w:hAnsi="宋体" w:eastAsia="宋体" w:cs="宋体"/>
                <w:i/>
                <w:color w:val="000000"/>
                <w:sz w:val="20"/>
                <w:szCs w:val="20"/>
                <w:u w:val="none"/>
              </w:rPr>
            </w:pPr>
          </w:p>
        </w:tc>
      </w:tr>
      <w:tr w14:paraId="145C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7C3C">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12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0B1B">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00FD">
            <w:pPr>
              <w:jc w:val="center"/>
              <w:rPr>
                <w:rFonts w:hint="eastAsia" w:ascii="宋体" w:hAnsi="宋体" w:eastAsia="宋体" w:cs="宋体"/>
                <w:i w:val="0"/>
                <w:color w:val="000000"/>
                <w:sz w:val="20"/>
                <w:szCs w:val="20"/>
                <w:u w:val="none"/>
              </w:rPr>
            </w:pP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20AB7">
            <w:pPr>
              <w:jc w:val="center"/>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857">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3F07">
            <w:pPr>
              <w:jc w:val="center"/>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15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D3627">
            <w:pPr>
              <w:rPr>
                <w:rFonts w:hint="eastAsia" w:ascii="宋体" w:hAnsi="宋体" w:eastAsia="宋体" w:cs="宋体"/>
                <w:i/>
                <w:color w:val="000000"/>
                <w:sz w:val="20"/>
                <w:szCs w:val="20"/>
                <w:u w:val="none"/>
              </w:rPr>
            </w:pPr>
          </w:p>
        </w:tc>
      </w:tr>
      <w:tr w14:paraId="5B55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left w:val="single" w:color="000000" w:sz="4" w:space="0"/>
              <w:bottom w:val="single" w:color="000000" w:sz="4" w:space="0"/>
              <w:right w:val="single" w:color="000000" w:sz="4" w:space="0"/>
            </w:tcBorders>
            <w:shd w:val="clear" w:color="auto" w:fill="auto"/>
            <w:vAlign w:val="center"/>
          </w:tcPr>
          <w:p w14:paraId="5677D4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3" w:type="dxa"/>
            <w:tcBorders>
              <w:left w:val="single" w:color="000000" w:sz="4" w:space="0"/>
              <w:bottom w:val="single" w:color="000000" w:sz="4" w:space="0"/>
              <w:right w:val="single" w:color="000000" w:sz="4" w:space="0"/>
            </w:tcBorders>
            <w:shd w:val="clear" w:color="auto" w:fill="auto"/>
            <w:vAlign w:val="center"/>
          </w:tcPr>
          <w:p w14:paraId="4F897D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0" w:type="dxa"/>
            <w:tcBorders>
              <w:left w:val="single" w:color="000000" w:sz="4" w:space="0"/>
              <w:bottom w:val="single" w:color="000000" w:sz="4" w:space="0"/>
              <w:right w:val="single" w:color="000000" w:sz="4" w:space="0"/>
            </w:tcBorders>
            <w:shd w:val="clear" w:color="auto" w:fill="auto"/>
            <w:vAlign w:val="center"/>
          </w:tcPr>
          <w:p w14:paraId="2B32A5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5" w:type="dxa"/>
            <w:tcBorders>
              <w:left w:val="single" w:color="000000" w:sz="4" w:space="0"/>
              <w:bottom w:val="single" w:color="000000" w:sz="4" w:space="0"/>
              <w:right w:val="single" w:color="000000" w:sz="4" w:space="0"/>
            </w:tcBorders>
            <w:shd w:val="clear" w:color="auto" w:fill="auto"/>
            <w:vAlign w:val="center"/>
          </w:tcPr>
          <w:p w14:paraId="52FF1E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8" w:type="dxa"/>
            <w:tcBorders>
              <w:left w:val="single" w:color="000000" w:sz="4" w:space="0"/>
              <w:bottom w:val="single" w:color="000000" w:sz="4" w:space="0"/>
              <w:right w:val="single" w:color="000000" w:sz="4" w:space="0"/>
            </w:tcBorders>
            <w:shd w:val="clear" w:color="auto" w:fill="auto"/>
            <w:vAlign w:val="center"/>
          </w:tcPr>
          <w:p w14:paraId="1E0210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7" w:type="dxa"/>
            <w:tcBorders>
              <w:left w:val="single" w:color="000000" w:sz="4" w:space="0"/>
              <w:bottom w:val="single" w:color="000000" w:sz="4" w:space="0"/>
              <w:right w:val="single" w:color="000000" w:sz="4" w:space="0"/>
            </w:tcBorders>
            <w:shd w:val="clear" w:color="auto" w:fill="auto"/>
            <w:vAlign w:val="center"/>
          </w:tcPr>
          <w:p w14:paraId="7BA7CE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3" w:type="dxa"/>
            <w:tcBorders>
              <w:left w:val="single" w:color="000000" w:sz="4" w:space="0"/>
              <w:bottom w:val="single" w:color="000000" w:sz="4" w:space="0"/>
              <w:right w:val="single" w:color="000000" w:sz="4" w:space="0"/>
            </w:tcBorders>
            <w:shd w:val="clear" w:color="auto" w:fill="auto"/>
            <w:vAlign w:val="center"/>
          </w:tcPr>
          <w:p w14:paraId="375A50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1" w:type="dxa"/>
            <w:tcBorders>
              <w:left w:val="single" w:color="000000" w:sz="4" w:space="0"/>
              <w:bottom w:val="single" w:color="000000" w:sz="4" w:space="0"/>
              <w:right w:val="single" w:color="000000" w:sz="4" w:space="0"/>
            </w:tcBorders>
            <w:shd w:val="clear" w:color="auto" w:fill="auto"/>
            <w:vAlign w:val="center"/>
          </w:tcPr>
          <w:p w14:paraId="3939A6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3" w:type="dxa"/>
            <w:tcBorders>
              <w:left w:val="single" w:color="000000" w:sz="4" w:space="0"/>
              <w:bottom w:val="single" w:color="000000" w:sz="4" w:space="0"/>
              <w:right w:val="single" w:color="000000" w:sz="4" w:space="0"/>
            </w:tcBorders>
            <w:shd w:val="clear" w:color="auto" w:fill="auto"/>
            <w:vAlign w:val="center"/>
          </w:tcPr>
          <w:p w14:paraId="3357A7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left w:val="single" w:color="000000" w:sz="4" w:space="0"/>
              <w:bottom w:val="single" w:color="000000" w:sz="4" w:space="0"/>
              <w:right w:val="single" w:color="000000" w:sz="4" w:space="0"/>
            </w:tcBorders>
            <w:shd w:val="clear" w:color="auto" w:fill="auto"/>
            <w:vAlign w:val="center"/>
          </w:tcPr>
          <w:p w14:paraId="710D43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left w:val="single" w:color="000000" w:sz="4" w:space="0"/>
              <w:bottom w:val="single" w:color="000000" w:sz="4" w:space="0"/>
              <w:right w:val="single" w:color="000000" w:sz="4" w:space="0"/>
            </w:tcBorders>
            <w:shd w:val="clear" w:color="auto" w:fill="auto"/>
            <w:vAlign w:val="center"/>
          </w:tcPr>
          <w:p w14:paraId="4C42C8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0DD5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12E06B69">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7C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45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93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4A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50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0A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CB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9C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E8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577B">
            <w:pPr>
              <w:jc w:val="center"/>
              <w:rPr>
                <w:rFonts w:hint="eastAsia" w:ascii="宋体" w:hAnsi="宋体" w:eastAsia="宋体" w:cs="宋体"/>
                <w:i/>
                <w:color w:val="000000"/>
                <w:sz w:val="20"/>
                <w:szCs w:val="20"/>
                <w:u w:val="none"/>
              </w:rPr>
            </w:pPr>
          </w:p>
        </w:tc>
      </w:tr>
      <w:tr w14:paraId="06D7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3C540C0B">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F4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65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A3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30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2B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A1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1D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84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F0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BD6D">
            <w:pPr>
              <w:jc w:val="center"/>
              <w:rPr>
                <w:rFonts w:hint="eastAsia" w:ascii="宋体" w:hAnsi="宋体" w:eastAsia="宋体" w:cs="宋体"/>
                <w:i/>
                <w:color w:val="000000"/>
                <w:sz w:val="20"/>
                <w:szCs w:val="20"/>
                <w:u w:val="none"/>
              </w:rPr>
            </w:pPr>
          </w:p>
        </w:tc>
      </w:tr>
      <w:tr w14:paraId="267C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54FE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F8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91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17D5">
            <w:pPr>
              <w:rPr>
                <w:rFonts w:hint="eastAsia" w:ascii="宋体" w:hAnsi="宋体" w:eastAsia="宋体" w:cs="宋体"/>
                <w:i w:val="0"/>
                <w:color w:val="000000"/>
                <w:sz w:val="20"/>
                <w:szCs w:val="20"/>
                <w:u w:val="none"/>
              </w:rPr>
            </w:pPr>
          </w:p>
        </w:tc>
      </w:tr>
      <w:tr w14:paraId="110A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27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67C53E">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14:paraId="3C6F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8C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41FF00">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18D6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C9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1522CB">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4AC0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211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项目负责人：刘剑军</w:t>
            </w:r>
          </w:p>
        </w:tc>
        <w:tc>
          <w:tcPr>
            <w:tcW w:w="6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7AB5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财务负责人：贺欣</w:t>
            </w:r>
          </w:p>
        </w:tc>
      </w:tr>
      <w:tr w14:paraId="03C2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34" w:type="dxa"/>
            <w:shd w:val="clear" w:color="auto" w:fill="auto"/>
            <w:vAlign w:val="center"/>
          </w:tcPr>
          <w:p w14:paraId="5D99E156">
            <w:pPr>
              <w:rPr>
                <w:rFonts w:hint="eastAsia" w:ascii="宋体" w:hAnsi="宋体" w:eastAsia="宋体" w:cs="宋体"/>
                <w:i w:val="0"/>
                <w:color w:val="000000"/>
                <w:sz w:val="22"/>
                <w:szCs w:val="22"/>
                <w:u w:val="none"/>
              </w:rPr>
            </w:pPr>
          </w:p>
        </w:tc>
        <w:tc>
          <w:tcPr>
            <w:tcW w:w="1123" w:type="dxa"/>
            <w:shd w:val="clear" w:color="auto" w:fill="auto"/>
            <w:vAlign w:val="center"/>
          </w:tcPr>
          <w:p w14:paraId="3593C300">
            <w:pPr>
              <w:rPr>
                <w:rFonts w:hint="eastAsia" w:ascii="宋体" w:hAnsi="宋体" w:eastAsia="宋体" w:cs="宋体"/>
                <w:i w:val="0"/>
                <w:color w:val="000000"/>
                <w:sz w:val="22"/>
                <w:szCs w:val="22"/>
                <w:u w:val="none"/>
              </w:rPr>
            </w:pPr>
          </w:p>
        </w:tc>
        <w:tc>
          <w:tcPr>
            <w:tcW w:w="1090" w:type="dxa"/>
            <w:shd w:val="clear" w:color="auto" w:fill="auto"/>
            <w:vAlign w:val="center"/>
          </w:tcPr>
          <w:p w14:paraId="3BF8D9FF">
            <w:pPr>
              <w:rPr>
                <w:rFonts w:hint="eastAsia" w:ascii="宋体" w:hAnsi="宋体" w:eastAsia="宋体" w:cs="宋体"/>
                <w:i w:val="0"/>
                <w:color w:val="000000"/>
                <w:sz w:val="22"/>
                <w:szCs w:val="22"/>
                <w:u w:val="none"/>
              </w:rPr>
            </w:pPr>
          </w:p>
        </w:tc>
        <w:tc>
          <w:tcPr>
            <w:tcW w:w="1035" w:type="dxa"/>
            <w:shd w:val="clear" w:color="auto" w:fill="auto"/>
            <w:vAlign w:val="center"/>
          </w:tcPr>
          <w:p w14:paraId="672DDE4C">
            <w:pPr>
              <w:rPr>
                <w:rFonts w:hint="eastAsia" w:ascii="宋体" w:hAnsi="宋体" w:eastAsia="宋体" w:cs="宋体"/>
                <w:i w:val="0"/>
                <w:color w:val="000000"/>
                <w:sz w:val="22"/>
                <w:szCs w:val="22"/>
                <w:u w:val="none"/>
              </w:rPr>
            </w:pPr>
          </w:p>
        </w:tc>
        <w:tc>
          <w:tcPr>
            <w:tcW w:w="818" w:type="dxa"/>
            <w:shd w:val="clear" w:color="auto" w:fill="auto"/>
            <w:vAlign w:val="center"/>
          </w:tcPr>
          <w:p w14:paraId="198B90D7">
            <w:pPr>
              <w:rPr>
                <w:rFonts w:hint="eastAsia" w:ascii="宋体" w:hAnsi="宋体" w:eastAsia="宋体" w:cs="宋体"/>
                <w:i w:val="0"/>
                <w:color w:val="000000"/>
                <w:sz w:val="22"/>
                <w:szCs w:val="22"/>
                <w:u w:val="none"/>
              </w:rPr>
            </w:pPr>
          </w:p>
        </w:tc>
        <w:tc>
          <w:tcPr>
            <w:tcW w:w="1027" w:type="dxa"/>
            <w:shd w:val="clear" w:color="auto" w:fill="auto"/>
            <w:vAlign w:val="center"/>
          </w:tcPr>
          <w:p w14:paraId="1C3793BB">
            <w:pPr>
              <w:rPr>
                <w:rFonts w:hint="eastAsia" w:ascii="宋体" w:hAnsi="宋体" w:eastAsia="宋体" w:cs="宋体"/>
                <w:i w:val="0"/>
                <w:color w:val="000000"/>
                <w:sz w:val="22"/>
                <w:szCs w:val="22"/>
                <w:u w:val="none"/>
              </w:rPr>
            </w:pPr>
          </w:p>
        </w:tc>
        <w:tc>
          <w:tcPr>
            <w:tcW w:w="983" w:type="dxa"/>
            <w:shd w:val="clear" w:color="auto" w:fill="auto"/>
            <w:vAlign w:val="center"/>
          </w:tcPr>
          <w:p w14:paraId="5F76D98C">
            <w:pPr>
              <w:rPr>
                <w:rFonts w:hint="eastAsia" w:ascii="宋体" w:hAnsi="宋体" w:eastAsia="宋体" w:cs="宋体"/>
                <w:i w:val="0"/>
                <w:color w:val="000000"/>
                <w:sz w:val="22"/>
                <w:szCs w:val="22"/>
                <w:u w:val="none"/>
              </w:rPr>
            </w:pPr>
          </w:p>
        </w:tc>
        <w:tc>
          <w:tcPr>
            <w:tcW w:w="1051" w:type="dxa"/>
            <w:shd w:val="clear" w:color="auto" w:fill="auto"/>
            <w:vAlign w:val="center"/>
          </w:tcPr>
          <w:p w14:paraId="70155850">
            <w:pPr>
              <w:rPr>
                <w:rFonts w:hint="eastAsia" w:ascii="宋体" w:hAnsi="宋体" w:eastAsia="宋体" w:cs="宋体"/>
                <w:i w:val="0"/>
                <w:color w:val="000000"/>
                <w:sz w:val="22"/>
                <w:szCs w:val="22"/>
                <w:u w:val="none"/>
              </w:rPr>
            </w:pPr>
          </w:p>
        </w:tc>
        <w:tc>
          <w:tcPr>
            <w:tcW w:w="1043" w:type="dxa"/>
            <w:shd w:val="clear" w:color="auto" w:fill="auto"/>
            <w:vAlign w:val="center"/>
          </w:tcPr>
          <w:p w14:paraId="31CE57E3">
            <w:pPr>
              <w:rPr>
                <w:rFonts w:hint="eastAsia" w:ascii="宋体" w:hAnsi="宋体" w:eastAsia="宋体" w:cs="宋体"/>
                <w:i w:val="0"/>
                <w:color w:val="000000"/>
                <w:sz w:val="22"/>
                <w:szCs w:val="22"/>
                <w:u w:val="none"/>
              </w:rPr>
            </w:pPr>
          </w:p>
        </w:tc>
        <w:tc>
          <w:tcPr>
            <w:tcW w:w="1019" w:type="dxa"/>
            <w:shd w:val="clear" w:color="auto" w:fill="auto"/>
            <w:vAlign w:val="center"/>
          </w:tcPr>
          <w:p w14:paraId="50DFC31F">
            <w:pPr>
              <w:rPr>
                <w:rFonts w:hint="eastAsia" w:ascii="宋体" w:hAnsi="宋体" w:eastAsia="宋体" w:cs="宋体"/>
                <w:i w:val="0"/>
                <w:color w:val="000000"/>
                <w:sz w:val="22"/>
                <w:szCs w:val="22"/>
                <w:u w:val="none"/>
              </w:rPr>
            </w:pPr>
          </w:p>
        </w:tc>
        <w:tc>
          <w:tcPr>
            <w:tcW w:w="1146" w:type="dxa"/>
            <w:shd w:val="clear" w:color="auto" w:fill="auto"/>
            <w:vAlign w:val="center"/>
          </w:tcPr>
          <w:p w14:paraId="2C97D586">
            <w:pPr>
              <w:rPr>
                <w:rFonts w:hint="eastAsia" w:ascii="宋体" w:hAnsi="宋体" w:eastAsia="宋体" w:cs="宋体"/>
                <w:i w:val="0"/>
                <w:color w:val="000000"/>
                <w:sz w:val="22"/>
                <w:szCs w:val="22"/>
                <w:u w:val="none"/>
              </w:rPr>
            </w:pPr>
          </w:p>
        </w:tc>
      </w:tr>
      <w:tr w14:paraId="4F1C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14:paraId="6251EE2A">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46CE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7B0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D519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51090424T000010666685-城乡义务教育-综合奖补资金</w:t>
            </w:r>
          </w:p>
        </w:tc>
      </w:tr>
      <w:tr w14:paraId="3839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5C0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0CD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遂宁市安居区东禅镇中心小学校部门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F6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6BE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w:t>
            </w:r>
          </w:p>
        </w:tc>
      </w:tr>
      <w:tr w14:paraId="1F2B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CC6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5CA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BAD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4F1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5059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E2AA">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2A267">
            <w:pPr>
              <w:jc w:val="center"/>
              <w:rPr>
                <w:rFonts w:hint="eastAsia" w:ascii="宋体" w:hAnsi="宋体" w:eastAsia="宋体" w:cs="宋体"/>
                <w:i w:val="0"/>
                <w:color w:val="000000"/>
                <w:sz w:val="20"/>
                <w:szCs w:val="20"/>
                <w:u w:val="none"/>
              </w:rPr>
            </w:pP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2CC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义务教育综合奖补资金</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B3AA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严格执行预算，及时申请支付资金，促进学校健康发展。</w:t>
            </w:r>
          </w:p>
        </w:tc>
      </w:tr>
      <w:tr w14:paraId="0588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D6CB">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2C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56C8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及时申报经费，预算编制科学合理，减少结余资金,促进学校健康发展。</w:t>
            </w:r>
          </w:p>
        </w:tc>
      </w:tr>
      <w:tr w14:paraId="5788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966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19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31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65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A2F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2B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DC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C2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D3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3F6D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6145A">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81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0C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14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5B2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94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0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BA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8356">
            <w:pPr>
              <w:rPr>
                <w:rFonts w:hint="eastAsia" w:ascii="宋体" w:hAnsi="宋体" w:eastAsia="宋体" w:cs="宋体"/>
                <w:i/>
                <w:color w:val="000000"/>
                <w:sz w:val="20"/>
                <w:szCs w:val="20"/>
                <w:u w:val="none"/>
              </w:rPr>
            </w:pPr>
          </w:p>
        </w:tc>
      </w:tr>
      <w:tr w14:paraId="64B7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60D2">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55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31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F1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305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E2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6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4C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8DBB9">
            <w:pPr>
              <w:rPr>
                <w:rFonts w:hint="eastAsia" w:ascii="宋体" w:hAnsi="宋体" w:eastAsia="宋体" w:cs="宋体"/>
                <w:i/>
                <w:color w:val="000000"/>
                <w:sz w:val="20"/>
                <w:szCs w:val="20"/>
                <w:u w:val="none"/>
              </w:rPr>
            </w:pPr>
          </w:p>
        </w:tc>
      </w:tr>
      <w:tr w14:paraId="0795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7CE8">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90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84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6B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84D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A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34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4C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022E">
            <w:pPr>
              <w:rPr>
                <w:rFonts w:hint="eastAsia" w:ascii="宋体" w:hAnsi="宋体" w:eastAsia="宋体" w:cs="宋体"/>
                <w:i/>
                <w:color w:val="000000"/>
                <w:sz w:val="20"/>
                <w:szCs w:val="20"/>
                <w:u w:val="none"/>
              </w:rPr>
            </w:pPr>
          </w:p>
        </w:tc>
      </w:tr>
      <w:tr w14:paraId="0F60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565EB">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9C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D2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2E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FBD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13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66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DE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8820">
            <w:pPr>
              <w:rPr>
                <w:rFonts w:hint="eastAsia" w:ascii="宋体" w:hAnsi="宋体" w:eastAsia="宋体" w:cs="宋体"/>
                <w:i/>
                <w:color w:val="000000"/>
                <w:sz w:val="20"/>
                <w:szCs w:val="20"/>
                <w:u w:val="none"/>
              </w:rPr>
            </w:pPr>
          </w:p>
        </w:tc>
      </w:tr>
      <w:tr w14:paraId="3A00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8DB63">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64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B313">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13B4">
            <w:pPr>
              <w:jc w:val="center"/>
              <w:rPr>
                <w:rFonts w:hint="eastAsia" w:ascii="宋体" w:hAnsi="宋体" w:eastAsia="宋体" w:cs="宋体"/>
                <w:i w:val="0"/>
                <w:color w:val="000000"/>
                <w:sz w:val="20"/>
                <w:szCs w:val="20"/>
                <w:u w:val="none"/>
              </w:rPr>
            </w:pP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F71BC">
            <w:pPr>
              <w:jc w:val="center"/>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BDA8">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843C">
            <w:pPr>
              <w:jc w:val="center"/>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2C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FFF7">
            <w:pPr>
              <w:rPr>
                <w:rFonts w:hint="eastAsia" w:ascii="宋体" w:hAnsi="宋体" w:eastAsia="宋体" w:cs="宋体"/>
                <w:i/>
                <w:color w:val="000000"/>
                <w:sz w:val="20"/>
                <w:szCs w:val="20"/>
                <w:u w:val="none"/>
              </w:rPr>
            </w:pPr>
          </w:p>
        </w:tc>
      </w:tr>
      <w:tr w14:paraId="4001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left w:val="single" w:color="000000" w:sz="4" w:space="0"/>
              <w:bottom w:val="single" w:color="000000" w:sz="4" w:space="0"/>
              <w:right w:val="single" w:color="000000" w:sz="4" w:space="0"/>
            </w:tcBorders>
            <w:shd w:val="clear" w:color="auto" w:fill="auto"/>
            <w:vAlign w:val="center"/>
          </w:tcPr>
          <w:p w14:paraId="767CC0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3" w:type="dxa"/>
            <w:tcBorders>
              <w:left w:val="single" w:color="000000" w:sz="4" w:space="0"/>
              <w:bottom w:val="single" w:color="000000" w:sz="4" w:space="0"/>
              <w:right w:val="single" w:color="000000" w:sz="4" w:space="0"/>
            </w:tcBorders>
            <w:shd w:val="clear" w:color="auto" w:fill="auto"/>
            <w:vAlign w:val="center"/>
          </w:tcPr>
          <w:p w14:paraId="458FEB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0" w:type="dxa"/>
            <w:tcBorders>
              <w:left w:val="single" w:color="000000" w:sz="4" w:space="0"/>
              <w:bottom w:val="single" w:color="000000" w:sz="4" w:space="0"/>
              <w:right w:val="single" w:color="000000" w:sz="4" w:space="0"/>
            </w:tcBorders>
            <w:shd w:val="clear" w:color="auto" w:fill="auto"/>
            <w:vAlign w:val="center"/>
          </w:tcPr>
          <w:p w14:paraId="78998D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5" w:type="dxa"/>
            <w:tcBorders>
              <w:left w:val="single" w:color="000000" w:sz="4" w:space="0"/>
              <w:bottom w:val="single" w:color="000000" w:sz="4" w:space="0"/>
              <w:right w:val="single" w:color="000000" w:sz="4" w:space="0"/>
            </w:tcBorders>
            <w:shd w:val="clear" w:color="auto" w:fill="auto"/>
            <w:vAlign w:val="center"/>
          </w:tcPr>
          <w:p w14:paraId="466563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8" w:type="dxa"/>
            <w:tcBorders>
              <w:left w:val="single" w:color="000000" w:sz="4" w:space="0"/>
              <w:bottom w:val="single" w:color="000000" w:sz="4" w:space="0"/>
              <w:right w:val="single" w:color="000000" w:sz="4" w:space="0"/>
            </w:tcBorders>
            <w:shd w:val="clear" w:color="auto" w:fill="auto"/>
            <w:vAlign w:val="center"/>
          </w:tcPr>
          <w:p w14:paraId="191EBB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7" w:type="dxa"/>
            <w:tcBorders>
              <w:left w:val="single" w:color="000000" w:sz="4" w:space="0"/>
              <w:bottom w:val="single" w:color="000000" w:sz="4" w:space="0"/>
              <w:right w:val="single" w:color="000000" w:sz="4" w:space="0"/>
            </w:tcBorders>
            <w:shd w:val="clear" w:color="auto" w:fill="auto"/>
            <w:vAlign w:val="center"/>
          </w:tcPr>
          <w:p w14:paraId="356DAC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3" w:type="dxa"/>
            <w:tcBorders>
              <w:left w:val="single" w:color="000000" w:sz="4" w:space="0"/>
              <w:bottom w:val="single" w:color="000000" w:sz="4" w:space="0"/>
              <w:right w:val="single" w:color="000000" w:sz="4" w:space="0"/>
            </w:tcBorders>
            <w:shd w:val="clear" w:color="auto" w:fill="auto"/>
            <w:vAlign w:val="center"/>
          </w:tcPr>
          <w:p w14:paraId="23B0E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1" w:type="dxa"/>
            <w:tcBorders>
              <w:left w:val="single" w:color="000000" w:sz="4" w:space="0"/>
              <w:bottom w:val="single" w:color="000000" w:sz="4" w:space="0"/>
              <w:right w:val="single" w:color="000000" w:sz="4" w:space="0"/>
            </w:tcBorders>
            <w:shd w:val="clear" w:color="auto" w:fill="auto"/>
            <w:vAlign w:val="center"/>
          </w:tcPr>
          <w:p w14:paraId="1AA676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3" w:type="dxa"/>
            <w:tcBorders>
              <w:left w:val="single" w:color="000000" w:sz="4" w:space="0"/>
              <w:bottom w:val="single" w:color="000000" w:sz="4" w:space="0"/>
              <w:right w:val="single" w:color="000000" w:sz="4" w:space="0"/>
            </w:tcBorders>
            <w:shd w:val="clear" w:color="auto" w:fill="auto"/>
            <w:vAlign w:val="center"/>
          </w:tcPr>
          <w:p w14:paraId="176325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left w:val="single" w:color="000000" w:sz="4" w:space="0"/>
              <w:bottom w:val="single" w:color="000000" w:sz="4" w:space="0"/>
              <w:right w:val="single" w:color="000000" w:sz="4" w:space="0"/>
            </w:tcBorders>
            <w:shd w:val="clear" w:color="auto" w:fill="auto"/>
            <w:vAlign w:val="center"/>
          </w:tcPr>
          <w:p w14:paraId="049C73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left w:val="single" w:color="000000" w:sz="4" w:space="0"/>
              <w:bottom w:val="single" w:color="000000" w:sz="4" w:space="0"/>
              <w:right w:val="single" w:color="000000" w:sz="4" w:space="0"/>
            </w:tcBorders>
            <w:shd w:val="clear" w:color="auto" w:fill="auto"/>
            <w:vAlign w:val="center"/>
          </w:tcPr>
          <w:p w14:paraId="074E04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2DBE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60FD9E3A">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80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7A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FF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九年义务教育在校生</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8F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CD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0.06</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37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A6E5">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B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70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384F">
            <w:pPr>
              <w:jc w:val="center"/>
              <w:rPr>
                <w:rFonts w:hint="eastAsia" w:ascii="宋体" w:hAnsi="宋体" w:eastAsia="宋体" w:cs="宋体"/>
                <w:i/>
                <w:color w:val="000000"/>
                <w:sz w:val="20"/>
                <w:szCs w:val="20"/>
                <w:u w:val="none"/>
              </w:rPr>
            </w:pPr>
          </w:p>
        </w:tc>
      </w:tr>
      <w:tr w14:paraId="1E69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693F7819">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49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43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2D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受益学校数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A3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79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E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48D0">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23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r>
              <w:rPr>
                <w:rFonts w:hint="eastAsia" w:ascii="宋体" w:hAnsi="宋体" w:eastAsia="宋体" w:cs="宋体"/>
                <w:i w:val="0"/>
                <w:color w:val="000000"/>
                <w:kern w:val="0"/>
                <w:sz w:val="20"/>
                <w:szCs w:val="20"/>
                <w:u w:val="none"/>
                <w:lang w:val="en-US" w:eastAsia="zh-CN" w:bidi="ar"/>
              </w:rPr>
              <w:t>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74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r>
              <w:rPr>
                <w:rFonts w:hint="eastAsia" w:ascii="宋体" w:hAnsi="宋体" w:eastAsia="宋体" w:cs="宋体"/>
                <w:i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B6C9">
            <w:pPr>
              <w:jc w:val="center"/>
              <w:rPr>
                <w:rFonts w:hint="eastAsia" w:ascii="宋体" w:hAnsi="宋体" w:eastAsia="宋体" w:cs="宋体"/>
                <w:i/>
                <w:color w:val="000000"/>
                <w:sz w:val="20"/>
                <w:szCs w:val="20"/>
                <w:u w:val="none"/>
              </w:rPr>
            </w:pPr>
          </w:p>
        </w:tc>
      </w:tr>
      <w:tr w14:paraId="4A32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97FA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12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AE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5143">
            <w:pPr>
              <w:rPr>
                <w:rFonts w:hint="eastAsia" w:ascii="宋体" w:hAnsi="宋体" w:eastAsia="宋体" w:cs="宋体"/>
                <w:i w:val="0"/>
                <w:color w:val="000000"/>
                <w:sz w:val="20"/>
                <w:szCs w:val="20"/>
                <w:u w:val="none"/>
              </w:rPr>
            </w:pPr>
          </w:p>
        </w:tc>
      </w:tr>
      <w:tr w14:paraId="5B3A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AF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DB03C5">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14:paraId="07D2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33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322F6B">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1013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74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37134A">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234B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2B0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项目负责人：刘剑军</w:t>
            </w:r>
          </w:p>
        </w:tc>
        <w:tc>
          <w:tcPr>
            <w:tcW w:w="6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EE5E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财务负责人：贺欣</w:t>
            </w:r>
          </w:p>
        </w:tc>
      </w:tr>
      <w:tr w14:paraId="3BAB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34" w:type="dxa"/>
            <w:shd w:val="clear" w:color="auto" w:fill="auto"/>
            <w:vAlign w:val="center"/>
          </w:tcPr>
          <w:p w14:paraId="4A304C04">
            <w:pPr>
              <w:rPr>
                <w:rFonts w:hint="eastAsia" w:ascii="宋体" w:hAnsi="宋体" w:eastAsia="宋体" w:cs="宋体"/>
                <w:i w:val="0"/>
                <w:color w:val="000000"/>
                <w:sz w:val="22"/>
                <w:szCs w:val="22"/>
                <w:u w:val="none"/>
              </w:rPr>
            </w:pPr>
          </w:p>
        </w:tc>
        <w:tc>
          <w:tcPr>
            <w:tcW w:w="1123" w:type="dxa"/>
            <w:shd w:val="clear" w:color="auto" w:fill="auto"/>
            <w:vAlign w:val="center"/>
          </w:tcPr>
          <w:p w14:paraId="2DE04D27">
            <w:pPr>
              <w:rPr>
                <w:rFonts w:hint="eastAsia" w:ascii="宋体" w:hAnsi="宋体" w:eastAsia="宋体" w:cs="宋体"/>
                <w:i w:val="0"/>
                <w:color w:val="000000"/>
                <w:sz w:val="22"/>
                <w:szCs w:val="22"/>
                <w:u w:val="none"/>
              </w:rPr>
            </w:pPr>
          </w:p>
        </w:tc>
        <w:tc>
          <w:tcPr>
            <w:tcW w:w="1090" w:type="dxa"/>
            <w:shd w:val="clear" w:color="auto" w:fill="auto"/>
            <w:vAlign w:val="center"/>
          </w:tcPr>
          <w:p w14:paraId="3078DA27">
            <w:pPr>
              <w:rPr>
                <w:rFonts w:hint="eastAsia" w:ascii="宋体" w:hAnsi="宋体" w:eastAsia="宋体" w:cs="宋体"/>
                <w:i w:val="0"/>
                <w:color w:val="000000"/>
                <w:sz w:val="22"/>
                <w:szCs w:val="22"/>
                <w:u w:val="none"/>
              </w:rPr>
            </w:pPr>
          </w:p>
        </w:tc>
        <w:tc>
          <w:tcPr>
            <w:tcW w:w="1035" w:type="dxa"/>
            <w:shd w:val="clear" w:color="auto" w:fill="auto"/>
            <w:vAlign w:val="center"/>
          </w:tcPr>
          <w:p w14:paraId="15E984BE">
            <w:pPr>
              <w:rPr>
                <w:rFonts w:hint="eastAsia" w:ascii="宋体" w:hAnsi="宋体" w:eastAsia="宋体" w:cs="宋体"/>
                <w:i w:val="0"/>
                <w:color w:val="000000"/>
                <w:sz w:val="22"/>
                <w:szCs w:val="22"/>
                <w:u w:val="none"/>
              </w:rPr>
            </w:pPr>
          </w:p>
        </w:tc>
        <w:tc>
          <w:tcPr>
            <w:tcW w:w="818" w:type="dxa"/>
            <w:shd w:val="clear" w:color="auto" w:fill="auto"/>
            <w:vAlign w:val="center"/>
          </w:tcPr>
          <w:p w14:paraId="6637E8B9">
            <w:pPr>
              <w:rPr>
                <w:rFonts w:hint="eastAsia" w:ascii="宋体" w:hAnsi="宋体" w:eastAsia="宋体" w:cs="宋体"/>
                <w:i w:val="0"/>
                <w:color w:val="000000"/>
                <w:sz w:val="22"/>
                <w:szCs w:val="22"/>
                <w:u w:val="none"/>
              </w:rPr>
            </w:pPr>
          </w:p>
        </w:tc>
        <w:tc>
          <w:tcPr>
            <w:tcW w:w="1027" w:type="dxa"/>
            <w:shd w:val="clear" w:color="auto" w:fill="auto"/>
            <w:vAlign w:val="center"/>
          </w:tcPr>
          <w:p w14:paraId="4070B2BC">
            <w:pPr>
              <w:rPr>
                <w:rFonts w:hint="eastAsia" w:ascii="宋体" w:hAnsi="宋体" w:eastAsia="宋体" w:cs="宋体"/>
                <w:i w:val="0"/>
                <w:color w:val="000000"/>
                <w:sz w:val="22"/>
                <w:szCs w:val="22"/>
                <w:u w:val="none"/>
              </w:rPr>
            </w:pPr>
          </w:p>
        </w:tc>
        <w:tc>
          <w:tcPr>
            <w:tcW w:w="983" w:type="dxa"/>
            <w:shd w:val="clear" w:color="auto" w:fill="auto"/>
            <w:vAlign w:val="center"/>
          </w:tcPr>
          <w:p w14:paraId="59D8263D">
            <w:pPr>
              <w:rPr>
                <w:rFonts w:hint="eastAsia" w:ascii="宋体" w:hAnsi="宋体" w:eastAsia="宋体" w:cs="宋体"/>
                <w:i w:val="0"/>
                <w:color w:val="000000"/>
                <w:sz w:val="22"/>
                <w:szCs w:val="22"/>
                <w:u w:val="none"/>
              </w:rPr>
            </w:pPr>
          </w:p>
        </w:tc>
        <w:tc>
          <w:tcPr>
            <w:tcW w:w="1051" w:type="dxa"/>
            <w:shd w:val="clear" w:color="auto" w:fill="auto"/>
            <w:vAlign w:val="center"/>
          </w:tcPr>
          <w:p w14:paraId="373D937C">
            <w:pPr>
              <w:rPr>
                <w:rFonts w:hint="eastAsia" w:ascii="宋体" w:hAnsi="宋体" w:eastAsia="宋体" w:cs="宋体"/>
                <w:i w:val="0"/>
                <w:color w:val="000000"/>
                <w:sz w:val="22"/>
                <w:szCs w:val="22"/>
                <w:u w:val="none"/>
              </w:rPr>
            </w:pPr>
          </w:p>
        </w:tc>
        <w:tc>
          <w:tcPr>
            <w:tcW w:w="1043" w:type="dxa"/>
            <w:shd w:val="clear" w:color="auto" w:fill="auto"/>
            <w:vAlign w:val="center"/>
          </w:tcPr>
          <w:p w14:paraId="1464FD63">
            <w:pPr>
              <w:rPr>
                <w:rFonts w:hint="eastAsia" w:ascii="宋体" w:hAnsi="宋体" w:eastAsia="宋体" w:cs="宋体"/>
                <w:i w:val="0"/>
                <w:color w:val="000000"/>
                <w:sz w:val="22"/>
                <w:szCs w:val="22"/>
                <w:u w:val="none"/>
              </w:rPr>
            </w:pPr>
          </w:p>
        </w:tc>
        <w:tc>
          <w:tcPr>
            <w:tcW w:w="1019" w:type="dxa"/>
            <w:shd w:val="clear" w:color="auto" w:fill="auto"/>
            <w:vAlign w:val="center"/>
          </w:tcPr>
          <w:p w14:paraId="4F2E7DC2">
            <w:pPr>
              <w:rPr>
                <w:rFonts w:hint="eastAsia" w:ascii="宋体" w:hAnsi="宋体" w:eastAsia="宋体" w:cs="宋体"/>
                <w:i w:val="0"/>
                <w:color w:val="000000"/>
                <w:sz w:val="22"/>
                <w:szCs w:val="22"/>
                <w:u w:val="none"/>
              </w:rPr>
            </w:pPr>
          </w:p>
        </w:tc>
        <w:tc>
          <w:tcPr>
            <w:tcW w:w="1146" w:type="dxa"/>
            <w:shd w:val="clear" w:color="auto" w:fill="auto"/>
            <w:vAlign w:val="center"/>
          </w:tcPr>
          <w:p w14:paraId="104F7704">
            <w:pPr>
              <w:rPr>
                <w:rFonts w:hint="eastAsia" w:ascii="宋体" w:hAnsi="宋体" w:eastAsia="宋体" w:cs="宋体"/>
                <w:i w:val="0"/>
                <w:color w:val="000000"/>
                <w:sz w:val="22"/>
                <w:szCs w:val="22"/>
                <w:u w:val="none"/>
              </w:rPr>
            </w:pPr>
          </w:p>
        </w:tc>
      </w:tr>
      <w:tr w14:paraId="1304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69" w:type="dxa"/>
            <w:gridSpan w:val="11"/>
            <w:tcBorders>
              <w:top w:val="single" w:color="000000" w:sz="4" w:space="0"/>
              <w:left w:val="single" w:color="000000" w:sz="4" w:space="0"/>
              <w:right w:val="single" w:color="000000" w:sz="4" w:space="0"/>
            </w:tcBorders>
            <w:shd w:val="clear" w:color="auto" w:fill="auto"/>
            <w:vAlign w:val="center"/>
          </w:tcPr>
          <w:p w14:paraId="2AF760DC">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2B15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BF6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E1D7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51090424T000011169635-普惠性民办幼儿园财政补助</w:t>
            </w:r>
          </w:p>
        </w:tc>
      </w:tr>
      <w:tr w14:paraId="72C3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10C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B1B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遂宁市安居区东禅镇中心小学校部门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D0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ED1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遂宁市安居区东禅镇中心小学校</w:t>
            </w:r>
          </w:p>
        </w:tc>
      </w:tr>
      <w:tr w14:paraId="5C55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101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C08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D3F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C5A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1B2F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C450">
            <w:pPr>
              <w:jc w:val="center"/>
              <w:rPr>
                <w:rFonts w:hint="eastAsia" w:ascii="宋体" w:hAnsi="宋体" w:eastAsia="宋体" w:cs="宋体"/>
                <w:i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9B2B">
            <w:pPr>
              <w:jc w:val="center"/>
              <w:rPr>
                <w:rFonts w:hint="eastAsia" w:ascii="宋体" w:hAnsi="宋体" w:eastAsia="宋体" w:cs="宋体"/>
                <w:i w:val="0"/>
                <w:color w:val="000000"/>
                <w:sz w:val="20"/>
                <w:szCs w:val="20"/>
                <w:u w:val="none"/>
              </w:rPr>
            </w:pPr>
          </w:p>
        </w:tc>
        <w:tc>
          <w:tcPr>
            <w:tcW w:w="4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9862F">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及时申请支付资金，促进学前教育健康发展。</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4909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严格执行预算，及时申请支付资金，促进学前教育健康发展。</w:t>
            </w:r>
          </w:p>
        </w:tc>
      </w:tr>
      <w:tr w14:paraId="40F8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90FD">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1B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FCA4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及时申报经费，预算编制科学合理，减少结余资金,促进学前教育健康发展。</w:t>
            </w:r>
          </w:p>
        </w:tc>
      </w:tr>
      <w:tr w14:paraId="2707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4FB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A6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9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B3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AB8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BE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2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AF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9E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3BAF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FCE22">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7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CB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58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25C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7E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38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99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7B55">
            <w:pPr>
              <w:rPr>
                <w:rFonts w:hint="eastAsia" w:ascii="宋体" w:hAnsi="宋体" w:eastAsia="宋体" w:cs="宋体"/>
                <w:i/>
                <w:color w:val="000000"/>
                <w:sz w:val="20"/>
                <w:szCs w:val="20"/>
                <w:u w:val="none"/>
              </w:rPr>
            </w:pPr>
          </w:p>
        </w:tc>
      </w:tr>
      <w:tr w14:paraId="389A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2462A">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92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8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C4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4F9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91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3C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E6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8967">
            <w:pPr>
              <w:rPr>
                <w:rFonts w:hint="eastAsia" w:ascii="宋体" w:hAnsi="宋体" w:eastAsia="宋体" w:cs="宋体"/>
                <w:i/>
                <w:color w:val="000000"/>
                <w:sz w:val="20"/>
                <w:szCs w:val="20"/>
                <w:u w:val="none"/>
              </w:rPr>
            </w:pPr>
          </w:p>
        </w:tc>
      </w:tr>
      <w:tr w14:paraId="29F8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160C7">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1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B4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16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63A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50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F9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60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65BE">
            <w:pPr>
              <w:rPr>
                <w:rFonts w:hint="eastAsia" w:ascii="宋体" w:hAnsi="宋体" w:eastAsia="宋体" w:cs="宋体"/>
                <w:i/>
                <w:color w:val="000000"/>
                <w:sz w:val="20"/>
                <w:szCs w:val="20"/>
                <w:u w:val="none"/>
              </w:rPr>
            </w:pPr>
          </w:p>
        </w:tc>
      </w:tr>
      <w:tr w14:paraId="7016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5313">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1C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1A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AD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B7A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51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11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A5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6B9E5">
            <w:pPr>
              <w:rPr>
                <w:rFonts w:hint="eastAsia" w:ascii="宋体" w:hAnsi="宋体" w:eastAsia="宋体" w:cs="宋体"/>
                <w:i/>
                <w:color w:val="000000"/>
                <w:sz w:val="20"/>
                <w:szCs w:val="20"/>
                <w:u w:val="none"/>
              </w:rPr>
            </w:pPr>
          </w:p>
        </w:tc>
      </w:tr>
      <w:tr w14:paraId="49B0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EBB3">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2C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39FD">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DD37">
            <w:pPr>
              <w:jc w:val="center"/>
              <w:rPr>
                <w:rFonts w:hint="eastAsia" w:ascii="宋体" w:hAnsi="宋体" w:eastAsia="宋体" w:cs="宋体"/>
                <w:i w:val="0"/>
                <w:color w:val="000000"/>
                <w:sz w:val="20"/>
                <w:szCs w:val="20"/>
                <w:u w:val="none"/>
              </w:rPr>
            </w:pPr>
          </w:p>
        </w:tc>
        <w:tc>
          <w:tcPr>
            <w:tcW w:w="2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1F151">
            <w:pPr>
              <w:jc w:val="center"/>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FD6F">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39A3">
            <w:pPr>
              <w:jc w:val="center"/>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9C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69A8">
            <w:pPr>
              <w:rPr>
                <w:rFonts w:hint="eastAsia" w:ascii="宋体" w:hAnsi="宋体" w:eastAsia="宋体" w:cs="宋体"/>
                <w:i/>
                <w:color w:val="000000"/>
                <w:sz w:val="20"/>
                <w:szCs w:val="20"/>
                <w:u w:val="none"/>
              </w:rPr>
            </w:pPr>
          </w:p>
        </w:tc>
      </w:tr>
      <w:tr w14:paraId="1B20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restart"/>
            <w:tcBorders>
              <w:left w:val="single" w:color="000000" w:sz="4" w:space="0"/>
              <w:bottom w:val="single" w:color="000000" w:sz="4" w:space="0"/>
              <w:right w:val="single" w:color="000000" w:sz="4" w:space="0"/>
            </w:tcBorders>
            <w:shd w:val="clear" w:color="auto" w:fill="auto"/>
            <w:vAlign w:val="center"/>
          </w:tcPr>
          <w:p w14:paraId="39BE28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3" w:type="dxa"/>
            <w:tcBorders>
              <w:left w:val="single" w:color="000000" w:sz="4" w:space="0"/>
              <w:bottom w:val="single" w:color="000000" w:sz="4" w:space="0"/>
              <w:right w:val="single" w:color="000000" w:sz="4" w:space="0"/>
            </w:tcBorders>
            <w:shd w:val="clear" w:color="auto" w:fill="auto"/>
            <w:vAlign w:val="center"/>
          </w:tcPr>
          <w:p w14:paraId="5DA324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0" w:type="dxa"/>
            <w:tcBorders>
              <w:left w:val="single" w:color="000000" w:sz="4" w:space="0"/>
              <w:bottom w:val="single" w:color="000000" w:sz="4" w:space="0"/>
              <w:right w:val="single" w:color="000000" w:sz="4" w:space="0"/>
            </w:tcBorders>
            <w:shd w:val="clear" w:color="auto" w:fill="auto"/>
            <w:vAlign w:val="center"/>
          </w:tcPr>
          <w:p w14:paraId="75C886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5" w:type="dxa"/>
            <w:tcBorders>
              <w:left w:val="single" w:color="000000" w:sz="4" w:space="0"/>
              <w:bottom w:val="single" w:color="000000" w:sz="4" w:space="0"/>
              <w:right w:val="single" w:color="000000" w:sz="4" w:space="0"/>
            </w:tcBorders>
            <w:shd w:val="clear" w:color="auto" w:fill="auto"/>
            <w:vAlign w:val="center"/>
          </w:tcPr>
          <w:p w14:paraId="08C304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8" w:type="dxa"/>
            <w:tcBorders>
              <w:left w:val="single" w:color="000000" w:sz="4" w:space="0"/>
              <w:bottom w:val="single" w:color="000000" w:sz="4" w:space="0"/>
              <w:right w:val="single" w:color="000000" w:sz="4" w:space="0"/>
            </w:tcBorders>
            <w:shd w:val="clear" w:color="auto" w:fill="auto"/>
            <w:vAlign w:val="center"/>
          </w:tcPr>
          <w:p w14:paraId="6FF96A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7" w:type="dxa"/>
            <w:tcBorders>
              <w:left w:val="single" w:color="000000" w:sz="4" w:space="0"/>
              <w:bottom w:val="single" w:color="000000" w:sz="4" w:space="0"/>
              <w:right w:val="single" w:color="000000" w:sz="4" w:space="0"/>
            </w:tcBorders>
            <w:shd w:val="clear" w:color="auto" w:fill="auto"/>
            <w:vAlign w:val="center"/>
          </w:tcPr>
          <w:p w14:paraId="7AAE2C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3" w:type="dxa"/>
            <w:tcBorders>
              <w:left w:val="single" w:color="000000" w:sz="4" w:space="0"/>
              <w:bottom w:val="single" w:color="000000" w:sz="4" w:space="0"/>
              <w:right w:val="single" w:color="000000" w:sz="4" w:space="0"/>
            </w:tcBorders>
            <w:shd w:val="clear" w:color="auto" w:fill="auto"/>
            <w:vAlign w:val="center"/>
          </w:tcPr>
          <w:p w14:paraId="3917A1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1" w:type="dxa"/>
            <w:tcBorders>
              <w:left w:val="single" w:color="000000" w:sz="4" w:space="0"/>
              <w:bottom w:val="single" w:color="000000" w:sz="4" w:space="0"/>
              <w:right w:val="single" w:color="000000" w:sz="4" w:space="0"/>
            </w:tcBorders>
            <w:shd w:val="clear" w:color="auto" w:fill="auto"/>
            <w:vAlign w:val="center"/>
          </w:tcPr>
          <w:p w14:paraId="417E37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3" w:type="dxa"/>
            <w:tcBorders>
              <w:left w:val="single" w:color="000000" w:sz="4" w:space="0"/>
              <w:bottom w:val="single" w:color="000000" w:sz="4" w:space="0"/>
              <w:right w:val="single" w:color="000000" w:sz="4" w:space="0"/>
            </w:tcBorders>
            <w:shd w:val="clear" w:color="auto" w:fill="auto"/>
            <w:vAlign w:val="center"/>
          </w:tcPr>
          <w:p w14:paraId="191A92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19" w:type="dxa"/>
            <w:tcBorders>
              <w:left w:val="single" w:color="000000" w:sz="4" w:space="0"/>
              <w:bottom w:val="single" w:color="000000" w:sz="4" w:space="0"/>
              <w:right w:val="single" w:color="000000" w:sz="4" w:space="0"/>
            </w:tcBorders>
            <w:shd w:val="clear" w:color="auto" w:fill="auto"/>
            <w:vAlign w:val="center"/>
          </w:tcPr>
          <w:p w14:paraId="0DC636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6" w:type="dxa"/>
            <w:tcBorders>
              <w:left w:val="single" w:color="000000" w:sz="4" w:space="0"/>
              <w:bottom w:val="single" w:color="000000" w:sz="4" w:space="0"/>
              <w:right w:val="single" w:color="000000" w:sz="4" w:space="0"/>
            </w:tcBorders>
            <w:shd w:val="clear" w:color="auto" w:fill="auto"/>
            <w:vAlign w:val="center"/>
          </w:tcPr>
          <w:p w14:paraId="4C3543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0B56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2506832E">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CA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F4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26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01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0F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E7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AA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0F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B6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3DA">
            <w:pPr>
              <w:jc w:val="center"/>
              <w:rPr>
                <w:rFonts w:hint="eastAsia" w:ascii="宋体" w:hAnsi="宋体" w:eastAsia="宋体" w:cs="宋体"/>
                <w:i/>
                <w:color w:val="000000"/>
                <w:sz w:val="20"/>
                <w:szCs w:val="20"/>
                <w:u w:val="none"/>
              </w:rPr>
            </w:pPr>
          </w:p>
        </w:tc>
      </w:tr>
      <w:tr w14:paraId="4D46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vMerge w:val="continue"/>
            <w:tcBorders>
              <w:left w:val="single" w:color="000000" w:sz="4" w:space="0"/>
              <w:bottom w:val="single" w:color="000000" w:sz="4" w:space="0"/>
              <w:right w:val="single" w:color="000000" w:sz="4" w:space="0"/>
            </w:tcBorders>
            <w:shd w:val="clear" w:color="auto" w:fill="auto"/>
            <w:vAlign w:val="center"/>
          </w:tcPr>
          <w:p w14:paraId="4273A745">
            <w:pPr>
              <w:jc w:val="center"/>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86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AA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0B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D9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69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EE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7B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B1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B7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67A4">
            <w:pPr>
              <w:jc w:val="center"/>
              <w:rPr>
                <w:rFonts w:hint="eastAsia" w:ascii="宋体" w:hAnsi="宋体" w:eastAsia="宋体" w:cs="宋体"/>
                <w:i/>
                <w:color w:val="000000"/>
                <w:sz w:val="20"/>
                <w:szCs w:val="20"/>
                <w:u w:val="none"/>
              </w:rPr>
            </w:pPr>
          </w:p>
        </w:tc>
      </w:tr>
      <w:tr w14:paraId="2FC1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0E1E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A6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C5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C10E">
            <w:pPr>
              <w:rPr>
                <w:rFonts w:hint="eastAsia" w:ascii="宋体" w:hAnsi="宋体" w:eastAsia="宋体" w:cs="宋体"/>
                <w:i w:val="0"/>
                <w:color w:val="000000"/>
                <w:sz w:val="20"/>
                <w:szCs w:val="20"/>
                <w:u w:val="none"/>
              </w:rPr>
            </w:pPr>
          </w:p>
        </w:tc>
      </w:tr>
      <w:tr w14:paraId="10B5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83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E4860D">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绩效目标实现指标自评得分100.00分，自评等次为：优，严格执行相关政策，按要求支付，保障资金及时、足额支付到位。促进学前教育健康发展。</w:t>
            </w:r>
          </w:p>
        </w:tc>
      </w:tr>
      <w:tr w14:paraId="0888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1D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5DDFB7">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7803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B1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CD86FD">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4F75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A04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项目负责人：刘剑军</w:t>
            </w:r>
          </w:p>
        </w:tc>
        <w:tc>
          <w:tcPr>
            <w:tcW w:w="6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8C4B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财务负责人：贺欣</w:t>
            </w:r>
          </w:p>
        </w:tc>
      </w:tr>
    </w:tbl>
    <w:p w14:paraId="22A1E04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6564D6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4650AC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81C4A05">
      <w:pPr>
        <w:widowControl/>
        <w:jc w:val="center"/>
        <w:rPr>
          <w:rFonts w:hint="eastAsia" w:ascii="Times New Roman" w:hAnsi="Times New Roman" w:eastAsia="仿宋_GB2312"/>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3"/>
      <w:bookmarkEnd w:id="58"/>
      <w:bookmarkStart w:id="59" w:name="_Toc15396619"/>
    </w:p>
    <w:p w14:paraId="29478C7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76E531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9"/>
    </w:p>
    <w:p w14:paraId="6BCD7E9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0"/>
      <w:r>
        <w:rPr>
          <w:rFonts w:hint="eastAsia" w:ascii="Times New Roman" w:hAnsi="Times New Roman" w:eastAsia="仿宋_GB2312" w:cs="仿宋_GB2312"/>
          <w:color w:val="auto"/>
          <w:sz w:val="32"/>
          <w:szCs w:val="32"/>
          <w:highlight w:val="none"/>
        </w:rPr>
        <w:t>二、收入决算表</w:t>
      </w:r>
      <w:bookmarkEnd w:id="60"/>
    </w:p>
    <w:p w14:paraId="5DBB90A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1"/>
      <w:r>
        <w:rPr>
          <w:rFonts w:hint="eastAsia" w:ascii="Times New Roman" w:hAnsi="Times New Roman" w:eastAsia="仿宋_GB2312" w:cs="仿宋_GB2312"/>
          <w:color w:val="auto"/>
          <w:sz w:val="32"/>
          <w:szCs w:val="32"/>
          <w:highlight w:val="none"/>
        </w:rPr>
        <w:t>三、支出决算表</w:t>
      </w:r>
      <w:bookmarkEnd w:id="61"/>
    </w:p>
    <w:p w14:paraId="4C572BB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2"/>
      <w:r>
        <w:rPr>
          <w:rFonts w:hint="eastAsia" w:ascii="Times New Roman" w:hAnsi="Times New Roman" w:eastAsia="仿宋_GB2312" w:cs="仿宋_GB2312"/>
          <w:color w:val="auto"/>
          <w:sz w:val="32"/>
          <w:szCs w:val="32"/>
          <w:highlight w:val="none"/>
        </w:rPr>
        <w:t>四、</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rPr>
        <w:t>收入支出决算总表</w:t>
      </w:r>
      <w:bookmarkEnd w:id="62"/>
    </w:p>
    <w:p w14:paraId="3B790E5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3"/>
      <w:r>
        <w:rPr>
          <w:rFonts w:hint="eastAsia" w:ascii="Times New Roman" w:hAnsi="Times New Roman" w:eastAsia="仿宋_GB2312" w:cs="仿宋_GB2312"/>
          <w:color w:val="auto"/>
          <w:sz w:val="32"/>
          <w:szCs w:val="32"/>
          <w:highlight w:val="none"/>
        </w:rPr>
        <w:t>五、</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rPr>
        <w:t>支出决算明细表</w:t>
      </w:r>
      <w:bookmarkEnd w:id="63"/>
      <w:bookmarkStart w:id="64" w:name="_Toc15396624"/>
    </w:p>
    <w:p w14:paraId="714BB96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rPr>
        <w:t>支出决算表</w:t>
      </w:r>
      <w:bookmarkEnd w:id="64"/>
    </w:p>
    <w:p w14:paraId="63D8EA7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5"/>
      <w:r>
        <w:rPr>
          <w:rFonts w:hint="eastAsia" w:ascii="Times New Roman" w:hAnsi="Times New Roman" w:eastAsia="仿宋_GB2312" w:cs="仿宋_GB2312"/>
          <w:color w:val="auto"/>
          <w:sz w:val="32"/>
          <w:szCs w:val="32"/>
          <w:highlight w:val="none"/>
        </w:rPr>
        <w:t>七、一般公共预算</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rPr>
        <w:t>支出决算明细表</w:t>
      </w:r>
      <w:bookmarkEnd w:id="65"/>
    </w:p>
    <w:p w14:paraId="3E68716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6"/>
      <w:r>
        <w:rPr>
          <w:rFonts w:hint="eastAsia" w:ascii="Times New Roman" w:hAnsi="Times New Roman" w:eastAsia="仿宋_GB2312" w:cs="仿宋_GB2312"/>
          <w:color w:val="auto"/>
          <w:sz w:val="32"/>
          <w:szCs w:val="32"/>
          <w:highlight w:val="none"/>
        </w:rPr>
        <w:t>八、一般公共预算</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rPr>
        <w:t>基本支出决算表</w:t>
      </w:r>
      <w:bookmarkEnd w:id="66"/>
    </w:p>
    <w:p w14:paraId="0539D50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7"/>
      <w:r>
        <w:rPr>
          <w:rFonts w:hint="eastAsia" w:ascii="Times New Roman" w:hAnsi="Times New Roman" w:eastAsia="仿宋_GB2312" w:cs="仿宋_GB2312"/>
          <w:color w:val="auto"/>
          <w:sz w:val="32"/>
          <w:szCs w:val="32"/>
          <w:highlight w:val="none"/>
        </w:rPr>
        <w:t>九、一般公共预算</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rPr>
        <w:t>项目支出决算表</w:t>
      </w:r>
      <w:bookmarkEnd w:id="67"/>
    </w:p>
    <w:p w14:paraId="29B3CFC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8"/>
      <w:r>
        <w:rPr>
          <w:rFonts w:hint="eastAsia" w:ascii="Times New Roman" w:hAnsi="Times New Roman" w:eastAsia="仿宋_GB2312" w:cs="仿宋_GB2312"/>
          <w:color w:val="auto"/>
          <w:sz w:val="32"/>
          <w:szCs w:val="32"/>
          <w:highlight w:val="none"/>
        </w:rPr>
        <w:t>十、</w:t>
      </w:r>
      <w:bookmarkEnd w:id="68"/>
      <w:r>
        <w:rPr>
          <w:rFonts w:hint="eastAsia" w:ascii="Times New Roman" w:hAnsi="Times New Roman" w:eastAsia="仿宋_GB2312" w:cs="仿宋_GB2312"/>
          <w:color w:val="auto"/>
          <w:sz w:val="32"/>
          <w:szCs w:val="32"/>
          <w:highlight w:val="none"/>
        </w:rPr>
        <w:t>政府性基金预算</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rPr>
        <w:t>收入支出决算表</w:t>
      </w:r>
    </w:p>
    <w:p w14:paraId="5B3DDC3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9"/>
      <w:r>
        <w:rPr>
          <w:rFonts w:hint="eastAsia" w:ascii="Times New Roman" w:hAnsi="Times New Roman" w:eastAsia="仿宋_GB2312" w:cs="仿宋_GB2312"/>
          <w:color w:val="auto"/>
          <w:sz w:val="32"/>
          <w:szCs w:val="32"/>
          <w:highlight w:val="none"/>
        </w:rPr>
        <w:t>十一、</w:t>
      </w:r>
      <w:bookmarkEnd w:id="69"/>
      <w:r>
        <w:rPr>
          <w:rFonts w:hint="eastAsia" w:ascii="Times New Roman" w:hAnsi="Times New Roman" w:eastAsia="仿宋_GB2312" w:cs="仿宋_GB2312"/>
          <w:color w:val="auto"/>
          <w:sz w:val="32"/>
          <w:szCs w:val="32"/>
          <w:highlight w:val="none"/>
        </w:rPr>
        <w:t>国有资本经营预算</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支出决算表</w:t>
      </w:r>
    </w:p>
    <w:p w14:paraId="26AAF25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30"/>
      <w:r>
        <w:rPr>
          <w:rFonts w:hint="eastAsia" w:ascii="Times New Roman" w:hAnsi="Times New Roman" w:eastAsia="仿宋_GB2312" w:cs="仿宋_GB2312"/>
          <w:color w:val="auto"/>
          <w:sz w:val="32"/>
          <w:szCs w:val="32"/>
          <w:highlight w:val="none"/>
        </w:rPr>
        <w:t>十二、</w:t>
      </w:r>
      <w:bookmarkEnd w:id="70"/>
      <w:r>
        <w:rPr>
          <w:rFonts w:hint="eastAsia" w:ascii="Times New Roman" w:hAnsi="Times New Roman" w:eastAsia="仿宋_GB2312" w:cs="仿宋_GB2312"/>
          <w:color w:val="auto"/>
          <w:sz w:val="32"/>
          <w:szCs w:val="32"/>
          <w:highlight w:val="none"/>
          <w:lang w:eastAsia="zh-CN"/>
        </w:rPr>
        <w:t>国有资本经营预算</w:t>
      </w:r>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lang w:eastAsia="zh-CN"/>
        </w:rPr>
        <w:t>支出决算表</w:t>
      </w:r>
    </w:p>
    <w:p w14:paraId="743F0B4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1" w:name="_Toc15396631"/>
      <w:r>
        <w:rPr>
          <w:rFonts w:hint="eastAsia" w:ascii="Times New Roman" w:hAnsi="Times New Roman" w:eastAsia="仿宋_GB2312" w:cs="仿宋_GB2312"/>
          <w:color w:val="auto"/>
          <w:sz w:val="32"/>
          <w:szCs w:val="32"/>
          <w:highlight w:val="none"/>
        </w:rPr>
        <w:t>十三、</w:t>
      </w:r>
      <w:bookmarkEnd w:id="71"/>
      <w:r>
        <w:rPr>
          <w:rFonts w:hint="eastAsia" w:eastAsia="仿宋_GB2312" w:cs="仿宋_GB2312"/>
          <w:color w:val="auto"/>
          <w:sz w:val="32"/>
          <w:szCs w:val="32"/>
          <w:highlight w:val="none"/>
          <w:lang w:eastAsia="zh-CN"/>
        </w:rPr>
        <w:t>财政拨款</w:t>
      </w:r>
      <w:r>
        <w:rPr>
          <w:rFonts w:hint="eastAsia" w:ascii="Times New Roman" w:hAnsi="Times New Roman" w:eastAsia="仿宋_GB2312" w:cs="仿宋_GB2312"/>
          <w:color w:val="auto"/>
          <w:sz w:val="32"/>
          <w:szCs w:val="32"/>
          <w:highlight w:val="none"/>
          <w:lang w:eastAsia="zh-CN"/>
        </w:rPr>
        <w:t>“三公”经费支出决算表</w:t>
      </w:r>
    </w:p>
    <w:p w14:paraId="08DCB4D1">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6093">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2E75F">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22E75F">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19BE772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63E9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DAF6F">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DDAF6F">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1010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0CCC0"/>
    <w:multiLevelType w:val="singleLevel"/>
    <w:tmpl w:val="DEA0CCC0"/>
    <w:lvl w:ilvl="0" w:tentative="0">
      <w:start w:val="1"/>
      <w:numFmt w:val="decimal"/>
      <w:suff w:val="space"/>
      <w:lvlText w:val="%1."/>
      <w:lvlJc w:val="left"/>
    </w:lvl>
  </w:abstractNum>
  <w:abstractNum w:abstractNumId="1">
    <w:nsid w:val="5C515833"/>
    <w:multiLevelType w:val="multilevel"/>
    <w:tmpl w:val="5C515833"/>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864417"/>
    <w:rsid w:val="07996F6E"/>
    <w:rsid w:val="07DFD8BA"/>
    <w:rsid w:val="091F2183"/>
    <w:rsid w:val="09867E8F"/>
    <w:rsid w:val="0A2032A3"/>
    <w:rsid w:val="0AC07591"/>
    <w:rsid w:val="0B0C10FF"/>
    <w:rsid w:val="0B7B716B"/>
    <w:rsid w:val="0CA8290A"/>
    <w:rsid w:val="0D35B1ED"/>
    <w:rsid w:val="0D7A066D"/>
    <w:rsid w:val="0DEE7F30"/>
    <w:rsid w:val="0E254B6B"/>
    <w:rsid w:val="0F98263C"/>
    <w:rsid w:val="0FF314C6"/>
    <w:rsid w:val="101860EC"/>
    <w:rsid w:val="101F47CC"/>
    <w:rsid w:val="10C055FF"/>
    <w:rsid w:val="10D12BCF"/>
    <w:rsid w:val="11694EBD"/>
    <w:rsid w:val="11772AA4"/>
    <w:rsid w:val="118107EC"/>
    <w:rsid w:val="1259386A"/>
    <w:rsid w:val="12E24EE2"/>
    <w:rsid w:val="13D50BC4"/>
    <w:rsid w:val="14B17F78"/>
    <w:rsid w:val="165E0673"/>
    <w:rsid w:val="16B831D5"/>
    <w:rsid w:val="16BB723D"/>
    <w:rsid w:val="17E50567"/>
    <w:rsid w:val="186504BB"/>
    <w:rsid w:val="18A35B37"/>
    <w:rsid w:val="18B215E8"/>
    <w:rsid w:val="19A445FC"/>
    <w:rsid w:val="1A0E295E"/>
    <w:rsid w:val="1B016256"/>
    <w:rsid w:val="1BE8440E"/>
    <w:rsid w:val="1D155CEE"/>
    <w:rsid w:val="1D1638FE"/>
    <w:rsid w:val="1E312DEB"/>
    <w:rsid w:val="1E740ACF"/>
    <w:rsid w:val="1E947287"/>
    <w:rsid w:val="1F2A5B39"/>
    <w:rsid w:val="1F8525FD"/>
    <w:rsid w:val="1FF35744"/>
    <w:rsid w:val="1FF6BC77"/>
    <w:rsid w:val="205129E8"/>
    <w:rsid w:val="2186353C"/>
    <w:rsid w:val="23860B96"/>
    <w:rsid w:val="240371BF"/>
    <w:rsid w:val="244F3473"/>
    <w:rsid w:val="24847845"/>
    <w:rsid w:val="24C97D99"/>
    <w:rsid w:val="25A718F0"/>
    <w:rsid w:val="25BB59F6"/>
    <w:rsid w:val="260F557C"/>
    <w:rsid w:val="26560277"/>
    <w:rsid w:val="26970054"/>
    <w:rsid w:val="26B81607"/>
    <w:rsid w:val="281408E2"/>
    <w:rsid w:val="281440EF"/>
    <w:rsid w:val="29FA4AED"/>
    <w:rsid w:val="29FD04D3"/>
    <w:rsid w:val="2BFF7BC6"/>
    <w:rsid w:val="2C1F1B03"/>
    <w:rsid w:val="2C3F3C21"/>
    <w:rsid w:val="2C8A61B5"/>
    <w:rsid w:val="2CEB4BC0"/>
    <w:rsid w:val="2DF04E50"/>
    <w:rsid w:val="2E586DFA"/>
    <w:rsid w:val="2F040D46"/>
    <w:rsid w:val="2F6B035B"/>
    <w:rsid w:val="2FAE5751"/>
    <w:rsid w:val="2FB1A395"/>
    <w:rsid w:val="2FD9A7D8"/>
    <w:rsid w:val="2FDBF714"/>
    <w:rsid w:val="30AB6865"/>
    <w:rsid w:val="30F95E6E"/>
    <w:rsid w:val="319F7F4E"/>
    <w:rsid w:val="3279475B"/>
    <w:rsid w:val="32904380"/>
    <w:rsid w:val="32BD1EF1"/>
    <w:rsid w:val="3304709D"/>
    <w:rsid w:val="33A773CB"/>
    <w:rsid w:val="349D6851"/>
    <w:rsid w:val="350F493D"/>
    <w:rsid w:val="35E97F31"/>
    <w:rsid w:val="36AA5135"/>
    <w:rsid w:val="36BE0DA7"/>
    <w:rsid w:val="376B6AA6"/>
    <w:rsid w:val="376D39B2"/>
    <w:rsid w:val="37E16F03"/>
    <w:rsid w:val="37F53A3B"/>
    <w:rsid w:val="389B6C89"/>
    <w:rsid w:val="38D469F0"/>
    <w:rsid w:val="391A2314"/>
    <w:rsid w:val="39627CCD"/>
    <w:rsid w:val="397BAF1F"/>
    <w:rsid w:val="3AB79AF3"/>
    <w:rsid w:val="3AE834C0"/>
    <w:rsid w:val="3B59346E"/>
    <w:rsid w:val="3B7EF35A"/>
    <w:rsid w:val="3B8D5D43"/>
    <w:rsid w:val="3B9FDB6C"/>
    <w:rsid w:val="3BF5BC2F"/>
    <w:rsid w:val="3C0654E6"/>
    <w:rsid w:val="3CEBA265"/>
    <w:rsid w:val="3CED2681"/>
    <w:rsid w:val="3D98207C"/>
    <w:rsid w:val="3DEE7CF3"/>
    <w:rsid w:val="3E740A63"/>
    <w:rsid w:val="3E78745D"/>
    <w:rsid w:val="3EE17838"/>
    <w:rsid w:val="3F55381A"/>
    <w:rsid w:val="3F7F7599"/>
    <w:rsid w:val="3FF4CAE0"/>
    <w:rsid w:val="3FF7B227"/>
    <w:rsid w:val="44D43977"/>
    <w:rsid w:val="44E268DA"/>
    <w:rsid w:val="450D13D7"/>
    <w:rsid w:val="45506656"/>
    <w:rsid w:val="47E64B5C"/>
    <w:rsid w:val="486A6C7A"/>
    <w:rsid w:val="4A627F82"/>
    <w:rsid w:val="4A835A46"/>
    <w:rsid w:val="4B0E749A"/>
    <w:rsid w:val="4B2477C4"/>
    <w:rsid w:val="4B4F25DA"/>
    <w:rsid w:val="4BE068DB"/>
    <w:rsid w:val="4D3C5637"/>
    <w:rsid w:val="4D577224"/>
    <w:rsid w:val="4DBF1CEB"/>
    <w:rsid w:val="4DD80C3F"/>
    <w:rsid w:val="4DF0007C"/>
    <w:rsid w:val="4EAB630A"/>
    <w:rsid w:val="4ECE2238"/>
    <w:rsid w:val="4EFA3174"/>
    <w:rsid w:val="4F833267"/>
    <w:rsid w:val="4FE9BD67"/>
    <w:rsid w:val="4FFB052F"/>
    <w:rsid w:val="5271602F"/>
    <w:rsid w:val="537E6D0A"/>
    <w:rsid w:val="53F74C96"/>
    <w:rsid w:val="53F961D2"/>
    <w:rsid w:val="5441062F"/>
    <w:rsid w:val="55170BA8"/>
    <w:rsid w:val="553218C9"/>
    <w:rsid w:val="567E1AA5"/>
    <w:rsid w:val="56E47B74"/>
    <w:rsid w:val="57175D52"/>
    <w:rsid w:val="57BD3DD4"/>
    <w:rsid w:val="5967263B"/>
    <w:rsid w:val="5AF92295"/>
    <w:rsid w:val="5B250254"/>
    <w:rsid w:val="5BDD79E6"/>
    <w:rsid w:val="5BF561CA"/>
    <w:rsid w:val="5BFF5DFC"/>
    <w:rsid w:val="5CD71FC4"/>
    <w:rsid w:val="5D1F11B5"/>
    <w:rsid w:val="5D535C03"/>
    <w:rsid w:val="5D695134"/>
    <w:rsid w:val="5DAE1B18"/>
    <w:rsid w:val="5DE7D9E5"/>
    <w:rsid w:val="5ECEC941"/>
    <w:rsid w:val="5FBF9FF3"/>
    <w:rsid w:val="5FCD4E2C"/>
    <w:rsid w:val="5FEF394A"/>
    <w:rsid w:val="5FF67715"/>
    <w:rsid w:val="614C2243"/>
    <w:rsid w:val="62096991"/>
    <w:rsid w:val="62BA695D"/>
    <w:rsid w:val="62BF3928"/>
    <w:rsid w:val="63B3701E"/>
    <w:rsid w:val="647F5392"/>
    <w:rsid w:val="65E66580"/>
    <w:rsid w:val="664B1D71"/>
    <w:rsid w:val="664B4E8E"/>
    <w:rsid w:val="67277B67"/>
    <w:rsid w:val="67AA3209"/>
    <w:rsid w:val="698D0931"/>
    <w:rsid w:val="6A7FE5F3"/>
    <w:rsid w:val="6B053271"/>
    <w:rsid w:val="6B574BF4"/>
    <w:rsid w:val="6BDD78B3"/>
    <w:rsid w:val="6C39469E"/>
    <w:rsid w:val="6C4A05C8"/>
    <w:rsid w:val="6C8742B8"/>
    <w:rsid w:val="6DBF5E93"/>
    <w:rsid w:val="6DFF077E"/>
    <w:rsid w:val="6E714EF0"/>
    <w:rsid w:val="6E795943"/>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164C84"/>
    <w:rsid w:val="7332FE48"/>
    <w:rsid w:val="73621931"/>
    <w:rsid w:val="73AB61DA"/>
    <w:rsid w:val="73AD73D5"/>
    <w:rsid w:val="73B6EB34"/>
    <w:rsid w:val="73FA497D"/>
    <w:rsid w:val="744731E5"/>
    <w:rsid w:val="74BBD01D"/>
    <w:rsid w:val="74ED5379"/>
    <w:rsid w:val="75DEEEC2"/>
    <w:rsid w:val="75E32345"/>
    <w:rsid w:val="764D5A23"/>
    <w:rsid w:val="76E3355F"/>
    <w:rsid w:val="76FF5125"/>
    <w:rsid w:val="776F6FFA"/>
    <w:rsid w:val="778769C8"/>
    <w:rsid w:val="77A75DCA"/>
    <w:rsid w:val="77DC22F5"/>
    <w:rsid w:val="783E271A"/>
    <w:rsid w:val="78616DE9"/>
    <w:rsid w:val="78B5746A"/>
    <w:rsid w:val="78E875D7"/>
    <w:rsid w:val="79086DAD"/>
    <w:rsid w:val="79D7FD79"/>
    <w:rsid w:val="79EE5BA4"/>
    <w:rsid w:val="7A894339"/>
    <w:rsid w:val="7AD284E8"/>
    <w:rsid w:val="7AFF7572"/>
    <w:rsid w:val="7B6C7DFB"/>
    <w:rsid w:val="7BBFBED0"/>
    <w:rsid w:val="7BC3E394"/>
    <w:rsid w:val="7C1F3737"/>
    <w:rsid w:val="7CB749C7"/>
    <w:rsid w:val="7CBFC87B"/>
    <w:rsid w:val="7CFE0F48"/>
    <w:rsid w:val="7D272ABC"/>
    <w:rsid w:val="7D4336B3"/>
    <w:rsid w:val="7D7EC23E"/>
    <w:rsid w:val="7DC47C85"/>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915;&#31639;&#21450;&#20844;&#24320;\--2024&#24180;&#20915;&#31639;&#20844;&#24320;&#20844;&#24335;\2024&#20915;&#31639;&#20844;&#24320;-2023-2024&#23545;&#27604;&#25968;&#25454;08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2024&#24180;&#20915;&#31639;\&#20915;&#31639;&#20844;&#24320;&#65288;2025-08-20&#65289;\000--2024&#24180;&#20915;&#31639;&#20844;&#24320;&#20844;&#24335;\2024&#20915;&#31639;&#20844;&#24320;-&#20844;&#24335;-&#37096;&#38376;&#39044;&#31639;&#39033;&#30446;&#25903;&#20986;&#32489;&#25928;&#33258;&#3578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915;&#31639;&#21450;&#20844;&#24320;\--2024&#24180;&#20915;&#31639;&#20844;&#24320;&#20844;&#24335;\2024&#20915;&#31639;&#20844;&#24320;-2023-2024&#23545;&#27604;&#25968;&#25454;08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915;&#31639;&#21450;&#20844;&#24320;\--2024&#24180;&#20915;&#31639;&#20844;&#24320;&#20844;&#24335;\2024&#20915;&#31639;&#20844;&#24320;-2023-2024&#23545;&#27604;&#25968;&#25454;08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915;&#31639;&#21450;&#20844;&#24320;\--2024&#24180;&#20915;&#31639;&#20844;&#24320;&#20844;&#24335;\2024&#20915;&#31639;&#20844;&#24320;-2023-2024&#23545;&#27604;&#25968;&#25454;08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915;&#31639;&#21450;&#20844;&#24320;\--2024&#24180;&#20915;&#31639;&#20844;&#24320;&#20844;&#24335;\2024&#20915;&#31639;&#20844;&#24320;-2023-2024&#23545;&#27604;&#25968;&#25454;08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15:layout>
                    <c:manualLayout>
                      <c:w val="0.226502057613169"/>
                      <c:h val="0.125727590221187"/>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manualLayout>
                      <c:w val="0.211358024691358"/>
                      <c:h val="0.125727590221187"/>
                    </c:manualLayout>
                  </c15:layout>
                </c:ext>
              </c:extLst>
            </c:dLbl>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'[2024决算公开-2023-2024对比数据0820.xls]Sheet1'!$B$3:$B$4</c:f>
              <c:strCache>
                <c:ptCount val="2"/>
                <c:pt idx="0">
                  <c:v>2023年</c:v>
                </c:pt>
                <c:pt idx="1">
                  <c:v>2024年</c:v>
                </c:pt>
              </c:strCache>
            </c:strRef>
          </c:cat>
          <c:val>
            <c:numRef>
              <c:f>'[2024决算公开-2023-2024对比数据0820.xls]Sheet1'!$C$3:$C$4</c:f>
              <c:numCache>
                <c:formatCode>General</c:formatCode>
                <c:ptCount val="2"/>
                <c:pt idx="0">
                  <c:v>1754.6</c:v>
                </c:pt>
                <c:pt idx="1">
                  <c:v>2236.46</c:v>
                </c:pt>
              </c:numCache>
            </c:numRef>
          </c:val>
        </c:ser>
        <c:dLbls>
          <c:showLegendKey val="0"/>
          <c:showVal val="0"/>
          <c:showCatName val="0"/>
          <c:showSerName val="0"/>
          <c:showPercent val="0"/>
          <c:showBubbleSize val="0"/>
        </c:dLbls>
        <c:gapWidth val="219"/>
        <c:overlap val="-27"/>
        <c:axId val="804064103"/>
        <c:axId val="969998037"/>
      </c:barChart>
      <c:catAx>
        <c:axId val="80406410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969998037"/>
        <c:crosses val="autoZero"/>
        <c:auto val="1"/>
        <c:lblAlgn val="ctr"/>
        <c:lblOffset val="100"/>
        <c:noMultiLvlLbl val="0"/>
      </c:catAx>
      <c:valAx>
        <c:axId val="96999803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804064103"/>
        <c:crosses val="autoZero"/>
        <c:crossBetween val="between"/>
      </c:valAx>
      <c:spPr>
        <a:noFill/>
        <a:ln w="3175">
          <a:noFill/>
        </a:ln>
      </c:spPr>
    </c:plotArea>
    <c:plotVisOnly val="1"/>
    <c:dispBlanksAs val="gap"/>
    <c:showDLblsOverMax val="0"/>
    <c:extLst>
      <c:ext uri="{0b15fc19-7d7d-44ad-8c2d-2c3a37ce22c3}">
        <chartProps xmlns="https://web.wps.cn/et/2018/main" chartId="{30b39777-2f8e-4d51-9af9-55e7d68755c8}"/>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314065639136778"/>
                  <c:y val="-8.8904662929905e-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8200474361497"/>
                  <c:y val="0.073901224106549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64119918146993"/>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6061452513966"/>
                      <c:h val="0.155975252360795"/>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'[2024决算公开-公式-部门预算项目支出绩效自评表.xlsx]Sheet1'!$C$7:$C$9</c:f>
              <c:strCache>
                <c:ptCount val="3"/>
                <c:pt idx="0">
                  <c:v>一般公共预算财政拨款收入</c:v>
                </c:pt>
                <c:pt idx="1">
                  <c:v>其他收入</c:v>
                </c:pt>
                <c:pt idx="2">
                  <c:v>政府性基金预算财政拨款收入</c:v>
                </c:pt>
              </c:strCache>
            </c:strRef>
          </c:cat>
          <c:val>
            <c:numRef>
              <c:f>'[2024决算公开-公式-部门预算项目支出绩效自评表.xlsx]Sheet1'!$D$7:$D$9</c:f>
              <c:numCache>
                <c:formatCode>General</c:formatCode>
                <c:ptCount val="3"/>
                <c:pt idx="0">
                  <c:v>1875.05</c:v>
                </c:pt>
                <c:pt idx="1">
                  <c:v>161.41</c:v>
                </c:pt>
                <c:pt idx="2">
                  <c:v>200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afc6d35-9620-4fae-95f3-c45a96fdd85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00512131338563961"/>
                  <c:y val="0.058074403588976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266174347663467"/>
                  <c:y val="-0.037828896283778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'[2024决算公开-2023-2024对比数据0820.xls]Sheet1'!$C$25:$C$26</c:f>
              <c:strCache>
                <c:ptCount val="2"/>
                <c:pt idx="0">
                  <c:v>基本支出</c:v>
                </c:pt>
                <c:pt idx="1">
                  <c:v>项目支出</c:v>
                </c:pt>
              </c:strCache>
            </c:strRef>
          </c:cat>
          <c:val>
            <c:numRef>
              <c:f>'[2024决算公开-2023-2024对比数据0820.xls]Sheet1'!$D$25:$D$26</c:f>
              <c:numCache>
                <c:formatCode>General</c:formatCode>
                <c:ptCount val="2"/>
                <c:pt idx="0">
                  <c:v>1771.75</c:v>
                </c:pt>
                <c:pt idx="1">
                  <c:v>464.71</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gap"/>
    <c:showDLblsOverMax val="0"/>
    <c:extLst>
      <c:ext uri="{0b15fc19-7d7d-44ad-8c2d-2c3a37ce22c3}">
        <chartProps xmlns="https://web.wps.cn/et/2018/main" chartId="{b007e584-412e-4d7e-8beb-8c68ca26a5b9}"/>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'[2024决算公开-2023-2024对比数据0820.xls]Sheet1'!$B$41:$B$42</c:f>
              <c:strCache>
                <c:ptCount val="2"/>
                <c:pt idx="0">
                  <c:v>2023年</c:v>
                </c:pt>
                <c:pt idx="1">
                  <c:v>2024年</c:v>
                </c:pt>
              </c:strCache>
            </c:strRef>
          </c:cat>
          <c:val>
            <c:numRef>
              <c:f>'[2024决算公开-2023-2024对比数据0820.xls]Sheet1'!$C$41:$C$42</c:f>
              <c:numCache>
                <c:formatCode>General</c:formatCode>
                <c:ptCount val="2"/>
                <c:pt idx="0">
                  <c:v>1754.6</c:v>
                </c:pt>
                <c:pt idx="1">
                  <c:v>2075.05</c:v>
                </c:pt>
              </c:numCache>
            </c:numRef>
          </c:val>
        </c:ser>
        <c:dLbls>
          <c:showLegendKey val="0"/>
          <c:showVal val="0"/>
          <c:showCatName val="0"/>
          <c:showSerName val="0"/>
          <c:showPercent val="0"/>
          <c:showBubbleSize val="0"/>
        </c:dLbls>
        <c:gapWidth val="219"/>
        <c:overlap val="-27"/>
        <c:axId val="914846318"/>
        <c:axId val="698894992"/>
      </c:barChart>
      <c:catAx>
        <c:axId val="91484631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98894992"/>
        <c:crosses val="autoZero"/>
        <c:auto val="1"/>
        <c:lblAlgn val="ctr"/>
        <c:lblOffset val="100"/>
        <c:noMultiLvlLbl val="0"/>
      </c:catAx>
      <c:valAx>
        <c:axId val="6988949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914846318"/>
        <c:crosses val="autoZero"/>
        <c:crossBetween val="between"/>
      </c:valAx>
      <c:spPr>
        <a:noFill/>
        <a:ln w="3175">
          <a:noFill/>
        </a:ln>
      </c:spPr>
    </c:plotArea>
    <c:plotVisOnly val="1"/>
    <c:dispBlanksAs val="gap"/>
    <c:showDLblsOverMax val="0"/>
    <c:extLst>
      <c:ext uri="{0b15fc19-7d7d-44ad-8c2d-2c3a37ce22c3}">
        <chartProps xmlns="https://web.wps.cn/et/2018/main" chartId="{ad25c58d-7f02-4e25-8361-9113ce88d207}"/>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'[2024决算公开-2023-2024对比数据0820.xls]Sheet1'!$B$53:$B$54</c:f>
              <c:strCache>
                <c:ptCount val="2"/>
                <c:pt idx="0">
                  <c:v>2023年</c:v>
                </c:pt>
                <c:pt idx="1">
                  <c:v>2024年</c:v>
                </c:pt>
              </c:strCache>
            </c:strRef>
          </c:cat>
          <c:val>
            <c:numRef>
              <c:f>'[2024决算公开-2023-2024对比数据0820.xls]Sheet1'!$C$53:$C$54</c:f>
              <c:numCache>
                <c:formatCode>General</c:formatCode>
                <c:ptCount val="2"/>
                <c:pt idx="0">
                  <c:v>1754.6</c:v>
                </c:pt>
                <c:pt idx="1">
                  <c:v>1875.05</c:v>
                </c:pt>
              </c:numCache>
            </c:numRef>
          </c:val>
        </c:ser>
        <c:dLbls>
          <c:showLegendKey val="0"/>
          <c:showVal val="0"/>
          <c:showCatName val="0"/>
          <c:showSerName val="0"/>
          <c:showPercent val="0"/>
          <c:showBubbleSize val="0"/>
        </c:dLbls>
        <c:gapWidth val="219"/>
        <c:overlap val="-27"/>
        <c:axId val="612597203"/>
        <c:axId val="371134581"/>
      </c:barChart>
      <c:catAx>
        <c:axId val="61259720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371134581"/>
        <c:crosses val="autoZero"/>
        <c:auto val="1"/>
        <c:lblAlgn val="ctr"/>
        <c:lblOffset val="100"/>
        <c:noMultiLvlLbl val="0"/>
      </c:catAx>
      <c:valAx>
        <c:axId val="37113458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12597203"/>
        <c:crosses val="autoZero"/>
        <c:crossBetween val="between"/>
      </c:valAx>
      <c:spPr>
        <a:noFill/>
        <a:ln w="3175">
          <a:noFill/>
        </a:ln>
      </c:spPr>
    </c:plotArea>
    <c:plotVisOnly val="1"/>
    <c:dispBlanksAs val="gap"/>
    <c:showDLblsOverMax val="0"/>
    <c:extLst>
      <c:ext uri="{0b15fc19-7d7d-44ad-8c2d-2c3a37ce22c3}">
        <chartProps xmlns="https://web.wps.cn/et/2018/main" chartId="{d044bcfd-46c2-49c3-9163-ea3f8a9a0a22}"/>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Lbls>
            <c:dLbl>
              <c:idx val="0"/>
              <c:delete val="1"/>
            </c:dLbl>
            <c:dLbl>
              <c:idx val="1"/>
              <c:layout>
                <c:manualLayout>
                  <c:x val="0.101027678802719"/>
                  <c:y val="-0.0604706096045407"/>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delete val="1"/>
            </c:dLbl>
            <c:dLbl>
              <c:idx val="3"/>
              <c:delete val="1"/>
            </c:dLbl>
            <c:dLbl>
              <c:idx val="4"/>
              <c:layout>
                <c:manualLayout>
                  <c:x val="-0.0576971731565778"/>
                  <c:y val="0.0808421289722586"/>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22491747190819"/>
                  <c:y val="0.12025162294197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208590155280869"/>
                  <c:y val="0.016556244628034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'[2024决算公开-2023-2024对比数据0820.xls]Sheet1'!$C$66:$C$72</c:f>
              <c:strCache>
                <c:ptCount val="7"/>
                <c:pt idx="0">
                  <c:v>一般公共服务支出</c:v>
                </c:pt>
                <c:pt idx="1">
                  <c:v>教育支出</c:v>
                </c:pt>
                <c:pt idx="2">
                  <c:v>科学技术支出</c:v>
                </c:pt>
                <c:pt idx="3">
                  <c:v>文化旅游体育与传媒</c:v>
                </c:pt>
                <c:pt idx="4">
                  <c:v>社会保障和就业支出</c:v>
                </c:pt>
                <c:pt idx="5">
                  <c:v>卫生健康支出</c:v>
                </c:pt>
                <c:pt idx="6">
                  <c:v>住房保障支出</c:v>
                </c:pt>
              </c:strCache>
            </c:strRef>
          </c:cat>
          <c:val>
            <c:numRef>
              <c:f>'[2024决算公开-2023-2024对比数据0820.xls]Sheet1'!$D$66:$D$72</c:f>
              <c:numCache>
                <c:formatCode>General</c:formatCode>
                <c:ptCount val="7"/>
                <c:pt idx="0">
                  <c:v>0</c:v>
                </c:pt>
                <c:pt idx="1">
                  <c:v>1438.84</c:v>
                </c:pt>
                <c:pt idx="2">
                  <c:v>0</c:v>
                </c:pt>
                <c:pt idx="3">
                  <c:v>0</c:v>
                </c:pt>
                <c:pt idx="4">
                  <c:v>256.3</c:v>
                </c:pt>
                <c:pt idx="5">
                  <c:v>68.27</c:v>
                </c:pt>
                <c:pt idx="6">
                  <c:v>111.64</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gap"/>
    <c:showDLblsOverMax val="0"/>
    <c:extLst>
      <c:ext uri="{0b15fc19-7d7d-44ad-8c2d-2c3a37ce22c3}">
        <chartProps xmlns="https://web.wps.cn/et/2018/main" chartId="{08f2624e-798b-4986-8ee7-2901ebe5f53c}"/>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8530</Words>
  <Characters>9277</Characters>
  <Lines>61</Lines>
  <Paragraphs>17</Paragraphs>
  <TotalTime>7</TotalTime>
  <ScaleCrop>false</ScaleCrop>
  <LinksUpToDate>false</LinksUpToDate>
  <CharactersWithSpaces>9342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2025-08-29T03:02:06Z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eyJoZGlkIjoiZGM4NjUzNDA1NDkyY2MxZmJmZThlN2U3ZTFkMjcwOGYifQ==</vt:lpwstr>
  </property>
</Properties>
</file>