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F3C88">
      <w:bookmarkStart w:id="0" w:name="_Toc15378441"/>
      <w:bookmarkStart w:id="1" w:name="_Toc15377193"/>
      <w:bookmarkStart w:id="2" w:name="_Toc15377425"/>
      <w:bookmarkStart w:id="3" w:name="_Toc15396597"/>
      <w:bookmarkStart w:id="4" w:name="_Toc15396475"/>
      <w:bookmarkStart w:id="5" w:name="_Toc15306267"/>
    </w:p>
    <w:p w14:paraId="1585E8F5">
      <w:pPr>
        <w:pStyle w:val="10"/>
        <w:spacing w:before="93"/>
        <w:jc w:val="center"/>
        <w:rPr>
          <w:rFonts w:ascii="Times New Roman" w:eastAsia="方正小标宋简体"/>
          <w:kern w:val="2"/>
          <w:sz w:val="44"/>
          <w:szCs w:val="44"/>
        </w:rPr>
      </w:pPr>
    </w:p>
    <w:p w14:paraId="5D1C1961">
      <w:pPr>
        <w:pStyle w:val="10"/>
        <w:spacing w:before="93"/>
        <w:jc w:val="both"/>
        <w:rPr>
          <w:rFonts w:ascii="Times New Roman" w:eastAsia="方正小标宋简体"/>
          <w:kern w:val="2"/>
          <w:sz w:val="44"/>
          <w:szCs w:val="44"/>
        </w:rPr>
      </w:pPr>
    </w:p>
    <w:p w14:paraId="0BE49E45">
      <w:pPr>
        <w:pStyle w:val="10"/>
        <w:spacing w:before="93"/>
        <w:jc w:val="center"/>
        <w:rPr>
          <w:rFonts w:ascii="Times New Roman" w:eastAsia="方正小标宋简体"/>
          <w:kern w:val="2"/>
          <w:sz w:val="44"/>
          <w:szCs w:val="44"/>
        </w:rPr>
      </w:pPr>
    </w:p>
    <w:bookmarkEnd w:id="0"/>
    <w:bookmarkEnd w:id="1"/>
    <w:bookmarkEnd w:id="2"/>
    <w:bookmarkEnd w:id="3"/>
    <w:bookmarkEnd w:id="4"/>
    <w:p w14:paraId="748C7E96">
      <w:pPr>
        <w:pStyle w:val="10"/>
        <w:spacing w:before="0" w:line="600" w:lineRule="exact"/>
        <w:jc w:val="center"/>
        <w:rPr>
          <w:rFonts w:ascii="Times New Roman" w:hAnsi="Times New Roman" w:eastAsia="方正小标宋简体" w:cs="Times New Roman"/>
          <w:color w:val="auto"/>
          <w:kern w:val="2"/>
          <w:sz w:val="44"/>
          <w:szCs w:val="44"/>
          <w:highlight w:val="none"/>
        </w:rPr>
      </w:pPr>
      <w:bookmarkStart w:id="6" w:name="_Toc15396476"/>
      <w:bookmarkStart w:id="7" w:name="_Toc15377426"/>
      <w:bookmarkStart w:id="8" w:name="_Toc15378442"/>
      <w:bookmarkStart w:id="9" w:name="_Toc15396598"/>
      <w:bookmarkStart w:id="10" w:name="_Toc15377194"/>
      <w:r>
        <w:rPr>
          <w:rFonts w:hint="default" w:ascii="Times New Roman" w:hAnsi="Times New Roman" w:eastAsia="方正小标宋简体" w:cs="Times New Roman"/>
          <w:color w:val="auto"/>
          <w:kern w:val="2"/>
          <w:sz w:val="44"/>
          <w:szCs w:val="44"/>
          <w:highlight w:val="none"/>
        </w:rPr>
        <w:t>2024年度</w:t>
      </w:r>
    </w:p>
    <w:p w14:paraId="082823C7">
      <w:pPr>
        <w:pStyle w:val="10"/>
        <w:spacing w:before="0" w:line="600" w:lineRule="exact"/>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rPr>
        <w:t>四川省</w:t>
      </w:r>
      <w:bookmarkEnd w:id="5"/>
      <w:bookmarkStart w:id="11" w:name="_Toc15306268"/>
      <w:r>
        <w:rPr>
          <w:rFonts w:hint="default" w:ascii="Times New Roman" w:hAnsi="Times New Roman" w:eastAsia="方正小标宋简体" w:cs="Times New Roman"/>
          <w:color w:val="auto"/>
          <w:kern w:val="2"/>
          <w:sz w:val="44"/>
          <w:szCs w:val="44"/>
          <w:highlight w:val="none"/>
        </w:rPr>
        <w:t>遂宁市安居区</w:t>
      </w:r>
    </w:p>
    <w:p w14:paraId="33F7C5F2">
      <w:pPr>
        <w:pStyle w:val="10"/>
        <w:spacing w:before="0" w:line="600" w:lineRule="exact"/>
        <w:jc w:val="center"/>
        <w:rPr>
          <w:rFonts w:hint="default"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rPr>
        <w:t>遂潼天然气综合利用产业园</w:t>
      </w:r>
    </w:p>
    <w:p w14:paraId="7F75CB99">
      <w:pPr>
        <w:pStyle w:val="10"/>
        <w:spacing w:before="0" w:line="600" w:lineRule="exact"/>
        <w:jc w:val="center"/>
        <w:rPr>
          <w:rFonts w:ascii="Times New Roman" w:hAnsi="Times New Roman" w:eastAsia="方正小标宋简体" w:cs="Times New Roman"/>
          <w:color w:val="auto"/>
          <w:kern w:val="2"/>
          <w:sz w:val="44"/>
          <w:szCs w:val="44"/>
          <w:highlight w:val="none"/>
        </w:rPr>
      </w:pPr>
      <w:r>
        <w:rPr>
          <w:rFonts w:hint="default" w:ascii="Times New Roman" w:hAnsi="Times New Roman" w:eastAsia="方正小标宋简体" w:cs="Times New Roman"/>
          <w:color w:val="auto"/>
          <w:kern w:val="2"/>
          <w:sz w:val="44"/>
          <w:szCs w:val="44"/>
          <w:highlight w:val="none"/>
        </w:rPr>
        <w:t>部门决算</w:t>
      </w:r>
      <w:bookmarkEnd w:id="6"/>
      <w:bookmarkEnd w:id="7"/>
      <w:bookmarkEnd w:id="8"/>
      <w:bookmarkEnd w:id="9"/>
      <w:bookmarkEnd w:id="10"/>
      <w:bookmarkEnd w:id="11"/>
    </w:p>
    <w:p w14:paraId="6CBDB27A">
      <w:pPr>
        <w:pStyle w:val="10"/>
        <w:widowControl w:val="0"/>
        <w:spacing w:line="600" w:lineRule="exact"/>
        <w:rPr>
          <w:rFonts w:ascii="Times New Roman" w:hAnsi="Times New Roman" w:eastAsia="方正小标宋简体" w:cs="Times New Roman"/>
          <w:color w:val="auto"/>
          <w:kern w:val="2"/>
          <w:sz w:val="44"/>
          <w:szCs w:val="44"/>
          <w:highlight w:val="none"/>
        </w:rPr>
        <w:sectPr>
          <w:footerReference r:id="rId4" w:type="first"/>
          <w:footerReference r:id="rId3" w:type="default"/>
          <w:pgSz w:w="11906" w:h="16838"/>
          <w:pgMar w:top="1440" w:right="1800" w:bottom="1440" w:left="1800" w:header="851" w:footer="992" w:gutter="0"/>
          <w:pgNumType w:fmt="numberInDash" w:start="1"/>
          <w:cols w:space="425" w:num="1"/>
          <w:titlePg/>
          <w:docGrid w:type="lines" w:linePitch="312" w:charSpace="0"/>
        </w:sectPr>
      </w:pPr>
    </w:p>
    <w:p w14:paraId="6065D4D5"/>
    <w:p w14:paraId="44D7E059">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31FB875">
      <w:pPr>
        <w:widowControl/>
        <w:jc w:val="center"/>
        <w:rPr>
          <w:rFonts w:hint="eastAsia" w:ascii="Times New Roman" w:hAnsi="Times New Roman" w:eastAsia="黑体" w:cstheme="minorBidi"/>
          <w:color w:val="auto"/>
          <w:sz w:val="28"/>
          <w:szCs w:val="28"/>
          <w:highlight w:val="none"/>
          <w:lang w:eastAsia="zh-CN"/>
        </w:rPr>
      </w:pPr>
    </w:p>
    <w:p w14:paraId="4F1F67A2">
      <w:pPr>
        <w:pStyle w:val="15"/>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29</w:t>
      </w:r>
      <w:r>
        <w:rPr>
          <w:rFonts w:hint="eastAsia" w:ascii="Times New Roman" w:hAnsi="Times New Roman" w:eastAsia="仿宋_GB2312" w:cs="仿宋_GB2312"/>
          <w:color w:val="auto"/>
          <w:sz w:val="32"/>
          <w:szCs w:val="32"/>
          <w:highlight w:val="none"/>
        </w:rPr>
        <w:t>日</w:t>
      </w:r>
    </w:p>
    <w:p w14:paraId="7B5C8B62">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987041972"/>
        <w15:color w:val="DBDBDB"/>
        <w:docPartObj>
          <w:docPartGallery w:val="Table of Contents"/>
          <w:docPartUnique/>
        </w:docPartObj>
      </w:sdtPr>
      <w:sdtEndPr>
        <w:rPr>
          <w:rFonts w:hint="eastAsia" w:ascii="Times New Roman" w:hAnsi="Times New Roman" w:eastAsia="方正小标宋简体" w:cs="方正小标宋简体"/>
          <w:b/>
          <w:bCs/>
          <w:color w:val="auto"/>
          <w:kern w:val="44"/>
          <w:sz w:val="44"/>
          <w:szCs w:val="44"/>
          <w:highlight w:val="none"/>
          <w:lang w:val="en-US" w:eastAsia="zh-CN" w:bidi="ar-SA"/>
        </w:rPr>
      </w:sdtEndPr>
      <w:sdtContent>
        <w:p w14:paraId="2FA4D5AB">
          <w:pPr>
            <w:spacing w:before="0" w:beforeLines="0" w:after="0" w:afterLines="0" w:line="240" w:lineRule="auto"/>
            <w:ind w:left="0" w:leftChars="0" w:right="0" w:rightChars="0" w:firstLine="0" w:firstLineChars="0"/>
            <w:jc w:val="center"/>
          </w:pPr>
        </w:p>
        <w:p w14:paraId="303B1014">
          <w:pPr>
            <w:pStyle w:val="15"/>
            <w:tabs>
              <w:tab w:val="right" w:leader="dot" w:pos="8306"/>
              <w:tab w:val="clear" w:pos="8296"/>
            </w:tabs>
            <w:rPr>
              <w:rFonts w:hint="eastAsia" w:eastAsia="方正小标宋简体" w:cs="方正小标宋简体"/>
            </w:rPr>
          </w:pPr>
          <w:r>
            <w:rPr>
              <w:rFonts w:hint="eastAsia" w:eastAsia="方正小标宋简体" w:cs="方正小标宋简体"/>
            </w:rPr>
            <w:fldChar w:fldCharType="begin"/>
          </w:r>
          <w:r>
            <w:rPr>
              <w:rFonts w:hint="eastAsia" w:eastAsia="方正小标宋简体" w:cs="方正小标宋简体"/>
            </w:rPr>
            <w:instrText xml:space="preserve">TOC \o "1-2" \h \u </w:instrText>
          </w:r>
          <w:r>
            <w:rPr>
              <w:rFonts w:hint="eastAsia" w:eastAsia="方正小标宋简体" w:cs="方正小标宋简体"/>
            </w:rPr>
            <w:fldChar w:fldCharType="separate"/>
          </w:r>
          <w:r>
            <w:rPr>
              <w:rFonts w:hint="eastAsia" w:eastAsia="方正小标宋简体" w:cs="方正小标宋简体"/>
            </w:rPr>
            <w:fldChar w:fldCharType="begin"/>
          </w:r>
          <w:r>
            <w:rPr>
              <w:rFonts w:hint="eastAsia" w:eastAsia="方正小标宋简体" w:cs="方正小标宋简体"/>
            </w:rPr>
            <w:instrText xml:space="preserve"> HYPERLINK \l _Toc551696822 </w:instrText>
          </w:r>
          <w:r>
            <w:rPr>
              <w:rFonts w:hint="eastAsia" w:eastAsia="方正小标宋简体" w:cs="方正小标宋简体"/>
            </w:rPr>
            <w:fldChar w:fldCharType="separate"/>
          </w:r>
          <w:r>
            <w:rPr>
              <w:rFonts w:hint="eastAsia" w:eastAsia="方正小标宋简体" w:cs="方正小标宋简体"/>
            </w:rPr>
            <w:t>第一部分  部门概况</w:t>
          </w:r>
          <w:r>
            <w:rPr>
              <w:rFonts w:hint="eastAsia" w:eastAsia="方正小标宋简体" w:cs="方正小标宋简体"/>
            </w:rPr>
            <w:tab/>
          </w:r>
          <w:r>
            <w:rPr>
              <w:rFonts w:hint="eastAsia" w:eastAsia="方正小标宋简体" w:cs="方正小标宋简体"/>
            </w:rPr>
            <w:fldChar w:fldCharType="begin"/>
          </w:r>
          <w:r>
            <w:rPr>
              <w:rFonts w:hint="eastAsia" w:eastAsia="方正小标宋简体" w:cs="方正小标宋简体"/>
            </w:rPr>
            <w:instrText xml:space="preserve"> PAGEREF _Toc551696822 \h </w:instrText>
          </w:r>
          <w:r>
            <w:rPr>
              <w:rFonts w:hint="eastAsia" w:eastAsia="方正小标宋简体" w:cs="方正小标宋简体"/>
            </w:rPr>
            <w:fldChar w:fldCharType="separate"/>
          </w:r>
          <w:r>
            <w:rPr>
              <w:rFonts w:hint="eastAsia" w:eastAsia="方正小标宋简体" w:cs="方正小标宋简体"/>
            </w:rPr>
            <w:t>1</w:t>
          </w:r>
          <w:r>
            <w:rPr>
              <w:rFonts w:hint="eastAsia" w:eastAsia="方正小标宋简体" w:cs="方正小标宋简体"/>
            </w:rPr>
            <w:fldChar w:fldCharType="end"/>
          </w:r>
          <w:r>
            <w:rPr>
              <w:rFonts w:hint="eastAsia" w:eastAsia="方正小标宋简体" w:cs="方正小标宋简体"/>
            </w:rPr>
            <w:fldChar w:fldCharType="end"/>
          </w:r>
        </w:p>
        <w:p w14:paraId="526DF58E">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_Toc639886559 </w:instrText>
          </w:r>
          <w:r>
            <w:rPr>
              <w:rFonts w:hint="eastAsia" w:ascii="Times New Roman" w:hAnsi="Times New Roman" w:eastAsia="方正小标宋简体" w:cs="方正小标宋简体"/>
              <w:highlight w:val="none"/>
            </w:rPr>
            <w:fldChar w:fldCharType="separate"/>
          </w:r>
          <w:r>
            <w:rPr>
              <w:rFonts w:hint="eastAsia" w:eastAsia="黑体"/>
              <w:szCs w:val="32"/>
              <w:lang w:eastAsia="zh-CN"/>
            </w:rPr>
            <w:t>一、部门职责</w:t>
          </w:r>
          <w:r>
            <w:tab/>
          </w:r>
          <w:r>
            <w:fldChar w:fldCharType="begin"/>
          </w:r>
          <w:r>
            <w:instrText xml:space="preserve"> PAGEREF _Toc639886559 \h </w:instrText>
          </w:r>
          <w:r>
            <w:fldChar w:fldCharType="separate"/>
          </w:r>
          <w:r>
            <w:t>1</w:t>
          </w:r>
          <w:r>
            <w:fldChar w:fldCharType="end"/>
          </w:r>
          <w:r>
            <w:rPr>
              <w:rFonts w:hint="eastAsia" w:ascii="Times New Roman" w:hAnsi="Times New Roman" w:eastAsia="方正小标宋简体" w:cs="方正小标宋简体"/>
              <w:color w:val="auto"/>
              <w:highlight w:val="none"/>
            </w:rPr>
            <w:fldChar w:fldCharType="end"/>
          </w:r>
        </w:p>
        <w:p w14:paraId="41A19300">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_Toc674779561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rPr>
            <w:t>二、机</w:t>
          </w:r>
          <w:r>
            <w:rPr>
              <w:rFonts w:hint="eastAsia" w:ascii="Times New Roman" w:hAnsi="Times New Roman" w:eastAsia="黑体"/>
              <w:bCs w:val="0"/>
            </w:rPr>
            <w:t>构设置</w:t>
          </w:r>
          <w:r>
            <w:tab/>
          </w:r>
          <w:r>
            <w:fldChar w:fldCharType="begin"/>
          </w:r>
          <w:r>
            <w:instrText xml:space="preserve"> PAGEREF _Toc674779561 \h </w:instrText>
          </w:r>
          <w:r>
            <w:fldChar w:fldCharType="separate"/>
          </w:r>
          <w:r>
            <w:t>1</w:t>
          </w:r>
          <w:r>
            <w:fldChar w:fldCharType="end"/>
          </w:r>
          <w:r>
            <w:rPr>
              <w:rFonts w:hint="eastAsia" w:ascii="Times New Roman" w:hAnsi="Times New Roman" w:eastAsia="方正小标宋简体" w:cs="方正小标宋简体"/>
              <w:color w:val="auto"/>
              <w:highlight w:val="none"/>
            </w:rPr>
            <w:fldChar w:fldCharType="end"/>
          </w:r>
        </w:p>
        <w:p w14:paraId="45EC4019">
          <w:pPr>
            <w:pStyle w:val="15"/>
            <w:tabs>
              <w:tab w:val="right" w:leader="dot" w:pos="8306"/>
              <w:tab w:val="clear" w:pos="8296"/>
            </w:tabs>
            <w:rPr>
              <w:sz w:val="21"/>
              <w:szCs w:val="21"/>
            </w:rPr>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_Toc106429108 </w:instrText>
          </w:r>
          <w:r>
            <w:rPr>
              <w:rFonts w:hint="eastAsia" w:ascii="Times New Roman" w:hAnsi="Times New Roman" w:eastAsia="方正小标宋简体" w:cs="方正小标宋简体"/>
              <w:highlight w:val="none"/>
            </w:rPr>
            <w:fldChar w:fldCharType="separate"/>
          </w:r>
          <w:r>
            <w:rPr>
              <w:rFonts w:hint="eastAsia" w:eastAsia="方正小标宋简体" w:cs="方正小标宋简体"/>
            </w:rPr>
            <w:t>第二部分  2024年度部门决算情况说明</w:t>
          </w:r>
          <w:r>
            <w:tab/>
          </w:r>
          <w:r>
            <w:rPr>
              <w:rFonts w:ascii="Times New Roman" w:hAnsi="Times New Roman" w:eastAsia="宋体" w:cs="Times New Roman"/>
              <w:kern w:val="2"/>
              <w:sz w:val="21"/>
              <w:szCs w:val="24"/>
              <w:lang w:val="en-US" w:eastAsia="zh-CN" w:bidi="ar-SA"/>
            </w:rPr>
            <w:fldChar w:fldCharType="begin"/>
          </w:r>
          <w:r>
            <w:rPr>
              <w:rFonts w:ascii="Times New Roman" w:hAnsi="Times New Roman" w:eastAsia="宋体" w:cs="Times New Roman"/>
              <w:kern w:val="2"/>
              <w:sz w:val="21"/>
              <w:szCs w:val="24"/>
              <w:lang w:val="en-US" w:eastAsia="zh-CN" w:bidi="ar-SA"/>
            </w:rPr>
            <w:instrText xml:space="preserve"> PAGEREF _Toc106429108 \h </w:instrText>
          </w:r>
          <w:r>
            <w:rPr>
              <w:rFonts w:ascii="Times New Roman" w:hAnsi="Times New Roman" w:eastAsia="宋体" w:cs="Times New Roman"/>
              <w:kern w:val="2"/>
              <w:sz w:val="21"/>
              <w:szCs w:val="24"/>
              <w:lang w:val="en-US" w:eastAsia="zh-CN" w:bidi="ar-SA"/>
            </w:rPr>
            <w:fldChar w:fldCharType="separate"/>
          </w:r>
          <w:r>
            <w:rPr>
              <w:rFonts w:ascii="Times New Roman" w:hAnsi="Times New Roman" w:eastAsia="宋体" w:cs="Times New Roman"/>
              <w:kern w:val="2"/>
              <w:sz w:val="21"/>
              <w:szCs w:val="24"/>
              <w:lang w:val="en-US" w:eastAsia="zh-CN" w:bidi="ar-SA"/>
            </w:rPr>
            <w:t>2</w:t>
          </w:r>
          <w:r>
            <w:rPr>
              <w:rFonts w:ascii="Times New Roman" w:hAnsi="Times New Roman" w:eastAsia="宋体" w:cs="Times New Roman"/>
              <w:kern w:val="2"/>
              <w:sz w:val="21"/>
              <w:szCs w:val="24"/>
              <w:lang w:val="en-US" w:eastAsia="zh-CN" w:bidi="ar-SA"/>
            </w:rPr>
            <w:fldChar w:fldCharType="end"/>
          </w:r>
          <w:r>
            <w:rPr>
              <w:rFonts w:hint="eastAsia" w:ascii="Times New Roman" w:hAnsi="Times New Roman" w:eastAsia="方正小标宋简体" w:cs="方正小标宋简体"/>
              <w:color w:val="auto"/>
              <w:highlight w:val="none"/>
            </w:rPr>
            <w:fldChar w:fldCharType="end"/>
          </w:r>
        </w:p>
        <w:p w14:paraId="1A5D2F37">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_Toc1881561474 </w:instrText>
          </w:r>
          <w:r>
            <w:rPr>
              <w:rFonts w:hint="eastAsia" w:ascii="Times New Roman" w:hAnsi="Times New Roman" w:eastAsia="方正小标宋简体" w:cs="方正小标宋简体"/>
              <w:highlight w:val="none"/>
            </w:rPr>
            <w:fldChar w:fldCharType="separate"/>
          </w:r>
          <w:r>
            <w:rPr>
              <w:rFonts w:hint="eastAsia" w:eastAsia="黑体"/>
              <w:szCs w:val="32"/>
            </w:rPr>
            <w:t>一、收</w:t>
          </w:r>
          <w:r>
            <w:rPr>
              <w:rFonts w:hint="eastAsia" w:ascii="Times New Roman" w:hAnsi="Times New Roman" w:eastAsia="黑体"/>
            </w:rPr>
            <w:t>入支出决算总体情况说明</w:t>
          </w:r>
          <w:r>
            <w:tab/>
          </w:r>
          <w:r>
            <w:fldChar w:fldCharType="begin"/>
          </w:r>
          <w:r>
            <w:instrText xml:space="preserve"> PAGEREF _Toc1881561474 \h </w:instrText>
          </w:r>
          <w:r>
            <w:fldChar w:fldCharType="separate"/>
          </w:r>
          <w:r>
            <w:t>2</w:t>
          </w:r>
          <w:r>
            <w:fldChar w:fldCharType="end"/>
          </w:r>
          <w:r>
            <w:rPr>
              <w:rFonts w:hint="eastAsia" w:ascii="Times New Roman" w:hAnsi="Times New Roman" w:eastAsia="方正小标宋简体" w:cs="方正小标宋简体"/>
              <w:color w:val="auto"/>
              <w:highlight w:val="none"/>
            </w:rPr>
            <w:fldChar w:fldCharType="end"/>
          </w:r>
        </w:p>
        <w:p w14:paraId="481B45DF">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_Toc374069440 </w:instrText>
          </w:r>
          <w:r>
            <w:rPr>
              <w:rFonts w:hint="eastAsia" w:ascii="Times New Roman" w:hAnsi="Times New Roman" w:eastAsia="方正小标宋简体" w:cs="方正小标宋简体"/>
              <w:highlight w:val="none"/>
            </w:rPr>
            <w:fldChar w:fldCharType="separate"/>
          </w:r>
          <w:r>
            <w:rPr>
              <w:rFonts w:hint="eastAsia" w:eastAsia="黑体"/>
              <w:szCs w:val="32"/>
            </w:rPr>
            <w:t>二、收入决算情况说明</w:t>
          </w:r>
          <w:r>
            <w:tab/>
          </w:r>
          <w:r>
            <w:fldChar w:fldCharType="begin"/>
          </w:r>
          <w:r>
            <w:instrText xml:space="preserve"> PAGEREF _Toc374069440 \h </w:instrText>
          </w:r>
          <w:r>
            <w:fldChar w:fldCharType="separate"/>
          </w:r>
          <w:r>
            <w:t>2</w:t>
          </w:r>
          <w:r>
            <w:fldChar w:fldCharType="end"/>
          </w:r>
          <w:r>
            <w:rPr>
              <w:rFonts w:hint="eastAsia" w:ascii="Times New Roman" w:hAnsi="Times New Roman" w:eastAsia="方正小标宋简体" w:cs="方正小标宋简体"/>
              <w:color w:val="auto"/>
              <w:highlight w:val="none"/>
            </w:rPr>
            <w:fldChar w:fldCharType="end"/>
          </w:r>
        </w:p>
        <w:p w14:paraId="41EE3584">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_Toc143441672 </w:instrText>
          </w:r>
          <w:r>
            <w:rPr>
              <w:rFonts w:hint="eastAsia" w:ascii="Times New Roman" w:hAnsi="Times New Roman" w:eastAsia="方正小标宋简体" w:cs="方正小标宋简体"/>
              <w:highlight w:val="none"/>
            </w:rPr>
            <w:fldChar w:fldCharType="separate"/>
          </w:r>
          <w:r>
            <w:rPr>
              <w:rFonts w:hint="eastAsia" w:eastAsia="黑体"/>
              <w:szCs w:val="32"/>
            </w:rPr>
            <w:t>三、支</w:t>
          </w:r>
          <w:r>
            <w:rPr>
              <w:rFonts w:hint="eastAsia" w:ascii="Times New Roman" w:hAnsi="Times New Roman" w:eastAsia="黑体"/>
            </w:rPr>
            <w:t>出决算情况说明</w:t>
          </w:r>
          <w:r>
            <w:tab/>
          </w:r>
          <w:r>
            <w:fldChar w:fldCharType="begin"/>
          </w:r>
          <w:r>
            <w:instrText xml:space="preserve"> PAGEREF _Toc143441672 \h </w:instrText>
          </w:r>
          <w:r>
            <w:fldChar w:fldCharType="separate"/>
          </w:r>
          <w:r>
            <w:t>3</w:t>
          </w:r>
          <w:r>
            <w:fldChar w:fldCharType="end"/>
          </w:r>
          <w:r>
            <w:rPr>
              <w:rFonts w:hint="eastAsia" w:ascii="Times New Roman" w:hAnsi="Times New Roman" w:eastAsia="方正小标宋简体" w:cs="方正小标宋简体"/>
              <w:color w:val="auto"/>
              <w:highlight w:val="none"/>
            </w:rPr>
            <w:fldChar w:fldCharType="end"/>
          </w:r>
        </w:p>
        <w:p w14:paraId="00EB8118">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_Toc338075861 </w:instrText>
          </w:r>
          <w:r>
            <w:rPr>
              <w:rFonts w:hint="eastAsia" w:ascii="Times New Roman" w:hAnsi="Times New Roman" w:eastAsia="方正小标宋简体" w:cs="方正小标宋简体"/>
              <w:highlight w:val="none"/>
            </w:rPr>
            <w:fldChar w:fldCharType="separate"/>
          </w:r>
          <w:r>
            <w:rPr>
              <w:rFonts w:hint="eastAsia" w:eastAsia="黑体"/>
              <w:szCs w:val="32"/>
            </w:rPr>
            <w:t>四、财</w:t>
          </w:r>
          <w:r>
            <w:rPr>
              <w:rFonts w:hint="eastAsia" w:ascii="Times New Roman" w:hAnsi="Times New Roman" w:eastAsia="黑体"/>
            </w:rPr>
            <w:t>政拨款收入支出决算总体情况说明</w:t>
          </w:r>
          <w:r>
            <w:tab/>
          </w:r>
          <w:r>
            <w:fldChar w:fldCharType="begin"/>
          </w:r>
          <w:r>
            <w:instrText xml:space="preserve"> PAGEREF _Toc338075861 \h </w:instrText>
          </w:r>
          <w:r>
            <w:fldChar w:fldCharType="separate"/>
          </w:r>
          <w:r>
            <w:t>3</w:t>
          </w:r>
          <w:r>
            <w:fldChar w:fldCharType="end"/>
          </w:r>
          <w:r>
            <w:rPr>
              <w:rFonts w:hint="eastAsia" w:ascii="Times New Roman" w:hAnsi="Times New Roman" w:eastAsia="方正小标宋简体" w:cs="方正小标宋简体"/>
              <w:color w:val="auto"/>
              <w:highlight w:val="none"/>
            </w:rPr>
            <w:fldChar w:fldCharType="end"/>
          </w:r>
        </w:p>
        <w:p w14:paraId="3A5A6A81">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_Toc1001012407 </w:instrText>
          </w:r>
          <w:r>
            <w:rPr>
              <w:rFonts w:hint="eastAsia" w:ascii="Times New Roman" w:hAnsi="Times New Roman" w:eastAsia="方正小标宋简体" w:cs="方正小标宋简体"/>
              <w:highlight w:val="none"/>
            </w:rPr>
            <w:fldChar w:fldCharType="separate"/>
          </w:r>
          <w:r>
            <w:rPr>
              <w:rFonts w:hint="eastAsia" w:eastAsia="黑体"/>
              <w:szCs w:val="32"/>
            </w:rPr>
            <w:t>五、一</w:t>
          </w:r>
          <w:r>
            <w:rPr>
              <w:rFonts w:hint="eastAsia" w:ascii="Times New Roman" w:hAnsi="Times New Roman" w:eastAsia="黑体"/>
            </w:rPr>
            <w:t>般公共预算财政拨款支出决算情况说明</w:t>
          </w:r>
          <w:r>
            <w:tab/>
          </w:r>
          <w:r>
            <w:fldChar w:fldCharType="begin"/>
          </w:r>
          <w:r>
            <w:instrText xml:space="preserve"> PAGEREF _Toc1001012407 \h </w:instrText>
          </w:r>
          <w:r>
            <w:fldChar w:fldCharType="separate"/>
          </w:r>
          <w:r>
            <w:t>4</w:t>
          </w:r>
          <w:r>
            <w:fldChar w:fldCharType="end"/>
          </w:r>
          <w:r>
            <w:rPr>
              <w:rFonts w:hint="eastAsia" w:ascii="Times New Roman" w:hAnsi="Times New Roman" w:eastAsia="方正小标宋简体" w:cs="方正小标宋简体"/>
              <w:color w:val="auto"/>
              <w:highlight w:val="none"/>
            </w:rPr>
            <w:fldChar w:fldCharType="end"/>
          </w:r>
        </w:p>
        <w:p w14:paraId="510225F7">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_Toc747447240 </w:instrText>
          </w:r>
          <w:r>
            <w:rPr>
              <w:rFonts w:hint="eastAsia" w:ascii="Times New Roman" w:hAnsi="Times New Roman" w:eastAsia="方正小标宋简体" w:cs="方正小标宋简体"/>
              <w:highlight w:val="none"/>
            </w:rPr>
            <w:fldChar w:fldCharType="separate"/>
          </w:r>
          <w:r>
            <w:rPr>
              <w:rFonts w:hint="eastAsia" w:eastAsia="黑体"/>
              <w:szCs w:val="32"/>
            </w:rPr>
            <w:t>六、一</w:t>
          </w:r>
          <w:r>
            <w:rPr>
              <w:rFonts w:hint="eastAsia" w:ascii="Times New Roman" w:hAnsi="Times New Roman" w:eastAsia="黑体"/>
            </w:rPr>
            <w:t>般公共预算财政拨款基本支出决算情况说明</w:t>
          </w:r>
          <w:r>
            <w:tab/>
          </w:r>
          <w:r>
            <w:fldChar w:fldCharType="begin"/>
          </w:r>
          <w:r>
            <w:instrText xml:space="preserve"> PAGEREF _Toc747447240 \h </w:instrText>
          </w:r>
          <w:r>
            <w:fldChar w:fldCharType="separate"/>
          </w:r>
          <w:r>
            <w:t>6</w:t>
          </w:r>
          <w:r>
            <w:fldChar w:fldCharType="end"/>
          </w:r>
          <w:r>
            <w:rPr>
              <w:rFonts w:hint="eastAsia" w:ascii="Times New Roman" w:hAnsi="Times New Roman" w:eastAsia="方正小标宋简体" w:cs="方正小标宋简体"/>
              <w:color w:val="auto"/>
              <w:highlight w:val="none"/>
            </w:rPr>
            <w:fldChar w:fldCharType="end"/>
          </w:r>
        </w:p>
        <w:p w14:paraId="59812DD5">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_Toc94680353 </w:instrText>
          </w:r>
          <w:r>
            <w:rPr>
              <w:rFonts w:hint="eastAsia" w:ascii="Times New Roman" w:hAnsi="Times New Roman" w:eastAsia="方正小标宋简体" w:cs="方正小标宋简体"/>
              <w:highlight w:val="none"/>
            </w:rPr>
            <w:fldChar w:fldCharType="separate"/>
          </w:r>
          <w:r>
            <w:rPr>
              <w:rFonts w:hint="eastAsia" w:eastAsia="黑体"/>
              <w:szCs w:val="32"/>
            </w:rPr>
            <w:t>七、</w:t>
          </w:r>
          <w:r>
            <w:rPr>
              <w:rFonts w:hint="eastAsia" w:ascii="Times New Roman" w:hAnsi="Times New Roman" w:eastAsia="黑体"/>
            </w:rPr>
            <w:t>财政拨款“三公”经费支出决算情况说明</w:t>
          </w:r>
          <w:r>
            <w:tab/>
          </w:r>
          <w:r>
            <w:fldChar w:fldCharType="begin"/>
          </w:r>
          <w:r>
            <w:instrText xml:space="preserve"> PAGEREF _Toc94680353 \h </w:instrText>
          </w:r>
          <w:r>
            <w:fldChar w:fldCharType="separate"/>
          </w:r>
          <w:r>
            <w:t>6</w:t>
          </w:r>
          <w:r>
            <w:fldChar w:fldCharType="end"/>
          </w:r>
          <w:r>
            <w:rPr>
              <w:rFonts w:hint="eastAsia" w:ascii="Times New Roman" w:hAnsi="Times New Roman" w:eastAsia="方正小标宋简体" w:cs="方正小标宋简体"/>
              <w:color w:val="auto"/>
              <w:highlight w:val="none"/>
            </w:rPr>
            <w:fldChar w:fldCharType="end"/>
          </w:r>
        </w:p>
        <w:p w14:paraId="78016C19">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_Toc916372920 </w:instrText>
          </w:r>
          <w:r>
            <w:rPr>
              <w:rFonts w:hint="eastAsia" w:ascii="Times New Roman" w:hAnsi="Times New Roman" w:eastAsia="方正小标宋简体" w:cs="方正小标宋简体"/>
              <w:highlight w:val="none"/>
            </w:rPr>
            <w:fldChar w:fldCharType="separate"/>
          </w:r>
          <w:r>
            <w:rPr>
              <w:rFonts w:hint="eastAsia" w:eastAsia="黑体"/>
              <w:szCs w:val="32"/>
            </w:rPr>
            <w:t>八、</w:t>
          </w:r>
          <w:r>
            <w:rPr>
              <w:rFonts w:hint="eastAsia" w:ascii="Times New Roman" w:hAnsi="Times New Roman" w:eastAsia="黑体"/>
            </w:rPr>
            <w:t>政府性基金预算支出决算情况说明</w:t>
          </w:r>
          <w:r>
            <w:tab/>
          </w:r>
          <w:r>
            <w:fldChar w:fldCharType="begin"/>
          </w:r>
          <w:r>
            <w:instrText xml:space="preserve"> PAGEREF _Toc916372920 \h </w:instrText>
          </w:r>
          <w:r>
            <w:fldChar w:fldCharType="separate"/>
          </w:r>
          <w:r>
            <w:t>7</w:t>
          </w:r>
          <w:r>
            <w:fldChar w:fldCharType="end"/>
          </w:r>
          <w:r>
            <w:rPr>
              <w:rFonts w:hint="eastAsia" w:ascii="Times New Roman" w:hAnsi="Times New Roman" w:eastAsia="方正小标宋简体" w:cs="方正小标宋简体"/>
              <w:color w:val="auto"/>
              <w:highlight w:val="none"/>
            </w:rPr>
            <w:fldChar w:fldCharType="end"/>
          </w:r>
        </w:p>
        <w:p w14:paraId="5F443E6B">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_Toc588562083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rPr>
            <w:t>九、国有资本经营预算支出决算情况说明</w:t>
          </w:r>
          <w:r>
            <w:tab/>
          </w:r>
          <w:r>
            <w:fldChar w:fldCharType="begin"/>
          </w:r>
          <w:r>
            <w:instrText xml:space="preserve"> PAGEREF _Toc588562083 \h </w:instrText>
          </w:r>
          <w:r>
            <w:fldChar w:fldCharType="separate"/>
          </w:r>
          <w:r>
            <w:t>7</w:t>
          </w:r>
          <w:r>
            <w:fldChar w:fldCharType="end"/>
          </w:r>
          <w:r>
            <w:rPr>
              <w:rFonts w:hint="eastAsia" w:ascii="Times New Roman" w:hAnsi="Times New Roman" w:eastAsia="方正小标宋简体" w:cs="方正小标宋简体"/>
              <w:color w:val="auto"/>
              <w:highlight w:val="none"/>
            </w:rPr>
            <w:fldChar w:fldCharType="end"/>
          </w:r>
        </w:p>
        <w:p w14:paraId="64632A8C">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_Toc642946434 </w:instrText>
          </w:r>
          <w:r>
            <w:rPr>
              <w:rFonts w:hint="eastAsia" w:ascii="Times New Roman" w:hAnsi="Times New Roman" w:eastAsia="方正小标宋简体" w:cs="方正小标宋简体"/>
              <w:highlight w:val="none"/>
            </w:rPr>
            <w:fldChar w:fldCharType="separate"/>
          </w:r>
          <w:r>
            <w:rPr>
              <w:rFonts w:hint="eastAsia" w:ascii="Times New Roman" w:hAnsi="Times New Roman" w:eastAsia="黑体"/>
            </w:rPr>
            <w:t>十、其他重要事项的情况说明</w:t>
          </w:r>
          <w:r>
            <w:tab/>
          </w:r>
          <w:r>
            <w:fldChar w:fldCharType="begin"/>
          </w:r>
          <w:r>
            <w:instrText xml:space="preserve"> PAGEREF _Toc642946434 \h </w:instrText>
          </w:r>
          <w:r>
            <w:fldChar w:fldCharType="separate"/>
          </w:r>
          <w:r>
            <w:t>8</w:t>
          </w:r>
          <w:r>
            <w:fldChar w:fldCharType="end"/>
          </w:r>
          <w:r>
            <w:rPr>
              <w:rFonts w:hint="eastAsia" w:ascii="Times New Roman" w:hAnsi="Times New Roman" w:eastAsia="方正小标宋简体" w:cs="方正小标宋简体"/>
              <w:color w:val="auto"/>
              <w:highlight w:val="none"/>
            </w:rPr>
            <w:fldChar w:fldCharType="end"/>
          </w:r>
        </w:p>
        <w:p w14:paraId="67E3BCF4">
          <w:pPr>
            <w:pStyle w:val="15"/>
            <w:tabs>
              <w:tab w:val="right" w:leader="dot" w:pos="8306"/>
              <w:tab w:val="clear" w:pos="8296"/>
            </w:tabs>
            <w:rPr>
              <w:rFonts w:hint="eastAsia" w:eastAsia="黑体" w:cs="Times New Roman"/>
              <w:szCs w:val="44"/>
            </w:rPr>
          </w:pPr>
          <w:r>
            <w:rPr>
              <w:rFonts w:hint="eastAsia" w:eastAsia="黑体" w:cs="Times New Roman"/>
              <w:szCs w:val="44"/>
            </w:rPr>
            <w:fldChar w:fldCharType="begin"/>
          </w:r>
          <w:r>
            <w:rPr>
              <w:rFonts w:hint="eastAsia" w:eastAsia="黑体" w:cs="Times New Roman"/>
              <w:szCs w:val="44"/>
            </w:rPr>
            <w:instrText xml:space="preserve"> HYPERLINK \l _Toc1218258773 </w:instrText>
          </w:r>
          <w:r>
            <w:rPr>
              <w:rFonts w:hint="eastAsia" w:eastAsia="黑体" w:cs="Times New Roman"/>
              <w:szCs w:val="44"/>
            </w:rPr>
            <w:fldChar w:fldCharType="separate"/>
          </w:r>
          <w:r>
            <w:rPr>
              <w:rFonts w:hint="eastAsia" w:eastAsia="黑体" w:cs="Times New Roman"/>
              <w:szCs w:val="44"/>
            </w:rPr>
            <w:t>第三部分  名词解释</w:t>
          </w:r>
          <w:r>
            <w:rPr>
              <w:rFonts w:hint="eastAsia" w:eastAsia="黑体" w:cs="Times New Roman"/>
              <w:szCs w:val="44"/>
            </w:rPr>
            <w:tab/>
          </w:r>
          <w:r>
            <w:rPr>
              <w:rFonts w:hint="eastAsia" w:ascii="Times New Roman" w:hAnsi="Times New Roman" w:eastAsia="宋体" w:cs="Times New Roman"/>
              <w:kern w:val="2"/>
              <w:sz w:val="21"/>
              <w:szCs w:val="24"/>
              <w:lang w:val="en-US" w:eastAsia="zh-CN" w:bidi="ar-SA"/>
            </w:rPr>
            <w:fldChar w:fldCharType="begin"/>
          </w:r>
          <w:r>
            <w:rPr>
              <w:rFonts w:hint="eastAsia" w:ascii="Times New Roman" w:hAnsi="Times New Roman" w:eastAsia="宋体" w:cs="Times New Roman"/>
              <w:kern w:val="2"/>
              <w:sz w:val="21"/>
              <w:szCs w:val="24"/>
              <w:lang w:val="en-US" w:eastAsia="zh-CN" w:bidi="ar-SA"/>
            </w:rPr>
            <w:instrText xml:space="preserve"> PAGEREF _Toc1218258773 \h </w:instrText>
          </w:r>
          <w:r>
            <w:rPr>
              <w:rFonts w:hint="eastAsia" w:ascii="Times New Roman" w:hAnsi="Times New Roman" w:eastAsia="宋体" w:cs="Times New Roman"/>
              <w:kern w:val="2"/>
              <w:sz w:val="21"/>
              <w:szCs w:val="24"/>
              <w:lang w:val="en-US" w:eastAsia="zh-CN" w:bidi="ar-SA"/>
            </w:rPr>
            <w:fldChar w:fldCharType="separate"/>
          </w:r>
          <w:r>
            <w:rPr>
              <w:rFonts w:hint="eastAsia" w:ascii="Times New Roman" w:hAnsi="Times New Roman" w:eastAsia="宋体" w:cs="Times New Roman"/>
              <w:kern w:val="2"/>
              <w:sz w:val="21"/>
              <w:szCs w:val="24"/>
              <w:lang w:val="en-US" w:eastAsia="zh-CN" w:bidi="ar-SA"/>
            </w:rPr>
            <w:t>9</w:t>
          </w:r>
          <w:r>
            <w:rPr>
              <w:rFonts w:hint="eastAsia" w:ascii="Times New Roman" w:hAnsi="Times New Roman" w:eastAsia="宋体" w:cs="Times New Roman"/>
              <w:kern w:val="2"/>
              <w:sz w:val="21"/>
              <w:szCs w:val="24"/>
              <w:lang w:val="en-US" w:eastAsia="zh-CN" w:bidi="ar-SA"/>
            </w:rPr>
            <w:fldChar w:fldCharType="end"/>
          </w:r>
          <w:r>
            <w:rPr>
              <w:rFonts w:hint="eastAsia" w:eastAsia="黑体" w:cs="Times New Roman"/>
              <w:szCs w:val="44"/>
            </w:rPr>
            <w:fldChar w:fldCharType="end"/>
          </w:r>
        </w:p>
        <w:p w14:paraId="40F7B9DE">
          <w:pPr>
            <w:pStyle w:val="15"/>
            <w:tabs>
              <w:tab w:val="right" w:leader="dot" w:pos="8306"/>
              <w:tab w:val="clear" w:pos="8296"/>
            </w:tabs>
            <w:rPr>
              <w:rFonts w:hint="eastAsia" w:eastAsia="黑体" w:cs="Times New Roman"/>
              <w:szCs w:val="44"/>
            </w:rPr>
          </w:pPr>
          <w:r>
            <w:rPr>
              <w:rFonts w:hint="eastAsia" w:eastAsia="黑体" w:cs="Times New Roman"/>
              <w:szCs w:val="44"/>
            </w:rPr>
            <w:fldChar w:fldCharType="begin"/>
          </w:r>
          <w:r>
            <w:rPr>
              <w:rFonts w:hint="eastAsia" w:eastAsia="黑体" w:cs="Times New Roman"/>
              <w:szCs w:val="44"/>
            </w:rPr>
            <w:instrText xml:space="preserve"> HYPERLINK \l _Toc1585229837 </w:instrText>
          </w:r>
          <w:r>
            <w:rPr>
              <w:rFonts w:hint="eastAsia" w:eastAsia="黑体" w:cs="Times New Roman"/>
              <w:szCs w:val="44"/>
            </w:rPr>
            <w:fldChar w:fldCharType="separate"/>
          </w:r>
          <w:r>
            <w:rPr>
              <w:rFonts w:hint="eastAsia" w:eastAsia="黑体" w:cs="Times New Roman"/>
              <w:szCs w:val="44"/>
            </w:rPr>
            <w:t>第四部分  附件</w:t>
          </w:r>
          <w:r>
            <w:rPr>
              <w:rFonts w:hint="eastAsia" w:eastAsia="黑体" w:cs="Times New Roman"/>
              <w:szCs w:val="44"/>
            </w:rPr>
            <w:tab/>
          </w:r>
          <w:r>
            <w:rPr>
              <w:rFonts w:hint="eastAsia" w:ascii="Times New Roman" w:hAnsi="Times New Roman" w:eastAsia="宋体" w:cs="Times New Roman"/>
              <w:kern w:val="2"/>
              <w:sz w:val="21"/>
              <w:szCs w:val="24"/>
              <w:lang w:val="en-US" w:eastAsia="zh-CN" w:bidi="ar-SA"/>
            </w:rPr>
            <w:fldChar w:fldCharType="begin"/>
          </w:r>
          <w:r>
            <w:rPr>
              <w:rFonts w:hint="eastAsia" w:ascii="Times New Roman" w:hAnsi="Times New Roman" w:eastAsia="宋体" w:cs="Times New Roman"/>
              <w:kern w:val="2"/>
              <w:sz w:val="21"/>
              <w:szCs w:val="24"/>
              <w:lang w:val="en-US" w:eastAsia="zh-CN" w:bidi="ar-SA"/>
            </w:rPr>
            <w:instrText xml:space="preserve"> PAGEREF _Toc1585229837 \h </w:instrText>
          </w:r>
          <w:r>
            <w:rPr>
              <w:rFonts w:hint="eastAsia" w:ascii="Times New Roman" w:hAnsi="Times New Roman" w:eastAsia="宋体" w:cs="Times New Roman"/>
              <w:kern w:val="2"/>
              <w:sz w:val="21"/>
              <w:szCs w:val="24"/>
              <w:lang w:val="en-US" w:eastAsia="zh-CN" w:bidi="ar-SA"/>
            </w:rPr>
            <w:fldChar w:fldCharType="separate"/>
          </w:r>
          <w:r>
            <w:rPr>
              <w:rFonts w:hint="eastAsia" w:ascii="Times New Roman" w:hAnsi="Times New Roman" w:eastAsia="宋体" w:cs="Times New Roman"/>
              <w:kern w:val="2"/>
              <w:sz w:val="21"/>
              <w:szCs w:val="24"/>
              <w:lang w:val="en-US" w:eastAsia="zh-CN" w:bidi="ar-SA"/>
            </w:rPr>
            <w:t>11</w:t>
          </w:r>
          <w:r>
            <w:rPr>
              <w:rFonts w:hint="eastAsia" w:ascii="Times New Roman" w:hAnsi="Times New Roman" w:eastAsia="宋体" w:cs="Times New Roman"/>
              <w:kern w:val="2"/>
              <w:sz w:val="21"/>
              <w:szCs w:val="24"/>
              <w:lang w:val="en-US" w:eastAsia="zh-CN" w:bidi="ar-SA"/>
            </w:rPr>
            <w:fldChar w:fldCharType="end"/>
          </w:r>
          <w:r>
            <w:rPr>
              <w:rFonts w:hint="eastAsia" w:eastAsia="黑体" w:cs="Times New Roman"/>
              <w:szCs w:val="44"/>
            </w:rPr>
            <w:fldChar w:fldCharType="end"/>
          </w:r>
        </w:p>
        <w:p w14:paraId="525EC480">
          <w:pPr>
            <w:pStyle w:val="15"/>
            <w:tabs>
              <w:tab w:val="right" w:leader="dot" w:pos="8306"/>
              <w:tab w:val="clear" w:pos="8296"/>
            </w:tabs>
          </w:pPr>
          <w:r>
            <w:rPr>
              <w:rFonts w:hint="eastAsia" w:eastAsia="黑体" w:cs="Times New Roman"/>
              <w:szCs w:val="44"/>
            </w:rPr>
            <w:fldChar w:fldCharType="begin"/>
          </w:r>
          <w:r>
            <w:rPr>
              <w:rFonts w:hint="eastAsia" w:eastAsia="黑体" w:cs="Times New Roman"/>
              <w:szCs w:val="44"/>
            </w:rPr>
            <w:instrText xml:space="preserve"> HYPERLINK \l _Toc415509837 </w:instrText>
          </w:r>
          <w:r>
            <w:rPr>
              <w:rFonts w:hint="eastAsia" w:eastAsia="黑体" w:cs="Times New Roman"/>
              <w:szCs w:val="44"/>
            </w:rPr>
            <w:fldChar w:fldCharType="separate"/>
          </w:r>
          <w:r>
            <w:rPr>
              <w:rFonts w:hint="eastAsia" w:eastAsia="黑体" w:cs="Times New Roman"/>
              <w:szCs w:val="44"/>
            </w:rPr>
            <w:t>第五部分 附表</w:t>
          </w:r>
          <w:r>
            <w:rPr>
              <w:rFonts w:hint="eastAsia" w:eastAsia="黑体" w:cs="Times New Roman"/>
              <w:szCs w:val="44"/>
            </w:rPr>
            <w:tab/>
          </w:r>
          <w:r>
            <w:rPr>
              <w:rFonts w:hint="eastAsia" w:ascii="Times New Roman" w:hAnsi="Times New Roman" w:eastAsia="宋体" w:cs="Times New Roman"/>
              <w:kern w:val="2"/>
              <w:sz w:val="21"/>
              <w:szCs w:val="24"/>
              <w:lang w:val="en-US" w:eastAsia="zh-CN" w:bidi="ar-SA"/>
            </w:rPr>
            <w:fldChar w:fldCharType="begin"/>
          </w:r>
          <w:r>
            <w:rPr>
              <w:rFonts w:hint="eastAsia" w:ascii="Times New Roman" w:hAnsi="Times New Roman" w:eastAsia="宋体" w:cs="Times New Roman"/>
              <w:kern w:val="2"/>
              <w:sz w:val="21"/>
              <w:szCs w:val="24"/>
              <w:lang w:val="en-US" w:eastAsia="zh-CN" w:bidi="ar-SA"/>
            </w:rPr>
            <w:instrText xml:space="preserve"> PAGEREF _Toc415509837 \h </w:instrText>
          </w:r>
          <w:r>
            <w:rPr>
              <w:rFonts w:hint="eastAsia" w:ascii="Times New Roman" w:hAnsi="Times New Roman" w:eastAsia="宋体" w:cs="Times New Roman"/>
              <w:kern w:val="2"/>
              <w:sz w:val="21"/>
              <w:szCs w:val="24"/>
              <w:lang w:val="en-US" w:eastAsia="zh-CN" w:bidi="ar-SA"/>
            </w:rPr>
            <w:fldChar w:fldCharType="separate"/>
          </w:r>
          <w:r>
            <w:rPr>
              <w:rFonts w:hint="eastAsia" w:ascii="Times New Roman" w:hAnsi="Times New Roman" w:eastAsia="宋体" w:cs="Times New Roman"/>
              <w:kern w:val="2"/>
              <w:sz w:val="21"/>
              <w:szCs w:val="24"/>
              <w:lang w:val="en-US" w:eastAsia="zh-CN" w:bidi="ar-SA"/>
            </w:rPr>
            <w:t>32</w:t>
          </w:r>
          <w:r>
            <w:rPr>
              <w:rFonts w:hint="eastAsia" w:ascii="Times New Roman" w:hAnsi="Times New Roman" w:eastAsia="宋体" w:cs="Times New Roman"/>
              <w:kern w:val="2"/>
              <w:sz w:val="21"/>
              <w:szCs w:val="24"/>
              <w:lang w:val="en-US" w:eastAsia="zh-CN" w:bidi="ar-SA"/>
            </w:rPr>
            <w:fldChar w:fldCharType="end"/>
          </w:r>
          <w:r>
            <w:rPr>
              <w:rFonts w:hint="eastAsia" w:eastAsia="黑体" w:cs="Times New Roman"/>
              <w:szCs w:val="44"/>
            </w:rPr>
            <w:fldChar w:fldCharType="end"/>
          </w:r>
        </w:p>
        <w:p w14:paraId="6C72083A">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_Toc1313751720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一、收入支出决算总表</w:t>
          </w:r>
          <w:r>
            <w:tab/>
          </w:r>
          <w:r>
            <w:fldChar w:fldCharType="begin"/>
          </w:r>
          <w:r>
            <w:instrText xml:space="preserve"> PAGEREF _Toc1313751720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1873065B">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_Toc1128244468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二、收入决算表</w:t>
          </w:r>
          <w:r>
            <w:tab/>
          </w:r>
          <w:r>
            <w:fldChar w:fldCharType="begin"/>
          </w:r>
          <w:r>
            <w:instrText xml:space="preserve"> PAGEREF _Toc1128244468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591EC1B5">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_Toc1779753469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三、支出决算表</w:t>
          </w:r>
          <w:r>
            <w:tab/>
          </w:r>
          <w:r>
            <w:fldChar w:fldCharType="begin"/>
          </w:r>
          <w:r>
            <w:instrText xml:space="preserve"> PAGEREF _Toc1779753469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2A287ED8">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_Toc196055975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四、财政拨款收入支出决算总表</w:t>
          </w:r>
          <w:r>
            <w:tab/>
          </w:r>
          <w:r>
            <w:fldChar w:fldCharType="begin"/>
          </w:r>
          <w:r>
            <w:instrText xml:space="preserve"> PAGEREF _Toc196055975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167EFD67">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_Toc1003079773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五、财政拨款支出决算明细表</w:t>
          </w:r>
          <w:r>
            <w:tab/>
          </w:r>
          <w:r>
            <w:fldChar w:fldCharType="begin"/>
          </w:r>
          <w:r>
            <w:instrText xml:space="preserve"> PAGEREF _Toc1003079773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491E1A0C">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_Toc395559123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六、一般公共预算财政拨款支出决算表</w:t>
          </w:r>
          <w:r>
            <w:tab/>
          </w:r>
          <w:r>
            <w:fldChar w:fldCharType="begin"/>
          </w:r>
          <w:r>
            <w:instrText xml:space="preserve"> PAGEREF _Toc395559123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14A1C922">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_Toc1694085710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七、一般公共预算财政拨款支出决算明细表</w:t>
          </w:r>
          <w:r>
            <w:tab/>
          </w:r>
          <w:r>
            <w:fldChar w:fldCharType="begin"/>
          </w:r>
          <w:r>
            <w:instrText xml:space="preserve"> PAGEREF _Toc1694085710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1E484451">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_Toc1881309378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八、一般公共预算财政拨款基本支出决算表</w:t>
          </w:r>
          <w:r>
            <w:tab/>
          </w:r>
          <w:r>
            <w:fldChar w:fldCharType="begin"/>
          </w:r>
          <w:r>
            <w:instrText xml:space="preserve"> PAGEREF _Toc1881309378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5E06FEBD">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_Toc1158742070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九、一般公共预算财政拨款项目支出决算表</w:t>
          </w:r>
          <w:r>
            <w:tab/>
          </w:r>
          <w:r>
            <w:fldChar w:fldCharType="begin"/>
          </w:r>
          <w:r>
            <w:instrText xml:space="preserve"> PAGEREF _Toc1158742070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2F97EEA9">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_Toc1313820516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十、政府性基金预算财政拨款收入支出决算表</w:t>
          </w:r>
          <w:r>
            <w:tab/>
          </w:r>
          <w:r>
            <w:fldChar w:fldCharType="begin"/>
          </w:r>
          <w:r>
            <w:instrText xml:space="preserve"> PAGEREF _Toc1313820516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757A27C5">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_Toc775733710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十一、国有资本经营预算财政拨款收入支出决算表</w:t>
          </w:r>
          <w:r>
            <w:tab/>
          </w:r>
          <w:r>
            <w:fldChar w:fldCharType="begin"/>
          </w:r>
          <w:r>
            <w:instrText xml:space="preserve"> PAGEREF _Toc775733710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3D9AB768">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_Toc93953638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十二、国有资本经营预算财政拨款支出决算表</w:t>
          </w:r>
          <w:r>
            <w:tab/>
          </w:r>
          <w:r>
            <w:fldChar w:fldCharType="begin"/>
          </w:r>
          <w:r>
            <w:instrText xml:space="preserve"> PAGEREF _Toc93953638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75F7479B">
          <w:pPr>
            <w:pStyle w:val="16"/>
            <w:tabs>
              <w:tab w:val="right" w:leader="dot" w:pos="8306"/>
              <w:tab w:val="clear" w:pos="8296"/>
            </w:tabs>
          </w:pPr>
          <w:r>
            <w:rPr>
              <w:rFonts w:hint="eastAsia" w:ascii="Times New Roman" w:hAnsi="Times New Roman" w:eastAsia="方正小标宋简体" w:cs="方正小标宋简体"/>
              <w:color w:val="auto"/>
              <w:highlight w:val="none"/>
            </w:rPr>
            <w:fldChar w:fldCharType="begin"/>
          </w:r>
          <w:r>
            <w:rPr>
              <w:rFonts w:hint="eastAsia" w:ascii="Times New Roman" w:hAnsi="Times New Roman" w:eastAsia="方正小标宋简体" w:cs="方正小标宋简体"/>
              <w:highlight w:val="none"/>
            </w:rPr>
            <w:instrText xml:space="preserve"> HYPERLINK \l _Toc1144962126 </w:instrText>
          </w:r>
          <w:r>
            <w:rPr>
              <w:rFonts w:hint="eastAsia" w:ascii="Times New Roman" w:hAnsi="Times New Roman" w:eastAsia="方正小标宋简体" w:cs="方正小标宋简体"/>
              <w:highlight w:val="none"/>
            </w:rPr>
            <w:fldChar w:fldCharType="separate"/>
          </w:r>
          <w:r>
            <w:rPr>
              <w:rFonts w:hint="eastAsia" w:eastAsia="仿宋_GB2312" w:cs="仿宋_GB2312"/>
              <w:szCs w:val="32"/>
            </w:rPr>
            <w:t>十三、财政拨款“三公”经费支出决算表</w:t>
          </w:r>
          <w:r>
            <w:tab/>
          </w:r>
          <w:r>
            <w:fldChar w:fldCharType="begin"/>
          </w:r>
          <w:r>
            <w:instrText xml:space="preserve"> PAGEREF _Toc1144962126 \h </w:instrText>
          </w:r>
          <w:r>
            <w:fldChar w:fldCharType="separate"/>
          </w:r>
          <w:r>
            <w:t>32</w:t>
          </w:r>
          <w:r>
            <w:fldChar w:fldCharType="end"/>
          </w:r>
          <w:r>
            <w:rPr>
              <w:rFonts w:hint="eastAsia" w:ascii="Times New Roman" w:hAnsi="Times New Roman" w:eastAsia="方正小标宋简体" w:cs="方正小标宋简体"/>
              <w:color w:val="auto"/>
              <w:highlight w:val="none"/>
            </w:rPr>
            <w:fldChar w:fldCharType="end"/>
          </w:r>
        </w:p>
        <w:p w14:paraId="0219BCDE">
          <w:pPr>
            <w:pStyle w:val="5"/>
            <w:jc w:val="center"/>
            <w:outlineLvl w:val="9"/>
            <w:rPr>
              <w:rFonts w:hint="eastAsia" w:ascii="Times New Roman" w:hAnsi="Times New Roman" w:eastAsia="方正小标宋简体" w:cs="方正小标宋简体"/>
              <w:b/>
              <w:bCs/>
              <w:color w:val="auto"/>
              <w:kern w:val="44"/>
              <w:sz w:val="44"/>
              <w:szCs w:val="44"/>
              <w:highlight w:val="none"/>
              <w:lang w:val="en-US" w:eastAsia="zh-CN" w:bidi="ar-SA"/>
            </w:rPr>
          </w:pPr>
          <w:r>
            <w:rPr>
              <w:rFonts w:hint="eastAsia" w:ascii="Times New Roman" w:hAnsi="Times New Roman" w:eastAsia="方正小标宋简体" w:cs="方正小标宋简体"/>
              <w:color w:val="auto"/>
              <w:highlight w:val="none"/>
            </w:rPr>
            <w:fldChar w:fldCharType="end"/>
          </w:r>
        </w:p>
      </w:sdtContent>
    </w:sdt>
    <w:p w14:paraId="6724DE66">
      <w:pPr>
        <w:rPr>
          <w:rFonts w:hint="eastAsia"/>
        </w:rPr>
        <w:sectPr>
          <w:footerReference r:id="rId6" w:type="first"/>
          <w:footerReference r:id="rId5" w:type="default"/>
          <w:pgSz w:w="11906" w:h="16838"/>
          <w:pgMar w:top="1440" w:right="1800" w:bottom="1440" w:left="1800" w:header="851" w:footer="992" w:gutter="0"/>
          <w:pgNumType w:fmt="numberInDash" w:start="1"/>
          <w:cols w:space="425" w:num="1"/>
          <w:docGrid w:type="lines" w:linePitch="312" w:charSpace="0"/>
        </w:sectPr>
      </w:pPr>
    </w:p>
    <w:p w14:paraId="05B1F5A1">
      <w:pPr>
        <w:pStyle w:val="44"/>
        <w:tabs>
          <w:tab w:val="right" w:leader="dot" w:pos="8306"/>
        </w:tabs>
        <w:spacing w:line="360" w:lineRule="auto"/>
        <w:rPr>
          <w:rFonts w:ascii="Times New Roman" w:hAnsi="Times New Roman" w:eastAsia="黑体" w:cstheme="minorBidi"/>
          <w:bCs w:val="0"/>
          <w:kern w:val="0"/>
          <w:sz w:val="24"/>
          <w:szCs w:val="24"/>
          <w:highlight w:val="none"/>
          <w:lang w:eastAsia="zh-CN"/>
        </w:rPr>
      </w:pPr>
    </w:p>
    <w:p w14:paraId="027F8458">
      <w:pPr>
        <w:pStyle w:val="5"/>
        <w:keepNext/>
        <w:keepLines/>
        <w:pageBreakBefore w:val="0"/>
        <w:widowControl w:val="0"/>
        <w:kinsoku/>
        <w:wordWrap/>
        <w:overflowPunct/>
        <w:topLinePunct w:val="0"/>
        <w:autoSpaceDE/>
        <w:autoSpaceDN/>
        <w:bidi w:val="0"/>
        <w:adjustRightInd/>
        <w:snapToGrid/>
        <w:spacing w:line="579" w:lineRule="auto"/>
        <w:textAlignment w:val="auto"/>
        <w:rPr>
          <w:rFonts w:hint="eastAsia"/>
        </w:rPr>
      </w:pPr>
      <w:bookmarkStart w:id="12" w:name="_Toc551696822"/>
      <w:r>
        <w:rPr>
          <w:rFonts w:hint="eastAsia"/>
        </w:rPr>
        <w:t>第一部分  部门概况</w:t>
      </w:r>
      <w:bookmarkEnd w:id="12"/>
    </w:p>
    <w:p w14:paraId="6F16BF58">
      <w:pPr>
        <w:pStyle w:val="6"/>
        <w:keepNext/>
        <w:keepLines/>
        <w:pageBreakBefore w:val="0"/>
        <w:widowControl w:val="0"/>
        <w:numPr>
          <w:ilvl w:val="-1"/>
          <w:numId w:val="0"/>
        </w:numPr>
        <w:kinsoku/>
        <w:wordWrap/>
        <w:overflowPunct/>
        <w:topLinePunct w:val="0"/>
        <w:autoSpaceDE/>
        <w:autoSpaceDN/>
        <w:bidi w:val="0"/>
        <w:adjustRightInd/>
        <w:snapToGrid/>
        <w:spacing w:before="0" w:after="0" w:line="416" w:lineRule="auto"/>
        <w:ind w:firstLine="643" w:firstLineChars="200"/>
        <w:textAlignment w:val="auto"/>
        <w:rPr>
          <w:rFonts w:ascii="Times New Roman" w:hAnsi="Times New Roman" w:eastAsia="黑体"/>
          <w:b w:val="0"/>
        </w:rPr>
      </w:pPr>
      <w:bookmarkStart w:id="13" w:name="_Toc639886559"/>
      <w:r>
        <w:rPr>
          <w:rFonts w:hint="eastAsia" w:eastAsia="黑体"/>
          <w:sz w:val="32"/>
          <w:szCs w:val="32"/>
          <w:lang w:eastAsia="zh-CN"/>
        </w:rPr>
        <w:t>一、部门职责</w:t>
      </w:r>
      <w:bookmarkEnd w:id="13"/>
    </w:p>
    <w:p w14:paraId="7059E1C2">
      <w:pPr>
        <w:keepNext w:val="0"/>
        <w:keepLines w:val="0"/>
        <w:pageBreakBefore w:val="0"/>
        <w:widowControl w:val="0"/>
        <w:numPr>
          <w:ilvl w:val="255"/>
          <w:numId w:val="0"/>
        </w:numPr>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eastAsia="黑体"/>
        </w:rPr>
        <w:t xml:space="preserve">      </w:t>
      </w:r>
      <w:r>
        <w:rPr>
          <w:rFonts w:hint="eastAsia" w:ascii="仿宋" w:hAnsi="仿宋" w:eastAsia="仿宋"/>
          <w:bCs/>
          <w:sz w:val="32"/>
          <w:szCs w:val="32"/>
        </w:rPr>
        <w:t>贯</w:t>
      </w:r>
      <w:r>
        <w:rPr>
          <w:rFonts w:hint="eastAsia" w:ascii="Times New Roman" w:hAnsi="Times New Roman" w:eastAsia="仿宋_GB2312" w:cs="仿宋_GB2312"/>
          <w:color w:val="auto"/>
          <w:kern w:val="2"/>
          <w:sz w:val="32"/>
          <w:szCs w:val="32"/>
          <w:highlight w:val="none"/>
          <w:lang w:val="en-US" w:eastAsia="zh-CN" w:bidi="ar-SA"/>
        </w:rPr>
        <w:t>彻落实国家、省、市关于天然气资源管理和开发利用的战略、方针、政策和法律法规，</w:t>
      </w:r>
      <w:r>
        <w:rPr>
          <w:rFonts w:hint="eastAsia" w:eastAsia="仿宋_GB2312" w:cs="仿宋_GB2312"/>
          <w:color w:val="auto"/>
          <w:kern w:val="2"/>
          <w:sz w:val="32"/>
          <w:szCs w:val="32"/>
          <w:highlight w:val="none"/>
          <w:lang w:val="en-US" w:eastAsia="zh-CN" w:bidi="ar-SA"/>
        </w:rPr>
        <w:t>拟订园区</w:t>
      </w:r>
      <w:r>
        <w:rPr>
          <w:rFonts w:hint="eastAsia" w:ascii="Times New Roman" w:hAnsi="Times New Roman" w:eastAsia="仿宋_GB2312" w:cs="仿宋_GB2312"/>
          <w:color w:val="auto"/>
          <w:kern w:val="2"/>
          <w:sz w:val="32"/>
          <w:szCs w:val="32"/>
          <w:highlight w:val="none"/>
          <w:lang w:val="en-US" w:eastAsia="zh-CN" w:bidi="ar-SA"/>
        </w:rPr>
        <w:t>天然气综合利用的政策措施和管理办法并组织实施；研究提出园区天然气综合利用产业发展的总体目标和发展战略，编制天然气综合利用发展规划及其它专项规划并组织实施;支持和服务园区企业发展壮大，培育企业梯队发展，打造全产业链天然气产业集群；负责园区企业要素保障和项目协调服务等工作；协调解决园区企业运行中的困难和问题；负责企业招商引资工作，建设天然气精细化工“链主”产业，注重全产业链配套耦合发展；负责园区生态环境保护、应急管理等相关工作；完成遂潼园区临时党委、筹</w:t>
      </w:r>
      <w:bookmarkStart w:id="95" w:name="_GoBack"/>
      <w:bookmarkEnd w:id="95"/>
      <w:r>
        <w:rPr>
          <w:rFonts w:hint="eastAsia" w:ascii="Times New Roman" w:hAnsi="Times New Roman" w:eastAsia="仿宋_GB2312" w:cs="仿宋_GB2312"/>
          <w:color w:val="auto"/>
          <w:kern w:val="2"/>
          <w:sz w:val="32"/>
          <w:szCs w:val="32"/>
          <w:highlight w:val="none"/>
          <w:lang w:val="en-US" w:eastAsia="zh-CN" w:bidi="ar-SA"/>
        </w:rPr>
        <w:t>委会交办的其他任务。</w:t>
      </w:r>
    </w:p>
    <w:p w14:paraId="6B3ED4D3">
      <w:pPr>
        <w:pStyle w:val="6"/>
        <w:spacing w:before="0" w:after="0"/>
        <w:ind w:firstLine="640" w:firstLineChars="200"/>
        <w:rPr>
          <w:rStyle w:val="32"/>
          <w:rFonts w:ascii="Times New Roman" w:hAnsi="Times New Roman"/>
          <w:b w:val="0"/>
          <w:bCs w:val="0"/>
        </w:rPr>
      </w:pPr>
      <w:bookmarkStart w:id="14" w:name="_Toc15396601"/>
      <w:bookmarkStart w:id="15" w:name="_Toc15377200"/>
      <w:bookmarkStart w:id="16" w:name="_Toc674779561"/>
      <w:r>
        <w:rPr>
          <w:rFonts w:hint="eastAsia" w:ascii="Times New Roman" w:hAnsi="Times New Roman" w:eastAsia="黑体"/>
          <w:b w:val="0"/>
        </w:rPr>
        <w:t>二、机</w:t>
      </w:r>
      <w:r>
        <w:rPr>
          <w:rStyle w:val="32"/>
          <w:rFonts w:hint="eastAsia" w:ascii="Times New Roman" w:hAnsi="Times New Roman" w:eastAsia="黑体"/>
          <w:b w:val="0"/>
          <w:bCs w:val="0"/>
        </w:rPr>
        <w:t>构设置</w:t>
      </w:r>
      <w:bookmarkEnd w:id="14"/>
      <w:bookmarkEnd w:id="15"/>
      <w:bookmarkEnd w:id="16"/>
    </w:p>
    <w:p w14:paraId="65D2FA8A">
      <w:pPr>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遂潼天然气综合利用产业园下设综合部、规划建设部、招商引资部三个办公室，无下属二级预算单位。</w:t>
      </w:r>
    </w:p>
    <w:p w14:paraId="764A8E00">
      <w:pPr>
        <w:keepNext w:val="0"/>
        <w:keepLines w:val="0"/>
        <w:pageBreakBefore w:val="0"/>
        <w:widowControl w:val="0"/>
        <w:numPr>
          <w:ilvl w:val="255"/>
          <w:numId w:val="0"/>
        </w:numPr>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2"/>
          <w:sz w:val="32"/>
          <w:szCs w:val="32"/>
          <w:highlight w:val="none"/>
          <w:lang w:val="en-US" w:eastAsia="zh-CN" w:bidi="ar-SA"/>
        </w:rPr>
      </w:pPr>
    </w:p>
    <w:p w14:paraId="622013F5">
      <w:pPr>
        <w:pStyle w:val="5"/>
        <w:jc w:val="center"/>
        <w:outlineLvl w:val="9"/>
        <w:rPr>
          <w:rFonts w:hint="eastAsia" w:eastAsia="方正小标宋简体" w:cs="方正小标宋简体"/>
          <w:b w:val="0"/>
        </w:rPr>
      </w:pPr>
      <w:bookmarkStart w:id="17" w:name="_Toc15377204"/>
      <w:bookmarkStart w:id="18" w:name="_Toc15396602"/>
    </w:p>
    <w:p w14:paraId="7A8FA09E">
      <w:pPr>
        <w:pStyle w:val="5"/>
        <w:jc w:val="center"/>
        <w:rPr>
          <w:rFonts w:eastAsia="方正小标宋简体" w:cs="方正小标宋简体"/>
          <w:b w:val="0"/>
        </w:rPr>
      </w:pPr>
      <w:bookmarkStart w:id="19" w:name="_Toc106429108"/>
      <w:r>
        <w:rPr>
          <w:rFonts w:hint="eastAsia" w:eastAsia="方正小标宋简体" w:cs="方正小标宋简体"/>
          <w:b w:val="0"/>
        </w:rPr>
        <w:t>第二部分  2024年度部门决算情况说明</w:t>
      </w:r>
      <w:bookmarkEnd w:id="17"/>
      <w:bookmarkEnd w:id="18"/>
      <w:bookmarkEnd w:id="19"/>
    </w:p>
    <w:p w14:paraId="3D6C45D0"/>
    <w:p w14:paraId="6539F37A">
      <w:pPr>
        <w:pStyle w:val="30"/>
        <w:spacing w:line="600" w:lineRule="exact"/>
        <w:ind w:firstLine="640"/>
        <w:outlineLvl w:val="1"/>
        <w:rPr>
          <w:rStyle w:val="32"/>
          <w:rFonts w:ascii="Times New Roman" w:hAnsi="Times New Roman" w:eastAsia="黑体"/>
          <w:b w:val="0"/>
        </w:rPr>
      </w:pPr>
      <w:bookmarkStart w:id="20" w:name="_Toc15377205"/>
      <w:bookmarkStart w:id="21" w:name="_Toc15396603"/>
      <w:bookmarkStart w:id="22" w:name="_Toc1881561474"/>
      <w:r>
        <w:rPr>
          <w:rFonts w:hint="eastAsia" w:eastAsia="黑体"/>
          <w:sz w:val="32"/>
          <w:szCs w:val="32"/>
        </w:rPr>
        <w:t>一、收</w:t>
      </w:r>
      <w:r>
        <w:rPr>
          <w:rStyle w:val="32"/>
          <w:rFonts w:hint="eastAsia" w:ascii="Times New Roman" w:hAnsi="Times New Roman" w:eastAsia="黑体"/>
          <w:b w:val="0"/>
        </w:rPr>
        <w:t>入支出决算总体情况说明</w:t>
      </w:r>
      <w:bookmarkEnd w:id="20"/>
      <w:bookmarkEnd w:id="21"/>
      <w:bookmarkEnd w:id="22"/>
    </w:p>
    <w:p w14:paraId="1184E037">
      <w:pPr>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2024年度收入、支出总计均为512.17万元。与2023年度相比，收入、支出总计各增加502.44万元，增长5163.82%。主要变动原因是园区田园综合体项目建设费用增加。</w:t>
      </w:r>
    </w:p>
    <w:p w14:paraId="77338C55">
      <w:pPr>
        <w:keepNext w:val="0"/>
        <w:keepLines w:val="0"/>
        <w:pageBreakBefore w:val="0"/>
        <w:widowControl w:val="0"/>
        <w:numPr>
          <w:ilvl w:val="255"/>
          <w:numId w:val="0"/>
        </w:numPr>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0288" behindDoc="0" locked="0" layoutInCell="1" allowOverlap="1">
            <wp:simplePos x="0" y="0"/>
            <wp:positionH relativeFrom="column">
              <wp:posOffset>478155</wp:posOffset>
            </wp:positionH>
            <wp:positionV relativeFrom="paragraph">
              <wp:posOffset>527685</wp:posOffset>
            </wp:positionV>
            <wp:extent cx="4826000" cy="2743200"/>
            <wp:effectExtent l="4445" t="4445" r="825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13F52AF4">
      <w:pPr>
        <w:ind w:firstLine="640" w:firstLineChars="200"/>
        <w:rPr>
          <w:rFonts w:eastAsia="仿宋_GB2312" w:cs="仿宋_GB2312"/>
          <w:sz w:val="32"/>
          <w:szCs w:val="32"/>
          <w:highlight w:val="yellow"/>
        </w:rPr>
      </w:pPr>
      <w:r>
        <w:rPr>
          <w:rFonts w:hint="eastAsia" w:eastAsia="仿宋_GB2312" w:cs="仿宋_GB2312"/>
          <w:sz w:val="32"/>
          <w:szCs w:val="32"/>
        </w:rPr>
        <w:t>（图</w:t>
      </w:r>
      <w:r>
        <w:rPr>
          <w:rFonts w:hint="eastAsia" w:ascii="方正仿宋_GBK" w:hAnsi="方正仿宋_GBK" w:eastAsia="方正仿宋_GBK" w:cs="方正仿宋_GBK"/>
          <w:sz w:val="32"/>
          <w:szCs w:val="32"/>
        </w:rPr>
        <w:t>1：</w:t>
      </w:r>
      <w:r>
        <w:rPr>
          <w:rFonts w:hint="eastAsia" w:eastAsia="仿宋_GB2312" w:cs="仿宋_GB2312"/>
          <w:sz w:val="32"/>
          <w:szCs w:val="32"/>
        </w:rPr>
        <w:t>收入、支出决算总计变动情况图）</w:t>
      </w:r>
    </w:p>
    <w:p w14:paraId="5D5BFB84">
      <w:pPr>
        <w:pStyle w:val="30"/>
        <w:spacing w:line="600" w:lineRule="exact"/>
        <w:ind w:firstLine="640"/>
        <w:outlineLvl w:val="1"/>
        <w:rPr>
          <w:rFonts w:eastAsia="黑体"/>
          <w:sz w:val="32"/>
          <w:szCs w:val="32"/>
        </w:rPr>
      </w:pPr>
      <w:bookmarkStart w:id="23" w:name="_Toc15377206"/>
      <w:bookmarkStart w:id="24" w:name="_Toc15396604"/>
      <w:bookmarkStart w:id="25" w:name="_Toc374069440"/>
      <w:r>
        <w:rPr>
          <w:rFonts w:hint="eastAsia" w:eastAsia="黑体"/>
          <w:sz w:val="32"/>
          <w:szCs w:val="32"/>
        </w:rPr>
        <w:t>二、收入决算情况说明</w:t>
      </w:r>
      <w:bookmarkEnd w:id="23"/>
      <w:bookmarkEnd w:id="24"/>
      <w:bookmarkEnd w:id="25"/>
    </w:p>
    <w:p w14:paraId="3C3C11E4">
      <w:pPr>
        <w:keepNext w:val="0"/>
        <w:keepLines w:val="0"/>
        <w:pageBreakBefore w:val="0"/>
        <w:widowControl w:val="0"/>
        <w:numPr>
          <w:ilvl w:val="255"/>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2024年度本年收入合计512.17万元，其中：一般公共预算财政拨款收入512.17万元，占100%。</w:t>
      </w:r>
    </w:p>
    <w:p w14:paraId="39454975">
      <w:pPr>
        <w:jc w:val="center"/>
        <w:rPr>
          <w:rFonts w:eastAsia="仿宋_GB2312" w:cs="仿宋_GB2312"/>
          <w:sz w:val="32"/>
          <w:szCs w:val="32"/>
        </w:rPr>
      </w:pPr>
      <w:r>
        <w:drawing>
          <wp:anchor distT="0" distB="0" distL="114300" distR="114300" simplePos="0" relativeHeight="251662336" behindDoc="0" locked="0" layoutInCell="1" allowOverlap="1">
            <wp:simplePos x="0" y="0"/>
            <wp:positionH relativeFrom="column">
              <wp:posOffset>185420</wp:posOffset>
            </wp:positionH>
            <wp:positionV relativeFrom="page">
              <wp:posOffset>898525</wp:posOffset>
            </wp:positionV>
            <wp:extent cx="4826000" cy="2743200"/>
            <wp:effectExtent l="4445" t="4445" r="8255" b="14605"/>
            <wp:wrapTopAndBottom/>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w:t>
      </w:r>
      <w:r>
        <w:rPr>
          <w:rFonts w:hint="eastAsia" w:ascii="方正仿宋_GBK" w:hAnsi="方正仿宋_GBK" w:eastAsia="方正仿宋_GBK" w:cs="方正仿宋_GBK"/>
          <w:sz w:val="32"/>
          <w:szCs w:val="32"/>
        </w:rPr>
        <w:t>图2：</w:t>
      </w:r>
      <w:r>
        <w:rPr>
          <w:rFonts w:hint="eastAsia" w:eastAsia="仿宋_GB2312" w:cs="仿宋_GB2312"/>
          <w:sz w:val="32"/>
          <w:szCs w:val="32"/>
        </w:rPr>
        <w:t>收入决算结构图）</w:t>
      </w:r>
    </w:p>
    <w:p w14:paraId="0605BC7D">
      <w:pPr>
        <w:pStyle w:val="30"/>
        <w:spacing w:line="600" w:lineRule="exact"/>
        <w:ind w:firstLine="640"/>
        <w:outlineLvl w:val="1"/>
        <w:rPr>
          <w:rStyle w:val="32"/>
          <w:rFonts w:ascii="Times New Roman" w:hAnsi="Times New Roman" w:eastAsia="黑体"/>
          <w:b w:val="0"/>
        </w:rPr>
      </w:pPr>
      <w:bookmarkStart w:id="26" w:name="_Toc143441672"/>
      <w:bookmarkStart w:id="27" w:name="_Toc15377207"/>
      <w:bookmarkStart w:id="28" w:name="_Toc15396605"/>
      <w:r>
        <w:rPr>
          <w:rFonts w:hint="eastAsia" w:eastAsia="黑体"/>
          <w:sz w:val="32"/>
          <w:szCs w:val="32"/>
        </w:rPr>
        <w:t>三、支</w:t>
      </w:r>
      <w:r>
        <w:rPr>
          <w:rStyle w:val="32"/>
          <w:rFonts w:hint="eastAsia" w:ascii="Times New Roman" w:hAnsi="Times New Roman" w:eastAsia="黑体"/>
          <w:b w:val="0"/>
        </w:rPr>
        <w:t>出决算情况说明</w:t>
      </w:r>
      <w:bookmarkEnd w:id="26"/>
      <w:bookmarkEnd w:id="27"/>
      <w:bookmarkEnd w:id="28"/>
    </w:p>
    <w:p w14:paraId="56C65731">
      <w:pPr>
        <w:pStyle w:val="30"/>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2024年度本年支出合计512.17万元，项目支出512.17万元，占100%。</w:t>
      </w:r>
    </w:p>
    <w:p w14:paraId="3BE6B1FF">
      <w:pPr>
        <w:pStyle w:val="30"/>
        <w:spacing w:line="600" w:lineRule="exact"/>
        <w:jc w:val="center"/>
        <w:outlineLvl w:val="9"/>
        <w:rPr>
          <w:rFonts w:eastAsia="仿宋_GB2312" w:cs="仿宋_GB2312"/>
          <w:sz w:val="32"/>
          <w:szCs w:val="32"/>
        </w:rPr>
      </w:pPr>
      <w:r>
        <w:drawing>
          <wp:anchor distT="0" distB="0" distL="114300" distR="114300" simplePos="0" relativeHeight="251663360" behindDoc="0" locked="0" layoutInCell="1" allowOverlap="1">
            <wp:simplePos x="0" y="0"/>
            <wp:positionH relativeFrom="column">
              <wp:posOffset>245745</wp:posOffset>
            </wp:positionH>
            <wp:positionV relativeFrom="page">
              <wp:posOffset>5575300</wp:posOffset>
            </wp:positionV>
            <wp:extent cx="4826000" cy="2743200"/>
            <wp:effectExtent l="4445" t="4445" r="8255" b="14605"/>
            <wp:wrapTopAndBottom/>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仿宋_GB2312" w:cs="仿宋_GB2312"/>
          <w:sz w:val="32"/>
          <w:szCs w:val="32"/>
        </w:rPr>
        <w:t>（</w:t>
      </w:r>
      <w:r>
        <w:rPr>
          <w:rFonts w:hint="eastAsia" w:ascii="方正仿宋_GBK" w:hAnsi="方正仿宋_GBK" w:eastAsia="方正仿宋_GBK" w:cs="方正仿宋_GBK"/>
          <w:sz w:val="32"/>
          <w:szCs w:val="32"/>
        </w:rPr>
        <w:t>图3：</w:t>
      </w:r>
      <w:r>
        <w:rPr>
          <w:rFonts w:hint="eastAsia" w:eastAsia="仿宋_GB2312" w:cs="仿宋_GB2312"/>
          <w:sz w:val="32"/>
          <w:szCs w:val="32"/>
        </w:rPr>
        <w:t>支出决算结构图）</w:t>
      </w:r>
    </w:p>
    <w:p w14:paraId="70846CF2">
      <w:pPr>
        <w:spacing w:line="600" w:lineRule="exact"/>
        <w:ind w:firstLine="640" w:firstLineChars="200"/>
        <w:outlineLvl w:val="1"/>
        <w:rPr>
          <w:rStyle w:val="32"/>
          <w:rFonts w:ascii="Times New Roman" w:hAnsi="Times New Roman" w:eastAsia="黑体"/>
          <w:b w:val="0"/>
        </w:rPr>
      </w:pPr>
      <w:bookmarkStart w:id="29" w:name="_Toc338075861"/>
      <w:bookmarkStart w:id="30" w:name="_Toc15377208"/>
      <w:bookmarkStart w:id="31" w:name="_Toc15396606"/>
      <w:r>
        <w:rPr>
          <w:rFonts w:hint="eastAsia" w:eastAsia="黑体"/>
          <w:sz w:val="32"/>
          <w:szCs w:val="32"/>
        </w:rPr>
        <w:t>四、财</w:t>
      </w:r>
      <w:r>
        <w:rPr>
          <w:rStyle w:val="32"/>
          <w:rFonts w:hint="eastAsia" w:ascii="Times New Roman" w:hAnsi="Times New Roman" w:eastAsia="黑体"/>
          <w:b w:val="0"/>
        </w:rPr>
        <w:t>政拨款收入支出决算总体情况说明</w:t>
      </w:r>
      <w:bookmarkEnd w:id="29"/>
      <w:bookmarkEnd w:id="30"/>
      <w:bookmarkEnd w:id="31"/>
    </w:p>
    <w:p w14:paraId="44C7274C">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2024年度财政拨款收入、支出总计均为512.17万元。与2023年度相比，收入、支出总计各增加502.44万元，增长5163.82%。主要变动原因是园区田园综合体项目建设费用。</w:t>
      </w: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4384" behindDoc="0" locked="0" layoutInCell="1" allowOverlap="1">
            <wp:simplePos x="0" y="0"/>
            <wp:positionH relativeFrom="column">
              <wp:posOffset>90170</wp:posOffset>
            </wp:positionH>
            <wp:positionV relativeFrom="page">
              <wp:posOffset>1728470</wp:posOffset>
            </wp:positionV>
            <wp:extent cx="4826000" cy="2743200"/>
            <wp:effectExtent l="4445" t="4445" r="8255" b="14605"/>
            <wp:wrapTopAndBottom/>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EFA910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78BAED0D">
      <w:pPr>
        <w:spacing w:line="600" w:lineRule="exact"/>
        <w:ind w:firstLine="640" w:firstLineChars="200"/>
        <w:outlineLvl w:val="1"/>
        <w:rPr>
          <w:rStyle w:val="32"/>
          <w:rFonts w:ascii="Times New Roman" w:hAnsi="Times New Roman" w:eastAsia="黑体"/>
          <w:b w:val="0"/>
        </w:rPr>
      </w:pPr>
      <w:bookmarkStart w:id="32" w:name="_Toc15377209"/>
      <w:bookmarkStart w:id="33" w:name="_Toc1001012407"/>
      <w:bookmarkStart w:id="34" w:name="_Toc15396607"/>
      <w:r>
        <w:rPr>
          <w:rFonts w:hint="eastAsia" w:eastAsia="黑体"/>
          <w:sz w:val="32"/>
          <w:szCs w:val="32"/>
        </w:rPr>
        <w:t>五、</w:t>
      </w:r>
      <w:r>
        <w:rPr>
          <w:rFonts w:hint="eastAsia" w:eastAsia="黑体"/>
          <w:b/>
          <w:sz w:val="32"/>
          <w:szCs w:val="32"/>
        </w:rPr>
        <w:t>一</w:t>
      </w:r>
      <w:r>
        <w:rPr>
          <w:rStyle w:val="32"/>
          <w:rFonts w:hint="eastAsia" w:ascii="Times New Roman" w:hAnsi="Times New Roman" w:eastAsia="黑体"/>
          <w:b w:val="0"/>
        </w:rPr>
        <w:t>般公共预算财政拨款支出决算情况说明</w:t>
      </w:r>
      <w:bookmarkEnd w:id="32"/>
      <w:bookmarkEnd w:id="33"/>
      <w:bookmarkEnd w:id="34"/>
    </w:p>
    <w:p w14:paraId="1A82D0C3">
      <w:pPr>
        <w:spacing w:line="600" w:lineRule="exact"/>
        <w:ind w:firstLine="643" w:firstLineChars="200"/>
        <w:outlineLvl w:val="2"/>
        <w:rPr>
          <w:rFonts w:eastAsia="楷体_GB2312" w:cs="楷体_GB2312"/>
          <w:b/>
          <w:sz w:val="32"/>
          <w:szCs w:val="32"/>
        </w:rPr>
      </w:pPr>
      <w:bookmarkStart w:id="35" w:name="_Toc15377210"/>
      <w:r>
        <w:rPr>
          <w:rFonts w:hint="eastAsia" w:eastAsia="楷体_GB2312" w:cs="楷体_GB2312"/>
          <w:b/>
          <w:sz w:val="32"/>
          <w:szCs w:val="32"/>
        </w:rPr>
        <w:t>（一）一般公共预算财政拨款支出决算总体情况</w:t>
      </w:r>
      <w:bookmarkEnd w:id="35"/>
    </w:p>
    <w:p w14:paraId="7261F15D">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5408" behindDoc="0" locked="0" layoutInCell="1" allowOverlap="1">
            <wp:simplePos x="0" y="0"/>
            <wp:positionH relativeFrom="column">
              <wp:posOffset>285115</wp:posOffset>
            </wp:positionH>
            <wp:positionV relativeFrom="paragraph">
              <wp:posOffset>1550035</wp:posOffset>
            </wp:positionV>
            <wp:extent cx="4826000" cy="2146300"/>
            <wp:effectExtent l="4445" t="4445" r="8255" b="2095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2024年度一般公共预算财政拨款支出512.17万元，占本年支出合计的100%。与2023年度相比，一般公共预算财政拨款支出增加502.44万元，增长5163.82%。主要变动原因是园区田园综合体项目建设费用增加。</w:t>
      </w:r>
    </w:p>
    <w:p w14:paraId="2F31BC58">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1A7D9C6D">
      <w:pPr>
        <w:spacing w:line="600" w:lineRule="exact"/>
        <w:ind w:firstLine="643" w:firstLineChars="200"/>
        <w:outlineLvl w:val="2"/>
        <w:rPr>
          <w:rFonts w:eastAsia="楷体_GB2312" w:cs="楷体_GB2312"/>
          <w:b/>
          <w:sz w:val="32"/>
          <w:szCs w:val="32"/>
        </w:rPr>
      </w:pPr>
      <w:bookmarkStart w:id="36" w:name="_Toc15377211"/>
      <w:r>
        <w:rPr>
          <w:rFonts w:hint="eastAsia" w:eastAsia="楷体_GB2312" w:cs="楷体_GB2312"/>
          <w:b/>
          <w:sz w:val="32"/>
          <w:szCs w:val="32"/>
        </w:rPr>
        <w:t>（二）一般公共预算财政拨款支出决算结构情况</w:t>
      </w:r>
      <w:bookmarkEnd w:id="36"/>
    </w:p>
    <w:p w14:paraId="5D126DCE">
      <w:pPr>
        <w:spacing w:line="600" w:lineRule="exact"/>
        <w:ind w:firstLine="640"/>
        <w:rPr>
          <w:rFonts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drawing>
          <wp:anchor distT="0" distB="0" distL="114300" distR="114300" simplePos="0" relativeHeight="251666432" behindDoc="0" locked="0" layoutInCell="1" allowOverlap="1">
            <wp:simplePos x="0" y="0"/>
            <wp:positionH relativeFrom="column">
              <wp:posOffset>441960</wp:posOffset>
            </wp:positionH>
            <wp:positionV relativeFrom="page">
              <wp:posOffset>2599055</wp:posOffset>
            </wp:positionV>
            <wp:extent cx="4481195" cy="3407410"/>
            <wp:effectExtent l="4445" t="4445" r="10160" b="17145"/>
            <wp:wrapTopAndBottom/>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2024年</w:t>
      </w:r>
      <w:r>
        <w:rPr>
          <w:rFonts w:hint="eastAsia" w:ascii="方正仿宋_GBK" w:hAnsi="方正仿宋_GBK" w:eastAsia="方正仿宋_GBK" w:cs="方正仿宋_GBK"/>
          <w:sz w:val="32"/>
          <w:szCs w:val="32"/>
        </w:rPr>
        <w:t>度一般公共预算财政拨款支出512.17万元，主要用于以下方面：一般公共服务支出512.17万元，占100%。</w:t>
      </w:r>
    </w:p>
    <w:p w14:paraId="7416F268">
      <w:pPr>
        <w:spacing w:line="600" w:lineRule="exact"/>
        <w:ind w:firstLine="640" w:firstLineChars="200"/>
        <w:outlineLvl w:val="2"/>
        <w:rPr>
          <w:rFonts w:hint="eastAsia" w:eastAsia="楷体_GB2312" w:cs="楷体_GB2312"/>
          <w:b/>
          <w:sz w:val="32"/>
          <w:szCs w:val="32"/>
        </w:rPr>
      </w:pPr>
      <w:bookmarkStart w:id="37" w:name="_Toc15377212"/>
      <w:r>
        <w:rPr>
          <w:rFonts w:hint="eastAsia" w:eastAsia="仿宋_GB2312" w:cs="仿宋_GB2312"/>
          <w:sz w:val="32"/>
          <w:szCs w:val="32"/>
        </w:rPr>
        <w:t>（</w:t>
      </w:r>
      <w:r>
        <w:rPr>
          <w:rFonts w:hint="eastAsia" w:ascii="方正仿宋_GBK" w:hAnsi="方正仿宋_GBK" w:eastAsia="方正仿宋_GBK" w:cs="方正仿宋_GBK"/>
          <w:sz w:val="32"/>
          <w:szCs w:val="32"/>
        </w:rPr>
        <w:t>图6：</w:t>
      </w:r>
      <w:r>
        <w:rPr>
          <w:rFonts w:hint="eastAsia" w:eastAsia="仿宋_GB2312" w:cs="仿宋_GB2312"/>
          <w:sz w:val="32"/>
          <w:szCs w:val="32"/>
        </w:rPr>
        <w:t>一般公共预算财政拨款支出决算结构）</w:t>
      </w:r>
    </w:p>
    <w:p w14:paraId="11582A09">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（三）一般公共预算财政拨款支出决算具体情况</w:t>
      </w:r>
      <w:bookmarkEnd w:id="37"/>
    </w:p>
    <w:p w14:paraId="5A87C92F">
      <w:pPr>
        <w:numPr>
          <w:ilvl w:val="255"/>
          <w:numId w:val="0"/>
        </w:numPr>
        <w:spacing w:line="600" w:lineRule="exact"/>
        <w:ind w:firstLine="640" w:firstLineChars="200"/>
        <w:rPr>
          <w:rFonts w:hint="eastAsia" w:ascii="Times New Roman" w:hAnsi="Times New Roman" w:eastAsia="仿宋_GB2312" w:cs="仿宋_GB2312"/>
          <w:sz w:val="32"/>
          <w:szCs w:val="32"/>
        </w:rPr>
      </w:pPr>
      <w:bookmarkStart w:id="38" w:name="_Toc15378460"/>
      <w:bookmarkStart w:id="39" w:name="_Toc15377444"/>
      <w:bookmarkStart w:id="40" w:name="_Toc15377213"/>
      <w:r>
        <w:rPr>
          <w:rFonts w:hint="eastAsia" w:ascii="Times New Roman" w:hAnsi="Times New Roman" w:eastAsia="仿宋_GB2312" w:cs="仿宋_GB2312"/>
          <w:sz w:val="32"/>
          <w:szCs w:val="32"/>
        </w:rPr>
        <w:t>2024年度一般公共预算支出决算数为512.17，完成预算100%。其中：</w:t>
      </w:r>
      <w:bookmarkEnd w:id="38"/>
      <w:bookmarkEnd w:id="39"/>
      <w:bookmarkEnd w:id="40"/>
    </w:p>
    <w:p w14:paraId="04722611">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1.一般公共服务（类）政府办公厅（室）及相关机构事务（款）其他政府办公厅（室）及相关机构事务支出（项）：支出决算为9.54万元，完成预算100%，决算数与预算数持平。</w:t>
      </w:r>
    </w:p>
    <w:p w14:paraId="51DCEA7C">
      <w:pPr>
        <w:numPr>
          <w:ilvl w:val="255"/>
          <w:numId w:val="0"/>
        </w:numPr>
        <w:spacing w:line="600" w:lineRule="exact"/>
        <w:ind w:firstLine="640" w:firstLineChars="200"/>
        <w:rPr>
          <w:rFonts w:hint="eastAsia" w:ascii="仿宋_GB2312" w:hAnsi="仿宋_GB2312" w:eastAsia="仿宋_GB2312" w:cs="仿宋_GB2312"/>
          <w:sz w:val="32"/>
        </w:rPr>
      </w:pPr>
      <w:r>
        <w:rPr>
          <w:rFonts w:hint="eastAsia" w:ascii="Times New Roman" w:hAnsi="Times New Roman" w:eastAsia="仿宋_GB2312" w:cs="仿宋_GB2312"/>
          <w:sz w:val="32"/>
          <w:szCs w:val="32"/>
        </w:rPr>
        <w:t>2.农林水支出（类）巩固脱贫攻坚成果衔接乡村振兴（款）其他巩固脱贫攻坚成果衔接乡村振兴支出（项）: 支出决算</w:t>
      </w:r>
      <w:r>
        <w:rPr>
          <w:rFonts w:hint="eastAsia" w:ascii="方正仿宋_GBK" w:hAnsi="方正仿宋_GBK" w:eastAsia="方正仿宋_GBK" w:cs="方正仿宋_GBK"/>
          <w:sz w:val="32"/>
          <w:szCs w:val="32"/>
        </w:rPr>
        <w:t>为502.63万元，完成预算100%，</w:t>
      </w:r>
      <w:r>
        <w:rPr>
          <w:rFonts w:hint="eastAsia" w:ascii="仿宋_GB2312" w:hAnsi="仿宋_GB2312" w:eastAsia="仿宋_GB2312" w:cs="仿宋_GB2312"/>
          <w:sz w:val="32"/>
        </w:rPr>
        <w:t>决算数与预算数持平。</w:t>
      </w:r>
    </w:p>
    <w:p w14:paraId="75E6DAFA">
      <w:pPr>
        <w:tabs>
          <w:tab w:val="right" w:pos="8306"/>
        </w:tabs>
        <w:spacing w:line="600" w:lineRule="exact"/>
        <w:ind w:firstLine="640"/>
        <w:outlineLvl w:val="1"/>
        <w:rPr>
          <w:rStyle w:val="32"/>
          <w:rFonts w:ascii="Times New Roman" w:hAnsi="Times New Roman"/>
        </w:rPr>
      </w:pPr>
      <w:bookmarkStart w:id="41" w:name="_Toc15377214"/>
      <w:bookmarkStart w:id="42" w:name="_Toc747447240"/>
      <w:bookmarkStart w:id="43" w:name="_Toc15396608"/>
      <w:r>
        <w:rPr>
          <w:rFonts w:hint="eastAsia" w:eastAsia="黑体"/>
          <w:sz w:val="32"/>
          <w:szCs w:val="32"/>
        </w:rPr>
        <w:t>六</w:t>
      </w:r>
      <w:r>
        <w:rPr>
          <w:rFonts w:hint="eastAsia" w:eastAsia="黑体"/>
          <w:b/>
          <w:sz w:val="32"/>
          <w:szCs w:val="32"/>
        </w:rPr>
        <w:t>、一</w:t>
      </w:r>
      <w:r>
        <w:rPr>
          <w:rStyle w:val="32"/>
          <w:rFonts w:hint="eastAsia" w:ascii="Times New Roman" w:hAnsi="Times New Roman" w:eastAsia="黑体"/>
          <w:b w:val="0"/>
        </w:rPr>
        <w:t>般公共预算财政拨款基本支出决算情况说明</w:t>
      </w:r>
      <w:bookmarkEnd w:id="41"/>
      <w:bookmarkEnd w:id="42"/>
      <w:bookmarkEnd w:id="43"/>
      <w:r>
        <w:rPr>
          <w:rStyle w:val="32"/>
          <w:rFonts w:ascii="Times New Roman" w:hAnsi="Times New Roman" w:eastAsia="黑体"/>
          <w:b w:val="0"/>
        </w:rPr>
        <w:tab/>
      </w:r>
    </w:p>
    <w:p w14:paraId="6B59CB30">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2024年度一般公共预算财政拨款基本支出0万元，其中：</w:t>
      </w:r>
    </w:p>
    <w:p w14:paraId="0F4FA570">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人员经费0万元。</w:t>
      </w:r>
      <w:r>
        <w:rPr>
          <w:rFonts w:hint="eastAsia" w:ascii="Times New Roman" w:hAnsi="Times New Roman" w:eastAsia="仿宋_GB2312" w:cs="仿宋_GB2312"/>
          <w:sz w:val="32"/>
          <w:szCs w:val="32"/>
        </w:rPr>
        <w:br w:type="textWrapping"/>
      </w:r>
      <w:r>
        <w:rPr>
          <w:rFonts w:hint="eastAsia" w:ascii="Times New Roman" w:hAnsi="Times New Roman" w:eastAsia="仿宋_GB2312" w:cs="仿宋_GB2312"/>
          <w:sz w:val="32"/>
          <w:szCs w:val="32"/>
        </w:rPr>
        <w:t>　　公用经费0万元。</w:t>
      </w:r>
    </w:p>
    <w:p w14:paraId="48E304B0">
      <w:pPr>
        <w:spacing w:line="600" w:lineRule="exact"/>
        <w:ind w:firstLine="640"/>
        <w:outlineLvl w:val="1"/>
        <w:rPr>
          <w:rStyle w:val="32"/>
          <w:rFonts w:ascii="Times New Roman" w:hAnsi="Times New Roman" w:eastAsia="黑体"/>
          <w:b w:val="0"/>
        </w:rPr>
      </w:pPr>
      <w:bookmarkStart w:id="44" w:name="_Toc15377215"/>
      <w:bookmarkStart w:id="45" w:name="_Toc15396609"/>
      <w:bookmarkStart w:id="46" w:name="_Toc94680353"/>
      <w:r>
        <w:rPr>
          <w:rFonts w:hint="eastAsia" w:eastAsia="黑体"/>
          <w:sz w:val="32"/>
          <w:szCs w:val="32"/>
        </w:rPr>
        <w:t>七、</w:t>
      </w:r>
      <w:r>
        <w:rPr>
          <w:rStyle w:val="32"/>
          <w:rFonts w:hint="eastAsia" w:ascii="Times New Roman" w:hAnsi="Times New Roman" w:eastAsia="黑体"/>
          <w:b w:val="0"/>
        </w:rPr>
        <w:t>财政拨款</w:t>
      </w:r>
      <w:r>
        <w:rPr>
          <w:rStyle w:val="32"/>
          <w:rFonts w:hint="eastAsia" w:ascii="Times New Roman" w:hAnsi="Times New Roman" w:eastAsia="黑体"/>
        </w:rPr>
        <w:t>“</w:t>
      </w:r>
      <w:r>
        <w:rPr>
          <w:rStyle w:val="32"/>
          <w:rFonts w:hint="eastAsia" w:ascii="Times New Roman" w:hAnsi="Times New Roman" w:eastAsia="黑体"/>
          <w:b w:val="0"/>
        </w:rPr>
        <w:t>三公”经费支出决算情况说明</w:t>
      </w:r>
      <w:bookmarkEnd w:id="44"/>
      <w:bookmarkEnd w:id="45"/>
      <w:bookmarkEnd w:id="46"/>
    </w:p>
    <w:p w14:paraId="12041350">
      <w:pPr>
        <w:spacing w:line="600" w:lineRule="exact"/>
        <w:ind w:firstLine="643" w:firstLineChars="200"/>
        <w:outlineLvl w:val="2"/>
        <w:rPr>
          <w:rFonts w:eastAsia="楷体_GB2312" w:cs="楷体_GB2312"/>
          <w:b/>
          <w:sz w:val="32"/>
          <w:szCs w:val="32"/>
        </w:rPr>
      </w:pPr>
      <w:bookmarkStart w:id="47" w:name="_Toc15377216"/>
      <w:r>
        <w:rPr>
          <w:rFonts w:hint="eastAsia" w:eastAsia="楷体_GB2312" w:cs="楷体_GB2312"/>
          <w:b/>
          <w:sz w:val="32"/>
          <w:szCs w:val="32"/>
        </w:rPr>
        <w:t>（一）“三公”经费财政拨款支出决算总体情况说明</w:t>
      </w:r>
      <w:bookmarkEnd w:id="47"/>
    </w:p>
    <w:p w14:paraId="67B8D100">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2024年度“三公”经费财政拨款支出决算为0万元，完成预算100%，与2023年持平。决算数与预算数持平。</w:t>
      </w:r>
    </w:p>
    <w:p w14:paraId="0E825F35">
      <w:pPr>
        <w:spacing w:line="600" w:lineRule="exact"/>
        <w:ind w:firstLine="643" w:firstLineChars="200"/>
        <w:outlineLvl w:val="2"/>
        <w:rPr>
          <w:rFonts w:eastAsia="楷体_GB2312" w:cs="楷体_GB2312"/>
          <w:b/>
          <w:sz w:val="32"/>
          <w:szCs w:val="32"/>
        </w:rPr>
      </w:pPr>
      <w:bookmarkStart w:id="48" w:name="_Toc15377217"/>
      <w:r>
        <w:rPr>
          <w:rFonts w:hint="eastAsia" w:eastAsia="楷体_GB2312" w:cs="楷体_GB2312"/>
          <w:b/>
          <w:sz w:val="32"/>
          <w:szCs w:val="32"/>
        </w:rPr>
        <w:t>（二）“三公”经费财政拨款支出决算具体情况说明</w:t>
      </w:r>
      <w:bookmarkEnd w:id="48"/>
    </w:p>
    <w:p w14:paraId="280D8D4E">
      <w:pPr>
        <w:numPr>
          <w:ilvl w:val="255"/>
          <w:numId w:val="0"/>
        </w:numPr>
        <w:spacing w:line="600" w:lineRule="exact"/>
        <w:ind w:firstLine="420" w:firstLineChars="200"/>
        <w:rPr>
          <w:rFonts w:hint="eastAsia" w:ascii="Times New Roman" w:hAnsi="Times New Roman" w:eastAsia="仿宋_GB2312" w:cs="仿宋_GB2312"/>
          <w:sz w:val="32"/>
          <w:szCs w:val="32"/>
        </w:rPr>
      </w:pPr>
      <w:r>
        <w:drawing>
          <wp:anchor distT="0" distB="0" distL="114300" distR="114300" simplePos="0" relativeHeight="251667456" behindDoc="0" locked="0" layoutInCell="1" allowOverlap="1">
            <wp:simplePos x="0" y="0"/>
            <wp:positionH relativeFrom="column">
              <wp:posOffset>264795</wp:posOffset>
            </wp:positionH>
            <wp:positionV relativeFrom="paragraph">
              <wp:posOffset>2336165</wp:posOffset>
            </wp:positionV>
            <wp:extent cx="4826000" cy="2530475"/>
            <wp:effectExtent l="4445" t="4445" r="8255" b="17780"/>
            <wp:wrapTopAndBottom/>
            <wp:docPr id="5"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Times New Roman" w:hAnsi="Times New Roman" w:eastAsia="仿宋_GB2312" w:cs="仿宋_GB2312"/>
          <w:sz w:val="32"/>
          <w:szCs w:val="32"/>
        </w:rPr>
        <w:t>2023年度“三公”经费财政拨款支出决算中，因公出国（境）费支出决算0万元，占0%；公务用车购置及运行维护费支出决算0万元，占0%；公务接待费支出决算0万元，占0%。具体情况如下：</w:t>
      </w:r>
    </w:p>
    <w:p w14:paraId="471D0A72">
      <w:pPr>
        <w:pStyle w:val="3"/>
        <w:spacing w:line="600" w:lineRule="exact"/>
        <w:ind w:left="0" w:leftChars="0" w:firstLine="0" w:firstLineChars="0"/>
      </w:pPr>
    </w:p>
    <w:p w14:paraId="3B23FD80">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（图7：“三公”经费财政拨款支出结构）（饼状图）</w:t>
      </w:r>
    </w:p>
    <w:p w14:paraId="11C10F3B">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1.因公出国（境）经费支出0万元，完成预算0%。全年安排因公出国（境）团组0次，出国（境）0人。因公出国（境）支出决算比2023年持平。</w:t>
      </w:r>
    </w:p>
    <w:p w14:paraId="7E4A87F0">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公务用车购置及运行维护费支出0万元，完成预算0%。公务用车购置及运行维护费支出决算与2023年度持平。</w:t>
      </w:r>
    </w:p>
    <w:p w14:paraId="1FC0F546">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其中：公务用车购置支出0万元。全年按规定更新购置公务用车0辆，其中：轿车0辆、金额0万元，越野车0辆、金额0万元，载客汽车0辆、金额0万元。截至2023年12月31日，单位共有公务用车0辆，其中：轿车0辆、越野车0辆、载客汽车0辆。</w:t>
      </w:r>
    </w:p>
    <w:p w14:paraId="0103FBD3">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公务用车运行维护费支出0万元。</w:t>
      </w:r>
    </w:p>
    <w:p w14:paraId="575D4AF7">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default" w:ascii="Times New Roman" w:hAnsi="Times New Roman" w:eastAsia="仿宋_GB2312" w:cs="仿宋_GB2312"/>
          <w:sz w:val="32"/>
          <w:szCs w:val="32"/>
          <w:lang w:val="en-US" w:eastAsia="zh-CN"/>
        </w:rPr>
        <w:t>3.</w:t>
      </w:r>
      <w:r>
        <w:rPr>
          <w:rFonts w:hint="default" w:ascii="Times New Roman" w:hAnsi="Times New Roman" w:eastAsia="仿宋_GB2312" w:cs="仿宋_GB2312"/>
          <w:sz w:val="32"/>
          <w:szCs w:val="32"/>
        </w:rPr>
        <w:t>公务接待费支出0万元，完成预算0%。</w:t>
      </w:r>
      <w:r>
        <w:rPr>
          <w:rFonts w:hint="eastAsia" w:ascii="Times New Roman" w:hAnsi="Times New Roman" w:eastAsia="仿宋_GB2312" w:cs="仿宋_GB2312"/>
          <w:sz w:val="32"/>
          <w:szCs w:val="32"/>
        </w:rPr>
        <w:t>公务接待费支出决算2023年持平。其中：</w:t>
      </w:r>
    </w:p>
    <w:p w14:paraId="4A58EE65">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国内公务接待支出0万元，主要用于执行公务、开展业务活动开支的交通费、住宿费、用餐费等。国内公务接待0批次，0人次（不包括陪同人员），共计支出0万元。</w:t>
      </w:r>
    </w:p>
    <w:p w14:paraId="5A001704">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外事接待支出0万元。</w:t>
      </w:r>
    </w:p>
    <w:p w14:paraId="4C29AAFA">
      <w:pPr>
        <w:spacing w:line="600" w:lineRule="exact"/>
        <w:outlineLvl w:val="1"/>
        <w:rPr>
          <w:rStyle w:val="32"/>
          <w:rFonts w:ascii="Times New Roman" w:hAnsi="Times New Roman" w:eastAsia="黑体"/>
        </w:rPr>
      </w:pPr>
      <w:bookmarkStart w:id="49" w:name="_Toc15377218"/>
      <w:bookmarkStart w:id="50" w:name="_Toc15396610"/>
      <w:r>
        <w:rPr>
          <w:rFonts w:hint="eastAsia" w:eastAsia="仿宋_GB2312" w:cs="仿宋_GB2312"/>
          <w:sz w:val="32"/>
          <w:szCs w:val="32"/>
        </w:rPr>
        <w:t xml:space="preserve">    </w:t>
      </w:r>
      <w:bookmarkStart w:id="51" w:name="_Toc916372920"/>
      <w:r>
        <w:rPr>
          <w:rFonts w:hint="eastAsia" w:eastAsia="黑体"/>
          <w:sz w:val="32"/>
          <w:szCs w:val="32"/>
        </w:rPr>
        <w:t>八、</w:t>
      </w:r>
      <w:r>
        <w:rPr>
          <w:rStyle w:val="32"/>
          <w:rFonts w:hint="eastAsia" w:ascii="Times New Roman" w:hAnsi="Times New Roman" w:eastAsia="黑体"/>
          <w:b w:val="0"/>
        </w:rPr>
        <w:t>政府性基金预算支出决算情况说明</w:t>
      </w:r>
      <w:bookmarkEnd w:id="49"/>
      <w:bookmarkEnd w:id="50"/>
      <w:bookmarkEnd w:id="51"/>
    </w:p>
    <w:p w14:paraId="5699ED40">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2024年度政府性基金预算财政拨款支出0万元。</w:t>
      </w:r>
    </w:p>
    <w:p w14:paraId="0CBCD099">
      <w:pPr>
        <w:spacing w:line="600" w:lineRule="exact"/>
        <w:outlineLvl w:val="1"/>
        <w:rPr>
          <w:rStyle w:val="32"/>
          <w:rFonts w:ascii="Times New Roman" w:hAnsi="Times New Roman" w:eastAsia="黑体"/>
          <w:b w:val="0"/>
        </w:rPr>
      </w:pPr>
      <w:r>
        <w:rPr>
          <w:rFonts w:eastAsia="仿宋_GB2312" w:cs="仿宋_GB2312"/>
          <w:sz w:val="32"/>
          <w:szCs w:val="32"/>
        </w:rPr>
        <w:t xml:space="preserve">    </w:t>
      </w:r>
      <w:bookmarkStart w:id="52" w:name="_Toc15377219"/>
      <w:bookmarkStart w:id="53" w:name="_Toc588562083"/>
      <w:bookmarkStart w:id="54" w:name="_Toc15396611"/>
      <w:r>
        <w:rPr>
          <w:rStyle w:val="32"/>
          <w:rFonts w:hint="eastAsia" w:ascii="Times New Roman" w:hAnsi="Times New Roman" w:eastAsia="黑体"/>
          <w:b w:val="0"/>
        </w:rPr>
        <w:t>九、国有资本经营预算支出决算情况说明</w:t>
      </w:r>
      <w:bookmarkEnd w:id="52"/>
      <w:bookmarkEnd w:id="53"/>
      <w:bookmarkEnd w:id="54"/>
    </w:p>
    <w:p w14:paraId="4BED68FB">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2024年度国有资本经营预算财政拨款支出0万元。</w:t>
      </w:r>
    </w:p>
    <w:p w14:paraId="141DB7D9">
      <w:pPr>
        <w:spacing w:line="600" w:lineRule="exact"/>
        <w:outlineLvl w:val="1"/>
        <w:rPr>
          <w:rStyle w:val="32"/>
          <w:rFonts w:ascii="Times New Roman" w:hAnsi="Times New Roman" w:eastAsia="黑体"/>
          <w:b w:val="0"/>
        </w:rPr>
      </w:pPr>
      <w:r>
        <w:rPr>
          <w:rFonts w:eastAsia="仿宋_GB2312" w:cs="仿宋_GB2312"/>
          <w:sz w:val="32"/>
          <w:szCs w:val="32"/>
        </w:rPr>
        <w:t xml:space="preserve">    </w:t>
      </w:r>
      <w:bookmarkStart w:id="55" w:name="_Toc642946434"/>
      <w:bookmarkStart w:id="56" w:name="_Toc15377221"/>
      <w:bookmarkStart w:id="57" w:name="_Toc15396612"/>
      <w:r>
        <w:rPr>
          <w:rStyle w:val="32"/>
          <w:rFonts w:hint="eastAsia" w:ascii="Times New Roman" w:hAnsi="Times New Roman" w:eastAsia="黑体"/>
          <w:b w:val="0"/>
        </w:rPr>
        <w:t>十、其他重要事项的情况说明</w:t>
      </w:r>
      <w:bookmarkEnd w:id="55"/>
      <w:bookmarkEnd w:id="56"/>
      <w:bookmarkEnd w:id="57"/>
    </w:p>
    <w:p w14:paraId="00AA94FA">
      <w:pPr>
        <w:spacing w:line="600" w:lineRule="exact"/>
        <w:ind w:firstLine="643" w:firstLineChars="200"/>
        <w:outlineLvl w:val="2"/>
        <w:rPr>
          <w:rFonts w:eastAsia="楷体_GB2312" w:cs="楷体_GB2312"/>
          <w:b/>
          <w:sz w:val="32"/>
          <w:szCs w:val="32"/>
        </w:rPr>
      </w:pPr>
      <w:bookmarkStart w:id="58" w:name="_Toc15377222"/>
      <w:r>
        <w:rPr>
          <w:rFonts w:hint="eastAsia" w:eastAsia="楷体_GB2312" w:cs="楷体_GB2312"/>
          <w:b/>
          <w:sz w:val="32"/>
          <w:szCs w:val="32"/>
        </w:rPr>
        <w:t>（一）机关运行经费支出情况</w:t>
      </w:r>
      <w:bookmarkEnd w:id="58"/>
    </w:p>
    <w:p w14:paraId="67FED713">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2024年度，遂潼天然气综合利用园机关运行经费支出0万元，与2023年持平。</w:t>
      </w:r>
    </w:p>
    <w:p w14:paraId="59FBCF32">
      <w:pPr>
        <w:spacing w:line="600" w:lineRule="exact"/>
        <w:outlineLvl w:val="2"/>
        <w:rPr>
          <w:rFonts w:eastAsia="楷体_GB2312" w:cs="楷体_GB2312"/>
          <w:b/>
          <w:sz w:val="32"/>
          <w:szCs w:val="32"/>
        </w:rPr>
      </w:pPr>
      <w:r>
        <w:rPr>
          <w:rFonts w:hint="eastAsia" w:eastAsia="仿宋_GB2312" w:cs="仿宋_GB2312"/>
          <w:sz w:val="32"/>
          <w:szCs w:val="32"/>
        </w:rPr>
        <w:t xml:space="preserve">   </w:t>
      </w:r>
      <w:bookmarkStart w:id="59" w:name="_Toc15377223"/>
      <w:r>
        <w:rPr>
          <w:rFonts w:hint="eastAsia" w:eastAsia="楷体_GB2312" w:cs="楷体_GB2312"/>
          <w:b/>
          <w:sz w:val="32"/>
          <w:szCs w:val="32"/>
        </w:rPr>
        <w:t>（二）政府采购支出情况</w:t>
      </w:r>
      <w:bookmarkEnd w:id="59"/>
    </w:p>
    <w:p w14:paraId="16FDFA30">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default" w:ascii="Times New Roman" w:hAnsi="Times New Roman" w:eastAsia="仿宋_GB2312" w:cs="仿宋_GB2312"/>
          <w:sz w:val="32"/>
          <w:szCs w:val="32"/>
        </w:rPr>
        <w:t>2024</w:t>
      </w:r>
      <w:r>
        <w:rPr>
          <w:rFonts w:hint="eastAsia" w:ascii="Times New Roman" w:hAnsi="Times New Roman" w:eastAsia="仿宋_GB2312" w:cs="仿宋_GB2312"/>
          <w:sz w:val="32"/>
          <w:szCs w:val="32"/>
        </w:rPr>
        <w:t>年度，遂潼天然气综合利用园府采购支出总额0万元。</w:t>
      </w:r>
      <w:bookmarkStart w:id="60" w:name="_Toc15377224"/>
    </w:p>
    <w:p w14:paraId="0603E70B">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（三）国有资产占有使用情况</w:t>
      </w:r>
      <w:bookmarkEnd w:id="60"/>
    </w:p>
    <w:p w14:paraId="78BF49F2">
      <w:pPr>
        <w:numPr>
          <w:ilvl w:val="255"/>
          <w:numId w:val="0"/>
        </w:numPr>
        <w:spacing w:line="600" w:lineRule="exact"/>
        <w:ind w:firstLine="640" w:firstLineChars="200"/>
        <w:rPr>
          <w:rFonts w:hint="default" w:ascii="Times New Roman" w:hAnsi="Times New Roman" w:eastAsia="仿宋_GB2312" w:cs="仿宋_GB2312"/>
          <w:sz w:val="32"/>
          <w:szCs w:val="32"/>
        </w:rPr>
      </w:pPr>
      <w:r>
        <w:rPr>
          <w:rFonts w:hint="eastAsia" w:ascii="Times New Roman" w:hAnsi="Times New Roman" w:eastAsia="仿宋_GB2312" w:cs="仿宋_GB2312"/>
          <w:sz w:val="32"/>
          <w:szCs w:val="32"/>
        </w:rPr>
        <w:t>截至202</w:t>
      </w:r>
      <w:r>
        <w:rPr>
          <w:rFonts w:hint="default" w:ascii="Times New Roman" w:hAnsi="Times New Roman" w:eastAsia="仿宋_GB2312" w:cs="仿宋_GB2312"/>
          <w:sz w:val="32"/>
          <w:szCs w:val="32"/>
        </w:rPr>
        <w:t>4</w:t>
      </w:r>
      <w:r>
        <w:rPr>
          <w:rFonts w:hint="eastAsia" w:ascii="Times New Roman" w:hAnsi="Times New Roman" w:eastAsia="仿宋_GB2312" w:cs="仿宋_GB2312"/>
          <w:sz w:val="32"/>
          <w:szCs w:val="32"/>
        </w:rPr>
        <w:t>年12月31日，遂潼天然气综合利用产业园</w:t>
      </w:r>
      <w:r>
        <w:rPr>
          <w:rFonts w:hint="default" w:ascii="Times New Roman" w:hAnsi="Times New Roman" w:eastAsia="仿宋_GB2312" w:cs="仿宋_GB2312"/>
          <w:sz w:val="32"/>
          <w:szCs w:val="32"/>
        </w:rPr>
        <w:t>共有车辆</w:t>
      </w:r>
      <w:r>
        <w:rPr>
          <w:rFonts w:hint="eastAsia" w:ascii="Times New Roman" w:hAnsi="Times New Roman" w:eastAsia="仿宋_GB2312" w:cs="仿宋_GB2312"/>
          <w:sz w:val="32"/>
          <w:szCs w:val="32"/>
        </w:rPr>
        <w:t>0</w:t>
      </w:r>
      <w:r>
        <w:rPr>
          <w:rFonts w:hint="default" w:ascii="Times New Roman" w:hAnsi="Times New Roman" w:eastAsia="仿宋_GB2312" w:cs="仿宋_GB2312"/>
          <w:sz w:val="32"/>
          <w:szCs w:val="32"/>
        </w:rPr>
        <w:t>辆</w:t>
      </w:r>
      <w:r>
        <w:rPr>
          <w:rFonts w:hint="eastAsia" w:ascii="Times New Roman" w:hAnsi="Times New Roman" w:eastAsia="仿宋_GB2312" w:cs="仿宋_GB2312"/>
          <w:sz w:val="32"/>
          <w:szCs w:val="32"/>
        </w:rPr>
        <w:t>。</w:t>
      </w:r>
    </w:p>
    <w:p w14:paraId="2EF0D0A9">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1E95AF72">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根据预算绩效管理要求，本单</w:t>
      </w:r>
      <w:r>
        <w:rPr>
          <w:rFonts w:hint="default" w:ascii="Times New Roman" w:hAnsi="Times New Roman" w:eastAsia="仿宋_GB2312" w:cs="仿宋_GB2312"/>
          <w:sz w:val="32"/>
          <w:szCs w:val="32"/>
        </w:rPr>
        <w:t>位在2024年度预算编制阶段，组织对“园区2024年运行经费”“遂财农</w:t>
      </w:r>
      <w:r>
        <w:rPr>
          <w:rFonts w:hint="eastAsia" w:ascii="Times New Roman" w:hAnsi="Times New Roman" w:eastAsia="仿宋_GB2312" w:cs="仿宋_GB2312"/>
          <w:sz w:val="32"/>
          <w:szCs w:val="32"/>
        </w:rPr>
        <w:t>〔</w:t>
      </w:r>
      <w:r>
        <w:rPr>
          <w:rFonts w:hint="default" w:ascii="Times New Roman" w:hAnsi="Times New Roman" w:eastAsia="仿宋_GB2312" w:cs="仿宋_GB2312"/>
          <w:sz w:val="32"/>
          <w:szCs w:val="32"/>
        </w:rPr>
        <w:t>2023</w:t>
      </w:r>
      <w:r>
        <w:rPr>
          <w:rFonts w:hint="eastAsia" w:ascii="Times New Roman" w:hAnsi="Times New Roman" w:eastAsia="仿宋_GB2312" w:cs="仿宋_GB2312"/>
          <w:sz w:val="32"/>
          <w:szCs w:val="32"/>
        </w:rPr>
        <w:t>〕</w:t>
      </w:r>
      <w:r>
        <w:rPr>
          <w:rFonts w:hint="default" w:ascii="Times New Roman" w:hAnsi="Times New Roman" w:eastAsia="仿宋_GB2312" w:cs="仿宋_GB2312"/>
          <w:sz w:val="32"/>
          <w:szCs w:val="32"/>
        </w:rPr>
        <w:t>28号-2023年市级财政衔接推进乡村振兴补助资金  ”项目开展了预算事前绩效评估，对</w:t>
      </w:r>
      <w:r>
        <w:rPr>
          <w:rFonts w:hint="eastAsia" w:eastAsia="仿宋_GB2312" w:cs="仿宋_GB2312"/>
          <w:sz w:val="32"/>
          <w:szCs w:val="32"/>
          <w:lang w:val="en-US" w:eastAsia="zh-CN"/>
        </w:rPr>
        <w:t>2</w:t>
      </w:r>
      <w:r>
        <w:rPr>
          <w:rFonts w:hint="default" w:ascii="Times New Roman" w:hAnsi="Times New Roman" w:eastAsia="仿宋_GB2312" w:cs="仿宋_GB2312"/>
          <w:sz w:val="32"/>
          <w:szCs w:val="32"/>
        </w:rPr>
        <w:t>个项目编制了绩效目标，预算执行过程中，选取</w:t>
      </w:r>
      <w:r>
        <w:rPr>
          <w:rFonts w:hint="eastAsia" w:eastAsia="仿宋_GB2312" w:cs="仿宋_GB2312"/>
          <w:sz w:val="32"/>
          <w:szCs w:val="32"/>
          <w:lang w:val="en-US" w:eastAsia="zh-CN"/>
        </w:rPr>
        <w:t>2</w:t>
      </w:r>
      <w:r>
        <w:rPr>
          <w:rFonts w:hint="default" w:ascii="Times New Roman" w:hAnsi="Times New Roman" w:eastAsia="仿宋_GB2312" w:cs="仿宋_GB2312"/>
          <w:sz w:val="32"/>
          <w:szCs w:val="32"/>
        </w:rPr>
        <w:t>个项目开展绩效监控。</w:t>
      </w:r>
    </w:p>
    <w:p w14:paraId="191EC5D0">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default" w:ascii="Times New Roman" w:hAnsi="Times New Roman" w:eastAsia="仿宋_GB2312" w:cs="仿宋_GB2312"/>
          <w:sz w:val="32"/>
          <w:szCs w:val="32"/>
        </w:rPr>
        <w:t>组织对2024年度一般公共预算全面开展绩效自评，形成遂宁市安居区遂潼天然气综合利用产业园2024年部门整体绩效自评报告、园区2024年运行经费专项预算项目绩效自评报告，其中，</w:t>
      </w:r>
      <w:r>
        <w:rPr>
          <w:rFonts w:hint="eastAsia" w:ascii="Times New Roman" w:hAnsi="Times New Roman" w:eastAsia="仿宋_GB2312" w:cs="仿宋_GB2312"/>
          <w:sz w:val="32"/>
          <w:szCs w:val="32"/>
        </w:rPr>
        <w:t>部门整体绩效自评得分为</w:t>
      </w:r>
      <w:r>
        <w:rPr>
          <w:rFonts w:hint="default" w:ascii="Times New Roman" w:hAnsi="Times New Roman" w:eastAsia="仿宋_GB2312" w:cs="仿宋_GB2312"/>
          <w:sz w:val="32"/>
          <w:szCs w:val="32"/>
        </w:rPr>
        <w:t>98</w:t>
      </w:r>
      <w:r>
        <w:rPr>
          <w:rFonts w:hint="eastAsia" w:ascii="Times New Roman" w:hAnsi="Times New Roman" w:eastAsia="仿宋_GB2312" w:cs="仿宋_GB2312"/>
          <w:sz w:val="32"/>
          <w:szCs w:val="32"/>
        </w:rPr>
        <w:t>分，绩效自评综述：2024年，我单位通过加强预算收支管理，不断建立健全内部管理制度，梳理内部管理流程，部门整体支出管理情况得到提升，较</w:t>
      </w:r>
      <w:r>
        <w:rPr>
          <w:rFonts w:hint="eastAsia" w:eastAsia="仿宋_GB2312" w:cs="仿宋_GB2312"/>
          <w:sz w:val="32"/>
          <w:szCs w:val="32"/>
          <w:lang w:eastAsia="zh-CN"/>
        </w:rPr>
        <w:t>好地完成</w:t>
      </w:r>
      <w:r>
        <w:rPr>
          <w:rFonts w:hint="eastAsia" w:ascii="Times New Roman" w:hAnsi="Times New Roman" w:eastAsia="仿宋_GB2312" w:cs="仿宋_GB2312"/>
          <w:sz w:val="32"/>
          <w:szCs w:val="32"/>
        </w:rPr>
        <w:t>了年度工作目标。</w:t>
      </w:r>
    </w:p>
    <w:p w14:paraId="30C99E3D">
      <w:pPr>
        <w:numPr>
          <w:ilvl w:val="255"/>
          <w:numId w:val="0"/>
        </w:numPr>
        <w:spacing w:line="600"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园区2024年运行经费专项项目绩效自评得分为100分 ，绩效自评综述：项目全年预算数20万元，执行数为9.54万元，完成预算的47.7%。通过项目实施，保障完成园区正常运转，保障工作人员差旅费，保障招商引资工作顺利开展。发现的主要问题：项目资金支付不及时。下一步改进措施：积极与上级财政部门沟通，及时支付资金。绩效自评报告详见附件。</w:t>
      </w:r>
    </w:p>
    <w:p w14:paraId="066FD7C5">
      <w:pPr>
        <w:numPr>
          <w:ilvl w:val="255"/>
          <w:numId w:val="0"/>
        </w:numPr>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    </w:t>
      </w:r>
      <w:r>
        <w:rPr>
          <w:rFonts w:hint="default" w:ascii="Times New Roman" w:hAnsi="Times New Roman" w:eastAsia="仿宋_GB2312" w:cs="仿宋_GB2312"/>
          <w:sz w:val="32"/>
          <w:szCs w:val="32"/>
        </w:rPr>
        <w:t>遂财农</w:t>
      </w:r>
      <w:r>
        <w:rPr>
          <w:rFonts w:hint="eastAsia" w:ascii="Times New Roman" w:hAnsi="Times New Roman" w:eastAsia="仿宋_GB2312" w:cs="仿宋_GB2312"/>
          <w:sz w:val="32"/>
          <w:szCs w:val="32"/>
        </w:rPr>
        <w:t>〔</w:t>
      </w:r>
      <w:r>
        <w:rPr>
          <w:rFonts w:hint="default" w:ascii="Times New Roman" w:hAnsi="Times New Roman" w:eastAsia="仿宋_GB2312" w:cs="仿宋_GB2312"/>
          <w:sz w:val="32"/>
          <w:szCs w:val="32"/>
        </w:rPr>
        <w:t>2023</w:t>
      </w:r>
      <w:r>
        <w:rPr>
          <w:rFonts w:hint="eastAsia" w:ascii="Times New Roman" w:hAnsi="Times New Roman" w:eastAsia="仿宋_GB2312" w:cs="仿宋_GB2312"/>
          <w:sz w:val="32"/>
          <w:szCs w:val="32"/>
        </w:rPr>
        <w:t>〕</w:t>
      </w:r>
      <w:r>
        <w:rPr>
          <w:rFonts w:hint="default" w:ascii="Times New Roman" w:hAnsi="Times New Roman" w:eastAsia="仿宋_GB2312" w:cs="仿宋_GB2312"/>
          <w:sz w:val="32"/>
          <w:szCs w:val="32"/>
        </w:rPr>
        <w:t>28号-2023年市级财政衔接推进乡村振兴补助资金</w:t>
      </w:r>
      <w:r>
        <w:rPr>
          <w:rFonts w:hint="eastAsia" w:ascii="Times New Roman" w:hAnsi="Times New Roman" w:eastAsia="仿宋_GB2312" w:cs="仿宋_GB2312"/>
          <w:sz w:val="32"/>
          <w:szCs w:val="32"/>
        </w:rPr>
        <w:t>专项项目绩效自评得分为100分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绩效自评综述：</w:t>
      </w:r>
      <w:r>
        <w:rPr>
          <w:rFonts w:hint="eastAsia" w:ascii="Times New Roman" w:hAnsi="Times New Roman" w:eastAsia="仿宋_GB2312" w:cs="仿宋_GB2312"/>
          <w:sz w:val="32"/>
          <w:szCs w:val="32"/>
          <w:lang w:eastAsia="zh-CN"/>
        </w:rPr>
        <w:t>项目</w:t>
      </w:r>
      <w:r>
        <w:rPr>
          <w:rFonts w:hint="eastAsia" w:ascii="Times New Roman" w:hAnsi="Times New Roman" w:eastAsia="仿宋_GB2312" w:cs="仿宋_GB2312"/>
          <w:sz w:val="32"/>
          <w:szCs w:val="32"/>
          <w:lang w:val="en-US"/>
        </w:rPr>
        <w:t>完成</w:t>
      </w:r>
      <w:r>
        <w:rPr>
          <w:rFonts w:hint="eastAsia" w:ascii="Times New Roman" w:hAnsi="Times New Roman" w:eastAsia="仿宋_GB2312" w:cs="仿宋_GB2312"/>
          <w:sz w:val="32"/>
          <w:szCs w:val="32"/>
          <w:lang w:val="en-US" w:eastAsia="zh-CN"/>
        </w:rPr>
        <w:t>了</w:t>
      </w:r>
      <w:r>
        <w:rPr>
          <w:rFonts w:hint="eastAsia" w:ascii="Times New Roman" w:hAnsi="Times New Roman" w:eastAsia="仿宋_GB2312" w:cs="仿宋_GB2312"/>
          <w:sz w:val="32"/>
          <w:szCs w:val="32"/>
          <w:lang w:val="en-US"/>
        </w:rPr>
        <w:t>产业道路硬化、驳岸治理及产业林建设，实现 “三个提升、一个消除”—— 提升农产品运输效率，提升农田灌溉保障率、提升群众满意度，消除老木垭村汛期防洪隐患</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zh-CN"/>
        </w:rPr>
        <w:t>道路建成后，吸</w:t>
      </w:r>
      <w:r>
        <w:rPr>
          <w:rFonts w:hint="eastAsia" w:ascii="Times New Roman" w:hAnsi="Times New Roman" w:eastAsia="仿宋_GB2312" w:cs="仿宋_GB2312"/>
          <w:sz w:val="32"/>
          <w:szCs w:val="32"/>
          <w:lang w:val="en-US"/>
        </w:rPr>
        <w:t>引 2 家农</w:t>
      </w:r>
      <w:r>
        <w:rPr>
          <w:rFonts w:hint="eastAsia" w:ascii="Times New Roman" w:hAnsi="Times New Roman" w:eastAsia="仿宋_GB2312" w:cs="仿宋_GB2312"/>
          <w:sz w:val="32"/>
          <w:szCs w:val="32"/>
          <w:lang w:val="zh-CN"/>
        </w:rPr>
        <w:t>产品加工企业入驻（主要收购水稻、果蔬），带动农户户均年增收，防洪减灾效益：汛</w:t>
      </w:r>
      <w:r>
        <w:rPr>
          <w:rFonts w:hint="eastAsia" w:ascii="Times New Roman" w:hAnsi="Times New Roman" w:eastAsia="仿宋_GB2312" w:cs="仿宋_GB2312"/>
          <w:sz w:val="32"/>
          <w:szCs w:val="32"/>
          <w:lang w:val="en-US"/>
        </w:rPr>
        <w:t>期（</w:t>
      </w:r>
      <w:r>
        <w:rPr>
          <w:rFonts w:hint="eastAsia" w:ascii="Times New Roman" w:hAnsi="Times New Roman" w:eastAsia="仿宋_GB2312" w:cs="仿宋_GB2312"/>
          <w:sz w:val="32"/>
          <w:szCs w:val="32"/>
        </w:rPr>
        <w:t>5</w:t>
      </w:r>
      <w:r>
        <w:rPr>
          <w:rFonts w:hint="eastAsia" w:ascii="Times New Roman" w:hAnsi="Times New Roman" w:eastAsia="仿宋_GB2312" w:cs="仿宋_GB2312"/>
          <w:sz w:val="32"/>
          <w:szCs w:val="32"/>
          <w:lang w:val="en-US"/>
        </w:rPr>
        <w:t>-</w:t>
      </w:r>
      <w:r>
        <w:rPr>
          <w:rFonts w:hint="eastAsia" w:ascii="Times New Roman" w:hAnsi="Times New Roman" w:eastAsia="仿宋_GB2312" w:cs="仿宋_GB2312"/>
          <w:sz w:val="32"/>
          <w:szCs w:val="32"/>
        </w:rPr>
        <w:t>9月</w:t>
      </w:r>
      <w:r>
        <w:rPr>
          <w:rFonts w:hint="eastAsia" w:ascii="Times New Roman" w:hAnsi="Times New Roman" w:eastAsia="仿宋_GB2312" w:cs="仿宋_GB2312"/>
          <w:sz w:val="32"/>
          <w:szCs w:val="32"/>
          <w:lang w:val="zh-CN"/>
        </w:rPr>
        <w:t>），修复后的驳岸未发生坍塌，减灾效果显著。</w:t>
      </w:r>
    </w:p>
    <w:p w14:paraId="403EEC6B">
      <w:pPr>
        <w:spacing w:line="600" w:lineRule="exact"/>
        <w:ind w:firstLine="640"/>
        <w:rPr>
          <w:rFonts w:eastAsia="仿宋_GB2312" w:cs="仿宋_GB2312"/>
          <w:sz w:val="32"/>
          <w:szCs w:val="32"/>
        </w:rPr>
      </w:pPr>
    </w:p>
    <w:p w14:paraId="327DB8D1">
      <w:pPr>
        <w:spacing w:line="600" w:lineRule="exact"/>
        <w:jc w:val="center"/>
        <w:outlineLvl w:val="9"/>
        <w:rPr>
          <w:rFonts w:hint="eastAsia" w:eastAsia="黑体"/>
          <w:sz w:val="44"/>
          <w:szCs w:val="44"/>
        </w:rPr>
      </w:pPr>
      <w:bookmarkStart w:id="61" w:name="_Toc15396613"/>
      <w:bookmarkStart w:id="62" w:name="_Toc15377225"/>
    </w:p>
    <w:p w14:paraId="5A8AA918">
      <w:pPr>
        <w:spacing w:line="600" w:lineRule="exact"/>
        <w:jc w:val="center"/>
        <w:outlineLvl w:val="9"/>
        <w:rPr>
          <w:rFonts w:hint="eastAsia" w:eastAsia="黑体"/>
          <w:sz w:val="44"/>
          <w:szCs w:val="44"/>
        </w:rPr>
      </w:pPr>
    </w:p>
    <w:p w14:paraId="7C5C967A">
      <w:pPr>
        <w:spacing w:line="600" w:lineRule="exact"/>
        <w:jc w:val="center"/>
        <w:outlineLvl w:val="0"/>
        <w:rPr>
          <w:rFonts w:eastAsia="黑体"/>
          <w:sz w:val="44"/>
          <w:szCs w:val="44"/>
        </w:rPr>
      </w:pPr>
      <w:bookmarkStart w:id="63" w:name="_Toc1218258773"/>
      <w:r>
        <w:rPr>
          <w:rFonts w:hint="eastAsia" w:eastAsia="黑体"/>
          <w:sz w:val="44"/>
          <w:szCs w:val="44"/>
        </w:rPr>
        <w:t>第三部分  名词解释</w:t>
      </w:r>
      <w:bookmarkEnd w:id="61"/>
      <w:bookmarkEnd w:id="62"/>
      <w:bookmarkEnd w:id="63"/>
    </w:p>
    <w:p w14:paraId="713210C7">
      <w:pPr>
        <w:numPr>
          <w:ilvl w:val="255"/>
          <w:numId w:val="0"/>
        </w:numPr>
        <w:spacing w:line="600" w:lineRule="exact"/>
        <w:ind w:firstLine="640" w:firstLineChars="200"/>
        <w:rPr>
          <w:rFonts w:hint="eastAsia" w:ascii="Times New Roman" w:hAnsi="Times New Roman" w:eastAsia="仿宋_GB2312" w:cs="仿宋_GB2312"/>
          <w:sz w:val="32"/>
          <w:szCs w:val="32"/>
          <w:lang w:val="zh-CN"/>
        </w:rPr>
      </w:pPr>
    </w:p>
    <w:p w14:paraId="1D2829EC">
      <w:pPr>
        <w:numPr>
          <w:ilvl w:val="255"/>
          <w:numId w:val="0"/>
        </w:numPr>
        <w:spacing w:line="600" w:lineRule="exact"/>
        <w:ind w:firstLine="640" w:firstLineChars="200"/>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 xml:space="preserve">1.财政拨款收入：指单位从同级财政部门取得的财政预算资金。 </w:t>
      </w:r>
    </w:p>
    <w:p w14:paraId="650A9FCA">
      <w:pPr>
        <w:numPr>
          <w:ilvl w:val="255"/>
          <w:numId w:val="0"/>
        </w:numPr>
        <w:spacing w:line="600" w:lineRule="exact"/>
        <w:ind w:firstLine="640" w:firstLineChars="200"/>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 xml:space="preserve">2.年初结转和结余：指以前年度尚未完成、结转到本年按有关规定继续使用的资金。 </w:t>
      </w:r>
    </w:p>
    <w:p w14:paraId="7A15E8ED">
      <w:pPr>
        <w:numPr>
          <w:ilvl w:val="255"/>
          <w:numId w:val="0"/>
        </w:numPr>
        <w:spacing w:line="600" w:lineRule="exact"/>
        <w:ind w:firstLine="640" w:firstLineChars="200"/>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3.年末结转和结余：指单位按有关规定结转到下年或以后年度继续使用的资金。</w:t>
      </w:r>
    </w:p>
    <w:p w14:paraId="10E55B63">
      <w:pPr>
        <w:numPr>
          <w:ilvl w:val="255"/>
          <w:numId w:val="0"/>
        </w:numPr>
        <w:spacing w:line="600" w:lineRule="exact"/>
        <w:ind w:firstLine="640" w:firstLineChars="200"/>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4.一般公共服务支出（类）政府办公厅（室）及相关机构事务（款）其他政府办公厅（室）及相关机构事务支出（项），指其他政府办公厅（室）及相关机构事务支出。</w:t>
      </w:r>
    </w:p>
    <w:p w14:paraId="4A561CAD">
      <w:pPr>
        <w:numPr>
          <w:ilvl w:val="255"/>
          <w:numId w:val="0"/>
        </w:numPr>
        <w:spacing w:line="600" w:lineRule="exact"/>
        <w:ind w:firstLine="640" w:firstLineChars="200"/>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5.农林水支出（类）巩固脱贫攻坚成果衔接乡村振兴（款）其他巩固脱贫攻坚成果衔接乡村振兴支出（项），指其他用于巩固拓展脱贫攻坚成果同乡村振兴有效衔接方面的支出。</w:t>
      </w:r>
    </w:p>
    <w:p w14:paraId="43EBFBE2">
      <w:pPr>
        <w:numPr>
          <w:ilvl w:val="255"/>
          <w:numId w:val="0"/>
        </w:numPr>
        <w:spacing w:line="600" w:lineRule="exact"/>
        <w:ind w:firstLine="640" w:firstLineChars="200"/>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6.项目支出：指在基本支出之外为完成特定行政任务和事业发展目标所发生的支出。</w:t>
      </w:r>
    </w:p>
    <w:p w14:paraId="4AB92482">
      <w:pPr>
        <w:numPr>
          <w:ilvl w:val="255"/>
          <w:numId w:val="0"/>
        </w:numPr>
        <w:spacing w:line="600" w:lineRule="exact"/>
        <w:ind w:firstLine="640" w:firstLineChars="200"/>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7.园区运行经费：为保障行政单位（包含参照公务员法管理的事业单位）运行用于购买货物和服务的各项资金。包括办公及印刷费、邮电费、差旅费、会议费一般设备购置费等费用开支。</w:t>
      </w:r>
    </w:p>
    <w:p w14:paraId="47D3B7D9">
      <w:pPr>
        <w:numPr>
          <w:ilvl w:val="255"/>
          <w:numId w:val="0"/>
        </w:numPr>
        <w:spacing w:line="600" w:lineRule="exact"/>
        <w:ind w:firstLine="640" w:firstLineChars="200"/>
        <w:rPr>
          <w:rStyle w:val="31"/>
          <w:rFonts w:hint="eastAsia" w:ascii="方正小标宋简体" w:hAnsi="方正小标宋简体" w:eastAsia="方正小标宋简体" w:cs="方正小标宋简体"/>
          <w:b w:val="0"/>
        </w:rPr>
      </w:pPr>
      <w:bookmarkStart w:id="64" w:name="_Toc15377226"/>
      <w:r>
        <w:rPr>
          <w:rFonts w:hint="eastAsia" w:ascii="Times New Roman" w:hAnsi="Times New Roman" w:eastAsia="仿宋_GB2312" w:cs="仿宋_GB2312"/>
          <w:sz w:val="32"/>
          <w:szCs w:val="32"/>
          <w:lang w:val="zh-CN"/>
        </w:rPr>
        <w:br w:type="page"/>
      </w:r>
      <w:bookmarkStart w:id="65" w:name="_Toc15396614"/>
      <w:bookmarkStart w:id="66" w:name="_Toc1585229837"/>
      <w:r>
        <w:rPr>
          <w:rFonts w:hint="eastAsia" w:ascii="方正小标宋简体" w:hAnsi="方正小标宋简体" w:eastAsia="方正小标宋简体" w:cs="方正小标宋简体"/>
          <w:sz w:val="44"/>
          <w:szCs w:val="44"/>
        </w:rPr>
        <w:t>第四部分  附件</w:t>
      </w:r>
      <w:bookmarkEnd w:id="65"/>
      <w:bookmarkEnd w:id="66"/>
    </w:p>
    <w:p w14:paraId="6CB7205A">
      <w:pPr>
        <w:spacing w:line="572" w:lineRule="exact"/>
        <w:jc w:val="left"/>
        <w:outlineLvl w:val="9"/>
        <w:rPr>
          <w:rFonts w:hint="eastAsia" w:ascii="方正小标宋简体" w:hAnsi="方正小标宋简体" w:eastAsia="方正小标宋简体" w:cs="方正小标宋简体"/>
          <w:color w:val="FF0000"/>
          <w:sz w:val="44"/>
          <w:szCs w:val="44"/>
        </w:rPr>
      </w:pPr>
    </w:p>
    <w:p w14:paraId="2DFDA4DB">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9"/>
        <w:rPr>
          <w:rFonts w:eastAsia="黑体" w:cs="方正小标宋简体"/>
          <w:sz w:val="44"/>
          <w:szCs w:val="44"/>
        </w:rPr>
      </w:pPr>
      <w:r>
        <w:rPr>
          <w:rFonts w:hint="eastAsia" w:eastAsia="黑体" w:cs="黑体"/>
          <w:sz w:val="32"/>
          <w:szCs w:val="32"/>
        </w:rPr>
        <w:t>附件1</w:t>
      </w:r>
    </w:p>
    <w:p w14:paraId="6F125078">
      <w:pPr>
        <w:widowControl/>
        <w:spacing w:line="578" w:lineRule="exact"/>
        <w:contextualSpacing/>
        <w:jc w:val="center"/>
        <w:rPr>
          <w:rFonts w:eastAsia="方正小标宋简体"/>
          <w:bCs/>
          <w:sz w:val="44"/>
          <w:szCs w:val="44"/>
          <w:shd w:val="clear" w:color="auto" w:fill="FFFFFF"/>
        </w:rPr>
      </w:pPr>
    </w:p>
    <w:p w14:paraId="25FB9232">
      <w:pPr>
        <w:spacing w:line="576" w:lineRule="exact"/>
        <w:jc w:val="center"/>
        <w:rPr>
          <w:rFonts w:hint="eastAsia" w:eastAsia="方正小标宋简体"/>
          <w:bCs/>
          <w:sz w:val="44"/>
          <w:szCs w:val="44"/>
          <w:shd w:val="clear" w:color="auto" w:fill="FFFFFF"/>
        </w:rPr>
      </w:pPr>
      <w:r>
        <w:rPr>
          <w:rFonts w:hint="eastAsia" w:eastAsia="方正小标宋简体"/>
          <w:bCs/>
          <w:sz w:val="44"/>
          <w:szCs w:val="44"/>
          <w:shd w:val="clear" w:color="auto" w:fill="FFFFFF"/>
        </w:rPr>
        <w:t>遂宁市安居区遂潼天然气综合利用产业园</w:t>
      </w:r>
    </w:p>
    <w:p w14:paraId="3AF9D36C">
      <w:pPr>
        <w:spacing w:line="576" w:lineRule="exact"/>
        <w:jc w:val="center"/>
        <w:rPr>
          <w:rFonts w:eastAsia="方正小标宋简体"/>
          <w:bCs/>
          <w:sz w:val="44"/>
          <w:szCs w:val="44"/>
          <w:shd w:val="clear" w:color="auto" w:fill="FFFFFF"/>
        </w:rPr>
      </w:pPr>
      <w:r>
        <w:rPr>
          <w:rFonts w:hint="eastAsia" w:eastAsia="方正小标宋简体"/>
          <w:bCs/>
          <w:sz w:val="44"/>
          <w:szCs w:val="44"/>
          <w:shd w:val="clear" w:color="auto" w:fill="FFFFFF"/>
        </w:rPr>
        <w:t>关于202</w:t>
      </w:r>
      <w:r>
        <w:rPr>
          <w:rFonts w:eastAsia="方正小标宋简体"/>
          <w:bCs/>
          <w:sz w:val="44"/>
          <w:szCs w:val="44"/>
          <w:shd w:val="clear" w:color="auto" w:fill="FFFFFF"/>
        </w:rPr>
        <w:t>4</w:t>
      </w:r>
      <w:r>
        <w:rPr>
          <w:rFonts w:hint="eastAsia" w:eastAsia="方正小标宋简体"/>
          <w:bCs/>
          <w:sz w:val="44"/>
          <w:szCs w:val="44"/>
          <w:shd w:val="clear" w:color="auto" w:fill="FFFFFF"/>
        </w:rPr>
        <w:t>年度部门整体支出绩效报告</w:t>
      </w:r>
    </w:p>
    <w:p w14:paraId="32294980">
      <w:pPr>
        <w:widowControl/>
        <w:spacing w:line="578" w:lineRule="exact"/>
        <w:contextualSpacing/>
        <w:jc w:val="center"/>
        <w:rPr>
          <w:rFonts w:eastAsia="黑体"/>
          <w:color w:val="000000"/>
          <w:kern w:val="0"/>
          <w:sz w:val="24"/>
          <w:szCs w:val="32"/>
          <w:shd w:val="clear" w:color="auto" w:fill="FFFFFF"/>
        </w:rPr>
      </w:pPr>
    </w:p>
    <w:p w14:paraId="6AB97E22">
      <w:pPr>
        <w:widowControl/>
        <w:adjustRightInd w:val="0"/>
        <w:snapToGrid w:val="0"/>
        <w:spacing w:line="576"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一、部门（单位）基本情况</w:t>
      </w:r>
    </w:p>
    <w:p w14:paraId="2F207C39">
      <w:pPr>
        <w:spacing w:line="576" w:lineRule="exact"/>
        <w:ind w:firstLine="640" w:firstLineChars="200"/>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（一）机构组成。</w:t>
      </w:r>
    </w:p>
    <w:p w14:paraId="5D4F8597">
      <w:pPr>
        <w:autoSpaceDE w:val="0"/>
        <w:autoSpaceDN w:val="0"/>
        <w:adjustRightInd w:val="0"/>
        <w:spacing w:line="600" w:lineRule="exact"/>
        <w:ind w:firstLine="640" w:firstLineChars="200"/>
        <w:jc w:val="left"/>
        <w:outlineLvl w:val="2"/>
        <w:rPr>
          <w:rFonts w:hint="eastAsia" w:ascii="仿宋_GB2312" w:hAnsi="仿宋_GB2312" w:eastAsia="仿宋_GB2312" w:cs="仿宋_GB2312"/>
          <w:sz w:val="32"/>
        </w:rPr>
      </w:pPr>
      <w:r>
        <w:rPr>
          <w:rFonts w:hint="eastAsia" w:ascii="仿宋_GB2312" w:hAnsi="仿宋_GB2312" w:eastAsia="仿宋_GB2312" w:cs="仿宋_GB2312"/>
          <w:sz w:val="32"/>
        </w:rPr>
        <w:t xml:space="preserve"> 遂潼天然气综合利用产业园下设综合部、规划建设部、招商引资部三个办公室，无下属二级预算单位。</w:t>
      </w:r>
    </w:p>
    <w:p w14:paraId="7D2B63FE">
      <w:pPr>
        <w:widowControl/>
        <w:adjustRightInd w:val="0"/>
        <w:snapToGrid w:val="0"/>
        <w:spacing w:line="576" w:lineRule="exact"/>
        <w:ind w:firstLine="640" w:firstLineChars="200"/>
        <w:contextualSpacing/>
        <w:jc w:val="left"/>
        <w:rPr>
          <w:rFonts w:eastAsia="楷体_GB2312"/>
          <w:color w:val="000000"/>
          <w:kern w:val="0"/>
          <w:sz w:val="32"/>
          <w:szCs w:val="32"/>
          <w:shd w:val="clear" w:color="auto" w:fill="FFFFFF"/>
          <w:lang w:val="zh-CN"/>
        </w:rPr>
      </w:pPr>
      <w:r>
        <w:rPr>
          <w:rFonts w:hint="eastAsia" w:eastAsia="楷体_GB2312"/>
          <w:color w:val="000000"/>
          <w:kern w:val="0"/>
          <w:sz w:val="32"/>
          <w:szCs w:val="32"/>
          <w:shd w:val="clear" w:color="auto" w:fill="FFFFFF"/>
          <w:lang w:val="zh-CN"/>
        </w:rPr>
        <w:t>（</w:t>
      </w:r>
      <w:r>
        <w:rPr>
          <w:rFonts w:hint="eastAsia" w:eastAsia="楷体_GB2312"/>
          <w:color w:val="000000"/>
          <w:kern w:val="0"/>
          <w:sz w:val="32"/>
          <w:szCs w:val="32"/>
          <w:shd w:val="clear" w:color="auto" w:fill="FFFFFF"/>
        </w:rPr>
        <w:t>二</w:t>
      </w:r>
      <w:r>
        <w:rPr>
          <w:rFonts w:hint="eastAsia" w:eastAsia="楷体_GB2312"/>
          <w:color w:val="000000"/>
          <w:kern w:val="0"/>
          <w:sz w:val="32"/>
          <w:szCs w:val="32"/>
          <w:shd w:val="clear" w:color="auto" w:fill="FFFFFF"/>
          <w:lang w:val="zh-CN"/>
        </w:rPr>
        <w:t>）</w:t>
      </w:r>
      <w:r>
        <w:rPr>
          <w:rFonts w:eastAsia="楷体_GB2312"/>
          <w:color w:val="000000"/>
          <w:kern w:val="0"/>
          <w:sz w:val="32"/>
          <w:szCs w:val="32"/>
          <w:shd w:val="clear" w:color="auto" w:fill="FFFFFF"/>
          <w:lang w:val="zh-CN"/>
        </w:rPr>
        <w:t>机构职能。</w:t>
      </w:r>
    </w:p>
    <w:p w14:paraId="643F954E">
      <w:pPr>
        <w:autoSpaceDE w:val="0"/>
        <w:autoSpaceDN w:val="0"/>
        <w:adjustRightInd w:val="0"/>
        <w:spacing w:line="600" w:lineRule="exact"/>
        <w:ind w:firstLine="640" w:firstLineChars="200"/>
        <w:jc w:val="left"/>
        <w:outlineLvl w:val="2"/>
        <w:rPr>
          <w:rFonts w:eastAsia="仿宋_GB2312"/>
          <w:sz w:val="32"/>
        </w:rPr>
      </w:pPr>
      <w:r>
        <w:rPr>
          <w:rFonts w:hint="eastAsia" w:ascii="仿宋_GB2312" w:hAnsi="仿宋_GB2312" w:eastAsia="仿宋_GB2312" w:cs="仿宋_GB2312"/>
          <w:sz w:val="32"/>
        </w:rPr>
        <w:t>贯彻落实国家、省、市关于天然气资源管理和开发利用的战略、方针、政策和法律法规，</w:t>
      </w:r>
      <w:r>
        <w:rPr>
          <w:rFonts w:hint="eastAsia" w:ascii="仿宋_GB2312" w:hAnsi="仿宋_GB2312" w:eastAsia="仿宋_GB2312" w:cs="仿宋_GB2312"/>
          <w:sz w:val="32"/>
          <w:lang w:eastAsia="zh-CN"/>
        </w:rPr>
        <w:t>拟订园区</w:t>
      </w:r>
      <w:r>
        <w:rPr>
          <w:rFonts w:hint="eastAsia" w:ascii="仿宋_GB2312" w:hAnsi="仿宋_GB2312" w:eastAsia="仿宋_GB2312" w:cs="仿宋_GB2312"/>
          <w:sz w:val="32"/>
        </w:rPr>
        <w:t>天然气综合利用的政策措施和管理办法并组织实施；研究提出园区天然气综合利用产业发展的总体目标和发展战略，编制天然气综合利用发展规划及其它专项规划并组织实施;支持和服务园区企业发展壮大，培育企业梯队发展，打造全产业链天然气产业集群；负责园区企业要素保障和项目协调服务等工作；协调解决园区企业运行中的困难和问题；负责企业招商引资工作，建设天然气精细化工“链主”产业，注重全产业链配套耦合发展；负责园区生态环境保护、应急管理等相关工作；完成遂潼园区临时党委、筹委会交办的其他任务。</w:t>
      </w:r>
    </w:p>
    <w:p w14:paraId="506B85C7">
      <w:pPr>
        <w:spacing w:line="576" w:lineRule="exact"/>
        <w:ind w:right="2" w:rightChars="1" w:firstLine="640" w:firstLineChars="200"/>
        <w:jc w:val="left"/>
        <w:rPr>
          <w:rFonts w:eastAsia="楷体_GB2312"/>
          <w:color w:val="000000"/>
          <w:kern w:val="0"/>
          <w:sz w:val="32"/>
          <w:szCs w:val="32"/>
          <w:shd w:val="clear" w:color="auto" w:fill="FFFFFF"/>
          <w:lang w:val="zh-CN"/>
        </w:rPr>
      </w:pPr>
      <w:r>
        <w:rPr>
          <w:rFonts w:eastAsia="楷体_GB2312"/>
          <w:color w:val="000000"/>
          <w:kern w:val="0"/>
          <w:sz w:val="32"/>
          <w:szCs w:val="32"/>
          <w:shd w:val="clear" w:color="auto" w:fill="FFFFFF"/>
          <w:lang w:val="zh-CN"/>
        </w:rPr>
        <w:t>（三）人员概况。</w:t>
      </w:r>
    </w:p>
    <w:p w14:paraId="77F3D80A">
      <w:pPr>
        <w:numPr>
          <w:ilvl w:val="255"/>
          <w:numId w:val="0"/>
        </w:numPr>
        <w:spacing w:line="600" w:lineRule="exact"/>
        <w:ind w:firstLine="640" w:firstLineChars="20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遂潼天然气综合利用产业园截止2024年12月底，共有4人，行政人员1人，事业人员3人，且均为各区直部门与乡镇抽调人员。</w:t>
      </w:r>
    </w:p>
    <w:p w14:paraId="199F1C9F">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61826499">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617CA716">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仿宋" w:hAnsi="仿宋" w:eastAsia="仿宋"/>
          <w:bCs/>
          <w:sz w:val="32"/>
          <w:szCs w:val="32"/>
        </w:rPr>
        <w:t>遂</w:t>
      </w:r>
      <w:r>
        <w:rPr>
          <w:rFonts w:hint="eastAsia" w:ascii="Times New Roman" w:hAnsi="Times New Roman" w:eastAsia="仿宋_GB2312" w:cs="仿宋_GB2312"/>
          <w:sz w:val="32"/>
          <w:szCs w:val="32"/>
          <w:lang w:val="en-US" w:eastAsia="zh-CN"/>
        </w:rPr>
        <w:t>潼天然气综合利用产业园2024年本年收入合计512.17万元，其中：一般公共预算财政拨款收入512.17万元，占100%；政府性基金预算财政拨款收入0万元，占0%。</w:t>
      </w:r>
    </w:p>
    <w:p w14:paraId="7D3394E8">
      <w:pPr>
        <w:widowControl/>
        <w:numPr>
          <w:ilvl w:val="0"/>
          <w:numId w:val="2"/>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37D7960E">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遂潼天然气综合利用产业园2024年本年支出合计512.17万元，其中：基本支出0万元，占0%；项目支出512.17万元，占100%。</w:t>
      </w:r>
    </w:p>
    <w:p w14:paraId="2A48CDED">
      <w:pPr>
        <w:widowControl/>
        <w:numPr>
          <w:ilvl w:val="0"/>
          <w:numId w:val="2"/>
        </w:numPr>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结余分配和结转结余情况</w:t>
      </w:r>
      <w:r>
        <w:rPr>
          <w:rFonts w:hint="eastAsia" w:eastAsia="楷体_GB2312"/>
          <w:b/>
          <w:bCs/>
          <w:color w:val="000000"/>
          <w:kern w:val="0"/>
          <w:sz w:val="32"/>
          <w:szCs w:val="32"/>
          <w:shd w:val="clear" w:color="auto" w:fill="FFFFFF"/>
          <w:lang w:val="zh-CN"/>
        </w:rPr>
        <w:t>。</w:t>
      </w:r>
    </w:p>
    <w:p w14:paraId="1C080E3F">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遂潼天然气综合利用产业园2024年决算报表无结转结余情况。</w:t>
      </w:r>
    </w:p>
    <w:p w14:paraId="1851A3DB">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3B36CEEA">
      <w:pPr>
        <w:adjustRightInd w:val="0"/>
        <w:snapToGrid w:val="0"/>
        <w:spacing w:line="578" w:lineRule="exact"/>
        <w:ind w:firstLine="643" w:firstLineChars="200"/>
        <w:contextualSpacing/>
        <w:jc w:val="left"/>
        <w:rPr>
          <w:rFonts w:eastAsia="仿宋_GB2312" w:cs="仿宋_GB2312"/>
          <w:sz w:val="32"/>
          <w:szCs w:val="32"/>
          <w:lang w:val="zh-CN"/>
        </w:rPr>
      </w:pPr>
      <w:r>
        <w:rPr>
          <w:rFonts w:eastAsia="楷体_GB2312"/>
          <w:b/>
          <w:bCs/>
          <w:color w:val="000000"/>
          <w:kern w:val="0"/>
          <w:sz w:val="32"/>
          <w:szCs w:val="32"/>
          <w:shd w:val="clear" w:color="auto" w:fill="FFFFFF"/>
          <w:lang w:val="zh-CN"/>
        </w:rPr>
        <w:t>（一）</w:t>
      </w:r>
      <w:r>
        <w:rPr>
          <w:rFonts w:hint="eastAsia"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489E2C89">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1.履职效能。2024年，在区委、区政府的坚强领导下，遂潼天然气综合利用园产业坚持以习近平新时代中国特色社会主义思想为指导，紧扣区委“1336”战略，全面学习、全面把握、全面落实党的二十大精神，完整、准</w:t>
      </w:r>
      <w:r>
        <w:rPr>
          <w:rFonts w:hint="eastAsia" w:ascii="Times New Roman" w:hAnsi="Times New Roman" w:eastAsia="仿宋_GB2312" w:cs="仿宋_GB2312"/>
          <w:sz w:val="32"/>
          <w:szCs w:val="32"/>
          <w:lang w:val="zh-CN" w:eastAsia="zh-CN"/>
        </w:rPr>
        <w:t>确、全面贯彻新发展理念，贯彻“对标更高标，出手就出彩，完成即完美”工作要求，统筹发展和安全，深入实施党建引领、乡村振兴、民生幸福、安全稳定“四大工程”，推动党的建设和经济社会发展各项工作不断取得实效</w:t>
      </w:r>
      <w:r>
        <w:rPr>
          <w:rFonts w:hint="eastAsia" w:ascii="Times New Roman" w:hAnsi="Times New Roman" w:eastAsia="仿宋_GB2312" w:cs="仿宋_GB2312"/>
          <w:sz w:val="32"/>
          <w:szCs w:val="32"/>
          <w:lang w:val="en-US" w:eastAsia="zh-CN"/>
        </w:rPr>
        <w:t>。项目支出512.17万</w:t>
      </w:r>
      <w:r>
        <w:rPr>
          <w:rFonts w:hint="eastAsia" w:ascii="Times New Roman" w:hAnsi="Times New Roman" w:eastAsia="仿宋_GB2312" w:cs="仿宋_GB2312"/>
          <w:sz w:val="32"/>
          <w:szCs w:val="32"/>
          <w:lang w:val="zh-CN" w:eastAsia="zh-CN"/>
        </w:rPr>
        <w:t>元，保障了园区各个项目的顺利实施。</w:t>
      </w:r>
    </w:p>
    <w:p w14:paraId="55324D55">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2.预算管理。遂潼天然气综合利用产业园严格按照</w:t>
      </w:r>
      <w:r>
        <w:rPr>
          <w:rFonts w:hint="eastAsia" w:eastAsia="仿宋_GB2312" w:cs="仿宋_GB2312"/>
          <w:sz w:val="32"/>
          <w:szCs w:val="32"/>
          <w:lang w:val="en-US" w:eastAsia="zh-CN"/>
        </w:rPr>
        <w:t>《中华人民共和国预算法》</w:t>
      </w:r>
      <w:r>
        <w:rPr>
          <w:rFonts w:hint="eastAsia" w:ascii="Times New Roman" w:hAnsi="Times New Roman" w:eastAsia="仿宋_GB2312" w:cs="仿宋_GB2312"/>
          <w:sz w:val="32"/>
          <w:szCs w:val="32"/>
          <w:lang w:val="en-US" w:eastAsia="zh-CN"/>
        </w:rPr>
        <w:t>和区财政局2024年部门预算编制口径, 结合镇政府年度工作任务安排编制预算。2024年收入总计512.17万元，完成全年预算100%，年末无结转结余，一般性支出512.17万元，支出控制率100%。</w:t>
      </w:r>
    </w:p>
    <w:p w14:paraId="549DF731">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3.财务管理。2024年所有资金实行专款专用。项目支出均有相关的授权审批，资金拨付严格审批程序，使用规范，会计核算结果真实、准确。</w:t>
      </w:r>
    </w:p>
    <w:p w14:paraId="6B7784E6">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4.资产管理。2024年，遂潼天然气综合利用产业园严格按照有关规定管理固定资产。资产管理工作程序规范，会计核算结果真实、准确。资产配置合理、保管完善，并按要求进行资产盘点，2024年末固定资产总额1.44万元，实际在用固定资产总额1.44万元，固定资产利用率为100%。</w:t>
      </w:r>
    </w:p>
    <w:p w14:paraId="49DB524D">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5.采购管理。围绕支持中小企业发展、采购执行率进行绩效分析。</w:t>
      </w:r>
    </w:p>
    <w:p w14:paraId="081E0B34">
      <w:pPr>
        <w:adjustRightInd w:val="0"/>
        <w:snapToGrid w:val="0"/>
        <w:spacing w:line="578" w:lineRule="exact"/>
        <w:ind w:firstLine="643" w:firstLineChars="200"/>
        <w:contextualSpacing/>
        <w:rPr>
          <w:rFonts w:eastAsia="仿宋_GB2312" w:cs="仿宋_GB2312"/>
          <w:sz w:val="32"/>
          <w:szCs w:val="32"/>
        </w:rPr>
      </w:pPr>
      <w:r>
        <w:rPr>
          <w:rFonts w:eastAsia="楷体_GB2312"/>
          <w:b/>
          <w:bCs/>
          <w:color w:val="000000"/>
          <w:kern w:val="0"/>
          <w:sz w:val="32"/>
          <w:szCs w:val="32"/>
          <w:shd w:val="clear" w:color="auto" w:fill="FFFFFF"/>
          <w:lang w:val="zh-CN"/>
        </w:rPr>
        <w:t>（二）部门预算项目绩效分析。</w:t>
      </w:r>
    </w:p>
    <w:p w14:paraId="0DF3BB0C">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常年项目绩效分析。该类项目总数1个，涉及预算总金额9.54万元，1—12月预算执行总体进度为100%，其中：预算结余率大于10%的项目共计 0个。</w:t>
      </w:r>
    </w:p>
    <w:p w14:paraId="75745C70">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阶段（一次性）项目绩效分析。该类项目总数 1个，涉及预算总金502.63万元，1—12月预算执行总体进度为100%，其中：预算结余率大于10%的项目共计0个。</w:t>
      </w:r>
    </w:p>
    <w:p w14:paraId="01C9DCE2">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项目决策。2024年，遂潼天然气综合利用产业园根据区财政要求，将部门整体的绩效目标细化分解为具体量化的项目，设立了项目绩效目标，目标明确、细化、量化，与部门年度的任务数或计划数相对应，与本年度部门预算资金相匹配。</w:t>
      </w:r>
    </w:p>
    <w:p w14:paraId="73B9E647">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项目执行。2024年，遂潼天然气综合利用产业园各个项目经费严格按照年初设定的目标方向管理和使用，途中未进行项目预算的调整；所有项目支出符合国家财经法规和财务管理制度规定以及有关专项资金管理办法的规定；资金的拨付有完整的审批程序和手续，不存在截留、挤占、挪用、虚列支出等情况。</w:t>
      </w:r>
    </w:p>
    <w:p w14:paraId="14AABD9E">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3.目标实现。遂潼天然气综合利用产业园2024年各个项目都按既定目标完成，未出现偏离，达到了预定效果。</w:t>
      </w:r>
    </w:p>
    <w:p w14:paraId="2717CE47">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（三）重点领域绩效分析。遂潼天然气综合利用产业园2024年度无涉及国</w:t>
      </w:r>
      <w:r>
        <w:rPr>
          <w:rFonts w:hint="eastAsia" w:ascii="Times New Roman" w:hAnsi="Times New Roman" w:eastAsia="仿宋_GB2312" w:cs="仿宋_GB2312"/>
          <w:sz w:val="32"/>
          <w:szCs w:val="32"/>
          <w:lang w:val="zh-CN" w:eastAsia="zh-CN"/>
        </w:rPr>
        <w:t>有资本、行政事业性国有资产、债券资金、政府采购和政府购买服务等重点领域。</w:t>
      </w:r>
    </w:p>
    <w:p w14:paraId="774773D0">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四）绩效结果应用情况。通过整体支出绩效自评，进一步强化绩效评价结果应用。一是将评价结果作为预算调整和下一年度预算编制的重要参考依据，进一步优化财政资源配置。二是随同部门决算在政府门户网站“财政预（决）算”专栏公开自评报告及绩效目标自评表。</w:t>
      </w:r>
    </w:p>
    <w:p w14:paraId="4AB3A10E">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7005E9BD">
      <w:pPr>
        <w:widowControl/>
        <w:adjustRightInd w:val="0"/>
        <w:snapToGrid w:val="0"/>
        <w:spacing w:line="578" w:lineRule="exact"/>
        <w:ind w:firstLine="643" w:firstLineChars="200"/>
        <w:contextualSpacing/>
        <w:jc w:val="left"/>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66B159F9">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2024年，遂潼天然气综合利用产业园通过加强预算收支管理，不断建立健全内部管理制度，梳理内部管理流程，部门整体支出管理情况得到提升，较</w:t>
      </w:r>
      <w:r>
        <w:rPr>
          <w:rFonts w:hint="eastAsia" w:eastAsia="仿宋_GB2312" w:cs="仿宋_GB2312"/>
          <w:sz w:val="32"/>
          <w:szCs w:val="32"/>
          <w:lang w:val="en-US" w:eastAsia="zh-CN"/>
        </w:rPr>
        <w:t>好地完成</w:t>
      </w:r>
      <w:r>
        <w:rPr>
          <w:rFonts w:hint="eastAsia" w:ascii="Times New Roman" w:hAnsi="Times New Roman" w:eastAsia="仿宋_GB2312" w:cs="仿宋_GB2312"/>
          <w:sz w:val="32"/>
          <w:szCs w:val="32"/>
          <w:lang w:val="en-US" w:eastAsia="zh-CN"/>
        </w:rPr>
        <w:t>了年度工作目标。根据部门整体支出绩效评价指标体系，对2024年整体支出开展绩效自评，自评得分98分。</w:t>
      </w:r>
    </w:p>
    <w:p w14:paraId="3EC0996E">
      <w:pPr>
        <w:widowControl/>
        <w:adjustRightInd w:val="0"/>
        <w:snapToGrid w:val="0"/>
        <w:spacing w:line="578" w:lineRule="exact"/>
        <w:ind w:firstLine="643" w:firstLineChars="200"/>
        <w:contextualSpacing/>
        <w:jc w:val="left"/>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（二）存在问题</w:t>
      </w:r>
    </w:p>
    <w:p w14:paraId="66544FA2">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存在的问题：一是部分项目资金支付进度不够及时；二是需进一步完善单位内控制度。</w:t>
      </w:r>
    </w:p>
    <w:p w14:paraId="01BA435B">
      <w:pPr>
        <w:widowControl/>
        <w:numPr>
          <w:ilvl w:val="255"/>
          <w:numId w:val="0"/>
        </w:numPr>
        <w:adjustRightInd w:val="0"/>
        <w:snapToGrid w:val="0"/>
        <w:spacing w:line="578" w:lineRule="exact"/>
        <w:ind w:firstLine="643" w:firstLineChars="200"/>
        <w:contextualSpacing/>
        <w:jc w:val="left"/>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（三）改进建议</w:t>
      </w:r>
    </w:p>
    <w:p w14:paraId="5FCFB4FE">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1、科学合理编制预算，严格执行预算。做准做全基本支出预算和项目支出预算，加强预算支出的审核、跟踪及预算执行情况分析，提高预算编制严谨性和可控性。　</w:t>
      </w:r>
    </w:p>
    <w:p w14:paraId="11DCEC25">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2、进一步加强项目资金管理。严格实行项目管理程序化，实现项目申报、实施、拨付、评价全流程监督与控制，规范专项资金管理，提高专项资金的使用效益。</w:t>
      </w:r>
    </w:p>
    <w:p w14:paraId="48DF7EB2">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3、进一步完善内部管理制度，提升管理效能，更好地履行工作职能。</w:t>
      </w:r>
    </w:p>
    <w:p w14:paraId="56434604">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zh-CN" w:eastAsia="zh-CN"/>
        </w:rPr>
        <w:t>附表：</w:t>
      </w:r>
      <w:r>
        <w:rPr>
          <w:rFonts w:hint="eastAsia" w:ascii="Times New Roman" w:hAnsi="Times New Roman" w:eastAsia="仿宋_GB2312" w:cs="仿宋_GB2312"/>
          <w:sz w:val="32"/>
          <w:szCs w:val="32"/>
          <w:lang w:val="en-US" w:eastAsia="zh-CN"/>
        </w:rPr>
        <w:t>1.部门整体支出绩效自评表</w:t>
      </w:r>
    </w:p>
    <w:p w14:paraId="3D6A260C">
      <w:pPr>
        <w:widowControl/>
        <w:adjustRightInd w:val="0"/>
        <w:snapToGrid w:val="0"/>
        <w:spacing w:line="578" w:lineRule="exact"/>
        <w:ind w:firstLine="1600" w:firstLineChars="5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2.部门预算项目支出绩效自评表（2024年度）</w:t>
      </w:r>
    </w:p>
    <w:p w14:paraId="1F500636">
      <w:pPr>
        <w:pStyle w:val="3"/>
        <w:spacing w:line="560" w:lineRule="exact"/>
        <w:ind w:left="0" w:leftChars="0" w:firstLine="640"/>
        <w:rPr>
          <w:rFonts w:ascii="Times New Roman" w:eastAsia="仿宋_GB2312"/>
          <w:sz w:val="32"/>
          <w:lang w:val="zh-CN" w:bidi="ar"/>
        </w:rPr>
      </w:pPr>
    </w:p>
    <w:p w14:paraId="59F13AAA">
      <w:pPr>
        <w:pStyle w:val="3"/>
        <w:spacing w:line="560" w:lineRule="exact"/>
        <w:ind w:left="0" w:leftChars="0" w:firstLine="0" w:firstLineChars="0"/>
        <w:rPr>
          <w:rFonts w:ascii="Times New Roman" w:eastAsia="仿宋_GB2312"/>
          <w:sz w:val="32"/>
          <w:lang w:val="zh-CN" w:bidi="ar"/>
        </w:rPr>
      </w:pPr>
    </w:p>
    <w:p w14:paraId="7DB30117">
      <w:pPr>
        <w:pStyle w:val="3"/>
        <w:spacing w:line="560" w:lineRule="exact"/>
        <w:ind w:left="0" w:leftChars="0" w:firstLine="640"/>
        <w:rPr>
          <w:rFonts w:ascii="Times New Roman" w:eastAsia="仿宋_GB2312"/>
          <w:sz w:val="32"/>
          <w:lang w:val="zh-CN" w:bidi="ar"/>
        </w:rPr>
      </w:pPr>
    </w:p>
    <w:tbl>
      <w:tblPr>
        <w:tblStyle w:val="18"/>
        <w:tblW w:w="0" w:type="auto"/>
        <w:tblInd w:w="93" w:type="dxa"/>
        <w:tblLayout w:type="fixed"/>
        <w:tblCellMar>
          <w:top w:w="0" w:type="dxa"/>
          <w:left w:w="108" w:type="dxa"/>
          <w:bottom w:w="0" w:type="dxa"/>
          <w:right w:w="108" w:type="dxa"/>
        </w:tblCellMar>
      </w:tblPr>
      <w:tblGrid>
        <w:gridCol w:w="880"/>
        <w:gridCol w:w="753"/>
        <w:gridCol w:w="1115"/>
        <w:gridCol w:w="584"/>
        <w:gridCol w:w="1222"/>
        <w:gridCol w:w="2926"/>
        <w:gridCol w:w="484"/>
        <w:gridCol w:w="465"/>
      </w:tblGrid>
      <w:tr w14:paraId="14B2F02F">
        <w:tblPrEx>
          <w:tblCellMar>
            <w:top w:w="0" w:type="dxa"/>
            <w:left w:w="108" w:type="dxa"/>
            <w:bottom w:w="0" w:type="dxa"/>
            <w:right w:w="108" w:type="dxa"/>
          </w:tblCellMar>
        </w:tblPrEx>
        <w:trPr>
          <w:trHeight w:val="645" w:hRule="atLeast"/>
        </w:trPr>
        <w:tc>
          <w:tcPr>
            <w:tcW w:w="8429" w:type="dxa"/>
            <w:gridSpan w:val="8"/>
            <w:tcBorders>
              <w:top w:val="nil"/>
              <w:left w:val="nil"/>
              <w:bottom w:val="nil"/>
              <w:right w:val="nil"/>
            </w:tcBorders>
            <w:vAlign w:val="center"/>
          </w:tcPr>
          <w:p w14:paraId="54B2F8FA">
            <w:pPr>
              <w:widowControl/>
              <w:jc w:val="center"/>
              <w:textAlignment w:val="center"/>
              <w:rPr>
                <w:rFonts w:hint="eastAsia" w:ascii="方正小标宋简体" w:hAnsi="方正小标宋简体" w:eastAsia="方正小标宋简体" w:cs="方正小标宋简体"/>
                <w:color w:val="000000"/>
                <w:sz w:val="48"/>
                <w:szCs w:val="48"/>
              </w:rPr>
            </w:pPr>
            <w:r>
              <w:rPr>
                <w:rFonts w:hint="eastAsia" w:ascii="方正小标宋简体" w:hAnsi="方正小标宋简体" w:eastAsia="方正小标宋简体" w:cs="方正小标宋简体"/>
                <w:color w:val="000000"/>
                <w:kern w:val="0"/>
                <w:sz w:val="48"/>
                <w:szCs w:val="48"/>
                <w:lang w:bidi="ar"/>
              </w:rPr>
              <w:t>部门整体支出绩效自评表</w:t>
            </w:r>
          </w:p>
        </w:tc>
      </w:tr>
      <w:tr w14:paraId="15FE0737">
        <w:tblPrEx>
          <w:tblCellMar>
            <w:top w:w="0" w:type="dxa"/>
            <w:left w:w="108" w:type="dxa"/>
            <w:bottom w:w="0" w:type="dxa"/>
            <w:right w:w="108" w:type="dxa"/>
          </w:tblCellMar>
        </w:tblPrEx>
        <w:trPr>
          <w:trHeight w:val="520" w:hRule="atLeast"/>
        </w:trPr>
        <w:tc>
          <w:tcPr>
            <w:tcW w:w="3332" w:type="dxa"/>
            <w:gridSpan w:val="4"/>
            <w:tcBorders>
              <w:top w:val="single" w:color="000000" w:sz="4" w:space="0"/>
              <w:left w:val="single" w:color="000000" w:sz="4" w:space="0"/>
              <w:bottom w:val="single" w:color="000000" w:sz="4" w:space="0"/>
              <w:right w:val="single" w:color="000000" w:sz="4" w:space="0"/>
            </w:tcBorders>
            <w:vAlign w:val="center"/>
          </w:tcPr>
          <w:p w14:paraId="25DE651E">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绩效指标</w:t>
            </w:r>
          </w:p>
        </w:tc>
        <w:tc>
          <w:tcPr>
            <w:tcW w:w="1222" w:type="dxa"/>
            <w:vMerge w:val="restart"/>
            <w:tcBorders>
              <w:top w:val="single" w:color="000000" w:sz="4" w:space="0"/>
              <w:left w:val="single" w:color="000000" w:sz="4" w:space="0"/>
              <w:bottom w:val="single" w:color="000000" w:sz="4" w:space="0"/>
              <w:right w:val="single" w:color="000000" w:sz="4" w:space="0"/>
            </w:tcBorders>
            <w:vAlign w:val="center"/>
          </w:tcPr>
          <w:p w14:paraId="3A245E8F">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2926" w:type="dxa"/>
            <w:vMerge w:val="restart"/>
            <w:tcBorders>
              <w:top w:val="single" w:color="000000" w:sz="4" w:space="0"/>
              <w:left w:val="single" w:color="000000" w:sz="4" w:space="0"/>
              <w:bottom w:val="single" w:color="000000" w:sz="4" w:space="0"/>
              <w:right w:val="single" w:color="000000" w:sz="4" w:space="0"/>
            </w:tcBorders>
            <w:vAlign w:val="center"/>
          </w:tcPr>
          <w:p w14:paraId="590E0A4D">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评分说明</w:t>
            </w:r>
          </w:p>
        </w:tc>
        <w:tc>
          <w:tcPr>
            <w:tcW w:w="484" w:type="dxa"/>
            <w:vMerge w:val="restart"/>
            <w:tcBorders>
              <w:top w:val="single" w:color="000000" w:sz="4" w:space="0"/>
              <w:left w:val="single" w:color="000000" w:sz="4" w:space="0"/>
              <w:bottom w:val="single" w:color="000000" w:sz="4" w:space="0"/>
              <w:right w:val="single" w:color="000000" w:sz="4" w:space="0"/>
            </w:tcBorders>
            <w:vAlign w:val="center"/>
          </w:tcPr>
          <w:p w14:paraId="502461FA">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自评得分</w:t>
            </w:r>
          </w:p>
        </w:tc>
        <w:tc>
          <w:tcPr>
            <w:tcW w:w="465" w:type="dxa"/>
            <w:vMerge w:val="restart"/>
            <w:tcBorders>
              <w:top w:val="single" w:color="000000" w:sz="4" w:space="0"/>
              <w:left w:val="single" w:color="000000" w:sz="4" w:space="0"/>
              <w:bottom w:val="single" w:color="000000" w:sz="4" w:space="0"/>
              <w:right w:val="single" w:color="000000" w:sz="4" w:space="0"/>
            </w:tcBorders>
            <w:vAlign w:val="center"/>
          </w:tcPr>
          <w:p w14:paraId="2C88DB84">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备注</w:t>
            </w:r>
          </w:p>
        </w:tc>
      </w:tr>
      <w:tr w14:paraId="59A6E50C">
        <w:tblPrEx>
          <w:tblCellMar>
            <w:top w:w="0" w:type="dxa"/>
            <w:left w:w="108" w:type="dxa"/>
            <w:bottom w:w="0" w:type="dxa"/>
            <w:right w:w="108" w:type="dxa"/>
          </w:tblCellMar>
        </w:tblPrEx>
        <w:trPr>
          <w:trHeight w:val="285" w:hRule="atLeast"/>
        </w:trPr>
        <w:tc>
          <w:tcPr>
            <w:tcW w:w="880" w:type="dxa"/>
            <w:tcBorders>
              <w:top w:val="single" w:color="000000" w:sz="4" w:space="0"/>
              <w:left w:val="single" w:color="000000" w:sz="4" w:space="0"/>
              <w:bottom w:val="single" w:color="000000" w:sz="4" w:space="0"/>
              <w:right w:val="nil"/>
            </w:tcBorders>
            <w:vAlign w:val="center"/>
          </w:tcPr>
          <w:p w14:paraId="5D9BDE85">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753" w:type="dxa"/>
            <w:tcBorders>
              <w:top w:val="single" w:color="000000" w:sz="4" w:space="0"/>
              <w:left w:val="single" w:color="000000" w:sz="4" w:space="0"/>
              <w:bottom w:val="single" w:color="000000" w:sz="4" w:space="0"/>
              <w:right w:val="single" w:color="000000" w:sz="4" w:space="0"/>
            </w:tcBorders>
            <w:vAlign w:val="center"/>
          </w:tcPr>
          <w:p w14:paraId="4643DE67">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115" w:type="dxa"/>
            <w:tcBorders>
              <w:top w:val="single" w:color="000000" w:sz="4" w:space="0"/>
              <w:left w:val="single" w:color="000000" w:sz="4" w:space="0"/>
              <w:bottom w:val="single" w:color="000000" w:sz="4" w:space="0"/>
              <w:right w:val="single" w:color="000000" w:sz="4" w:space="0"/>
            </w:tcBorders>
            <w:vAlign w:val="center"/>
          </w:tcPr>
          <w:p w14:paraId="29D82C73">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584" w:type="dxa"/>
            <w:tcBorders>
              <w:top w:val="single" w:color="000000" w:sz="4" w:space="0"/>
              <w:left w:val="single" w:color="000000" w:sz="4" w:space="0"/>
              <w:bottom w:val="single" w:color="000000" w:sz="4" w:space="0"/>
              <w:right w:val="single" w:color="000000" w:sz="4" w:space="0"/>
            </w:tcBorders>
            <w:vAlign w:val="center"/>
          </w:tcPr>
          <w:p w14:paraId="3E4D2F6C">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指标分值</w:t>
            </w:r>
          </w:p>
        </w:tc>
        <w:tc>
          <w:tcPr>
            <w:tcW w:w="1222" w:type="dxa"/>
            <w:vMerge w:val="continue"/>
            <w:tcBorders>
              <w:top w:val="single" w:color="000000" w:sz="4" w:space="0"/>
              <w:left w:val="single" w:color="000000" w:sz="4" w:space="0"/>
              <w:bottom w:val="single" w:color="000000" w:sz="4" w:space="0"/>
              <w:right w:val="single" w:color="000000" w:sz="4" w:space="0"/>
            </w:tcBorders>
            <w:vAlign w:val="center"/>
          </w:tcPr>
          <w:p w14:paraId="5AC2A561">
            <w:pPr>
              <w:jc w:val="center"/>
              <w:rPr>
                <w:rFonts w:ascii="黑体" w:hAnsi="宋体" w:eastAsia="黑体" w:cs="黑体"/>
                <w:color w:val="000000"/>
                <w:sz w:val="24"/>
              </w:rPr>
            </w:pPr>
          </w:p>
        </w:tc>
        <w:tc>
          <w:tcPr>
            <w:tcW w:w="2926" w:type="dxa"/>
            <w:vMerge w:val="continue"/>
            <w:tcBorders>
              <w:top w:val="single" w:color="000000" w:sz="4" w:space="0"/>
              <w:left w:val="single" w:color="000000" w:sz="4" w:space="0"/>
              <w:bottom w:val="single" w:color="000000" w:sz="4" w:space="0"/>
              <w:right w:val="single" w:color="000000" w:sz="4" w:space="0"/>
            </w:tcBorders>
            <w:vAlign w:val="center"/>
          </w:tcPr>
          <w:p w14:paraId="4F27043A">
            <w:pPr>
              <w:jc w:val="center"/>
              <w:rPr>
                <w:rFonts w:ascii="黑体" w:hAnsi="宋体" w:eastAsia="黑体" w:cs="黑体"/>
                <w:color w:val="000000"/>
                <w:sz w:val="24"/>
              </w:rPr>
            </w:pPr>
          </w:p>
        </w:tc>
        <w:tc>
          <w:tcPr>
            <w:tcW w:w="484" w:type="dxa"/>
            <w:vMerge w:val="continue"/>
            <w:tcBorders>
              <w:top w:val="single" w:color="000000" w:sz="4" w:space="0"/>
              <w:left w:val="single" w:color="000000" w:sz="4" w:space="0"/>
              <w:bottom w:val="single" w:color="000000" w:sz="4" w:space="0"/>
              <w:right w:val="single" w:color="000000" w:sz="4" w:space="0"/>
            </w:tcBorders>
            <w:vAlign w:val="center"/>
          </w:tcPr>
          <w:p w14:paraId="0707A3E2">
            <w:pPr>
              <w:jc w:val="center"/>
              <w:rPr>
                <w:rFonts w:ascii="黑体" w:hAnsi="宋体" w:eastAsia="黑体" w:cs="黑体"/>
                <w:color w:val="000000"/>
                <w:sz w:val="24"/>
              </w:rPr>
            </w:pPr>
          </w:p>
        </w:tc>
        <w:tc>
          <w:tcPr>
            <w:tcW w:w="465" w:type="dxa"/>
            <w:vMerge w:val="continue"/>
            <w:tcBorders>
              <w:top w:val="single" w:color="000000" w:sz="4" w:space="0"/>
              <w:left w:val="single" w:color="000000" w:sz="4" w:space="0"/>
              <w:bottom w:val="single" w:color="000000" w:sz="4" w:space="0"/>
              <w:right w:val="single" w:color="000000" w:sz="4" w:space="0"/>
            </w:tcBorders>
            <w:vAlign w:val="center"/>
          </w:tcPr>
          <w:p w14:paraId="5D9C2978">
            <w:pPr>
              <w:jc w:val="center"/>
              <w:rPr>
                <w:rFonts w:ascii="黑体" w:hAnsi="宋体" w:eastAsia="黑体" w:cs="黑体"/>
                <w:color w:val="000000"/>
                <w:sz w:val="24"/>
              </w:rPr>
            </w:pPr>
          </w:p>
        </w:tc>
      </w:tr>
      <w:tr w14:paraId="2A55EEFE">
        <w:tblPrEx>
          <w:tblCellMar>
            <w:top w:w="0" w:type="dxa"/>
            <w:left w:w="108" w:type="dxa"/>
            <w:bottom w:w="0" w:type="dxa"/>
            <w:right w:w="108" w:type="dxa"/>
          </w:tblCellMar>
        </w:tblPrEx>
        <w:trPr>
          <w:trHeight w:val="400" w:hRule="atLeast"/>
        </w:trPr>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4BD4E96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总体绩效</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（65分）</w:t>
            </w:r>
          </w:p>
        </w:tc>
        <w:tc>
          <w:tcPr>
            <w:tcW w:w="753" w:type="dxa"/>
            <w:vMerge w:val="restart"/>
            <w:tcBorders>
              <w:top w:val="single" w:color="000000" w:sz="4" w:space="0"/>
              <w:left w:val="single" w:color="000000" w:sz="4" w:space="0"/>
              <w:bottom w:val="nil"/>
              <w:right w:val="single" w:color="000000" w:sz="4" w:space="0"/>
            </w:tcBorders>
            <w:vAlign w:val="center"/>
          </w:tcPr>
          <w:p w14:paraId="444EDF9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履职效能</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（19分）</w:t>
            </w:r>
          </w:p>
        </w:tc>
        <w:tc>
          <w:tcPr>
            <w:tcW w:w="1115" w:type="dxa"/>
            <w:tcBorders>
              <w:top w:val="single" w:color="000000" w:sz="4" w:space="0"/>
              <w:left w:val="single" w:color="000000" w:sz="4" w:space="0"/>
              <w:bottom w:val="single" w:color="000000" w:sz="4" w:space="0"/>
              <w:right w:val="single" w:color="000000" w:sz="4" w:space="0"/>
            </w:tcBorders>
            <w:vAlign w:val="center"/>
          </w:tcPr>
          <w:p w14:paraId="5289D12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住房保障履职效果</w:t>
            </w:r>
          </w:p>
        </w:tc>
        <w:tc>
          <w:tcPr>
            <w:tcW w:w="584" w:type="dxa"/>
            <w:vMerge w:val="restart"/>
            <w:tcBorders>
              <w:top w:val="single" w:color="000000" w:sz="4" w:space="0"/>
              <w:left w:val="single" w:color="000000" w:sz="4" w:space="0"/>
              <w:bottom w:val="nil"/>
              <w:right w:val="single" w:color="000000" w:sz="4" w:space="0"/>
            </w:tcBorders>
            <w:vAlign w:val="center"/>
          </w:tcPr>
          <w:p w14:paraId="12F5637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1222" w:type="dxa"/>
            <w:vMerge w:val="restart"/>
            <w:tcBorders>
              <w:top w:val="single" w:color="000000" w:sz="4" w:space="0"/>
              <w:left w:val="single" w:color="000000" w:sz="4" w:space="0"/>
              <w:bottom w:val="nil"/>
              <w:right w:val="single" w:color="000000" w:sz="4" w:space="0"/>
            </w:tcBorders>
            <w:vAlign w:val="center"/>
          </w:tcPr>
          <w:p w14:paraId="24B157A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部门整体绩效目标中选定4-6个核心职能目标，反映该项职能目标完成效果情况</w:t>
            </w:r>
          </w:p>
        </w:tc>
        <w:tc>
          <w:tcPr>
            <w:tcW w:w="2926" w:type="dxa"/>
            <w:vMerge w:val="restart"/>
            <w:tcBorders>
              <w:top w:val="single" w:color="000000" w:sz="4" w:space="0"/>
              <w:left w:val="single" w:color="000000" w:sz="4" w:space="0"/>
              <w:bottom w:val="nil"/>
              <w:right w:val="single" w:color="000000" w:sz="4" w:space="0"/>
            </w:tcBorders>
            <w:vAlign w:val="center"/>
          </w:tcPr>
          <w:p w14:paraId="3269935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整体绩效目标中选定4-6个可量化计算、可评价的核心职能目标，分别设定指标分值、指标解释、评分方法和评分说明，总分值不超过10分。该项指标得分=年终完成履职效果目标数量÷年初目标设置总数×100%×指标分值。履职效能总分为各项履职效果得分的和。</w:t>
            </w:r>
          </w:p>
        </w:tc>
        <w:tc>
          <w:tcPr>
            <w:tcW w:w="484" w:type="dxa"/>
            <w:vMerge w:val="restart"/>
            <w:tcBorders>
              <w:top w:val="single" w:color="000000" w:sz="4" w:space="0"/>
              <w:left w:val="single" w:color="000000" w:sz="4" w:space="0"/>
              <w:bottom w:val="nil"/>
              <w:right w:val="single" w:color="000000" w:sz="4" w:space="0"/>
            </w:tcBorders>
            <w:vAlign w:val="center"/>
          </w:tcPr>
          <w:p w14:paraId="68DDE8B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10</w:t>
            </w:r>
          </w:p>
        </w:tc>
        <w:tc>
          <w:tcPr>
            <w:tcW w:w="465" w:type="dxa"/>
            <w:vMerge w:val="restart"/>
            <w:tcBorders>
              <w:top w:val="single" w:color="000000" w:sz="4" w:space="0"/>
              <w:left w:val="single" w:color="000000" w:sz="4" w:space="0"/>
              <w:bottom w:val="nil"/>
              <w:right w:val="single" w:color="000000" w:sz="4" w:space="0"/>
            </w:tcBorders>
            <w:vAlign w:val="center"/>
          </w:tcPr>
          <w:p w14:paraId="3979D34E">
            <w:pPr>
              <w:jc w:val="center"/>
              <w:rPr>
                <w:rFonts w:hint="eastAsia" w:ascii="宋体" w:hAnsi="宋体" w:cs="宋体"/>
                <w:color w:val="000000"/>
                <w:szCs w:val="21"/>
              </w:rPr>
            </w:pPr>
          </w:p>
        </w:tc>
      </w:tr>
      <w:tr w14:paraId="6A6A16B1">
        <w:tblPrEx>
          <w:tblCellMar>
            <w:top w:w="0" w:type="dxa"/>
            <w:left w:w="108" w:type="dxa"/>
            <w:bottom w:w="0" w:type="dxa"/>
            <w:right w:w="108" w:type="dxa"/>
          </w:tblCellMar>
        </w:tblPrEx>
        <w:trPr>
          <w:trHeight w:val="40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0CFB6226">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nil"/>
              <w:right w:val="single" w:color="000000" w:sz="4" w:space="0"/>
            </w:tcBorders>
            <w:vAlign w:val="center"/>
          </w:tcPr>
          <w:p w14:paraId="2F378B92">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7865578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建筑行业管理履职效果</w:t>
            </w:r>
          </w:p>
        </w:tc>
        <w:tc>
          <w:tcPr>
            <w:tcW w:w="584" w:type="dxa"/>
            <w:vMerge w:val="continue"/>
            <w:tcBorders>
              <w:top w:val="single" w:color="000000" w:sz="4" w:space="0"/>
              <w:left w:val="single" w:color="000000" w:sz="4" w:space="0"/>
              <w:bottom w:val="nil"/>
              <w:right w:val="single" w:color="000000" w:sz="4" w:space="0"/>
            </w:tcBorders>
            <w:vAlign w:val="center"/>
          </w:tcPr>
          <w:p w14:paraId="1947F955">
            <w:pPr>
              <w:jc w:val="center"/>
              <w:rPr>
                <w:rFonts w:hint="eastAsia" w:ascii="宋体" w:hAnsi="宋体" w:cs="宋体"/>
                <w:color w:val="000000"/>
                <w:szCs w:val="21"/>
              </w:rPr>
            </w:pPr>
          </w:p>
        </w:tc>
        <w:tc>
          <w:tcPr>
            <w:tcW w:w="1222" w:type="dxa"/>
            <w:vMerge w:val="continue"/>
            <w:tcBorders>
              <w:top w:val="single" w:color="000000" w:sz="4" w:space="0"/>
              <w:left w:val="single" w:color="000000" w:sz="4" w:space="0"/>
              <w:bottom w:val="nil"/>
              <w:right w:val="single" w:color="000000" w:sz="4" w:space="0"/>
            </w:tcBorders>
            <w:vAlign w:val="center"/>
          </w:tcPr>
          <w:p w14:paraId="516DA715">
            <w:pPr>
              <w:jc w:val="center"/>
              <w:rPr>
                <w:rFonts w:hint="eastAsia" w:ascii="宋体" w:hAnsi="宋体" w:cs="宋体"/>
                <w:color w:val="000000"/>
                <w:szCs w:val="21"/>
              </w:rPr>
            </w:pPr>
          </w:p>
        </w:tc>
        <w:tc>
          <w:tcPr>
            <w:tcW w:w="2926" w:type="dxa"/>
            <w:vMerge w:val="continue"/>
            <w:tcBorders>
              <w:top w:val="single" w:color="000000" w:sz="4" w:space="0"/>
              <w:left w:val="single" w:color="000000" w:sz="4" w:space="0"/>
              <w:bottom w:val="nil"/>
              <w:right w:val="single" w:color="000000" w:sz="4" w:space="0"/>
            </w:tcBorders>
            <w:vAlign w:val="center"/>
          </w:tcPr>
          <w:p w14:paraId="2B39E1E3">
            <w:pPr>
              <w:jc w:val="center"/>
              <w:rPr>
                <w:rFonts w:hint="eastAsia" w:ascii="宋体" w:hAnsi="宋体" w:cs="宋体"/>
                <w:color w:val="000000"/>
                <w:szCs w:val="21"/>
              </w:rPr>
            </w:pPr>
          </w:p>
        </w:tc>
        <w:tc>
          <w:tcPr>
            <w:tcW w:w="484" w:type="dxa"/>
            <w:vMerge w:val="continue"/>
            <w:tcBorders>
              <w:top w:val="single" w:color="000000" w:sz="4" w:space="0"/>
              <w:left w:val="single" w:color="000000" w:sz="4" w:space="0"/>
              <w:bottom w:val="nil"/>
              <w:right w:val="single" w:color="000000" w:sz="4" w:space="0"/>
            </w:tcBorders>
            <w:vAlign w:val="center"/>
          </w:tcPr>
          <w:p w14:paraId="64A69602">
            <w:pPr>
              <w:jc w:val="center"/>
              <w:rPr>
                <w:rFonts w:hint="eastAsia" w:ascii="宋体" w:hAnsi="宋体" w:cs="宋体"/>
                <w:color w:val="000000"/>
                <w:szCs w:val="21"/>
              </w:rPr>
            </w:pPr>
          </w:p>
        </w:tc>
        <w:tc>
          <w:tcPr>
            <w:tcW w:w="465" w:type="dxa"/>
            <w:vMerge w:val="continue"/>
            <w:tcBorders>
              <w:top w:val="single" w:color="000000" w:sz="4" w:space="0"/>
              <w:left w:val="single" w:color="000000" w:sz="4" w:space="0"/>
              <w:bottom w:val="nil"/>
              <w:right w:val="single" w:color="000000" w:sz="4" w:space="0"/>
            </w:tcBorders>
            <w:vAlign w:val="center"/>
          </w:tcPr>
          <w:p w14:paraId="3783ACAC">
            <w:pPr>
              <w:jc w:val="center"/>
              <w:rPr>
                <w:rFonts w:hint="eastAsia" w:ascii="宋体" w:hAnsi="宋体" w:cs="宋体"/>
                <w:color w:val="000000"/>
                <w:szCs w:val="21"/>
              </w:rPr>
            </w:pPr>
          </w:p>
        </w:tc>
      </w:tr>
      <w:tr w14:paraId="6FF48741">
        <w:tblPrEx>
          <w:tblCellMar>
            <w:top w:w="0" w:type="dxa"/>
            <w:left w:w="108" w:type="dxa"/>
            <w:bottom w:w="0" w:type="dxa"/>
            <w:right w:w="108" w:type="dxa"/>
          </w:tblCellMar>
        </w:tblPrEx>
        <w:trPr>
          <w:trHeight w:val="40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0D2367F6">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nil"/>
              <w:right w:val="single" w:color="000000" w:sz="4" w:space="0"/>
            </w:tcBorders>
            <w:vAlign w:val="center"/>
          </w:tcPr>
          <w:p w14:paraId="77B32B05">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6E0558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建设工程质量监督履职效果</w:t>
            </w:r>
          </w:p>
        </w:tc>
        <w:tc>
          <w:tcPr>
            <w:tcW w:w="584" w:type="dxa"/>
            <w:vMerge w:val="continue"/>
            <w:tcBorders>
              <w:top w:val="single" w:color="000000" w:sz="4" w:space="0"/>
              <w:left w:val="single" w:color="000000" w:sz="4" w:space="0"/>
              <w:bottom w:val="nil"/>
              <w:right w:val="single" w:color="000000" w:sz="4" w:space="0"/>
            </w:tcBorders>
            <w:vAlign w:val="center"/>
          </w:tcPr>
          <w:p w14:paraId="0AAC9485">
            <w:pPr>
              <w:jc w:val="center"/>
              <w:rPr>
                <w:rFonts w:hint="eastAsia" w:ascii="宋体" w:hAnsi="宋体" w:cs="宋体"/>
                <w:color w:val="000000"/>
                <w:szCs w:val="21"/>
              </w:rPr>
            </w:pPr>
          </w:p>
        </w:tc>
        <w:tc>
          <w:tcPr>
            <w:tcW w:w="1222" w:type="dxa"/>
            <w:vMerge w:val="continue"/>
            <w:tcBorders>
              <w:top w:val="single" w:color="000000" w:sz="4" w:space="0"/>
              <w:left w:val="single" w:color="000000" w:sz="4" w:space="0"/>
              <w:bottom w:val="nil"/>
              <w:right w:val="single" w:color="000000" w:sz="4" w:space="0"/>
            </w:tcBorders>
            <w:vAlign w:val="center"/>
          </w:tcPr>
          <w:p w14:paraId="3C79EADD">
            <w:pPr>
              <w:jc w:val="center"/>
              <w:rPr>
                <w:rFonts w:hint="eastAsia" w:ascii="宋体" w:hAnsi="宋体" w:cs="宋体"/>
                <w:color w:val="000000"/>
                <w:szCs w:val="21"/>
              </w:rPr>
            </w:pPr>
          </w:p>
        </w:tc>
        <w:tc>
          <w:tcPr>
            <w:tcW w:w="2926" w:type="dxa"/>
            <w:vMerge w:val="continue"/>
            <w:tcBorders>
              <w:top w:val="single" w:color="000000" w:sz="4" w:space="0"/>
              <w:left w:val="single" w:color="000000" w:sz="4" w:space="0"/>
              <w:bottom w:val="nil"/>
              <w:right w:val="single" w:color="000000" w:sz="4" w:space="0"/>
            </w:tcBorders>
            <w:vAlign w:val="center"/>
          </w:tcPr>
          <w:p w14:paraId="2EB0C5AE">
            <w:pPr>
              <w:jc w:val="center"/>
              <w:rPr>
                <w:rFonts w:hint="eastAsia" w:ascii="宋体" w:hAnsi="宋体" w:cs="宋体"/>
                <w:color w:val="000000"/>
                <w:szCs w:val="21"/>
              </w:rPr>
            </w:pPr>
          </w:p>
        </w:tc>
        <w:tc>
          <w:tcPr>
            <w:tcW w:w="484" w:type="dxa"/>
            <w:vMerge w:val="continue"/>
            <w:tcBorders>
              <w:top w:val="single" w:color="000000" w:sz="4" w:space="0"/>
              <w:left w:val="single" w:color="000000" w:sz="4" w:space="0"/>
              <w:bottom w:val="nil"/>
              <w:right w:val="single" w:color="000000" w:sz="4" w:space="0"/>
            </w:tcBorders>
            <w:vAlign w:val="center"/>
          </w:tcPr>
          <w:p w14:paraId="1C2B2736">
            <w:pPr>
              <w:jc w:val="center"/>
              <w:rPr>
                <w:rFonts w:hint="eastAsia" w:ascii="宋体" w:hAnsi="宋体" w:cs="宋体"/>
                <w:color w:val="000000"/>
                <w:szCs w:val="21"/>
              </w:rPr>
            </w:pPr>
          </w:p>
        </w:tc>
        <w:tc>
          <w:tcPr>
            <w:tcW w:w="465" w:type="dxa"/>
            <w:vMerge w:val="continue"/>
            <w:tcBorders>
              <w:top w:val="single" w:color="000000" w:sz="4" w:space="0"/>
              <w:left w:val="single" w:color="000000" w:sz="4" w:space="0"/>
              <w:bottom w:val="nil"/>
              <w:right w:val="single" w:color="000000" w:sz="4" w:space="0"/>
            </w:tcBorders>
            <w:vAlign w:val="center"/>
          </w:tcPr>
          <w:p w14:paraId="28464129">
            <w:pPr>
              <w:jc w:val="center"/>
              <w:rPr>
                <w:rFonts w:hint="eastAsia" w:ascii="宋体" w:hAnsi="宋体" w:cs="宋体"/>
                <w:color w:val="000000"/>
                <w:szCs w:val="21"/>
              </w:rPr>
            </w:pPr>
          </w:p>
        </w:tc>
      </w:tr>
      <w:tr w14:paraId="3D232FCD">
        <w:tblPrEx>
          <w:tblCellMar>
            <w:top w:w="0" w:type="dxa"/>
            <w:left w:w="108" w:type="dxa"/>
            <w:bottom w:w="0" w:type="dxa"/>
            <w:right w:w="108" w:type="dxa"/>
          </w:tblCellMar>
        </w:tblPrEx>
        <w:trPr>
          <w:trHeight w:val="40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47878EC">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nil"/>
              <w:right w:val="single" w:color="000000" w:sz="4" w:space="0"/>
            </w:tcBorders>
            <w:vAlign w:val="center"/>
          </w:tcPr>
          <w:p w14:paraId="0BC67ECF">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7B8B5BB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设计消防预审履职效果</w:t>
            </w:r>
          </w:p>
        </w:tc>
        <w:tc>
          <w:tcPr>
            <w:tcW w:w="584" w:type="dxa"/>
            <w:vMerge w:val="continue"/>
            <w:tcBorders>
              <w:top w:val="single" w:color="000000" w:sz="4" w:space="0"/>
              <w:left w:val="single" w:color="000000" w:sz="4" w:space="0"/>
              <w:bottom w:val="nil"/>
              <w:right w:val="single" w:color="000000" w:sz="4" w:space="0"/>
            </w:tcBorders>
            <w:vAlign w:val="center"/>
          </w:tcPr>
          <w:p w14:paraId="2AB49B76">
            <w:pPr>
              <w:jc w:val="center"/>
              <w:rPr>
                <w:rFonts w:hint="eastAsia" w:ascii="宋体" w:hAnsi="宋体" w:cs="宋体"/>
                <w:color w:val="000000"/>
                <w:szCs w:val="21"/>
              </w:rPr>
            </w:pPr>
          </w:p>
        </w:tc>
        <w:tc>
          <w:tcPr>
            <w:tcW w:w="1222" w:type="dxa"/>
            <w:vMerge w:val="continue"/>
            <w:tcBorders>
              <w:top w:val="single" w:color="000000" w:sz="4" w:space="0"/>
              <w:left w:val="single" w:color="000000" w:sz="4" w:space="0"/>
              <w:bottom w:val="nil"/>
              <w:right w:val="single" w:color="000000" w:sz="4" w:space="0"/>
            </w:tcBorders>
            <w:vAlign w:val="center"/>
          </w:tcPr>
          <w:p w14:paraId="09A0EF66">
            <w:pPr>
              <w:jc w:val="center"/>
              <w:rPr>
                <w:rFonts w:hint="eastAsia" w:ascii="宋体" w:hAnsi="宋体" w:cs="宋体"/>
                <w:color w:val="000000"/>
                <w:szCs w:val="21"/>
              </w:rPr>
            </w:pPr>
          </w:p>
        </w:tc>
        <w:tc>
          <w:tcPr>
            <w:tcW w:w="2926" w:type="dxa"/>
            <w:vMerge w:val="continue"/>
            <w:tcBorders>
              <w:top w:val="single" w:color="000000" w:sz="4" w:space="0"/>
              <w:left w:val="single" w:color="000000" w:sz="4" w:space="0"/>
              <w:bottom w:val="nil"/>
              <w:right w:val="single" w:color="000000" w:sz="4" w:space="0"/>
            </w:tcBorders>
            <w:vAlign w:val="center"/>
          </w:tcPr>
          <w:p w14:paraId="1C9A33A1">
            <w:pPr>
              <w:jc w:val="center"/>
              <w:rPr>
                <w:rFonts w:hint="eastAsia" w:ascii="宋体" w:hAnsi="宋体" w:cs="宋体"/>
                <w:color w:val="000000"/>
                <w:szCs w:val="21"/>
              </w:rPr>
            </w:pPr>
          </w:p>
        </w:tc>
        <w:tc>
          <w:tcPr>
            <w:tcW w:w="484" w:type="dxa"/>
            <w:vMerge w:val="continue"/>
            <w:tcBorders>
              <w:top w:val="single" w:color="000000" w:sz="4" w:space="0"/>
              <w:left w:val="single" w:color="000000" w:sz="4" w:space="0"/>
              <w:bottom w:val="nil"/>
              <w:right w:val="single" w:color="000000" w:sz="4" w:space="0"/>
            </w:tcBorders>
            <w:vAlign w:val="center"/>
          </w:tcPr>
          <w:p w14:paraId="0141B55B">
            <w:pPr>
              <w:jc w:val="center"/>
              <w:rPr>
                <w:rFonts w:hint="eastAsia" w:ascii="宋体" w:hAnsi="宋体" w:cs="宋体"/>
                <w:color w:val="000000"/>
                <w:szCs w:val="21"/>
              </w:rPr>
            </w:pPr>
          </w:p>
        </w:tc>
        <w:tc>
          <w:tcPr>
            <w:tcW w:w="465" w:type="dxa"/>
            <w:vMerge w:val="continue"/>
            <w:tcBorders>
              <w:top w:val="single" w:color="000000" w:sz="4" w:space="0"/>
              <w:left w:val="single" w:color="000000" w:sz="4" w:space="0"/>
              <w:bottom w:val="nil"/>
              <w:right w:val="single" w:color="000000" w:sz="4" w:space="0"/>
            </w:tcBorders>
            <w:vAlign w:val="center"/>
          </w:tcPr>
          <w:p w14:paraId="0B08678E">
            <w:pPr>
              <w:jc w:val="center"/>
              <w:rPr>
                <w:rFonts w:hint="eastAsia" w:ascii="宋体" w:hAnsi="宋体" w:cs="宋体"/>
                <w:color w:val="000000"/>
                <w:szCs w:val="21"/>
              </w:rPr>
            </w:pPr>
          </w:p>
        </w:tc>
      </w:tr>
      <w:tr w14:paraId="366348AF">
        <w:tblPrEx>
          <w:tblCellMar>
            <w:top w:w="0" w:type="dxa"/>
            <w:left w:w="108" w:type="dxa"/>
            <w:bottom w:w="0" w:type="dxa"/>
            <w:right w:w="108" w:type="dxa"/>
          </w:tblCellMar>
        </w:tblPrEx>
        <w:trPr>
          <w:trHeight w:val="9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246C2D14">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nil"/>
              <w:right w:val="single" w:color="000000" w:sz="4" w:space="0"/>
            </w:tcBorders>
            <w:vAlign w:val="center"/>
          </w:tcPr>
          <w:p w14:paraId="75C54905">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24BFC382">
            <w:pPr>
              <w:jc w:val="center"/>
              <w:rPr>
                <w:rFonts w:hint="eastAsia" w:ascii="宋体" w:hAnsi="宋体" w:cs="宋体"/>
                <w:color w:val="000000"/>
                <w:szCs w:val="21"/>
              </w:rPr>
            </w:pPr>
          </w:p>
        </w:tc>
        <w:tc>
          <w:tcPr>
            <w:tcW w:w="584" w:type="dxa"/>
            <w:vMerge w:val="continue"/>
            <w:tcBorders>
              <w:top w:val="single" w:color="000000" w:sz="4" w:space="0"/>
              <w:left w:val="single" w:color="000000" w:sz="4" w:space="0"/>
              <w:bottom w:val="nil"/>
              <w:right w:val="single" w:color="000000" w:sz="4" w:space="0"/>
            </w:tcBorders>
            <w:vAlign w:val="center"/>
          </w:tcPr>
          <w:p w14:paraId="0DF736A0">
            <w:pPr>
              <w:jc w:val="center"/>
              <w:rPr>
                <w:rFonts w:hint="eastAsia" w:ascii="宋体" w:hAnsi="宋体" w:cs="宋体"/>
                <w:color w:val="000000"/>
                <w:szCs w:val="21"/>
              </w:rPr>
            </w:pPr>
          </w:p>
        </w:tc>
        <w:tc>
          <w:tcPr>
            <w:tcW w:w="1222" w:type="dxa"/>
            <w:vMerge w:val="continue"/>
            <w:tcBorders>
              <w:top w:val="single" w:color="000000" w:sz="4" w:space="0"/>
              <w:left w:val="single" w:color="000000" w:sz="4" w:space="0"/>
              <w:bottom w:val="nil"/>
              <w:right w:val="single" w:color="000000" w:sz="4" w:space="0"/>
            </w:tcBorders>
            <w:vAlign w:val="center"/>
          </w:tcPr>
          <w:p w14:paraId="61849095">
            <w:pPr>
              <w:jc w:val="center"/>
              <w:rPr>
                <w:rFonts w:hint="eastAsia" w:ascii="宋体" w:hAnsi="宋体" w:cs="宋体"/>
                <w:color w:val="000000"/>
                <w:szCs w:val="21"/>
              </w:rPr>
            </w:pPr>
          </w:p>
        </w:tc>
        <w:tc>
          <w:tcPr>
            <w:tcW w:w="2926" w:type="dxa"/>
            <w:vMerge w:val="continue"/>
            <w:tcBorders>
              <w:top w:val="single" w:color="000000" w:sz="4" w:space="0"/>
              <w:left w:val="single" w:color="000000" w:sz="4" w:space="0"/>
              <w:bottom w:val="nil"/>
              <w:right w:val="single" w:color="000000" w:sz="4" w:space="0"/>
            </w:tcBorders>
            <w:vAlign w:val="center"/>
          </w:tcPr>
          <w:p w14:paraId="2D0E9D61">
            <w:pPr>
              <w:jc w:val="center"/>
              <w:rPr>
                <w:rFonts w:hint="eastAsia" w:ascii="宋体" w:hAnsi="宋体" w:cs="宋体"/>
                <w:color w:val="000000"/>
                <w:szCs w:val="21"/>
              </w:rPr>
            </w:pPr>
          </w:p>
        </w:tc>
        <w:tc>
          <w:tcPr>
            <w:tcW w:w="484" w:type="dxa"/>
            <w:vMerge w:val="continue"/>
            <w:tcBorders>
              <w:top w:val="single" w:color="000000" w:sz="4" w:space="0"/>
              <w:left w:val="single" w:color="000000" w:sz="4" w:space="0"/>
              <w:bottom w:val="nil"/>
              <w:right w:val="single" w:color="000000" w:sz="4" w:space="0"/>
            </w:tcBorders>
            <w:vAlign w:val="center"/>
          </w:tcPr>
          <w:p w14:paraId="7418A4DC">
            <w:pPr>
              <w:jc w:val="center"/>
              <w:rPr>
                <w:rFonts w:hint="eastAsia" w:ascii="宋体" w:hAnsi="宋体" w:cs="宋体"/>
                <w:color w:val="000000"/>
                <w:szCs w:val="21"/>
              </w:rPr>
            </w:pPr>
          </w:p>
        </w:tc>
        <w:tc>
          <w:tcPr>
            <w:tcW w:w="465" w:type="dxa"/>
            <w:vMerge w:val="continue"/>
            <w:tcBorders>
              <w:top w:val="single" w:color="000000" w:sz="4" w:space="0"/>
              <w:left w:val="single" w:color="000000" w:sz="4" w:space="0"/>
              <w:bottom w:val="nil"/>
              <w:right w:val="single" w:color="000000" w:sz="4" w:space="0"/>
            </w:tcBorders>
            <w:vAlign w:val="center"/>
          </w:tcPr>
          <w:p w14:paraId="77C28C5E">
            <w:pPr>
              <w:jc w:val="center"/>
              <w:rPr>
                <w:rFonts w:hint="eastAsia" w:ascii="宋体" w:hAnsi="宋体" w:cs="宋体"/>
                <w:color w:val="000000"/>
                <w:szCs w:val="21"/>
              </w:rPr>
            </w:pPr>
          </w:p>
        </w:tc>
      </w:tr>
      <w:tr w14:paraId="3514C574">
        <w:tblPrEx>
          <w:tblCellMar>
            <w:top w:w="0" w:type="dxa"/>
            <w:left w:w="108" w:type="dxa"/>
            <w:bottom w:w="0" w:type="dxa"/>
            <w:right w:w="108" w:type="dxa"/>
          </w:tblCellMar>
        </w:tblPrEx>
        <w:trPr>
          <w:trHeight w:val="57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6438F9B0">
            <w:pPr>
              <w:jc w:val="center"/>
              <w:rPr>
                <w:rFonts w:hint="eastAsia" w:ascii="宋体" w:hAnsi="宋体" w:cs="宋体"/>
                <w:b/>
                <w:bCs/>
                <w:color w:val="000000"/>
                <w:szCs w:val="21"/>
              </w:rPr>
            </w:pPr>
          </w:p>
        </w:tc>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58777F2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预算管理</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（21分）</w:t>
            </w:r>
          </w:p>
        </w:tc>
        <w:tc>
          <w:tcPr>
            <w:tcW w:w="1115" w:type="dxa"/>
            <w:tcBorders>
              <w:top w:val="single" w:color="000000" w:sz="4" w:space="0"/>
              <w:left w:val="single" w:color="000000" w:sz="4" w:space="0"/>
              <w:bottom w:val="single" w:color="000000" w:sz="4" w:space="0"/>
              <w:right w:val="single" w:color="000000" w:sz="4" w:space="0"/>
            </w:tcBorders>
            <w:vAlign w:val="center"/>
          </w:tcPr>
          <w:p w14:paraId="2457BC6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预算编制质量</w:t>
            </w:r>
          </w:p>
        </w:tc>
        <w:tc>
          <w:tcPr>
            <w:tcW w:w="584" w:type="dxa"/>
            <w:tcBorders>
              <w:top w:val="single" w:color="000000" w:sz="4" w:space="0"/>
              <w:left w:val="single" w:color="000000" w:sz="4" w:space="0"/>
              <w:bottom w:val="single" w:color="000000" w:sz="4" w:space="0"/>
              <w:right w:val="single" w:color="000000" w:sz="4" w:space="0"/>
            </w:tcBorders>
            <w:vAlign w:val="center"/>
          </w:tcPr>
          <w:p w14:paraId="553C2C2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222" w:type="dxa"/>
            <w:tcBorders>
              <w:top w:val="single" w:color="000000" w:sz="4" w:space="0"/>
              <w:left w:val="single" w:color="000000" w:sz="4" w:space="0"/>
              <w:bottom w:val="single" w:color="000000" w:sz="4" w:space="0"/>
              <w:right w:val="single" w:color="000000" w:sz="4" w:space="0"/>
            </w:tcBorders>
            <w:vAlign w:val="center"/>
          </w:tcPr>
          <w:p w14:paraId="518938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部门是否严格按要求编制年初部门预算，年初预算编制的科学性和准确性</w:t>
            </w:r>
          </w:p>
        </w:tc>
        <w:tc>
          <w:tcPr>
            <w:tcW w:w="2926" w:type="dxa"/>
            <w:tcBorders>
              <w:top w:val="single" w:color="000000" w:sz="4" w:space="0"/>
              <w:left w:val="single" w:color="000000" w:sz="4" w:space="0"/>
              <w:bottom w:val="single" w:color="000000" w:sz="4" w:space="0"/>
              <w:right w:val="single" w:color="000000" w:sz="4" w:space="0"/>
            </w:tcBorders>
            <w:vAlign w:val="center"/>
          </w:tcPr>
          <w:p w14:paraId="225BAC5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该项指标得分=（1-财政拨款预算偏离度）×100%×8。偏离度=|预算执行数-调整预算数|÷调整预算数。</w:t>
            </w:r>
          </w:p>
        </w:tc>
        <w:tc>
          <w:tcPr>
            <w:tcW w:w="484" w:type="dxa"/>
            <w:tcBorders>
              <w:top w:val="single" w:color="000000" w:sz="4" w:space="0"/>
              <w:left w:val="single" w:color="000000" w:sz="4" w:space="0"/>
              <w:bottom w:val="single" w:color="000000" w:sz="4" w:space="0"/>
              <w:right w:val="single" w:color="000000" w:sz="4" w:space="0"/>
            </w:tcBorders>
            <w:vAlign w:val="center"/>
          </w:tcPr>
          <w:p w14:paraId="3DACAE4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465" w:type="dxa"/>
            <w:vMerge w:val="restart"/>
            <w:tcBorders>
              <w:top w:val="single" w:color="000000" w:sz="4" w:space="0"/>
              <w:left w:val="single" w:color="000000" w:sz="4" w:space="0"/>
              <w:bottom w:val="single" w:color="000000" w:sz="4" w:space="0"/>
              <w:right w:val="single" w:color="000000" w:sz="4" w:space="0"/>
            </w:tcBorders>
            <w:vAlign w:val="center"/>
          </w:tcPr>
          <w:p w14:paraId="5AA6683D">
            <w:pPr>
              <w:jc w:val="center"/>
              <w:rPr>
                <w:rFonts w:hint="eastAsia" w:ascii="宋体" w:hAnsi="宋体" w:cs="宋体"/>
                <w:color w:val="000000"/>
                <w:szCs w:val="21"/>
              </w:rPr>
            </w:pPr>
          </w:p>
        </w:tc>
      </w:tr>
      <w:tr w14:paraId="6DA31B0D">
        <w:tblPrEx>
          <w:tblCellMar>
            <w:top w:w="0" w:type="dxa"/>
            <w:left w:w="108" w:type="dxa"/>
            <w:bottom w:w="0" w:type="dxa"/>
            <w:right w:w="108" w:type="dxa"/>
          </w:tblCellMar>
        </w:tblPrEx>
        <w:trPr>
          <w:trHeight w:val="168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17F1197F">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304C4BD7">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1D30345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支出执行进度</w:t>
            </w:r>
          </w:p>
        </w:tc>
        <w:tc>
          <w:tcPr>
            <w:tcW w:w="584" w:type="dxa"/>
            <w:tcBorders>
              <w:top w:val="single" w:color="000000" w:sz="4" w:space="0"/>
              <w:left w:val="single" w:color="000000" w:sz="4" w:space="0"/>
              <w:bottom w:val="single" w:color="000000" w:sz="4" w:space="0"/>
              <w:right w:val="single" w:color="000000" w:sz="4" w:space="0"/>
            </w:tcBorders>
            <w:vAlign w:val="center"/>
          </w:tcPr>
          <w:p w14:paraId="484005B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1222" w:type="dxa"/>
            <w:tcBorders>
              <w:top w:val="single" w:color="000000" w:sz="4" w:space="0"/>
              <w:left w:val="single" w:color="000000" w:sz="4" w:space="0"/>
              <w:bottom w:val="single" w:color="000000" w:sz="4" w:space="0"/>
              <w:right w:val="single" w:color="000000" w:sz="4" w:space="0"/>
            </w:tcBorders>
            <w:vAlign w:val="center"/>
          </w:tcPr>
          <w:p w14:paraId="00CE710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部门1至12月预算执行情况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4C896C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该项指标得分=中省转移支付资金1至12月实际支出数÷1-12月预算数*3+专项债券资金实际支出数÷1-12月部门预算数*3+专项预算项目1至12月实际支出数÷1-12月预算数*3。</w:t>
            </w:r>
          </w:p>
        </w:tc>
        <w:tc>
          <w:tcPr>
            <w:tcW w:w="484" w:type="dxa"/>
            <w:tcBorders>
              <w:top w:val="single" w:color="000000" w:sz="4" w:space="0"/>
              <w:left w:val="single" w:color="000000" w:sz="4" w:space="0"/>
              <w:bottom w:val="single" w:color="000000" w:sz="4" w:space="0"/>
              <w:right w:val="single" w:color="000000" w:sz="4" w:space="0"/>
            </w:tcBorders>
            <w:vAlign w:val="center"/>
          </w:tcPr>
          <w:p w14:paraId="307AD6D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w:t>
            </w:r>
          </w:p>
        </w:tc>
        <w:tc>
          <w:tcPr>
            <w:tcW w:w="465" w:type="dxa"/>
            <w:vMerge w:val="continue"/>
            <w:tcBorders>
              <w:top w:val="single" w:color="000000" w:sz="4" w:space="0"/>
              <w:left w:val="single" w:color="000000" w:sz="4" w:space="0"/>
              <w:bottom w:val="single" w:color="000000" w:sz="4" w:space="0"/>
              <w:right w:val="single" w:color="000000" w:sz="4" w:space="0"/>
            </w:tcBorders>
            <w:vAlign w:val="center"/>
          </w:tcPr>
          <w:p w14:paraId="0DE2CD37">
            <w:pPr>
              <w:jc w:val="center"/>
              <w:rPr>
                <w:rFonts w:hint="eastAsia" w:ascii="宋体" w:hAnsi="宋体" w:cs="宋体"/>
                <w:color w:val="000000"/>
                <w:szCs w:val="21"/>
              </w:rPr>
            </w:pPr>
          </w:p>
        </w:tc>
      </w:tr>
      <w:tr w14:paraId="0B4FC53C">
        <w:tblPrEx>
          <w:tblCellMar>
            <w:top w:w="0" w:type="dxa"/>
            <w:left w:w="108" w:type="dxa"/>
            <w:bottom w:w="0" w:type="dxa"/>
            <w:right w:w="108" w:type="dxa"/>
          </w:tblCellMar>
        </w:tblPrEx>
        <w:trPr>
          <w:trHeight w:val="112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31944504">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1CD10B8A">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5BE083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预算年终结余</w:t>
            </w:r>
          </w:p>
        </w:tc>
        <w:tc>
          <w:tcPr>
            <w:tcW w:w="584" w:type="dxa"/>
            <w:tcBorders>
              <w:top w:val="single" w:color="000000" w:sz="4" w:space="0"/>
              <w:left w:val="single" w:color="000000" w:sz="4" w:space="0"/>
              <w:bottom w:val="single" w:color="000000" w:sz="4" w:space="0"/>
              <w:right w:val="single" w:color="000000" w:sz="4" w:space="0"/>
            </w:tcBorders>
            <w:vAlign w:val="center"/>
          </w:tcPr>
          <w:p w14:paraId="0BED146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1222" w:type="dxa"/>
            <w:tcBorders>
              <w:top w:val="single" w:color="000000" w:sz="4" w:space="0"/>
              <w:left w:val="single" w:color="000000" w:sz="4" w:space="0"/>
              <w:bottom w:val="single" w:color="000000" w:sz="4" w:space="0"/>
              <w:right w:val="single" w:color="000000" w:sz="4" w:space="0"/>
            </w:tcBorders>
            <w:vAlign w:val="center"/>
          </w:tcPr>
          <w:p w14:paraId="48E7558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部门整体年终预算结余情况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2366304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该项指标得分=（1-部门整体预算结余率）×100%×8部门整体预算结余率为当年年终部门预算注销金额和结转金额占部门预算总金额的比率。</w:t>
            </w:r>
          </w:p>
        </w:tc>
        <w:tc>
          <w:tcPr>
            <w:tcW w:w="484" w:type="dxa"/>
            <w:tcBorders>
              <w:top w:val="single" w:color="000000" w:sz="4" w:space="0"/>
              <w:left w:val="single" w:color="000000" w:sz="4" w:space="0"/>
              <w:bottom w:val="single" w:color="000000" w:sz="4" w:space="0"/>
              <w:right w:val="single" w:color="000000" w:sz="4" w:space="0"/>
            </w:tcBorders>
            <w:vAlign w:val="center"/>
          </w:tcPr>
          <w:p w14:paraId="132407C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w:t>
            </w:r>
          </w:p>
        </w:tc>
        <w:tc>
          <w:tcPr>
            <w:tcW w:w="465" w:type="dxa"/>
            <w:vMerge w:val="continue"/>
            <w:tcBorders>
              <w:top w:val="single" w:color="000000" w:sz="4" w:space="0"/>
              <w:left w:val="single" w:color="000000" w:sz="4" w:space="0"/>
              <w:bottom w:val="single" w:color="000000" w:sz="4" w:space="0"/>
              <w:right w:val="single" w:color="000000" w:sz="4" w:space="0"/>
            </w:tcBorders>
            <w:vAlign w:val="center"/>
          </w:tcPr>
          <w:p w14:paraId="7CBB9814">
            <w:pPr>
              <w:jc w:val="center"/>
              <w:rPr>
                <w:rFonts w:hint="eastAsia" w:ascii="宋体" w:hAnsi="宋体" w:cs="宋体"/>
                <w:color w:val="000000"/>
                <w:szCs w:val="21"/>
              </w:rPr>
            </w:pPr>
          </w:p>
        </w:tc>
      </w:tr>
      <w:tr w14:paraId="3BAC5612">
        <w:tblPrEx>
          <w:tblCellMar>
            <w:top w:w="0" w:type="dxa"/>
            <w:left w:w="108" w:type="dxa"/>
            <w:bottom w:w="0" w:type="dxa"/>
            <w:right w:w="108" w:type="dxa"/>
          </w:tblCellMar>
        </w:tblPrEx>
        <w:trPr>
          <w:trHeight w:val="180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21A05C56">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1D3F9BBA">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46D9A52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严控一般性支出</w:t>
            </w:r>
          </w:p>
        </w:tc>
        <w:tc>
          <w:tcPr>
            <w:tcW w:w="584" w:type="dxa"/>
            <w:tcBorders>
              <w:top w:val="single" w:color="000000" w:sz="4" w:space="0"/>
              <w:left w:val="single" w:color="000000" w:sz="4" w:space="0"/>
              <w:bottom w:val="single" w:color="000000" w:sz="4" w:space="0"/>
              <w:right w:val="single" w:color="000000" w:sz="4" w:space="0"/>
            </w:tcBorders>
            <w:vAlign w:val="center"/>
          </w:tcPr>
          <w:p w14:paraId="12148BF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22" w:type="dxa"/>
            <w:tcBorders>
              <w:top w:val="single" w:color="000000" w:sz="4" w:space="0"/>
              <w:left w:val="single" w:color="000000" w:sz="4" w:space="0"/>
              <w:bottom w:val="single" w:color="000000" w:sz="4" w:space="0"/>
              <w:right w:val="single" w:color="000000" w:sz="4" w:space="0"/>
            </w:tcBorders>
            <w:vAlign w:val="center"/>
          </w:tcPr>
          <w:p w14:paraId="0E1244D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部门严控“三公”经费、会议、培训、差旅、办节办展、办公设备购置、信息网络及软件购置更新、课题经费等8项一般性支出情况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4E8EBC4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该项指标得分=基础分值+加分值。</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1.基础分值。一般性支出财政拨款年初预算较上年实现压减得1.5分；一般性支出财政拨款预算执行较上年实现压减得1.5分。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2.加分值。一般性支出财政拨款年初预算较上年每压减1%得0.2分，累计不超过1分；一般性支出财政拨款预算执行较上年每压减1%得0.4分，累计不超过2分。</w:t>
            </w:r>
          </w:p>
        </w:tc>
        <w:tc>
          <w:tcPr>
            <w:tcW w:w="484" w:type="dxa"/>
            <w:tcBorders>
              <w:top w:val="single" w:color="000000" w:sz="4" w:space="0"/>
              <w:left w:val="single" w:color="000000" w:sz="4" w:space="0"/>
              <w:bottom w:val="single" w:color="000000" w:sz="4" w:space="0"/>
              <w:right w:val="single" w:color="000000" w:sz="4" w:space="0"/>
            </w:tcBorders>
            <w:vAlign w:val="center"/>
          </w:tcPr>
          <w:p w14:paraId="365E8A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465" w:type="dxa"/>
            <w:vMerge w:val="continue"/>
            <w:tcBorders>
              <w:top w:val="single" w:color="000000" w:sz="4" w:space="0"/>
              <w:left w:val="single" w:color="000000" w:sz="4" w:space="0"/>
              <w:bottom w:val="single" w:color="000000" w:sz="4" w:space="0"/>
              <w:right w:val="single" w:color="000000" w:sz="4" w:space="0"/>
            </w:tcBorders>
            <w:vAlign w:val="center"/>
          </w:tcPr>
          <w:p w14:paraId="3721EB30">
            <w:pPr>
              <w:jc w:val="center"/>
              <w:rPr>
                <w:rFonts w:hint="eastAsia" w:ascii="宋体" w:hAnsi="宋体" w:cs="宋体"/>
                <w:color w:val="000000"/>
                <w:szCs w:val="21"/>
              </w:rPr>
            </w:pPr>
          </w:p>
        </w:tc>
      </w:tr>
      <w:tr w14:paraId="484A3EF2">
        <w:tblPrEx>
          <w:tblCellMar>
            <w:top w:w="0" w:type="dxa"/>
            <w:left w:w="108" w:type="dxa"/>
            <w:bottom w:w="0" w:type="dxa"/>
            <w:right w:w="108" w:type="dxa"/>
          </w:tblCellMar>
        </w:tblPrEx>
        <w:trPr>
          <w:trHeight w:val="280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3AF71CB6">
            <w:pPr>
              <w:jc w:val="center"/>
              <w:rPr>
                <w:rFonts w:hint="eastAsia" w:ascii="宋体" w:hAnsi="宋体" w:cs="宋体"/>
                <w:b/>
                <w:bCs/>
                <w:color w:val="000000"/>
                <w:szCs w:val="21"/>
              </w:rPr>
            </w:pPr>
          </w:p>
        </w:tc>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2B561898">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资产管理</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（9分）</w:t>
            </w:r>
          </w:p>
        </w:tc>
        <w:tc>
          <w:tcPr>
            <w:tcW w:w="1115" w:type="dxa"/>
            <w:tcBorders>
              <w:top w:val="single" w:color="000000" w:sz="4" w:space="0"/>
              <w:left w:val="single" w:color="000000" w:sz="4" w:space="0"/>
              <w:bottom w:val="single" w:color="000000" w:sz="4" w:space="0"/>
              <w:right w:val="single" w:color="000000" w:sz="4" w:space="0"/>
            </w:tcBorders>
            <w:vAlign w:val="center"/>
          </w:tcPr>
          <w:p w14:paraId="1017B6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人均资产变化率</w:t>
            </w:r>
          </w:p>
        </w:tc>
        <w:tc>
          <w:tcPr>
            <w:tcW w:w="584" w:type="dxa"/>
            <w:tcBorders>
              <w:top w:val="single" w:color="000000" w:sz="4" w:space="0"/>
              <w:left w:val="single" w:color="000000" w:sz="4" w:space="0"/>
              <w:bottom w:val="single" w:color="000000" w:sz="4" w:space="0"/>
              <w:right w:val="single" w:color="000000" w:sz="4" w:space="0"/>
            </w:tcBorders>
            <w:vAlign w:val="center"/>
          </w:tcPr>
          <w:p w14:paraId="414C6FB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22" w:type="dxa"/>
            <w:tcBorders>
              <w:top w:val="single" w:color="000000" w:sz="4" w:space="0"/>
              <w:left w:val="single" w:color="000000" w:sz="4" w:space="0"/>
              <w:bottom w:val="single" w:color="000000" w:sz="4" w:space="0"/>
              <w:right w:val="single" w:color="000000" w:sz="4" w:space="0"/>
            </w:tcBorders>
            <w:vAlign w:val="center"/>
          </w:tcPr>
          <w:p w14:paraId="21E1C91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部门人均资产变化情况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7AF51C57">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部门人均资产变化率Y=（2024年行政事业单位人均占有资产-2023年行政事业单位人均占有资产）÷2023年行政事业单位人均占有资产×100%。行政事业单位人均占有资产=（固定资产净值+无形资产净值）÷行政事业单位编制内实有人数。2024年区直行政事业单位人均资产变化率平均值N为-4.63%，Y≤N，得3分；N＜Y≤0.8N（即-3.704%），得2分；0.8N＜Y≤0.5N（即-2.32%），得1分；Y＞0.5N，得0分。</w:t>
            </w:r>
          </w:p>
        </w:tc>
        <w:tc>
          <w:tcPr>
            <w:tcW w:w="484" w:type="dxa"/>
            <w:tcBorders>
              <w:top w:val="single" w:color="000000" w:sz="4" w:space="0"/>
              <w:left w:val="single" w:color="000000" w:sz="4" w:space="0"/>
              <w:bottom w:val="single" w:color="000000" w:sz="4" w:space="0"/>
              <w:right w:val="single" w:color="000000" w:sz="4" w:space="0"/>
            </w:tcBorders>
            <w:vAlign w:val="center"/>
          </w:tcPr>
          <w:p w14:paraId="669F91B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65" w:type="dxa"/>
            <w:vMerge w:val="restart"/>
            <w:tcBorders>
              <w:top w:val="single" w:color="000000" w:sz="4" w:space="0"/>
              <w:left w:val="single" w:color="000000" w:sz="4" w:space="0"/>
              <w:bottom w:val="single" w:color="000000" w:sz="4" w:space="0"/>
              <w:right w:val="single" w:color="000000" w:sz="4" w:space="0"/>
            </w:tcBorders>
            <w:vAlign w:val="center"/>
          </w:tcPr>
          <w:p w14:paraId="2888E495">
            <w:pPr>
              <w:jc w:val="center"/>
              <w:rPr>
                <w:rFonts w:hint="eastAsia" w:ascii="宋体" w:hAnsi="宋体" w:cs="宋体"/>
                <w:color w:val="000000"/>
                <w:szCs w:val="21"/>
              </w:rPr>
            </w:pPr>
          </w:p>
        </w:tc>
      </w:tr>
      <w:tr w14:paraId="4DDFDEFA">
        <w:tblPrEx>
          <w:tblCellMar>
            <w:top w:w="0" w:type="dxa"/>
            <w:left w:w="108" w:type="dxa"/>
            <w:bottom w:w="0" w:type="dxa"/>
            <w:right w:w="108" w:type="dxa"/>
          </w:tblCellMar>
        </w:tblPrEx>
        <w:trPr>
          <w:trHeight w:val="57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45DDCDA5">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53604391">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4A7F9F9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资产利用率</w:t>
            </w:r>
          </w:p>
        </w:tc>
        <w:tc>
          <w:tcPr>
            <w:tcW w:w="584" w:type="dxa"/>
            <w:tcBorders>
              <w:top w:val="single" w:color="000000" w:sz="4" w:space="0"/>
              <w:left w:val="single" w:color="000000" w:sz="4" w:space="0"/>
              <w:bottom w:val="single" w:color="000000" w:sz="4" w:space="0"/>
              <w:right w:val="single" w:color="000000" w:sz="4" w:space="0"/>
            </w:tcBorders>
            <w:vAlign w:val="center"/>
          </w:tcPr>
          <w:p w14:paraId="4E3EFCB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22" w:type="dxa"/>
            <w:tcBorders>
              <w:top w:val="single" w:color="000000" w:sz="4" w:space="0"/>
              <w:left w:val="single" w:color="000000" w:sz="4" w:space="0"/>
              <w:bottom w:val="single" w:color="000000" w:sz="4" w:space="0"/>
              <w:right w:val="single" w:color="000000" w:sz="4" w:space="0"/>
            </w:tcBorders>
            <w:vAlign w:val="center"/>
          </w:tcPr>
          <w:p w14:paraId="7BCD6E9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部门资产超最低使用年限情况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3B10455E">
            <w:pPr>
              <w:widowControl/>
              <w:jc w:val="left"/>
              <w:textAlignment w:val="center"/>
              <w:rPr>
                <w:rFonts w:hint="eastAsia" w:ascii="宋体" w:hAnsi="宋体" w:cs="宋体"/>
                <w:color w:val="000000"/>
                <w:szCs w:val="21"/>
              </w:rPr>
            </w:pPr>
            <w:r>
              <w:rPr>
                <w:rFonts w:hint="eastAsia" w:ascii="宋体" w:hAnsi="宋体" w:cs="宋体"/>
                <w:color w:val="000000"/>
                <w:kern w:val="0"/>
                <w:szCs w:val="21"/>
                <w:lang w:bidi="ar"/>
              </w:rPr>
              <w:t>该项指标得分=（超最低使用年限的办公家具账面原值÷办公家具账面原值×100%×1.5）+（超最低使用年限的办公设备账面原值÷办公设备账面原值×100%×1.5）。</w:t>
            </w:r>
          </w:p>
        </w:tc>
        <w:tc>
          <w:tcPr>
            <w:tcW w:w="484" w:type="dxa"/>
            <w:tcBorders>
              <w:top w:val="single" w:color="000000" w:sz="4" w:space="0"/>
              <w:left w:val="single" w:color="000000" w:sz="4" w:space="0"/>
              <w:bottom w:val="single" w:color="000000" w:sz="4" w:space="0"/>
              <w:right w:val="single" w:color="000000" w:sz="4" w:space="0"/>
            </w:tcBorders>
            <w:vAlign w:val="center"/>
          </w:tcPr>
          <w:p w14:paraId="20CABD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65" w:type="dxa"/>
            <w:vMerge w:val="continue"/>
            <w:tcBorders>
              <w:top w:val="single" w:color="000000" w:sz="4" w:space="0"/>
              <w:left w:val="single" w:color="000000" w:sz="4" w:space="0"/>
              <w:bottom w:val="single" w:color="000000" w:sz="4" w:space="0"/>
              <w:right w:val="single" w:color="000000" w:sz="4" w:space="0"/>
            </w:tcBorders>
            <w:vAlign w:val="center"/>
          </w:tcPr>
          <w:p w14:paraId="0E52F39C">
            <w:pPr>
              <w:jc w:val="center"/>
              <w:rPr>
                <w:rFonts w:hint="eastAsia" w:ascii="宋体" w:hAnsi="宋体" w:cs="宋体"/>
                <w:color w:val="000000"/>
                <w:szCs w:val="21"/>
              </w:rPr>
            </w:pPr>
          </w:p>
        </w:tc>
      </w:tr>
      <w:tr w14:paraId="5C744377">
        <w:tblPrEx>
          <w:tblCellMar>
            <w:top w:w="0" w:type="dxa"/>
            <w:left w:w="108" w:type="dxa"/>
            <w:bottom w:w="0" w:type="dxa"/>
            <w:right w:w="108" w:type="dxa"/>
          </w:tblCellMar>
        </w:tblPrEx>
        <w:trPr>
          <w:trHeight w:val="1280" w:hRule="atLeast"/>
        </w:trPr>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42D197A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总体绩效</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（65分）</w:t>
            </w:r>
          </w:p>
        </w:tc>
        <w:tc>
          <w:tcPr>
            <w:tcW w:w="753" w:type="dxa"/>
            <w:tcBorders>
              <w:top w:val="single" w:color="000000" w:sz="4" w:space="0"/>
              <w:left w:val="single" w:color="000000" w:sz="4" w:space="0"/>
              <w:bottom w:val="single" w:color="000000" w:sz="4" w:space="0"/>
              <w:right w:val="single" w:color="000000" w:sz="4" w:space="0"/>
            </w:tcBorders>
            <w:vAlign w:val="center"/>
          </w:tcPr>
          <w:p w14:paraId="4847B38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资产管理</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（9分）</w:t>
            </w:r>
          </w:p>
        </w:tc>
        <w:tc>
          <w:tcPr>
            <w:tcW w:w="1115" w:type="dxa"/>
            <w:tcBorders>
              <w:top w:val="single" w:color="000000" w:sz="4" w:space="0"/>
              <w:left w:val="single" w:color="000000" w:sz="4" w:space="0"/>
              <w:bottom w:val="single" w:color="000000" w:sz="4" w:space="0"/>
              <w:right w:val="single" w:color="000000" w:sz="4" w:space="0"/>
            </w:tcBorders>
            <w:vAlign w:val="center"/>
          </w:tcPr>
          <w:p w14:paraId="01A135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资产盘活率</w:t>
            </w:r>
          </w:p>
        </w:tc>
        <w:tc>
          <w:tcPr>
            <w:tcW w:w="584" w:type="dxa"/>
            <w:tcBorders>
              <w:top w:val="single" w:color="000000" w:sz="4" w:space="0"/>
              <w:left w:val="single" w:color="000000" w:sz="4" w:space="0"/>
              <w:bottom w:val="single" w:color="000000" w:sz="4" w:space="0"/>
              <w:right w:val="single" w:color="000000" w:sz="4" w:space="0"/>
            </w:tcBorders>
            <w:vAlign w:val="center"/>
          </w:tcPr>
          <w:p w14:paraId="71DD12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22" w:type="dxa"/>
            <w:tcBorders>
              <w:top w:val="single" w:color="000000" w:sz="4" w:space="0"/>
              <w:left w:val="single" w:color="000000" w:sz="4" w:space="0"/>
              <w:bottom w:val="single" w:color="000000" w:sz="4" w:space="0"/>
              <w:right w:val="single" w:color="000000" w:sz="4" w:space="0"/>
            </w:tcBorders>
            <w:vAlign w:val="center"/>
          </w:tcPr>
          <w:p w14:paraId="408E483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部门闲置一年以上的资产盘活情况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75B1541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闲置资产占比变化率=(本年闲置资产账面价值÷本年总资产账面价值)÷(上一年度闲置资产账面价值÷上一年度总资产账面价值)×100%，变化率在60%以下的得2.4分，60%-80%的得1.8分，80-100%的得1.2分，100%以上的不得分。两年均无闲置资产或上年度有闲置资产评价年度无闲置资产的，该项指标得3分。</w:t>
            </w:r>
          </w:p>
        </w:tc>
        <w:tc>
          <w:tcPr>
            <w:tcW w:w="484" w:type="dxa"/>
            <w:tcBorders>
              <w:top w:val="single" w:color="000000" w:sz="4" w:space="0"/>
              <w:left w:val="single" w:color="000000" w:sz="4" w:space="0"/>
              <w:bottom w:val="single" w:color="000000" w:sz="4" w:space="0"/>
              <w:right w:val="single" w:color="000000" w:sz="4" w:space="0"/>
            </w:tcBorders>
            <w:vAlign w:val="center"/>
          </w:tcPr>
          <w:p w14:paraId="2EC273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65" w:type="dxa"/>
            <w:tcBorders>
              <w:top w:val="single" w:color="000000" w:sz="4" w:space="0"/>
              <w:left w:val="single" w:color="000000" w:sz="4" w:space="0"/>
              <w:bottom w:val="single" w:color="000000" w:sz="4" w:space="0"/>
              <w:right w:val="single" w:color="000000" w:sz="4" w:space="0"/>
            </w:tcBorders>
            <w:vAlign w:val="center"/>
          </w:tcPr>
          <w:p w14:paraId="42CDF4F5">
            <w:pPr>
              <w:jc w:val="center"/>
              <w:rPr>
                <w:rFonts w:hint="eastAsia" w:ascii="宋体" w:hAnsi="宋体" w:cs="宋体"/>
                <w:color w:val="000000"/>
                <w:szCs w:val="21"/>
              </w:rPr>
            </w:pPr>
          </w:p>
        </w:tc>
      </w:tr>
      <w:tr w14:paraId="38D9AFD0">
        <w:tblPrEx>
          <w:tblCellMar>
            <w:top w:w="0" w:type="dxa"/>
            <w:left w:w="108" w:type="dxa"/>
            <w:bottom w:w="0" w:type="dxa"/>
            <w:right w:w="108" w:type="dxa"/>
          </w:tblCellMar>
        </w:tblPrEx>
        <w:trPr>
          <w:trHeight w:val="80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2D6C7C1E">
            <w:pPr>
              <w:jc w:val="center"/>
              <w:rPr>
                <w:rFonts w:hint="eastAsia" w:ascii="宋体" w:hAnsi="宋体" w:cs="宋体"/>
                <w:b/>
                <w:bCs/>
                <w:color w:val="000000"/>
                <w:szCs w:val="21"/>
              </w:rPr>
            </w:pPr>
          </w:p>
        </w:tc>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434DCD6A">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采购管理</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（6分）</w:t>
            </w:r>
          </w:p>
        </w:tc>
        <w:tc>
          <w:tcPr>
            <w:tcW w:w="1115" w:type="dxa"/>
            <w:tcBorders>
              <w:top w:val="single" w:color="000000" w:sz="4" w:space="0"/>
              <w:left w:val="single" w:color="000000" w:sz="4" w:space="0"/>
              <w:bottom w:val="single" w:color="000000" w:sz="4" w:space="0"/>
              <w:right w:val="single" w:color="000000" w:sz="4" w:space="0"/>
            </w:tcBorders>
            <w:vAlign w:val="center"/>
          </w:tcPr>
          <w:p w14:paraId="183E20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支持中小企业发展</w:t>
            </w:r>
          </w:p>
        </w:tc>
        <w:tc>
          <w:tcPr>
            <w:tcW w:w="584" w:type="dxa"/>
            <w:tcBorders>
              <w:top w:val="single" w:color="000000" w:sz="4" w:space="0"/>
              <w:left w:val="single" w:color="000000" w:sz="4" w:space="0"/>
              <w:bottom w:val="single" w:color="000000" w:sz="4" w:space="0"/>
              <w:right w:val="single" w:color="000000" w:sz="4" w:space="0"/>
            </w:tcBorders>
            <w:vAlign w:val="center"/>
          </w:tcPr>
          <w:p w14:paraId="063364F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22" w:type="dxa"/>
            <w:tcBorders>
              <w:top w:val="single" w:color="000000" w:sz="4" w:space="0"/>
              <w:left w:val="single" w:color="000000" w:sz="4" w:space="0"/>
              <w:bottom w:val="single" w:color="000000" w:sz="4" w:space="0"/>
              <w:right w:val="single" w:color="000000" w:sz="4" w:space="0"/>
            </w:tcBorders>
            <w:vAlign w:val="center"/>
          </w:tcPr>
          <w:p w14:paraId="11439F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部门是否严格执行政府采购促进中小企业发展相关管理办法</w:t>
            </w:r>
          </w:p>
        </w:tc>
        <w:tc>
          <w:tcPr>
            <w:tcW w:w="2926" w:type="dxa"/>
            <w:tcBorders>
              <w:top w:val="single" w:color="000000" w:sz="4" w:space="0"/>
              <w:left w:val="single" w:color="000000" w:sz="4" w:space="0"/>
              <w:bottom w:val="single" w:color="000000" w:sz="4" w:space="0"/>
              <w:right w:val="single" w:color="000000" w:sz="4" w:space="0"/>
            </w:tcBorders>
            <w:vAlign w:val="center"/>
          </w:tcPr>
          <w:p w14:paraId="6346EDD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对适宜由中小企业提供的采购项目和采购包，预留采购份额专门面向中小企业采购，并在采购预算中单独列示，不符合要求的扣3分。</w:t>
            </w:r>
          </w:p>
        </w:tc>
        <w:tc>
          <w:tcPr>
            <w:tcW w:w="484" w:type="dxa"/>
            <w:tcBorders>
              <w:top w:val="single" w:color="000000" w:sz="4" w:space="0"/>
              <w:left w:val="single" w:color="000000" w:sz="4" w:space="0"/>
              <w:bottom w:val="single" w:color="000000" w:sz="4" w:space="0"/>
              <w:right w:val="single" w:color="000000" w:sz="4" w:space="0"/>
            </w:tcBorders>
            <w:vAlign w:val="center"/>
          </w:tcPr>
          <w:p w14:paraId="01A5CE4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65" w:type="dxa"/>
            <w:vMerge w:val="restart"/>
            <w:tcBorders>
              <w:top w:val="single" w:color="000000" w:sz="4" w:space="0"/>
              <w:left w:val="single" w:color="000000" w:sz="4" w:space="0"/>
              <w:bottom w:val="single" w:color="000000" w:sz="4" w:space="0"/>
              <w:right w:val="single" w:color="000000" w:sz="4" w:space="0"/>
            </w:tcBorders>
            <w:vAlign w:val="center"/>
          </w:tcPr>
          <w:p w14:paraId="796A093B">
            <w:pPr>
              <w:jc w:val="center"/>
              <w:rPr>
                <w:rFonts w:hint="eastAsia" w:ascii="宋体" w:hAnsi="宋体" w:cs="宋体"/>
                <w:color w:val="000000"/>
                <w:szCs w:val="21"/>
              </w:rPr>
            </w:pPr>
          </w:p>
        </w:tc>
      </w:tr>
      <w:tr w14:paraId="7E88EAB8">
        <w:tblPrEx>
          <w:tblCellMar>
            <w:top w:w="0" w:type="dxa"/>
            <w:left w:w="108" w:type="dxa"/>
            <w:bottom w:w="0" w:type="dxa"/>
            <w:right w:w="108" w:type="dxa"/>
          </w:tblCellMar>
        </w:tblPrEx>
        <w:trPr>
          <w:trHeight w:val="72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6CC5E87E">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47EE1D50">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123429A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采购执行率</w:t>
            </w:r>
          </w:p>
        </w:tc>
        <w:tc>
          <w:tcPr>
            <w:tcW w:w="584" w:type="dxa"/>
            <w:tcBorders>
              <w:top w:val="single" w:color="000000" w:sz="4" w:space="0"/>
              <w:left w:val="single" w:color="000000" w:sz="4" w:space="0"/>
              <w:bottom w:val="single" w:color="000000" w:sz="4" w:space="0"/>
              <w:right w:val="single" w:color="000000" w:sz="4" w:space="0"/>
            </w:tcBorders>
            <w:vAlign w:val="center"/>
          </w:tcPr>
          <w:p w14:paraId="16A4D3B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1222" w:type="dxa"/>
            <w:tcBorders>
              <w:top w:val="single" w:color="000000" w:sz="4" w:space="0"/>
              <w:left w:val="single" w:color="000000" w:sz="4" w:space="0"/>
              <w:bottom w:val="single" w:color="000000" w:sz="4" w:space="0"/>
              <w:right w:val="single" w:color="000000" w:sz="4" w:space="0"/>
            </w:tcBorders>
            <w:vAlign w:val="center"/>
          </w:tcPr>
          <w:p w14:paraId="22C96E8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部门政府采购项目资金支付比例情况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2A03365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该项指标得分=当年政府采购实际支付总金额÷（当年政府采购总预算数-当年已完成采购项目节约金额）×100%×3。</w:t>
            </w:r>
          </w:p>
        </w:tc>
        <w:tc>
          <w:tcPr>
            <w:tcW w:w="484" w:type="dxa"/>
            <w:tcBorders>
              <w:top w:val="single" w:color="000000" w:sz="4" w:space="0"/>
              <w:left w:val="single" w:color="000000" w:sz="4" w:space="0"/>
              <w:bottom w:val="single" w:color="000000" w:sz="4" w:space="0"/>
              <w:right w:val="single" w:color="000000" w:sz="4" w:space="0"/>
            </w:tcBorders>
            <w:vAlign w:val="center"/>
          </w:tcPr>
          <w:p w14:paraId="70118BF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465" w:type="dxa"/>
            <w:vMerge w:val="continue"/>
            <w:tcBorders>
              <w:top w:val="single" w:color="000000" w:sz="4" w:space="0"/>
              <w:left w:val="single" w:color="000000" w:sz="4" w:space="0"/>
              <w:bottom w:val="single" w:color="000000" w:sz="4" w:space="0"/>
              <w:right w:val="single" w:color="000000" w:sz="4" w:space="0"/>
            </w:tcBorders>
            <w:vAlign w:val="center"/>
          </w:tcPr>
          <w:p w14:paraId="43E076EB">
            <w:pPr>
              <w:jc w:val="center"/>
              <w:rPr>
                <w:rFonts w:hint="eastAsia" w:ascii="宋体" w:hAnsi="宋体" w:cs="宋体"/>
                <w:color w:val="000000"/>
                <w:szCs w:val="21"/>
              </w:rPr>
            </w:pPr>
          </w:p>
        </w:tc>
      </w:tr>
      <w:tr w14:paraId="4D518141">
        <w:tblPrEx>
          <w:tblCellMar>
            <w:top w:w="0" w:type="dxa"/>
            <w:left w:w="108" w:type="dxa"/>
            <w:bottom w:w="0" w:type="dxa"/>
            <w:right w:w="108" w:type="dxa"/>
          </w:tblCellMar>
        </w:tblPrEx>
        <w:trPr>
          <w:trHeight w:val="1320" w:hRule="atLeast"/>
        </w:trPr>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76B56A09">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项目绩效</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（35分）</w:t>
            </w:r>
          </w:p>
        </w:tc>
        <w:tc>
          <w:tcPr>
            <w:tcW w:w="753" w:type="dxa"/>
            <w:vMerge w:val="restart"/>
            <w:tcBorders>
              <w:top w:val="single" w:color="000000" w:sz="4" w:space="0"/>
              <w:left w:val="single" w:color="000000" w:sz="4" w:space="0"/>
              <w:bottom w:val="nil"/>
              <w:right w:val="single" w:color="000000" w:sz="4" w:space="0"/>
            </w:tcBorders>
            <w:vAlign w:val="center"/>
          </w:tcPr>
          <w:p w14:paraId="0A192AC3">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项目决策</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（12分）</w:t>
            </w:r>
          </w:p>
        </w:tc>
        <w:tc>
          <w:tcPr>
            <w:tcW w:w="1115" w:type="dxa"/>
            <w:tcBorders>
              <w:top w:val="single" w:color="000000" w:sz="4" w:space="0"/>
              <w:left w:val="single" w:color="000000" w:sz="4" w:space="0"/>
              <w:bottom w:val="single" w:color="000000" w:sz="4" w:space="0"/>
              <w:right w:val="single" w:color="000000" w:sz="4" w:space="0"/>
            </w:tcBorders>
            <w:vAlign w:val="center"/>
          </w:tcPr>
          <w:p w14:paraId="766E98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决策程序</w:t>
            </w:r>
          </w:p>
        </w:tc>
        <w:tc>
          <w:tcPr>
            <w:tcW w:w="584" w:type="dxa"/>
            <w:tcBorders>
              <w:top w:val="single" w:color="000000" w:sz="4" w:space="0"/>
              <w:left w:val="single" w:color="000000" w:sz="4" w:space="0"/>
              <w:bottom w:val="single" w:color="000000" w:sz="4" w:space="0"/>
              <w:right w:val="single" w:color="000000" w:sz="4" w:space="0"/>
            </w:tcBorders>
            <w:vAlign w:val="center"/>
          </w:tcPr>
          <w:p w14:paraId="34711D1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2" w:type="dxa"/>
            <w:tcBorders>
              <w:top w:val="single" w:color="000000" w:sz="4" w:space="0"/>
              <w:left w:val="single" w:color="000000" w:sz="4" w:space="0"/>
              <w:bottom w:val="single" w:color="000000" w:sz="4" w:space="0"/>
              <w:right w:val="single" w:color="000000" w:sz="4" w:space="0"/>
            </w:tcBorders>
            <w:vAlign w:val="center"/>
          </w:tcPr>
          <w:p w14:paraId="2B5A86A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部门预算项目设立是否按规定履行评估论证、申报程序</w:t>
            </w:r>
          </w:p>
        </w:tc>
        <w:tc>
          <w:tcPr>
            <w:tcW w:w="2926" w:type="dxa"/>
            <w:tcBorders>
              <w:top w:val="single" w:color="000000" w:sz="4" w:space="0"/>
              <w:left w:val="single" w:color="000000" w:sz="4" w:space="0"/>
              <w:bottom w:val="single" w:color="000000" w:sz="4" w:space="0"/>
              <w:right w:val="single" w:color="000000" w:sz="4" w:space="0"/>
            </w:tcBorders>
            <w:vAlign w:val="center"/>
          </w:tcPr>
          <w:p w14:paraId="7C943FB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4-部门未履行事前评估程序的部门预算阶段项目（含一次性项目）数量÷部门预算阶段项目（含一次性项目）总数×100%×4。抽评的部门预算阶段项目（含一次性项目）总数10个以下的全部纳入，每增加5个多纳入1个，最多不超过30个，下同。若无部门预算阶段项目（含一次性项目），则主要查看部门预算项目整体决策程序。</w:t>
            </w:r>
          </w:p>
        </w:tc>
        <w:tc>
          <w:tcPr>
            <w:tcW w:w="484" w:type="dxa"/>
            <w:tcBorders>
              <w:top w:val="single" w:color="000000" w:sz="4" w:space="0"/>
              <w:left w:val="single" w:color="000000" w:sz="4" w:space="0"/>
              <w:bottom w:val="single" w:color="000000" w:sz="4" w:space="0"/>
              <w:right w:val="single" w:color="000000" w:sz="4" w:space="0"/>
            </w:tcBorders>
            <w:vAlign w:val="center"/>
          </w:tcPr>
          <w:p w14:paraId="79EE584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65" w:type="dxa"/>
            <w:tcBorders>
              <w:top w:val="single" w:color="000000" w:sz="4" w:space="0"/>
              <w:left w:val="single" w:color="000000" w:sz="4" w:space="0"/>
              <w:bottom w:val="single" w:color="000000" w:sz="4" w:space="0"/>
              <w:right w:val="single" w:color="000000" w:sz="4" w:space="0"/>
            </w:tcBorders>
            <w:vAlign w:val="center"/>
          </w:tcPr>
          <w:p w14:paraId="1A19F22E">
            <w:pPr>
              <w:jc w:val="center"/>
              <w:rPr>
                <w:rFonts w:hint="eastAsia" w:ascii="宋体" w:hAnsi="宋体" w:cs="宋体"/>
                <w:color w:val="000000"/>
                <w:szCs w:val="21"/>
              </w:rPr>
            </w:pPr>
          </w:p>
        </w:tc>
      </w:tr>
      <w:tr w14:paraId="5A56B34E">
        <w:tblPrEx>
          <w:tblCellMar>
            <w:top w:w="0" w:type="dxa"/>
            <w:left w:w="108" w:type="dxa"/>
            <w:bottom w:w="0" w:type="dxa"/>
            <w:right w:w="108" w:type="dxa"/>
          </w:tblCellMar>
        </w:tblPrEx>
        <w:trPr>
          <w:trHeight w:val="120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69C1CA74">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nil"/>
              <w:right w:val="single" w:color="000000" w:sz="4" w:space="0"/>
            </w:tcBorders>
            <w:vAlign w:val="center"/>
          </w:tcPr>
          <w:p w14:paraId="11152AE6">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4443CF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目标设置</w:t>
            </w:r>
          </w:p>
        </w:tc>
        <w:tc>
          <w:tcPr>
            <w:tcW w:w="584" w:type="dxa"/>
            <w:tcBorders>
              <w:top w:val="single" w:color="000000" w:sz="4" w:space="0"/>
              <w:left w:val="single" w:color="000000" w:sz="4" w:space="0"/>
              <w:bottom w:val="single" w:color="000000" w:sz="4" w:space="0"/>
              <w:right w:val="single" w:color="000000" w:sz="4" w:space="0"/>
            </w:tcBorders>
            <w:vAlign w:val="center"/>
          </w:tcPr>
          <w:p w14:paraId="6F77E0D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2" w:type="dxa"/>
            <w:tcBorders>
              <w:top w:val="single" w:color="000000" w:sz="4" w:space="0"/>
              <w:left w:val="single" w:color="000000" w:sz="4" w:space="0"/>
              <w:bottom w:val="single" w:color="000000" w:sz="4" w:space="0"/>
              <w:right w:val="single" w:color="000000" w:sz="4" w:space="0"/>
            </w:tcBorders>
            <w:vAlign w:val="center"/>
          </w:tcPr>
          <w:p w14:paraId="468F9D7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部门预算项目绩效目标与计划期内的任务量、预算安排的资金量匹配情况，绩效目标设置是否科学合理、规范完整、量化细化、预算匹配</w:t>
            </w:r>
          </w:p>
        </w:tc>
        <w:tc>
          <w:tcPr>
            <w:tcW w:w="2926" w:type="dxa"/>
            <w:tcBorders>
              <w:top w:val="single" w:color="000000" w:sz="4" w:space="0"/>
              <w:left w:val="single" w:color="000000" w:sz="4" w:space="0"/>
              <w:bottom w:val="single" w:color="000000" w:sz="4" w:space="0"/>
              <w:right w:val="single" w:color="000000" w:sz="4" w:space="0"/>
            </w:tcBorders>
            <w:vAlign w:val="center"/>
          </w:tcPr>
          <w:p w14:paraId="08CCA16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4-绩效目标与计划期内的任务量、预算安排不相匹配的部门预算阶段项目（含一次性项目）数量÷部门预算阶段项目（含一次性项目）总数×100%×4。若无部门预算阶段项目（含一次性项目），则抽评涉及核心业务、资金量大的其他部门预算项目，下同。</w:t>
            </w:r>
          </w:p>
        </w:tc>
        <w:tc>
          <w:tcPr>
            <w:tcW w:w="484" w:type="dxa"/>
            <w:tcBorders>
              <w:top w:val="single" w:color="000000" w:sz="4" w:space="0"/>
              <w:left w:val="single" w:color="000000" w:sz="4" w:space="0"/>
              <w:bottom w:val="single" w:color="000000" w:sz="4" w:space="0"/>
              <w:right w:val="single" w:color="000000" w:sz="4" w:space="0"/>
            </w:tcBorders>
            <w:vAlign w:val="center"/>
          </w:tcPr>
          <w:p w14:paraId="5FD01E5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65" w:type="dxa"/>
            <w:tcBorders>
              <w:top w:val="single" w:color="000000" w:sz="4" w:space="0"/>
              <w:left w:val="single" w:color="000000" w:sz="4" w:space="0"/>
              <w:bottom w:val="single" w:color="000000" w:sz="4" w:space="0"/>
              <w:right w:val="single" w:color="000000" w:sz="4" w:space="0"/>
            </w:tcBorders>
            <w:vAlign w:val="center"/>
          </w:tcPr>
          <w:p w14:paraId="05C07D25">
            <w:pPr>
              <w:jc w:val="center"/>
              <w:rPr>
                <w:rFonts w:hint="eastAsia" w:ascii="宋体" w:hAnsi="宋体" w:cs="宋体"/>
                <w:color w:val="000000"/>
                <w:szCs w:val="21"/>
              </w:rPr>
            </w:pPr>
          </w:p>
        </w:tc>
      </w:tr>
      <w:tr w14:paraId="6BA21DF0">
        <w:tblPrEx>
          <w:tblCellMar>
            <w:top w:w="0" w:type="dxa"/>
            <w:left w:w="108" w:type="dxa"/>
            <w:bottom w:w="0" w:type="dxa"/>
            <w:right w:w="108" w:type="dxa"/>
          </w:tblCellMar>
        </w:tblPrEx>
        <w:trPr>
          <w:trHeight w:val="104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52CD37AF">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nil"/>
              <w:right w:val="single" w:color="000000" w:sz="4" w:space="0"/>
            </w:tcBorders>
            <w:vAlign w:val="center"/>
          </w:tcPr>
          <w:p w14:paraId="4155CBE0">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02A754F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项目入库</w:t>
            </w:r>
          </w:p>
        </w:tc>
        <w:tc>
          <w:tcPr>
            <w:tcW w:w="584" w:type="dxa"/>
            <w:tcBorders>
              <w:top w:val="single" w:color="000000" w:sz="4" w:space="0"/>
              <w:left w:val="single" w:color="000000" w:sz="4" w:space="0"/>
              <w:bottom w:val="single" w:color="000000" w:sz="4" w:space="0"/>
              <w:right w:val="single" w:color="000000" w:sz="4" w:space="0"/>
            </w:tcBorders>
            <w:vAlign w:val="center"/>
          </w:tcPr>
          <w:p w14:paraId="0402D80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2" w:type="dxa"/>
            <w:tcBorders>
              <w:top w:val="single" w:color="000000" w:sz="4" w:space="0"/>
              <w:left w:val="single" w:color="000000" w:sz="4" w:space="0"/>
              <w:bottom w:val="single" w:color="000000" w:sz="4" w:space="0"/>
              <w:right w:val="single" w:color="000000" w:sz="4" w:space="0"/>
            </w:tcBorders>
            <w:vAlign w:val="center"/>
          </w:tcPr>
          <w:p w14:paraId="4A8DD2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部门预算项目是否在规定时间完成项目入库</w:t>
            </w:r>
          </w:p>
        </w:tc>
        <w:tc>
          <w:tcPr>
            <w:tcW w:w="2926" w:type="dxa"/>
            <w:tcBorders>
              <w:top w:val="single" w:color="000000" w:sz="4" w:space="0"/>
              <w:left w:val="single" w:color="000000" w:sz="4" w:space="0"/>
              <w:bottom w:val="single" w:color="000000" w:sz="4" w:space="0"/>
              <w:right w:val="single" w:color="000000" w:sz="4" w:space="0"/>
            </w:tcBorders>
            <w:vAlign w:val="center"/>
          </w:tcPr>
          <w:p w14:paraId="7D3592E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该项指标得分=4-规定时间未入财政库部门预算阶段项目（含一次性项目）数量÷最终安排部门预算阶段项目（含一次性项目）总数×100%×4。（默认满分）</w:t>
            </w:r>
          </w:p>
        </w:tc>
        <w:tc>
          <w:tcPr>
            <w:tcW w:w="484" w:type="dxa"/>
            <w:tcBorders>
              <w:top w:val="single" w:color="000000" w:sz="4" w:space="0"/>
              <w:left w:val="single" w:color="000000" w:sz="4" w:space="0"/>
              <w:bottom w:val="single" w:color="000000" w:sz="4" w:space="0"/>
              <w:right w:val="single" w:color="000000" w:sz="4" w:space="0"/>
            </w:tcBorders>
            <w:vAlign w:val="center"/>
          </w:tcPr>
          <w:p w14:paraId="6047F3C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65" w:type="dxa"/>
            <w:tcBorders>
              <w:top w:val="single" w:color="000000" w:sz="4" w:space="0"/>
              <w:left w:val="single" w:color="000000" w:sz="4" w:space="0"/>
              <w:bottom w:val="single" w:color="000000" w:sz="4" w:space="0"/>
              <w:right w:val="single" w:color="000000" w:sz="4" w:space="0"/>
            </w:tcBorders>
            <w:vAlign w:val="center"/>
          </w:tcPr>
          <w:p w14:paraId="717DB5EC">
            <w:pPr>
              <w:jc w:val="center"/>
              <w:rPr>
                <w:rFonts w:hint="eastAsia" w:ascii="宋体" w:hAnsi="宋体" w:cs="宋体"/>
                <w:color w:val="000000"/>
                <w:szCs w:val="21"/>
              </w:rPr>
            </w:pPr>
          </w:p>
        </w:tc>
      </w:tr>
      <w:tr w14:paraId="3105D48D">
        <w:tblPrEx>
          <w:tblCellMar>
            <w:top w:w="0" w:type="dxa"/>
            <w:left w:w="108" w:type="dxa"/>
            <w:bottom w:w="0" w:type="dxa"/>
            <w:right w:w="108" w:type="dxa"/>
          </w:tblCellMar>
        </w:tblPrEx>
        <w:trPr>
          <w:trHeight w:val="78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57991DE7">
            <w:pPr>
              <w:jc w:val="center"/>
              <w:rPr>
                <w:rFonts w:hint="eastAsia" w:ascii="宋体" w:hAnsi="宋体" w:cs="宋体"/>
                <w:b/>
                <w:bCs/>
                <w:color w:val="000000"/>
                <w:szCs w:val="21"/>
              </w:rPr>
            </w:pPr>
          </w:p>
        </w:tc>
        <w:tc>
          <w:tcPr>
            <w:tcW w:w="753" w:type="dxa"/>
            <w:vMerge w:val="restart"/>
            <w:tcBorders>
              <w:top w:val="single" w:color="000000" w:sz="4" w:space="0"/>
              <w:left w:val="single" w:color="000000" w:sz="4" w:space="0"/>
              <w:bottom w:val="nil"/>
              <w:right w:val="single" w:color="000000" w:sz="4" w:space="0"/>
            </w:tcBorders>
            <w:vAlign w:val="center"/>
          </w:tcPr>
          <w:p w14:paraId="5B45D61C">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项目执行</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（12分）</w:t>
            </w:r>
          </w:p>
        </w:tc>
        <w:tc>
          <w:tcPr>
            <w:tcW w:w="1115" w:type="dxa"/>
            <w:tcBorders>
              <w:top w:val="single" w:color="000000" w:sz="4" w:space="0"/>
              <w:left w:val="single" w:color="000000" w:sz="4" w:space="0"/>
              <w:bottom w:val="single" w:color="000000" w:sz="4" w:space="0"/>
              <w:right w:val="single" w:color="000000" w:sz="4" w:space="0"/>
            </w:tcBorders>
            <w:vAlign w:val="center"/>
          </w:tcPr>
          <w:p w14:paraId="60B17C3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执行同向</w:t>
            </w:r>
          </w:p>
        </w:tc>
        <w:tc>
          <w:tcPr>
            <w:tcW w:w="584" w:type="dxa"/>
            <w:tcBorders>
              <w:top w:val="single" w:color="000000" w:sz="4" w:space="0"/>
              <w:left w:val="single" w:color="000000" w:sz="4" w:space="0"/>
              <w:bottom w:val="single" w:color="000000" w:sz="4" w:space="0"/>
              <w:right w:val="single" w:color="000000" w:sz="4" w:space="0"/>
            </w:tcBorders>
            <w:vAlign w:val="center"/>
          </w:tcPr>
          <w:p w14:paraId="1DCCD50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2" w:type="dxa"/>
            <w:tcBorders>
              <w:top w:val="single" w:color="000000" w:sz="4" w:space="0"/>
              <w:left w:val="single" w:color="000000" w:sz="4" w:space="0"/>
              <w:bottom w:val="single" w:color="000000" w:sz="4" w:space="0"/>
              <w:right w:val="single" w:color="000000" w:sz="4" w:space="0"/>
            </w:tcBorders>
            <w:vAlign w:val="center"/>
          </w:tcPr>
          <w:p w14:paraId="7E5E75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部门预算项目实际列支内容是否与绩效目标设置方向相符</w:t>
            </w:r>
          </w:p>
        </w:tc>
        <w:tc>
          <w:tcPr>
            <w:tcW w:w="2926" w:type="dxa"/>
            <w:tcBorders>
              <w:top w:val="single" w:color="000000" w:sz="4" w:space="0"/>
              <w:left w:val="single" w:color="000000" w:sz="4" w:space="0"/>
              <w:bottom w:val="single" w:color="000000" w:sz="4" w:space="0"/>
              <w:right w:val="single" w:color="000000" w:sz="4" w:space="0"/>
            </w:tcBorders>
            <w:vAlign w:val="center"/>
          </w:tcPr>
          <w:p w14:paraId="0CC32B6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该项指标得分=4-实际列支内容与绩效目标设置方向不相符的部门预算阶段项目（含一次性项目）数量÷部门预算阶段项目（含一次性项目）总数×100%×5。</w:t>
            </w:r>
          </w:p>
        </w:tc>
        <w:tc>
          <w:tcPr>
            <w:tcW w:w="484" w:type="dxa"/>
            <w:tcBorders>
              <w:top w:val="single" w:color="000000" w:sz="4" w:space="0"/>
              <w:left w:val="single" w:color="000000" w:sz="4" w:space="0"/>
              <w:bottom w:val="single" w:color="000000" w:sz="4" w:space="0"/>
              <w:right w:val="single" w:color="000000" w:sz="4" w:space="0"/>
            </w:tcBorders>
            <w:vAlign w:val="center"/>
          </w:tcPr>
          <w:p w14:paraId="10C0C6F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465" w:type="dxa"/>
            <w:tcBorders>
              <w:top w:val="single" w:color="000000" w:sz="4" w:space="0"/>
              <w:left w:val="single" w:color="000000" w:sz="4" w:space="0"/>
              <w:bottom w:val="single" w:color="000000" w:sz="4" w:space="0"/>
              <w:right w:val="single" w:color="000000" w:sz="4" w:space="0"/>
            </w:tcBorders>
            <w:vAlign w:val="center"/>
          </w:tcPr>
          <w:p w14:paraId="5033257A">
            <w:pPr>
              <w:jc w:val="center"/>
              <w:rPr>
                <w:rFonts w:hint="eastAsia" w:ascii="宋体" w:hAnsi="宋体" w:cs="宋体"/>
                <w:color w:val="000000"/>
                <w:szCs w:val="21"/>
              </w:rPr>
            </w:pPr>
          </w:p>
        </w:tc>
      </w:tr>
      <w:tr w14:paraId="78D806CE">
        <w:tblPrEx>
          <w:tblCellMar>
            <w:top w:w="0" w:type="dxa"/>
            <w:left w:w="108" w:type="dxa"/>
            <w:bottom w:w="0" w:type="dxa"/>
            <w:right w:w="108" w:type="dxa"/>
          </w:tblCellMar>
        </w:tblPrEx>
        <w:trPr>
          <w:trHeight w:val="102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6708C872">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nil"/>
              <w:right w:val="single" w:color="000000" w:sz="4" w:space="0"/>
            </w:tcBorders>
            <w:vAlign w:val="center"/>
          </w:tcPr>
          <w:p w14:paraId="061C1C00">
            <w:pPr>
              <w:jc w:val="center"/>
              <w:rPr>
                <w:rFonts w:hint="eastAsia" w:ascii="宋体" w:hAnsi="宋体" w:cs="宋体"/>
                <w:b/>
                <w:bCs/>
                <w:color w:val="000000"/>
                <w:szCs w:val="21"/>
              </w:rPr>
            </w:pPr>
          </w:p>
        </w:tc>
        <w:tc>
          <w:tcPr>
            <w:tcW w:w="1115" w:type="dxa"/>
            <w:tcBorders>
              <w:top w:val="single" w:color="000000" w:sz="4" w:space="0"/>
              <w:left w:val="single" w:color="000000" w:sz="4" w:space="0"/>
              <w:bottom w:val="nil"/>
              <w:right w:val="single" w:color="000000" w:sz="4" w:space="0"/>
            </w:tcBorders>
            <w:vAlign w:val="center"/>
          </w:tcPr>
          <w:p w14:paraId="4C1C86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项目调整</w:t>
            </w:r>
          </w:p>
        </w:tc>
        <w:tc>
          <w:tcPr>
            <w:tcW w:w="584" w:type="dxa"/>
            <w:tcBorders>
              <w:top w:val="single" w:color="000000" w:sz="4" w:space="0"/>
              <w:left w:val="single" w:color="000000" w:sz="4" w:space="0"/>
              <w:bottom w:val="single" w:color="000000" w:sz="4" w:space="0"/>
              <w:right w:val="single" w:color="000000" w:sz="4" w:space="0"/>
            </w:tcBorders>
            <w:vAlign w:val="center"/>
          </w:tcPr>
          <w:p w14:paraId="168CFFD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22" w:type="dxa"/>
            <w:tcBorders>
              <w:top w:val="single" w:color="000000" w:sz="4" w:space="0"/>
              <w:left w:val="single" w:color="000000" w:sz="4" w:space="0"/>
              <w:bottom w:val="single" w:color="000000" w:sz="4" w:space="0"/>
              <w:right w:val="single" w:color="000000" w:sz="4" w:space="0"/>
            </w:tcBorders>
            <w:vAlign w:val="center"/>
          </w:tcPr>
          <w:p w14:paraId="18EAD7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部门预算项目是否采取对应调整措施</w:t>
            </w:r>
          </w:p>
        </w:tc>
        <w:tc>
          <w:tcPr>
            <w:tcW w:w="2926" w:type="dxa"/>
            <w:tcBorders>
              <w:top w:val="single" w:color="000000" w:sz="4" w:space="0"/>
              <w:left w:val="single" w:color="000000" w:sz="4" w:space="0"/>
              <w:bottom w:val="single" w:color="000000" w:sz="4" w:space="0"/>
              <w:right w:val="single" w:color="000000" w:sz="4" w:space="0"/>
            </w:tcBorders>
            <w:vAlign w:val="center"/>
          </w:tcPr>
          <w:p w14:paraId="71536B1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该项指标得分=4-应采取未采取收回预算、调整目标等处置措施的部门预算阶段项目（含一次性项目）数量÷应采取收回预算、调整目标等处置措施的部门预算阶段项目（含一次性项目）总数×100%×6。</w:t>
            </w:r>
          </w:p>
        </w:tc>
        <w:tc>
          <w:tcPr>
            <w:tcW w:w="484" w:type="dxa"/>
            <w:tcBorders>
              <w:top w:val="single" w:color="000000" w:sz="4" w:space="0"/>
              <w:left w:val="single" w:color="000000" w:sz="4" w:space="0"/>
              <w:bottom w:val="single" w:color="000000" w:sz="4" w:space="0"/>
              <w:right w:val="single" w:color="000000" w:sz="4" w:space="0"/>
            </w:tcBorders>
            <w:vAlign w:val="center"/>
          </w:tcPr>
          <w:p w14:paraId="5C47D6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465" w:type="dxa"/>
            <w:tcBorders>
              <w:top w:val="single" w:color="000000" w:sz="4" w:space="0"/>
              <w:left w:val="single" w:color="000000" w:sz="4" w:space="0"/>
              <w:bottom w:val="single" w:color="000000" w:sz="4" w:space="0"/>
              <w:right w:val="single" w:color="000000" w:sz="4" w:space="0"/>
            </w:tcBorders>
            <w:vAlign w:val="center"/>
          </w:tcPr>
          <w:p w14:paraId="7BB77F03">
            <w:pPr>
              <w:jc w:val="center"/>
              <w:rPr>
                <w:rFonts w:hint="eastAsia" w:ascii="宋体" w:hAnsi="宋体" w:cs="宋体"/>
                <w:color w:val="000000"/>
                <w:szCs w:val="21"/>
              </w:rPr>
            </w:pPr>
          </w:p>
        </w:tc>
      </w:tr>
      <w:tr w14:paraId="47C8FCB9">
        <w:tblPrEx>
          <w:tblCellMar>
            <w:top w:w="0" w:type="dxa"/>
            <w:left w:w="108" w:type="dxa"/>
            <w:bottom w:w="0" w:type="dxa"/>
            <w:right w:w="108" w:type="dxa"/>
          </w:tblCellMar>
        </w:tblPrEx>
        <w:trPr>
          <w:trHeight w:val="88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2CB87B9B">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nil"/>
              <w:right w:val="single" w:color="000000" w:sz="4" w:space="0"/>
            </w:tcBorders>
            <w:vAlign w:val="center"/>
          </w:tcPr>
          <w:p w14:paraId="34BBE07D">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4C704BE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执行结果</w:t>
            </w:r>
          </w:p>
        </w:tc>
        <w:tc>
          <w:tcPr>
            <w:tcW w:w="584" w:type="dxa"/>
            <w:tcBorders>
              <w:top w:val="single" w:color="000000" w:sz="4" w:space="0"/>
              <w:left w:val="single" w:color="000000" w:sz="4" w:space="0"/>
              <w:bottom w:val="single" w:color="000000" w:sz="4" w:space="0"/>
              <w:right w:val="single" w:color="000000" w:sz="4" w:space="0"/>
            </w:tcBorders>
            <w:vAlign w:val="center"/>
          </w:tcPr>
          <w:p w14:paraId="79E077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1222" w:type="dxa"/>
            <w:tcBorders>
              <w:top w:val="single" w:color="000000" w:sz="4" w:space="0"/>
              <w:left w:val="single" w:color="000000" w:sz="4" w:space="0"/>
              <w:bottom w:val="single" w:color="000000" w:sz="4" w:space="0"/>
              <w:right w:val="single" w:color="000000" w:sz="4" w:space="0"/>
            </w:tcBorders>
            <w:vAlign w:val="center"/>
          </w:tcPr>
          <w:p w14:paraId="174B667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部门预算项目预算执行情况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12FD0C4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该项指标得分=预算结余率小于10%的常年项目数量÷部门预算常年项目总数×100%×2+预算结余率小于10%的一次性项目和阶段项目数量÷部门预算一次性项目和阶段项目总数×100%×2。</w:t>
            </w:r>
          </w:p>
        </w:tc>
        <w:tc>
          <w:tcPr>
            <w:tcW w:w="484" w:type="dxa"/>
            <w:tcBorders>
              <w:top w:val="single" w:color="000000" w:sz="4" w:space="0"/>
              <w:left w:val="single" w:color="000000" w:sz="4" w:space="0"/>
              <w:bottom w:val="single" w:color="000000" w:sz="4" w:space="0"/>
              <w:right w:val="single" w:color="000000" w:sz="4" w:space="0"/>
            </w:tcBorders>
            <w:vAlign w:val="center"/>
          </w:tcPr>
          <w:p w14:paraId="33A3B72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65" w:type="dxa"/>
            <w:tcBorders>
              <w:top w:val="single" w:color="000000" w:sz="4" w:space="0"/>
              <w:left w:val="single" w:color="000000" w:sz="4" w:space="0"/>
              <w:bottom w:val="single" w:color="000000" w:sz="4" w:space="0"/>
              <w:right w:val="single" w:color="000000" w:sz="4" w:space="0"/>
            </w:tcBorders>
            <w:vAlign w:val="center"/>
          </w:tcPr>
          <w:p w14:paraId="4B2F9271">
            <w:pPr>
              <w:jc w:val="center"/>
              <w:rPr>
                <w:rFonts w:hint="eastAsia" w:ascii="宋体" w:hAnsi="宋体" w:cs="宋体"/>
                <w:color w:val="000000"/>
                <w:szCs w:val="21"/>
              </w:rPr>
            </w:pPr>
          </w:p>
        </w:tc>
      </w:tr>
      <w:tr w14:paraId="45DBF2D8">
        <w:tblPrEx>
          <w:tblCellMar>
            <w:top w:w="0" w:type="dxa"/>
            <w:left w:w="108" w:type="dxa"/>
            <w:bottom w:w="0" w:type="dxa"/>
            <w:right w:w="108" w:type="dxa"/>
          </w:tblCellMar>
        </w:tblPrEx>
        <w:trPr>
          <w:trHeight w:val="84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53EEF37A">
            <w:pPr>
              <w:jc w:val="center"/>
              <w:rPr>
                <w:rFonts w:hint="eastAsia" w:ascii="宋体" w:hAnsi="宋体" w:cs="宋体"/>
                <w:b/>
                <w:bCs/>
                <w:color w:val="000000"/>
                <w:szCs w:val="21"/>
              </w:rPr>
            </w:pPr>
          </w:p>
        </w:tc>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25FC1E85">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目标实现</w:t>
            </w:r>
            <w:r>
              <w:rPr>
                <w:rFonts w:hint="eastAsia" w:ascii="宋体" w:hAnsi="宋体" w:cs="宋体"/>
                <w:b/>
                <w:bCs/>
                <w:color w:val="000000"/>
                <w:kern w:val="0"/>
                <w:szCs w:val="21"/>
                <w:lang w:bidi="ar"/>
              </w:rPr>
              <w:br w:type="textWrapping"/>
            </w:r>
            <w:r>
              <w:rPr>
                <w:rFonts w:hint="eastAsia" w:ascii="宋体" w:hAnsi="宋体" w:cs="宋体"/>
                <w:b/>
                <w:bCs/>
                <w:color w:val="000000"/>
                <w:kern w:val="0"/>
                <w:szCs w:val="21"/>
                <w:lang w:bidi="ar"/>
              </w:rPr>
              <w:t>（11分）</w:t>
            </w:r>
          </w:p>
        </w:tc>
        <w:tc>
          <w:tcPr>
            <w:tcW w:w="1115" w:type="dxa"/>
            <w:tcBorders>
              <w:top w:val="single" w:color="000000" w:sz="4" w:space="0"/>
              <w:left w:val="single" w:color="000000" w:sz="4" w:space="0"/>
              <w:bottom w:val="single" w:color="000000" w:sz="4" w:space="0"/>
              <w:right w:val="single" w:color="000000" w:sz="4" w:space="0"/>
            </w:tcBorders>
            <w:vAlign w:val="center"/>
          </w:tcPr>
          <w:p w14:paraId="56B14BB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目标完成</w:t>
            </w:r>
          </w:p>
        </w:tc>
        <w:tc>
          <w:tcPr>
            <w:tcW w:w="584" w:type="dxa"/>
            <w:tcBorders>
              <w:top w:val="single" w:color="000000" w:sz="4" w:space="0"/>
              <w:left w:val="single" w:color="000000" w:sz="4" w:space="0"/>
              <w:bottom w:val="single" w:color="000000" w:sz="4" w:space="0"/>
              <w:right w:val="single" w:color="000000" w:sz="4" w:space="0"/>
            </w:tcBorders>
            <w:vAlign w:val="center"/>
          </w:tcPr>
          <w:p w14:paraId="7EC3317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22" w:type="dxa"/>
            <w:tcBorders>
              <w:top w:val="single" w:color="000000" w:sz="4" w:space="0"/>
              <w:left w:val="single" w:color="000000" w:sz="4" w:space="0"/>
              <w:bottom w:val="single" w:color="000000" w:sz="4" w:space="0"/>
              <w:right w:val="single" w:color="000000" w:sz="4" w:space="0"/>
            </w:tcBorders>
            <w:vAlign w:val="center"/>
          </w:tcPr>
          <w:p w14:paraId="45DBA7A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部门预算项目绩效目标数量指标完成情况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099B173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该项指标得分=完成绩效目标数量指标的部门预算阶段项目（含一次性项目）数量÷部门预算阶段项目（含一次性项目）总数×100%×6。</w:t>
            </w:r>
          </w:p>
        </w:tc>
        <w:tc>
          <w:tcPr>
            <w:tcW w:w="484" w:type="dxa"/>
            <w:tcBorders>
              <w:top w:val="single" w:color="000000" w:sz="4" w:space="0"/>
              <w:left w:val="single" w:color="000000" w:sz="4" w:space="0"/>
              <w:bottom w:val="single" w:color="000000" w:sz="4" w:space="0"/>
              <w:right w:val="single" w:color="000000" w:sz="4" w:space="0"/>
            </w:tcBorders>
            <w:vAlign w:val="center"/>
          </w:tcPr>
          <w:p w14:paraId="163CE16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465" w:type="dxa"/>
            <w:tcBorders>
              <w:top w:val="single" w:color="000000" w:sz="4" w:space="0"/>
              <w:left w:val="single" w:color="000000" w:sz="4" w:space="0"/>
              <w:bottom w:val="single" w:color="000000" w:sz="4" w:space="0"/>
              <w:right w:val="single" w:color="000000" w:sz="4" w:space="0"/>
            </w:tcBorders>
            <w:vAlign w:val="center"/>
          </w:tcPr>
          <w:p w14:paraId="57331641">
            <w:pPr>
              <w:jc w:val="center"/>
              <w:rPr>
                <w:rFonts w:hint="eastAsia" w:ascii="宋体" w:hAnsi="宋体" w:cs="宋体"/>
                <w:color w:val="000000"/>
                <w:szCs w:val="21"/>
              </w:rPr>
            </w:pPr>
          </w:p>
        </w:tc>
      </w:tr>
      <w:tr w14:paraId="1586A77B">
        <w:tblPrEx>
          <w:tblCellMar>
            <w:top w:w="0" w:type="dxa"/>
            <w:left w:w="108" w:type="dxa"/>
            <w:bottom w:w="0" w:type="dxa"/>
            <w:right w:w="108" w:type="dxa"/>
          </w:tblCellMar>
        </w:tblPrEx>
        <w:trPr>
          <w:trHeight w:val="118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D857336">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6E64789B">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0DDA257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目标偏离</w:t>
            </w:r>
          </w:p>
        </w:tc>
        <w:tc>
          <w:tcPr>
            <w:tcW w:w="584" w:type="dxa"/>
            <w:tcBorders>
              <w:top w:val="single" w:color="000000" w:sz="4" w:space="0"/>
              <w:left w:val="single" w:color="000000" w:sz="4" w:space="0"/>
              <w:bottom w:val="single" w:color="000000" w:sz="4" w:space="0"/>
              <w:right w:val="single" w:color="000000" w:sz="4" w:space="0"/>
            </w:tcBorders>
            <w:vAlign w:val="center"/>
          </w:tcPr>
          <w:p w14:paraId="20DC3D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6</w:t>
            </w:r>
          </w:p>
        </w:tc>
        <w:tc>
          <w:tcPr>
            <w:tcW w:w="1222" w:type="dxa"/>
            <w:tcBorders>
              <w:top w:val="single" w:color="000000" w:sz="4" w:space="0"/>
              <w:left w:val="single" w:color="000000" w:sz="4" w:space="0"/>
              <w:bottom w:val="single" w:color="000000" w:sz="4" w:space="0"/>
              <w:right w:val="single" w:color="000000" w:sz="4" w:space="0"/>
            </w:tcBorders>
            <w:vAlign w:val="center"/>
          </w:tcPr>
          <w:p w14:paraId="0F097BE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部门预算项目绩效目标数量指标实现程度与预期目标的偏离情况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24588BA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已完成预期指标值的数量指标中偏离度在30%内的指标个数÷已完成预期指标值的数量指标个数×100%×6。偏离度=|（绩效指标实际完成值-设定预期指标值）÷设定预期指标值|。部门预算阶段项目（含一次性项目）绩效目标实际完成值偏离预期指标30%以上（含30%）的，不计分。</w:t>
            </w:r>
          </w:p>
        </w:tc>
        <w:tc>
          <w:tcPr>
            <w:tcW w:w="484" w:type="dxa"/>
            <w:tcBorders>
              <w:top w:val="single" w:color="000000" w:sz="4" w:space="0"/>
              <w:left w:val="single" w:color="000000" w:sz="4" w:space="0"/>
              <w:bottom w:val="single" w:color="000000" w:sz="4" w:space="0"/>
              <w:right w:val="single" w:color="000000" w:sz="4" w:space="0"/>
            </w:tcBorders>
            <w:vAlign w:val="center"/>
          </w:tcPr>
          <w:p w14:paraId="65C5D42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4</w:t>
            </w:r>
          </w:p>
        </w:tc>
        <w:tc>
          <w:tcPr>
            <w:tcW w:w="465" w:type="dxa"/>
            <w:tcBorders>
              <w:top w:val="single" w:color="000000" w:sz="4" w:space="0"/>
              <w:left w:val="single" w:color="000000" w:sz="4" w:space="0"/>
              <w:bottom w:val="single" w:color="000000" w:sz="4" w:space="0"/>
              <w:right w:val="single" w:color="000000" w:sz="4" w:space="0"/>
            </w:tcBorders>
            <w:vAlign w:val="center"/>
          </w:tcPr>
          <w:p w14:paraId="7346638F">
            <w:pPr>
              <w:jc w:val="center"/>
              <w:rPr>
                <w:rFonts w:hint="eastAsia" w:ascii="宋体" w:hAnsi="宋体" w:cs="宋体"/>
                <w:color w:val="000000"/>
                <w:szCs w:val="21"/>
              </w:rPr>
            </w:pPr>
          </w:p>
        </w:tc>
      </w:tr>
      <w:tr w14:paraId="0DC67E7F">
        <w:tblPrEx>
          <w:tblCellMar>
            <w:top w:w="0" w:type="dxa"/>
            <w:left w:w="108" w:type="dxa"/>
            <w:bottom w:w="0" w:type="dxa"/>
            <w:right w:w="108" w:type="dxa"/>
          </w:tblCellMar>
        </w:tblPrEx>
        <w:trPr>
          <w:trHeight w:val="78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4DEF163">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7D96A123">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1A5E0D8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实现效果</w:t>
            </w:r>
          </w:p>
        </w:tc>
        <w:tc>
          <w:tcPr>
            <w:tcW w:w="584" w:type="dxa"/>
            <w:tcBorders>
              <w:top w:val="single" w:color="000000" w:sz="4" w:space="0"/>
              <w:left w:val="single" w:color="000000" w:sz="4" w:space="0"/>
              <w:bottom w:val="single" w:color="000000" w:sz="4" w:space="0"/>
              <w:right w:val="single" w:color="000000" w:sz="4" w:space="0"/>
            </w:tcBorders>
            <w:vAlign w:val="center"/>
          </w:tcPr>
          <w:p w14:paraId="0F67963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1222" w:type="dxa"/>
            <w:tcBorders>
              <w:top w:val="single" w:color="000000" w:sz="4" w:space="0"/>
              <w:left w:val="single" w:color="000000" w:sz="4" w:space="0"/>
              <w:bottom w:val="single" w:color="000000" w:sz="4" w:space="0"/>
              <w:right w:val="single" w:color="000000" w:sz="4" w:space="0"/>
            </w:tcBorders>
            <w:vAlign w:val="center"/>
          </w:tcPr>
          <w:p w14:paraId="10D836D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部门预算项目绩效目标效益指标实施效果</w:t>
            </w:r>
          </w:p>
        </w:tc>
        <w:tc>
          <w:tcPr>
            <w:tcW w:w="2926" w:type="dxa"/>
            <w:tcBorders>
              <w:top w:val="single" w:color="000000" w:sz="4" w:space="0"/>
              <w:left w:val="single" w:color="000000" w:sz="4" w:space="0"/>
              <w:bottom w:val="single" w:color="000000" w:sz="4" w:space="0"/>
              <w:right w:val="single" w:color="000000" w:sz="4" w:space="0"/>
            </w:tcBorders>
            <w:vAlign w:val="center"/>
          </w:tcPr>
          <w:p w14:paraId="58B14E1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该项指标得分=完成绩效目标效益指标的部门预算阶段项目（含一次性项目）数量÷部门预算阶段项目（含一次性项目）总数×100%×5。</w:t>
            </w:r>
          </w:p>
        </w:tc>
        <w:tc>
          <w:tcPr>
            <w:tcW w:w="484" w:type="dxa"/>
            <w:tcBorders>
              <w:top w:val="single" w:color="000000" w:sz="4" w:space="0"/>
              <w:left w:val="single" w:color="000000" w:sz="4" w:space="0"/>
              <w:bottom w:val="single" w:color="000000" w:sz="4" w:space="0"/>
              <w:right w:val="single" w:color="000000" w:sz="4" w:space="0"/>
            </w:tcBorders>
            <w:vAlign w:val="center"/>
          </w:tcPr>
          <w:p w14:paraId="1C1905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w:t>
            </w:r>
          </w:p>
        </w:tc>
        <w:tc>
          <w:tcPr>
            <w:tcW w:w="465" w:type="dxa"/>
            <w:tcBorders>
              <w:top w:val="single" w:color="000000" w:sz="4" w:space="0"/>
              <w:left w:val="single" w:color="000000" w:sz="4" w:space="0"/>
              <w:bottom w:val="single" w:color="000000" w:sz="4" w:space="0"/>
              <w:right w:val="single" w:color="000000" w:sz="4" w:space="0"/>
            </w:tcBorders>
            <w:vAlign w:val="center"/>
          </w:tcPr>
          <w:p w14:paraId="774CAC6B">
            <w:pPr>
              <w:jc w:val="center"/>
              <w:rPr>
                <w:rFonts w:hint="eastAsia" w:ascii="宋体" w:hAnsi="宋体" w:cs="宋体"/>
                <w:color w:val="000000"/>
                <w:szCs w:val="21"/>
              </w:rPr>
            </w:pPr>
          </w:p>
        </w:tc>
      </w:tr>
      <w:tr w14:paraId="0721C185">
        <w:tblPrEx>
          <w:tblCellMar>
            <w:top w:w="0" w:type="dxa"/>
            <w:left w:w="108" w:type="dxa"/>
            <w:bottom w:w="0" w:type="dxa"/>
            <w:right w:w="108" w:type="dxa"/>
          </w:tblCellMar>
        </w:tblPrEx>
        <w:trPr>
          <w:trHeight w:val="780" w:hRule="atLeast"/>
        </w:trPr>
        <w:tc>
          <w:tcPr>
            <w:tcW w:w="880" w:type="dxa"/>
            <w:vMerge w:val="restart"/>
            <w:tcBorders>
              <w:top w:val="single" w:color="000000" w:sz="4" w:space="0"/>
              <w:left w:val="single" w:color="000000" w:sz="4" w:space="0"/>
              <w:bottom w:val="single" w:color="000000" w:sz="4" w:space="0"/>
              <w:right w:val="single" w:color="000000" w:sz="4" w:space="0"/>
            </w:tcBorders>
            <w:vAlign w:val="center"/>
          </w:tcPr>
          <w:p w14:paraId="5D2E3C9F">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扣分项</w:t>
            </w:r>
          </w:p>
        </w:tc>
        <w:tc>
          <w:tcPr>
            <w:tcW w:w="753" w:type="dxa"/>
            <w:vMerge w:val="restart"/>
            <w:tcBorders>
              <w:top w:val="single" w:color="000000" w:sz="4" w:space="0"/>
              <w:left w:val="single" w:color="000000" w:sz="4" w:space="0"/>
              <w:bottom w:val="single" w:color="000000" w:sz="4" w:space="0"/>
              <w:right w:val="single" w:color="000000" w:sz="4" w:space="0"/>
            </w:tcBorders>
            <w:vAlign w:val="center"/>
          </w:tcPr>
          <w:p w14:paraId="02AD52FB">
            <w:pPr>
              <w:widowControl/>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财务管理</w:t>
            </w:r>
          </w:p>
        </w:tc>
        <w:tc>
          <w:tcPr>
            <w:tcW w:w="1115" w:type="dxa"/>
            <w:tcBorders>
              <w:top w:val="single" w:color="000000" w:sz="4" w:space="0"/>
              <w:left w:val="single" w:color="000000" w:sz="4" w:space="0"/>
              <w:bottom w:val="single" w:color="000000" w:sz="4" w:space="0"/>
              <w:right w:val="single" w:color="000000" w:sz="4" w:space="0"/>
            </w:tcBorders>
            <w:vAlign w:val="center"/>
          </w:tcPr>
          <w:p w14:paraId="584BF3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财务管理制度</w:t>
            </w:r>
          </w:p>
        </w:tc>
        <w:tc>
          <w:tcPr>
            <w:tcW w:w="584" w:type="dxa"/>
            <w:tcBorders>
              <w:top w:val="single" w:color="000000" w:sz="4" w:space="0"/>
              <w:left w:val="single" w:color="000000" w:sz="4" w:space="0"/>
              <w:bottom w:val="single" w:color="000000" w:sz="4" w:space="0"/>
              <w:right w:val="single" w:color="000000" w:sz="4" w:space="0"/>
            </w:tcBorders>
            <w:vAlign w:val="center"/>
          </w:tcPr>
          <w:p w14:paraId="7BFD695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76B6034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部门财务管理制度建立情况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7BAFAA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部门未制定内部财务管理制度等制度机制的,财务管理制度未得到落实，发现一处扣1分，扣完为止。</w:t>
            </w:r>
          </w:p>
        </w:tc>
        <w:tc>
          <w:tcPr>
            <w:tcW w:w="484" w:type="dxa"/>
            <w:tcBorders>
              <w:top w:val="single" w:color="000000" w:sz="4" w:space="0"/>
              <w:left w:val="single" w:color="000000" w:sz="4" w:space="0"/>
              <w:bottom w:val="single" w:color="000000" w:sz="4" w:space="0"/>
              <w:right w:val="single" w:color="000000" w:sz="4" w:space="0"/>
            </w:tcBorders>
            <w:vAlign w:val="center"/>
          </w:tcPr>
          <w:p w14:paraId="58B5C159">
            <w:pPr>
              <w:jc w:val="center"/>
              <w:rPr>
                <w:rFonts w:hint="eastAsia" w:ascii="宋体" w:hAnsi="宋体" w:cs="宋体"/>
                <w:color w:val="000000"/>
                <w:szCs w:val="21"/>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30205717">
            <w:pPr>
              <w:jc w:val="center"/>
              <w:rPr>
                <w:rFonts w:hint="eastAsia" w:ascii="宋体" w:hAnsi="宋体" w:cs="宋体"/>
                <w:color w:val="000000"/>
                <w:szCs w:val="21"/>
              </w:rPr>
            </w:pPr>
          </w:p>
        </w:tc>
      </w:tr>
      <w:tr w14:paraId="5A4C6A75">
        <w:tblPrEx>
          <w:tblCellMar>
            <w:top w:w="0" w:type="dxa"/>
            <w:left w:w="108" w:type="dxa"/>
            <w:bottom w:w="0" w:type="dxa"/>
            <w:right w:w="108" w:type="dxa"/>
          </w:tblCellMar>
        </w:tblPrEx>
        <w:trPr>
          <w:trHeight w:val="78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9D0D249">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57703A0B">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099699F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财务岗位设置</w:t>
            </w:r>
          </w:p>
        </w:tc>
        <w:tc>
          <w:tcPr>
            <w:tcW w:w="584" w:type="dxa"/>
            <w:tcBorders>
              <w:top w:val="single" w:color="000000" w:sz="4" w:space="0"/>
              <w:left w:val="single" w:color="000000" w:sz="4" w:space="0"/>
              <w:bottom w:val="single" w:color="000000" w:sz="4" w:space="0"/>
              <w:right w:val="single" w:color="000000" w:sz="4" w:space="0"/>
            </w:tcBorders>
            <w:vAlign w:val="center"/>
          </w:tcPr>
          <w:p w14:paraId="05EDC2D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64817C1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部门财务岗位设置是否符合相关财务管理制度要求</w:t>
            </w:r>
          </w:p>
        </w:tc>
        <w:tc>
          <w:tcPr>
            <w:tcW w:w="2926" w:type="dxa"/>
            <w:tcBorders>
              <w:top w:val="single" w:color="000000" w:sz="4" w:space="0"/>
              <w:left w:val="single" w:color="000000" w:sz="4" w:space="0"/>
              <w:bottom w:val="single" w:color="000000" w:sz="4" w:space="0"/>
              <w:right w:val="single" w:color="000000" w:sz="4" w:space="0"/>
            </w:tcBorders>
            <w:vAlign w:val="center"/>
          </w:tcPr>
          <w:p w14:paraId="57BCA4E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部门未合理设置财务工作岗位，职责权限不明确，未严格实行不相容岗位分离，发现一处扣1分，扣完为止。</w:t>
            </w:r>
          </w:p>
        </w:tc>
        <w:tc>
          <w:tcPr>
            <w:tcW w:w="484" w:type="dxa"/>
            <w:tcBorders>
              <w:top w:val="single" w:color="000000" w:sz="4" w:space="0"/>
              <w:left w:val="single" w:color="000000" w:sz="4" w:space="0"/>
              <w:bottom w:val="single" w:color="000000" w:sz="4" w:space="0"/>
              <w:right w:val="single" w:color="000000" w:sz="4" w:space="0"/>
            </w:tcBorders>
            <w:vAlign w:val="center"/>
          </w:tcPr>
          <w:p w14:paraId="0B055D23">
            <w:pPr>
              <w:jc w:val="center"/>
              <w:rPr>
                <w:rFonts w:hint="eastAsia" w:ascii="宋体" w:hAnsi="宋体" w:cs="宋体"/>
                <w:color w:val="000000"/>
                <w:szCs w:val="21"/>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584A1C65">
            <w:pPr>
              <w:jc w:val="center"/>
              <w:rPr>
                <w:rFonts w:hint="eastAsia" w:ascii="宋体" w:hAnsi="宋体" w:cs="宋体"/>
                <w:color w:val="000000"/>
                <w:szCs w:val="21"/>
              </w:rPr>
            </w:pPr>
          </w:p>
        </w:tc>
      </w:tr>
      <w:tr w14:paraId="773A3D8E">
        <w:tblPrEx>
          <w:tblCellMar>
            <w:top w:w="0" w:type="dxa"/>
            <w:left w:w="108" w:type="dxa"/>
            <w:bottom w:w="0" w:type="dxa"/>
            <w:right w:w="108" w:type="dxa"/>
          </w:tblCellMar>
        </w:tblPrEx>
        <w:trPr>
          <w:trHeight w:val="78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FC799DA">
            <w:pPr>
              <w:jc w:val="center"/>
              <w:rPr>
                <w:rFonts w:hint="eastAsia" w:ascii="宋体" w:hAnsi="宋体" w:cs="宋体"/>
                <w:b/>
                <w:bCs/>
                <w:color w:val="000000"/>
                <w:szCs w:val="21"/>
              </w:rPr>
            </w:pPr>
          </w:p>
        </w:tc>
        <w:tc>
          <w:tcPr>
            <w:tcW w:w="753" w:type="dxa"/>
            <w:vMerge w:val="continue"/>
            <w:tcBorders>
              <w:top w:val="single" w:color="000000" w:sz="4" w:space="0"/>
              <w:left w:val="single" w:color="000000" w:sz="4" w:space="0"/>
              <w:bottom w:val="single" w:color="000000" w:sz="4" w:space="0"/>
              <w:right w:val="single" w:color="000000" w:sz="4" w:space="0"/>
            </w:tcBorders>
            <w:vAlign w:val="center"/>
          </w:tcPr>
          <w:p w14:paraId="29B65AA2">
            <w:pPr>
              <w:jc w:val="center"/>
              <w:rPr>
                <w:rFonts w:hint="eastAsia" w:ascii="宋体" w:hAnsi="宋体" w:cs="宋体"/>
                <w:b/>
                <w:bCs/>
                <w:color w:val="000000"/>
                <w:szCs w:val="21"/>
              </w:rPr>
            </w:pPr>
          </w:p>
        </w:tc>
        <w:tc>
          <w:tcPr>
            <w:tcW w:w="1115" w:type="dxa"/>
            <w:tcBorders>
              <w:top w:val="single" w:color="000000" w:sz="4" w:space="0"/>
              <w:left w:val="single" w:color="000000" w:sz="4" w:space="0"/>
              <w:bottom w:val="single" w:color="000000" w:sz="4" w:space="0"/>
              <w:right w:val="single" w:color="000000" w:sz="4" w:space="0"/>
            </w:tcBorders>
            <w:vAlign w:val="center"/>
          </w:tcPr>
          <w:p w14:paraId="2937879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资金使用规范</w:t>
            </w:r>
          </w:p>
        </w:tc>
        <w:tc>
          <w:tcPr>
            <w:tcW w:w="584" w:type="dxa"/>
            <w:tcBorders>
              <w:top w:val="single" w:color="000000" w:sz="4" w:space="0"/>
              <w:left w:val="single" w:color="000000" w:sz="4" w:space="0"/>
              <w:bottom w:val="single" w:color="000000" w:sz="4" w:space="0"/>
              <w:right w:val="single" w:color="000000" w:sz="4" w:space="0"/>
            </w:tcBorders>
            <w:vAlign w:val="center"/>
          </w:tcPr>
          <w:p w14:paraId="1C466CA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071A63E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部门资金使用是否符合相关财务管理制度规定</w:t>
            </w:r>
          </w:p>
        </w:tc>
        <w:tc>
          <w:tcPr>
            <w:tcW w:w="2926" w:type="dxa"/>
            <w:tcBorders>
              <w:top w:val="single" w:color="000000" w:sz="4" w:space="0"/>
              <w:left w:val="single" w:color="000000" w:sz="4" w:space="0"/>
              <w:bottom w:val="single" w:color="000000" w:sz="4" w:space="0"/>
              <w:right w:val="single" w:color="000000" w:sz="4" w:space="0"/>
            </w:tcBorders>
            <w:vAlign w:val="center"/>
          </w:tcPr>
          <w:p w14:paraId="57F72F2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部门资金使用不符合相关财务管理制度规定的，发现一处扣1分，扣完为止。</w:t>
            </w:r>
          </w:p>
        </w:tc>
        <w:tc>
          <w:tcPr>
            <w:tcW w:w="484" w:type="dxa"/>
            <w:tcBorders>
              <w:top w:val="single" w:color="000000" w:sz="4" w:space="0"/>
              <w:left w:val="single" w:color="000000" w:sz="4" w:space="0"/>
              <w:bottom w:val="single" w:color="000000" w:sz="4" w:space="0"/>
              <w:right w:val="single" w:color="000000" w:sz="4" w:space="0"/>
            </w:tcBorders>
            <w:vAlign w:val="center"/>
          </w:tcPr>
          <w:p w14:paraId="3AEBB8D6">
            <w:pPr>
              <w:jc w:val="center"/>
              <w:rPr>
                <w:rFonts w:hint="eastAsia" w:ascii="宋体" w:hAnsi="宋体" w:cs="宋体"/>
                <w:color w:val="000000"/>
                <w:szCs w:val="21"/>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75DDC78D">
            <w:pPr>
              <w:jc w:val="center"/>
              <w:rPr>
                <w:rFonts w:hint="eastAsia" w:ascii="宋体" w:hAnsi="宋体" w:cs="宋体"/>
                <w:color w:val="000000"/>
                <w:szCs w:val="21"/>
              </w:rPr>
            </w:pPr>
          </w:p>
        </w:tc>
      </w:tr>
      <w:tr w14:paraId="7FBF20D9">
        <w:tblPrEx>
          <w:tblCellMar>
            <w:top w:w="0" w:type="dxa"/>
            <w:left w:w="108" w:type="dxa"/>
            <w:bottom w:w="0" w:type="dxa"/>
            <w:right w:w="108" w:type="dxa"/>
          </w:tblCellMar>
        </w:tblPrEx>
        <w:trPr>
          <w:trHeight w:val="116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7C847F68">
            <w:pPr>
              <w:jc w:val="center"/>
              <w:rPr>
                <w:rFonts w:hint="eastAsia" w:ascii="宋体" w:hAnsi="宋体" w:cs="宋体"/>
                <w:b/>
                <w:bCs/>
                <w:color w:val="000000"/>
                <w:szCs w:val="21"/>
              </w:rPr>
            </w:pP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14:paraId="7D88D7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预算绩效存在问题</w:t>
            </w:r>
          </w:p>
        </w:tc>
        <w:tc>
          <w:tcPr>
            <w:tcW w:w="584" w:type="dxa"/>
            <w:tcBorders>
              <w:top w:val="single" w:color="000000" w:sz="4" w:space="0"/>
              <w:left w:val="single" w:color="000000" w:sz="4" w:space="0"/>
              <w:bottom w:val="single" w:color="000000" w:sz="4" w:space="0"/>
              <w:right w:val="single" w:color="000000" w:sz="4" w:space="0"/>
            </w:tcBorders>
            <w:vAlign w:val="center"/>
          </w:tcPr>
          <w:p w14:paraId="5C6B61B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119DBCF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预算管理和绩效管理工作存在问题</w:t>
            </w:r>
          </w:p>
        </w:tc>
        <w:tc>
          <w:tcPr>
            <w:tcW w:w="2926" w:type="dxa"/>
            <w:tcBorders>
              <w:top w:val="single" w:color="000000" w:sz="4" w:space="0"/>
              <w:left w:val="single" w:color="000000" w:sz="4" w:space="0"/>
              <w:bottom w:val="single" w:color="000000" w:sz="4" w:space="0"/>
              <w:right w:val="single" w:color="000000" w:sz="4" w:space="0"/>
            </w:tcBorders>
            <w:vAlign w:val="center"/>
          </w:tcPr>
          <w:p w14:paraId="5903661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依据评价年度人大监督、巡视巡察、审计监督、财会监督等结果以及评价指标体系涉及的履职效果、预算管理、财务管理、资产管理、采购管理、项目绩效等方面出现的问题，每有一个问题点扣1分，扣完为止。</w:t>
            </w:r>
          </w:p>
        </w:tc>
        <w:tc>
          <w:tcPr>
            <w:tcW w:w="484" w:type="dxa"/>
            <w:tcBorders>
              <w:top w:val="single" w:color="000000" w:sz="4" w:space="0"/>
              <w:left w:val="single" w:color="000000" w:sz="4" w:space="0"/>
              <w:bottom w:val="single" w:color="000000" w:sz="4" w:space="0"/>
              <w:right w:val="single" w:color="000000" w:sz="4" w:space="0"/>
            </w:tcBorders>
            <w:vAlign w:val="center"/>
          </w:tcPr>
          <w:p w14:paraId="05533863">
            <w:pPr>
              <w:jc w:val="center"/>
              <w:rPr>
                <w:rFonts w:hint="eastAsia" w:ascii="宋体" w:hAnsi="宋体" w:cs="宋体"/>
                <w:color w:val="000000"/>
                <w:szCs w:val="21"/>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645AEF4D">
            <w:pPr>
              <w:jc w:val="center"/>
              <w:rPr>
                <w:rFonts w:hint="eastAsia" w:ascii="宋体" w:hAnsi="宋体" w:cs="宋体"/>
                <w:color w:val="000000"/>
                <w:szCs w:val="21"/>
              </w:rPr>
            </w:pPr>
          </w:p>
        </w:tc>
      </w:tr>
      <w:tr w14:paraId="3A5516AA">
        <w:tblPrEx>
          <w:tblCellMar>
            <w:top w:w="0" w:type="dxa"/>
            <w:left w:w="108" w:type="dxa"/>
            <w:bottom w:w="0" w:type="dxa"/>
            <w:right w:w="108" w:type="dxa"/>
          </w:tblCellMar>
        </w:tblPrEx>
        <w:trPr>
          <w:trHeight w:val="840" w:hRule="atLeast"/>
        </w:trPr>
        <w:tc>
          <w:tcPr>
            <w:tcW w:w="880" w:type="dxa"/>
            <w:vMerge w:val="continue"/>
            <w:tcBorders>
              <w:top w:val="single" w:color="000000" w:sz="4" w:space="0"/>
              <w:left w:val="single" w:color="000000" w:sz="4" w:space="0"/>
              <w:bottom w:val="single" w:color="000000" w:sz="4" w:space="0"/>
              <w:right w:val="single" w:color="000000" w:sz="4" w:space="0"/>
            </w:tcBorders>
            <w:vAlign w:val="center"/>
          </w:tcPr>
          <w:p w14:paraId="08BE2D53">
            <w:pPr>
              <w:jc w:val="center"/>
              <w:rPr>
                <w:rFonts w:hint="eastAsia" w:ascii="宋体" w:hAnsi="宋体" w:cs="宋体"/>
                <w:b/>
                <w:bCs/>
                <w:color w:val="000000"/>
                <w:szCs w:val="21"/>
              </w:rPr>
            </w:pPr>
          </w:p>
        </w:tc>
        <w:tc>
          <w:tcPr>
            <w:tcW w:w="1868" w:type="dxa"/>
            <w:gridSpan w:val="2"/>
            <w:tcBorders>
              <w:top w:val="single" w:color="000000" w:sz="4" w:space="0"/>
              <w:left w:val="single" w:color="000000" w:sz="4" w:space="0"/>
              <w:bottom w:val="single" w:color="000000" w:sz="4" w:space="0"/>
              <w:right w:val="single" w:color="000000" w:sz="4" w:space="0"/>
            </w:tcBorders>
            <w:vAlign w:val="center"/>
          </w:tcPr>
          <w:p w14:paraId="195EFA0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被评价部门配合度</w:t>
            </w:r>
          </w:p>
        </w:tc>
        <w:tc>
          <w:tcPr>
            <w:tcW w:w="584" w:type="dxa"/>
            <w:tcBorders>
              <w:top w:val="single" w:color="000000" w:sz="4" w:space="0"/>
              <w:left w:val="single" w:color="000000" w:sz="4" w:space="0"/>
              <w:bottom w:val="single" w:color="000000" w:sz="4" w:space="0"/>
              <w:right w:val="single" w:color="000000" w:sz="4" w:space="0"/>
            </w:tcBorders>
            <w:vAlign w:val="center"/>
          </w:tcPr>
          <w:p w14:paraId="59AA890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w:t>
            </w:r>
          </w:p>
        </w:tc>
        <w:tc>
          <w:tcPr>
            <w:tcW w:w="1222" w:type="dxa"/>
            <w:tcBorders>
              <w:top w:val="single" w:color="000000" w:sz="4" w:space="0"/>
              <w:left w:val="single" w:color="000000" w:sz="4" w:space="0"/>
              <w:bottom w:val="single" w:color="000000" w:sz="4" w:space="0"/>
              <w:right w:val="single" w:color="000000" w:sz="4" w:space="0"/>
            </w:tcBorders>
            <w:vAlign w:val="center"/>
          </w:tcPr>
          <w:p w14:paraId="2596CF3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被评价对象工作配合情况</w:t>
            </w:r>
          </w:p>
        </w:tc>
        <w:tc>
          <w:tcPr>
            <w:tcW w:w="2926" w:type="dxa"/>
            <w:tcBorders>
              <w:top w:val="single" w:color="000000" w:sz="4" w:space="0"/>
              <w:left w:val="single" w:color="000000" w:sz="4" w:space="0"/>
              <w:bottom w:val="single" w:color="000000" w:sz="4" w:space="0"/>
              <w:right w:val="single" w:color="000000" w:sz="4" w:space="0"/>
            </w:tcBorders>
            <w:vAlign w:val="center"/>
          </w:tcPr>
          <w:p w14:paraId="2C766B0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评价工作开展过程中，被评价对象拖延推诿、提交资料不及时等拒不配合评价工作的，每发现一次扣1分，扣完为止。</w:t>
            </w:r>
          </w:p>
        </w:tc>
        <w:tc>
          <w:tcPr>
            <w:tcW w:w="484" w:type="dxa"/>
            <w:tcBorders>
              <w:top w:val="single" w:color="000000" w:sz="4" w:space="0"/>
              <w:left w:val="single" w:color="000000" w:sz="4" w:space="0"/>
              <w:bottom w:val="single" w:color="000000" w:sz="4" w:space="0"/>
              <w:right w:val="single" w:color="000000" w:sz="4" w:space="0"/>
            </w:tcBorders>
            <w:vAlign w:val="center"/>
          </w:tcPr>
          <w:p w14:paraId="2DC9B72F">
            <w:pPr>
              <w:jc w:val="center"/>
              <w:rPr>
                <w:rFonts w:hint="eastAsia" w:ascii="宋体" w:hAnsi="宋体" w:cs="宋体"/>
                <w:color w:val="000000"/>
                <w:szCs w:val="21"/>
              </w:rPr>
            </w:pPr>
          </w:p>
        </w:tc>
        <w:tc>
          <w:tcPr>
            <w:tcW w:w="465" w:type="dxa"/>
            <w:tcBorders>
              <w:top w:val="single" w:color="000000" w:sz="4" w:space="0"/>
              <w:left w:val="single" w:color="000000" w:sz="4" w:space="0"/>
              <w:bottom w:val="single" w:color="000000" w:sz="4" w:space="0"/>
              <w:right w:val="single" w:color="000000" w:sz="4" w:space="0"/>
            </w:tcBorders>
            <w:vAlign w:val="center"/>
          </w:tcPr>
          <w:p w14:paraId="2B2787AD">
            <w:pPr>
              <w:jc w:val="center"/>
              <w:rPr>
                <w:rFonts w:hint="eastAsia" w:ascii="宋体" w:hAnsi="宋体" w:cs="宋体"/>
                <w:color w:val="000000"/>
                <w:szCs w:val="21"/>
              </w:rPr>
            </w:pPr>
          </w:p>
        </w:tc>
      </w:tr>
      <w:tr w14:paraId="5C15FC4A">
        <w:tblPrEx>
          <w:tblCellMar>
            <w:top w:w="0" w:type="dxa"/>
            <w:left w:w="108" w:type="dxa"/>
            <w:bottom w:w="0" w:type="dxa"/>
            <w:right w:w="108" w:type="dxa"/>
          </w:tblCellMar>
        </w:tblPrEx>
        <w:trPr>
          <w:trHeight w:val="640" w:hRule="atLeast"/>
        </w:trPr>
        <w:tc>
          <w:tcPr>
            <w:tcW w:w="2748" w:type="dxa"/>
            <w:gridSpan w:val="3"/>
            <w:tcBorders>
              <w:top w:val="single" w:color="000000" w:sz="4" w:space="0"/>
              <w:left w:val="single" w:color="000000" w:sz="4" w:space="0"/>
              <w:bottom w:val="single" w:color="000000" w:sz="4" w:space="0"/>
              <w:right w:val="single" w:color="000000" w:sz="4" w:space="0"/>
            </w:tcBorders>
            <w:noWrap/>
            <w:vAlign w:val="center"/>
          </w:tcPr>
          <w:p w14:paraId="63EEEAB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分值</w:t>
            </w:r>
          </w:p>
        </w:tc>
        <w:tc>
          <w:tcPr>
            <w:tcW w:w="584" w:type="dxa"/>
            <w:tcBorders>
              <w:top w:val="single" w:color="000000" w:sz="4" w:space="0"/>
              <w:left w:val="single" w:color="000000" w:sz="4" w:space="0"/>
              <w:bottom w:val="single" w:color="000000" w:sz="4" w:space="0"/>
              <w:right w:val="single" w:color="000000" w:sz="4" w:space="0"/>
            </w:tcBorders>
            <w:noWrap/>
            <w:vAlign w:val="center"/>
          </w:tcPr>
          <w:p w14:paraId="7D528FBD">
            <w:pPr>
              <w:jc w:val="center"/>
              <w:rPr>
                <w:rFonts w:hint="eastAsia" w:ascii="宋体" w:hAnsi="宋体" w:cs="宋体"/>
                <w:color w:val="000000"/>
                <w:szCs w:val="21"/>
              </w:rPr>
            </w:pPr>
          </w:p>
        </w:tc>
        <w:tc>
          <w:tcPr>
            <w:tcW w:w="1222" w:type="dxa"/>
            <w:tcBorders>
              <w:top w:val="single" w:color="000000" w:sz="4" w:space="0"/>
              <w:left w:val="single" w:color="000000" w:sz="4" w:space="0"/>
              <w:bottom w:val="single" w:color="000000" w:sz="4" w:space="0"/>
              <w:right w:val="single" w:color="000000" w:sz="4" w:space="0"/>
            </w:tcBorders>
            <w:noWrap/>
            <w:vAlign w:val="center"/>
          </w:tcPr>
          <w:p w14:paraId="790251A8">
            <w:pPr>
              <w:jc w:val="center"/>
              <w:rPr>
                <w:rFonts w:hint="eastAsia" w:ascii="宋体" w:hAnsi="宋体" w:cs="宋体"/>
                <w:color w:val="000000"/>
                <w:szCs w:val="21"/>
              </w:rPr>
            </w:pPr>
          </w:p>
        </w:tc>
        <w:tc>
          <w:tcPr>
            <w:tcW w:w="2926" w:type="dxa"/>
            <w:tcBorders>
              <w:top w:val="single" w:color="000000" w:sz="4" w:space="0"/>
              <w:left w:val="single" w:color="000000" w:sz="4" w:space="0"/>
              <w:bottom w:val="single" w:color="000000" w:sz="4" w:space="0"/>
              <w:right w:val="single" w:color="000000" w:sz="4" w:space="0"/>
            </w:tcBorders>
            <w:noWrap/>
            <w:vAlign w:val="center"/>
          </w:tcPr>
          <w:p w14:paraId="6726D668">
            <w:pPr>
              <w:jc w:val="center"/>
              <w:rPr>
                <w:rFonts w:hint="eastAsia" w:ascii="宋体" w:hAnsi="宋体" w:cs="宋体"/>
                <w:color w:val="000000"/>
                <w:szCs w:val="21"/>
              </w:rPr>
            </w:pPr>
          </w:p>
        </w:tc>
        <w:tc>
          <w:tcPr>
            <w:tcW w:w="484" w:type="dxa"/>
            <w:tcBorders>
              <w:top w:val="single" w:color="000000" w:sz="4" w:space="0"/>
              <w:left w:val="single" w:color="000000" w:sz="4" w:space="0"/>
              <w:bottom w:val="single" w:color="000000" w:sz="4" w:space="0"/>
              <w:right w:val="single" w:color="000000" w:sz="4" w:space="0"/>
            </w:tcBorders>
            <w:noWrap/>
            <w:vAlign w:val="center"/>
          </w:tcPr>
          <w:p w14:paraId="20C63B1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98</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22B0190A">
            <w:pPr>
              <w:jc w:val="center"/>
              <w:rPr>
                <w:rFonts w:hint="eastAsia" w:ascii="宋体" w:hAnsi="宋体" w:cs="宋体"/>
                <w:color w:val="000000"/>
                <w:szCs w:val="21"/>
              </w:rPr>
            </w:pPr>
          </w:p>
        </w:tc>
      </w:tr>
    </w:tbl>
    <w:p w14:paraId="24330690">
      <w:pPr>
        <w:pStyle w:val="3"/>
        <w:spacing w:line="560" w:lineRule="exact"/>
        <w:ind w:left="0" w:leftChars="0" w:firstLine="0" w:firstLineChars="0"/>
        <w:rPr>
          <w:rFonts w:ascii="Times New Roman"/>
          <w:sz w:val="32"/>
          <w:highlight w:val="yellow"/>
          <w:lang w:val="zh-CN"/>
        </w:rPr>
      </w:pPr>
    </w:p>
    <w:p w14:paraId="43BA51D7">
      <w:pPr>
        <w:pStyle w:val="3"/>
        <w:spacing w:line="560" w:lineRule="exact"/>
        <w:ind w:left="0" w:leftChars="0" w:firstLine="0" w:firstLineChars="0"/>
        <w:rPr>
          <w:rFonts w:ascii="Times New Roman"/>
          <w:sz w:val="32"/>
          <w:highlight w:val="yellow"/>
          <w:lang w:val="zh-CN"/>
        </w:rPr>
      </w:pPr>
    </w:p>
    <w:p w14:paraId="3B220791">
      <w:pPr>
        <w:pStyle w:val="3"/>
        <w:spacing w:line="560" w:lineRule="exact"/>
        <w:ind w:left="0" w:leftChars="0" w:firstLine="0" w:firstLineChars="0"/>
        <w:rPr>
          <w:rFonts w:ascii="Times New Roman"/>
          <w:sz w:val="32"/>
          <w:highlight w:val="yellow"/>
          <w:lang w:val="zh-CN"/>
        </w:rPr>
      </w:pPr>
    </w:p>
    <w:p w14:paraId="2D561B2E">
      <w:pPr>
        <w:pStyle w:val="3"/>
        <w:spacing w:line="560" w:lineRule="exact"/>
        <w:ind w:left="0" w:leftChars="0" w:firstLine="0" w:firstLineChars="0"/>
        <w:rPr>
          <w:rFonts w:ascii="Times New Roman"/>
          <w:sz w:val="32"/>
          <w:highlight w:val="yellow"/>
          <w:lang w:val="zh-CN"/>
        </w:rPr>
      </w:pPr>
    </w:p>
    <w:p w14:paraId="6BD0F60E">
      <w:pPr>
        <w:pStyle w:val="10"/>
        <w:spacing w:before="93"/>
        <w:rPr>
          <w:rFonts w:ascii="Times New Roman" w:cs="宋体"/>
          <w:color w:val="FF0000"/>
          <w:sz w:val="32"/>
          <w:szCs w:val="32"/>
          <w:highlight w:val="yellow"/>
          <w:shd w:val="clear" w:color="auto" w:fill="FFFFFF"/>
          <w:lang w:val="zh-CN"/>
        </w:rPr>
      </w:pPr>
    </w:p>
    <w:tbl>
      <w:tblPr>
        <w:tblStyle w:val="18"/>
        <w:tblW w:w="0" w:type="auto"/>
        <w:tblInd w:w="93" w:type="dxa"/>
        <w:tblLayout w:type="autofit"/>
        <w:tblCellMar>
          <w:top w:w="0" w:type="dxa"/>
          <w:left w:w="108" w:type="dxa"/>
          <w:bottom w:w="0" w:type="dxa"/>
          <w:right w:w="108" w:type="dxa"/>
        </w:tblCellMar>
      </w:tblPr>
      <w:tblGrid>
        <w:gridCol w:w="980"/>
        <w:gridCol w:w="1066"/>
        <w:gridCol w:w="984"/>
        <w:gridCol w:w="1017"/>
        <w:gridCol w:w="543"/>
        <w:gridCol w:w="494"/>
        <w:gridCol w:w="543"/>
        <w:gridCol w:w="1091"/>
        <w:gridCol w:w="510"/>
        <w:gridCol w:w="510"/>
        <w:gridCol w:w="691"/>
      </w:tblGrid>
      <w:tr w14:paraId="6C6A14DD">
        <w:tblPrEx>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vAlign w:val="center"/>
          </w:tcPr>
          <w:p w14:paraId="20C3E6DC">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lang w:bidi="ar"/>
              </w:rPr>
              <w:t>部门预算项目支出绩效自评表（2024年度）</w:t>
            </w:r>
          </w:p>
        </w:tc>
      </w:tr>
      <w:tr w14:paraId="5017565A">
        <w:tblPrEx>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6217218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7BFB773B">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51090424T000011138909-园区2024年运行经费</w:t>
            </w:r>
          </w:p>
        </w:tc>
      </w:tr>
      <w:tr w14:paraId="64CBD0A9">
        <w:tblPrEx>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vAlign w:val="center"/>
          </w:tcPr>
          <w:p w14:paraId="37ABE559">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2A6E48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遂潼天然气综合利用产业园部门</w:t>
            </w:r>
          </w:p>
        </w:tc>
        <w:tc>
          <w:tcPr>
            <w:tcW w:w="0" w:type="auto"/>
            <w:tcBorders>
              <w:top w:val="nil"/>
              <w:left w:val="nil"/>
              <w:bottom w:val="nil"/>
              <w:right w:val="nil"/>
            </w:tcBorders>
            <w:vAlign w:val="center"/>
          </w:tcPr>
          <w:p w14:paraId="1E6A7BCB">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2F4FBEC">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遂潼天然气综合利用产业园</w:t>
            </w:r>
          </w:p>
        </w:tc>
      </w:tr>
      <w:tr w14:paraId="23E59A29">
        <w:tblPrEx>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3A2AA85F">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42263EF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1D81045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70CB176E">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年度目标完成情况</w:t>
            </w:r>
          </w:p>
        </w:tc>
      </w:tr>
      <w:tr w14:paraId="73C0EFB9">
        <w:tblPrEx>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C3B922C">
            <w:pP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83EE9C9">
            <w:pPr>
              <w:rPr>
                <w:rFonts w:hint="eastAsia" w:ascii="宋体" w:hAnsi="宋体" w:cs="宋体"/>
                <w:color w:val="000000"/>
                <w:sz w:val="18"/>
                <w:szCs w:val="18"/>
              </w:rPr>
            </w:pPr>
          </w:p>
        </w:tc>
        <w:tc>
          <w:tcPr>
            <w:tcW w:w="0" w:type="auto"/>
            <w:gridSpan w:val="5"/>
            <w:tcBorders>
              <w:top w:val="single" w:color="000000" w:sz="4" w:space="0"/>
              <w:left w:val="single" w:color="000000" w:sz="4" w:space="0"/>
              <w:bottom w:val="single" w:color="000000" w:sz="4" w:space="0"/>
              <w:right w:val="single" w:color="000000" w:sz="4" w:space="0"/>
            </w:tcBorders>
            <w:vAlign w:val="center"/>
          </w:tcPr>
          <w:p w14:paraId="3E56C35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保障园区正常运转</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30ADD40F">
            <w:pPr>
              <w:widowControl/>
              <w:jc w:val="left"/>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园区运转正常</w:t>
            </w:r>
          </w:p>
        </w:tc>
      </w:tr>
      <w:tr w14:paraId="5F532737">
        <w:tblPrEx>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C0BEF93">
            <w:pP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4A5320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vAlign w:val="center"/>
          </w:tcPr>
          <w:p w14:paraId="62E61A34">
            <w:pPr>
              <w:rPr>
                <w:rFonts w:hint="eastAsia" w:ascii="宋体" w:hAnsi="宋体" w:eastAsia="宋体" w:cs="宋体"/>
                <w:color w:val="000000"/>
                <w:sz w:val="18"/>
                <w:szCs w:val="18"/>
                <w:lang w:eastAsia="zh-CN"/>
              </w:rPr>
            </w:pPr>
            <w:r>
              <w:rPr>
                <w:rFonts w:hint="eastAsia" w:ascii="宋体" w:hAnsi="宋体" w:cs="宋体"/>
                <w:color w:val="000000"/>
                <w:sz w:val="18"/>
                <w:szCs w:val="18"/>
                <w:lang w:eastAsia="zh-CN"/>
              </w:rPr>
              <w:t>通过项目实施，确保园区日常、高效、安全运转，确保资金有效使用并达到预期目标。</w:t>
            </w:r>
          </w:p>
        </w:tc>
      </w:tr>
      <w:tr w14:paraId="333B76F5">
        <w:tblPrEx>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763DAF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0" w:type="auto"/>
            <w:tcBorders>
              <w:top w:val="single" w:color="000000" w:sz="4" w:space="0"/>
              <w:left w:val="single" w:color="000000" w:sz="4" w:space="0"/>
              <w:bottom w:val="single" w:color="000000" w:sz="4" w:space="0"/>
              <w:right w:val="single" w:color="000000" w:sz="4" w:space="0"/>
            </w:tcBorders>
            <w:vAlign w:val="center"/>
          </w:tcPr>
          <w:p w14:paraId="6BFB55D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7ABFFE1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0" w:type="auto"/>
            <w:tcBorders>
              <w:top w:val="single" w:color="000000" w:sz="4" w:space="0"/>
              <w:left w:val="single" w:color="000000" w:sz="4" w:space="0"/>
              <w:bottom w:val="single" w:color="000000" w:sz="4" w:space="0"/>
              <w:right w:val="single" w:color="000000" w:sz="4" w:space="0"/>
            </w:tcBorders>
            <w:vAlign w:val="center"/>
          </w:tcPr>
          <w:p w14:paraId="593EAA9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10AB0AA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0" w:type="auto"/>
            <w:tcBorders>
              <w:top w:val="single" w:color="000000" w:sz="4" w:space="0"/>
              <w:left w:val="single" w:color="000000" w:sz="4" w:space="0"/>
              <w:bottom w:val="single" w:color="000000" w:sz="4" w:space="0"/>
              <w:right w:val="single" w:color="000000" w:sz="4" w:space="0"/>
            </w:tcBorders>
            <w:vAlign w:val="center"/>
          </w:tcPr>
          <w:p w14:paraId="7D26CB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0" w:type="auto"/>
            <w:tcBorders>
              <w:top w:val="single" w:color="000000" w:sz="4" w:space="0"/>
              <w:left w:val="single" w:color="000000" w:sz="4" w:space="0"/>
              <w:bottom w:val="single" w:color="000000" w:sz="4" w:space="0"/>
              <w:right w:val="single" w:color="000000" w:sz="4" w:space="0"/>
            </w:tcBorders>
            <w:vAlign w:val="center"/>
          </w:tcPr>
          <w:p w14:paraId="66E376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5CF25F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74879AD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275B83D7">
        <w:tblPrEx>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5FFF86F">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DAA5B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0" w:type="auto"/>
            <w:tcBorders>
              <w:top w:val="single" w:color="000000" w:sz="4" w:space="0"/>
              <w:left w:val="single" w:color="000000" w:sz="4" w:space="0"/>
              <w:bottom w:val="single" w:color="000000" w:sz="4" w:space="0"/>
              <w:right w:val="single" w:color="000000" w:sz="4" w:space="0"/>
            </w:tcBorders>
            <w:vAlign w:val="center"/>
          </w:tcPr>
          <w:p w14:paraId="3582B3F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0" w:type="auto"/>
            <w:tcBorders>
              <w:top w:val="single" w:color="000000" w:sz="4" w:space="0"/>
              <w:left w:val="single" w:color="000000" w:sz="4" w:space="0"/>
              <w:bottom w:val="single" w:color="000000" w:sz="4" w:space="0"/>
              <w:right w:val="single" w:color="000000" w:sz="4" w:space="0"/>
            </w:tcBorders>
            <w:vAlign w:val="center"/>
          </w:tcPr>
          <w:p w14:paraId="29D57FF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9.54</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38A8B5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9.54</w:t>
            </w:r>
          </w:p>
        </w:tc>
        <w:tc>
          <w:tcPr>
            <w:tcW w:w="0" w:type="auto"/>
            <w:tcBorders>
              <w:top w:val="single" w:color="000000" w:sz="4" w:space="0"/>
              <w:left w:val="single" w:color="000000" w:sz="4" w:space="0"/>
              <w:bottom w:val="single" w:color="000000" w:sz="4" w:space="0"/>
              <w:right w:val="single" w:color="000000" w:sz="4" w:space="0"/>
            </w:tcBorders>
            <w:vAlign w:val="center"/>
          </w:tcPr>
          <w:p w14:paraId="137AA4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593F9F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37571F65">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780720AD">
            <w:pPr>
              <w:rPr>
                <w:rFonts w:ascii="黑体" w:hAnsi="黑体" w:eastAsia="黑体" w:cs="黑体"/>
                <w:i/>
                <w:iCs/>
                <w:color w:val="000000"/>
                <w:sz w:val="18"/>
                <w:szCs w:val="18"/>
              </w:rPr>
            </w:pPr>
          </w:p>
        </w:tc>
      </w:tr>
      <w:tr w14:paraId="5A06CCE2">
        <w:tblPrEx>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005643">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765DB2F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0E70135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20.00</w:t>
            </w:r>
          </w:p>
        </w:tc>
        <w:tc>
          <w:tcPr>
            <w:tcW w:w="0" w:type="auto"/>
            <w:tcBorders>
              <w:top w:val="single" w:color="000000" w:sz="4" w:space="0"/>
              <w:left w:val="single" w:color="000000" w:sz="4" w:space="0"/>
              <w:bottom w:val="single" w:color="000000" w:sz="4" w:space="0"/>
              <w:right w:val="single" w:color="000000" w:sz="4" w:space="0"/>
            </w:tcBorders>
            <w:vAlign w:val="center"/>
          </w:tcPr>
          <w:p w14:paraId="63550E0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9.54</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612F98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9.54</w:t>
            </w:r>
          </w:p>
        </w:tc>
        <w:tc>
          <w:tcPr>
            <w:tcW w:w="0" w:type="auto"/>
            <w:tcBorders>
              <w:top w:val="single" w:color="000000" w:sz="4" w:space="0"/>
              <w:left w:val="single" w:color="000000" w:sz="4" w:space="0"/>
              <w:bottom w:val="single" w:color="000000" w:sz="4" w:space="0"/>
              <w:right w:val="single" w:color="000000" w:sz="4" w:space="0"/>
            </w:tcBorders>
            <w:vAlign w:val="center"/>
          </w:tcPr>
          <w:p w14:paraId="738D7C5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0" w:type="auto"/>
            <w:tcBorders>
              <w:top w:val="single" w:color="000000" w:sz="4" w:space="0"/>
              <w:left w:val="single" w:color="000000" w:sz="4" w:space="0"/>
              <w:bottom w:val="single" w:color="000000" w:sz="4" w:space="0"/>
              <w:right w:val="single" w:color="000000" w:sz="4" w:space="0"/>
            </w:tcBorders>
            <w:vAlign w:val="center"/>
          </w:tcPr>
          <w:p w14:paraId="6F440AA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58694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93441F">
            <w:pPr>
              <w:rPr>
                <w:rFonts w:ascii="黑体" w:hAnsi="黑体" w:eastAsia="黑体" w:cs="黑体"/>
                <w:i/>
                <w:iCs/>
                <w:color w:val="000000"/>
                <w:sz w:val="18"/>
                <w:szCs w:val="18"/>
              </w:rPr>
            </w:pPr>
          </w:p>
        </w:tc>
      </w:tr>
      <w:tr w14:paraId="159604CA">
        <w:tblPrEx>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2622ED">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D87D4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2C23CA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73EED8D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2BA89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5B3633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C4B0E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CC33C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35F04E">
            <w:pPr>
              <w:rPr>
                <w:rFonts w:ascii="黑体" w:hAnsi="黑体" w:eastAsia="黑体" w:cs="黑体"/>
                <w:i/>
                <w:iCs/>
                <w:color w:val="000000"/>
                <w:sz w:val="18"/>
                <w:szCs w:val="18"/>
              </w:rPr>
            </w:pPr>
          </w:p>
        </w:tc>
      </w:tr>
      <w:tr w14:paraId="147A7050">
        <w:tblPrEx>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435025">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466711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30563FF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6B9F29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5A83099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1AC6BD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0" w:type="auto"/>
            <w:tcBorders>
              <w:top w:val="single" w:color="000000" w:sz="4" w:space="0"/>
              <w:left w:val="single" w:color="000000" w:sz="4" w:space="0"/>
              <w:bottom w:val="single" w:color="000000" w:sz="4" w:space="0"/>
              <w:right w:val="single" w:color="000000" w:sz="4" w:space="0"/>
            </w:tcBorders>
            <w:vAlign w:val="center"/>
          </w:tcPr>
          <w:p w14:paraId="68B1E7C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41CC35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8AC40D9">
            <w:pPr>
              <w:rPr>
                <w:rFonts w:ascii="黑体" w:hAnsi="黑体" w:eastAsia="黑体" w:cs="黑体"/>
                <w:i/>
                <w:iCs/>
                <w:color w:val="000000"/>
                <w:sz w:val="18"/>
                <w:szCs w:val="18"/>
              </w:rPr>
            </w:pPr>
          </w:p>
        </w:tc>
      </w:tr>
      <w:tr w14:paraId="729ED52B">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19B017">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3510A9E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0" w:type="auto"/>
            <w:tcBorders>
              <w:top w:val="single" w:color="000000" w:sz="4" w:space="0"/>
              <w:left w:val="single" w:color="000000" w:sz="4" w:space="0"/>
              <w:bottom w:val="single" w:color="000000" w:sz="4" w:space="0"/>
              <w:right w:val="single" w:color="000000" w:sz="4" w:space="0"/>
            </w:tcBorders>
            <w:vAlign w:val="center"/>
          </w:tcPr>
          <w:p w14:paraId="36632270">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ACB46C4">
            <w:pPr>
              <w:jc w:val="center"/>
              <w:rPr>
                <w:rFonts w:ascii="微软雅黑" w:hAnsi="微软雅黑" w:eastAsia="微软雅黑" w:cs="微软雅黑"/>
                <w:i/>
                <w:iCs/>
                <w:color w:val="000000"/>
                <w:sz w:val="16"/>
                <w:szCs w:val="16"/>
              </w:rPr>
            </w:pPr>
          </w:p>
        </w:tc>
        <w:tc>
          <w:tcPr>
            <w:tcW w:w="0" w:type="auto"/>
            <w:gridSpan w:val="3"/>
            <w:tcBorders>
              <w:top w:val="single" w:color="000000" w:sz="4" w:space="0"/>
              <w:left w:val="single" w:color="000000" w:sz="4" w:space="0"/>
              <w:bottom w:val="single" w:color="000000" w:sz="4" w:space="0"/>
              <w:right w:val="single" w:color="000000" w:sz="4" w:space="0"/>
            </w:tcBorders>
            <w:vAlign w:val="center"/>
          </w:tcPr>
          <w:p w14:paraId="08B07BAD">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9E332F6">
            <w:pPr>
              <w:jc w:val="center"/>
              <w:rPr>
                <w:rFonts w:ascii="微软雅黑" w:hAnsi="微软雅黑" w:eastAsia="微软雅黑" w:cs="微软雅黑"/>
                <w:i/>
                <w:iCs/>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5A34834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AB96E5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9A6EDC0">
            <w:pPr>
              <w:rPr>
                <w:rFonts w:ascii="黑体" w:hAnsi="黑体" w:eastAsia="黑体" w:cs="黑体"/>
                <w:i/>
                <w:iCs/>
                <w:color w:val="000000"/>
                <w:sz w:val="18"/>
                <w:szCs w:val="18"/>
              </w:rPr>
            </w:pPr>
          </w:p>
        </w:tc>
      </w:tr>
      <w:tr w14:paraId="426DD053">
        <w:tblPrEx>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271798E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0" w:type="auto"/>
            <w:tcBorders>
              <w:top w:val="single" w:color="000000" w:sz="4" w:space="0"/>
              <w:left w:val="single" w:color="000000" w:sz="4" w:space="0"/>
              <w:bottom w:val="single" w:color="000000" w:sz="4" w:space="0"/>
              <w:right w:val="single" w:color="000000" w:sz="4" w:space="0"/>
            </w:tcBorders>
            <w:vAlign w:val="center"/>
          </w:tcPr>
          <w:p w14:paraId="398151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22A0E3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173916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1000BE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0" w:type="auto"/>
            <w:tcBorders>
              <w:top w:val="single" w:color="000000" w:sz="4" w:space="0"/>
              <w:left w:val="single" w:color="000000" w:sz="4" w:space="0"/>
              <w:bottom w:val="single" w:color="000000" w:sz="4" w:space="0"/>
              <w:right w:val="single" w:color="000000" w:sz="4" w:space="0"/>
            </w:tcBorders>
            <w:vAlign w:val="center"/>
          </w:tcPr>
          <w:p w14:paraId="2488F68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0" w:type="auto"/>
            <w:tcBorders>
              <w:top w:val="single" w:color="000000" w:sz="4" w:space="0"/>
              <w:left w:val="single" w:color="000000" w:sz="4" w:space="0"/>
              <w:bottom w:val="single" w:color="000000" w:sz="4" w:space="0"/>
              <w:right w:val="single" w:color="000000" w:sz="4" w:space="0"/>
            </w:tcBorders>
            <w:vAlign w:val="center"/>
          </w:tcPr>
          <w:p w14:paraId="3D461DF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0" w:type="auto"/>
            <w:tcBorders>
              <w:top w:val="single" w:color="000000" w:sz="4" w:space="0"/>
              <w:left w:val="single" w:color="000000" w:sz="4" w:space="0"/>
              <w:bottom w:val="single" w:color="000000" w:sz="4" w:space="0"/>
              <w:right w:val="single" w:color="000000" w:sz="4" w:space="0"/>
            </w:tcBorders>
            <w:vAlign w:val="center"/>
          </w:tcPr>
          <w:p w14:paraId="2FBAB6D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0" w:type="auto"/>
            <w:tcBorders>
              <w:top w:val="single" w:color="000000" w:sz="4" w:space="0"/>
              <w:left w:val="single" w:color="000000" w:sz="4" w:space="0"/>
              <w:bottom w:val="single" w:color="000000" w:sz="4" w:space="0"/>
              <w:right w:val="single" w:color="000000" w:sz="4" w:space="0"/>
            </w:tcBorders>
            <w:vAlign w:val="center"/>
          </w:tcPr>
          <w:p w14:paraId="727A5C9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0" w:type="auto"/>
            <w:tcBorders>
              <w:top w:val="single" w:color="000000" w:sz="4" w:space="0"/>
              <w:left w:val="single" w:color="000000" w:sz="4" w:space="0"/>
              <w:bottom w:val="single" w:color="000000" w:sz="4" w:space="0"/>
              <w:right w:val="single" w:color="000000" w:sz="4" w:space="0"/>
            </w:tcBorders>
            <w:vAlign w:val="center"/>
          </w:tcPr>
          <w:p w14:paraId="68E4C70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0" w:type="auto"/>
            <w:tcBorders>
              <w:top w:val="single" w:color="000000" w:sz="4" w:space="0"/>
              <w:left w:val="single" w:color="000000" w:sz="4" w:space="0"/>
              <w:bottom w:val="single" w:color="000000" w:sz="4" w:space="0"/>
              <w:right w:val="single" w:color="000000" w:sz="4" w:space="0"/>
            </w:tcBorders>
            <w:vAlign w:val="center"/>
          </w:tcPr>
          <w:p w14:paraId="402A2F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54BB1DF8">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EB4132B">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545655C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27BCE6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5DC5B7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包装园区项目数</w:t>
            </w:r>
          </w:p>
        </w:tc>
        <w:tc>
          <w:tcPr>
            <w:tcW w:w="0" w:type="auto"/>
            <w:tcBorders>
              <w:top w:val="single" w:color="000000" w:sz="4" w:space="0"/>
              <w:left w:val="single" w:color="000000" w:sz="4" w:space="0"/>
              <w:bottom w:val="single" w:color="000000" w:sz="4" w:space="0"/>
              <w:right w:val="single" w:color="000000" w:sz="4" w:space="0"/>
            </w:tcBorders>
            <w:vAlign w:val="center"/>
          </w:tcPr>
          <w:p w14:paraId="4D0174E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BFDD2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1EE2F5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个</w:t>
            </w:r>
          </w:p>
        </w:tc>
        <w:tc>
          <w:tcPr>
            <w:tcW w:w="0" w:type="auto"/>
            <w:tcBorders>
              <w:top w:val="single" w:color="000000" w:sz="4" w:space="0"/>
              <w:left w:val="single" w:color="000000" w:sz="4" w:space="0"/>
              <w:bottom w:val="single" w:color="000000" w:sz="4" w:space="0"/>
              <w:right w:val="single" w:color="000000" w:sz="4" w:space="0"/>
            </w:tcBorders>
            <w:vAlign w:val="center"/>
          </w:tcPr>
          <w:p w14:paraId="29BED3B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208D6E0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5B66B5F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60111D24">
            <w:pPr>
              <w:jc w:val="center"/>
              <w:rPr>
                <w:rFonts w:ascii="微软雅黑" w:hAnsi="微软雅黑" w:eastAsia="微软雅黑" w:cs="微软雅黑"/>
                <w:i/>
                <w:iCs/>
                <w:color w:val="000000"/>
                <w:sz w:val="16"/>
                <w:szCs w:val="16"/>
              </w:rPr>
            </w:pPr>
          </w:p>
        </w:tc>
      </w:tr>
      <w:tr w14:paraId="522E2E8E">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2E42BA1">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EEC4DE">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1C13C4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7BA10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园区基础设施建设完工率</w:t>
            </w:r>
          </w:p>
        </w:tc>
        <w:tc>
          <w:tcPr>
            <w:tcW w:w="0" w:type="auto"/>
            <w:tcBorders>
              <w:top w:val="single" w:color="000000" w:sz="4" w:space="0"/>
              <w:left w:val="single" w:color="000000" w:sz="4" w:space="0"/>
              <w:bottom w:val="single" w:color="000000" w:sz="4" w:space="0"/>
              <w:right w:val="single" w:color="000000" w:sz="4" w:space="0"/>
            </w:tcBorders>
            <w:vAlign w:val="center"/>
          </w:tcPr>
          <w:p w14:paraId="257CC83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B9C48F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6345C0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4901D61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69EAD05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3BE5AD1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102022B9">
            <w:pPr>
              <w:jc w:val="center"/>
              <w:rPr>
                <w:rFonts w:ascii="微软雅黑" w:hAnsi="微软雅黑" w:eastAsia="微软雅黑" w:cs="微软雅黑"/>
                <w:i/>
                <w:iCs/>
                <w:color w:val="000000"/>
                <w:sz w:val="16"/>
                <w:szCs w:val="16"/>
              </w:rPr>
            </w:pPr>
          </w:p>
        </w:tc>
      </w:tr>
      <w:tr w14:paraId="698451CB">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5240AE3">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889E31">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62AF1F8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44B7672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项目完成时间</w:t>
            </w:r>
          </w:p>
        </w:tc>
        <w:tc>
          <w:tcPr>
            <w:tcW w:w="0" w:type="auto"/>
            <w:tcBorders>
              <w:top w:val="single" w:color="000000" w:sz="4" w:space="0"/>
              <w:left w:val="single" w:color="000000" w:sz="4" w:space="0"/>
              <w:bottom w:val="single" w:color="000000" w:sz="4" w:space="0"/>
              <w:right w:val="single" w:color="000000" w:sz="4" w:space="0"/>
            </w:tcBorders>
            <w:vAlign w:val="center"/>
          </w:tcPr>
          <w:p w14:paraId="4A21E7D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CAD7A2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5ED8340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月</w:t>
            </w:r>
          </w:p>
        </w:tc>
        <w:tc>
          <w:tcPr>
            <w:tcW w:w="0" w:type="auto"/>
            <w:tcBorders>
              <w:top w:val="single" w:color="000000" w:sz="4" w:space="0"/>
              <w:left w:val="single" w:color="000000" w:sz="4" w:space="0"/>
              <w:bottom w:val="single" w:color="000000" w:sz="4" w:space="0"/>
              <w:right w:val="single" w:color="000000" w:sz="4" w:space="0"/>
            </w:tcBorders>
            <w:vAlign w:val="center"/>
          </w:tcPr>
          <w:p w14:paraId="255053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0" w:type="auto"/>
            <w:tcBorders>
              <w:top w:val="single" w:color="000000" w:sz="4" w:space="0"/>
              <w:left w:val="single" w:color="000000" w:sz="4" w:space="0"/>
              <w:bottom w:val="single" w:color="000000" w:sz="4" w:space="0"/>
              <w:right w:val="single" w:color="000000" w:sz="4" w:space="0"/>
            </w:tcBorders>
            <w:vAlign w:val="center"/>
          </w:tcPr>
          <w:p w14:paraId="6580B01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08A9F88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0" w:type="auto"/>
            <w:tcBorders>
              <w:top w:val="single" w:color="000000" w:sz="4" w:space="0"/>
              <w:left w:val="single" w:color="000000" w:sz="4" w:space="0"/>
              <w:bottom w:val="single" w:color="000000" w:sz="4" w:space="0"/>
              <w:right w:val="single" w:color="000000" w:sz="4" w:space="0"/>
            </w:tcBorders>
            <w:vAlign w:val="center"/>
          </w:tcPr>
          <w:p w14:paraId="5268BA45">
            <w:pPr>
              <w:jc w:val="center"/>
              <w:rPr>
                <w:rFonts w:ascii="微软雅黑" w:hAnsi="微软雅黑" w:eastAsia="微软雅黑" w:cs="微软雅黑"/>
                <w:i/>
                <w:iCs/>
                <w:color w:val="000000"/>
                <w:sz w:val="16"/>
                <w:szCs w:val="16"/>
              </w:rPr>
            </w:pPr>
          </w:p>
        </w:tc>
      </w:tr>
      <w:tr w14:paraId="00F922AF">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122FB2">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030FA0A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0AB9609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经济效益指标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925576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完成投资额</w:t>
            </w:r>
          </w:p>
        </w:tc>
        <w:tc>
          <w:tcPr>
            <w:tcW w:w="0" w:type="auto"/>
            <w:tcBorders>
              <w:top w:val="single" w:color="000000" w:sz="4" w:space="0"/>
              <w:left w:val="single" w:color="000000" w:sz="4" w:space="0"/>
              <w:bottom w:val="single" w:color="000000" w:sz="4" w:space="0"/>
              <w:right w:val="single" w:color="000000" w:sz="4" w:space="0"/>
            </w:tcBorders>
            <w:vAlign w:val="center"/>
          </w:tcPr>
          <w:p w14:paraId="7425852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26AE08A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531D8A7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亿元</w:t>
            </w:r>
          </w:p>
        </w:tc>
        <w:tc>
          <w:tcPr>
            <w:tcW w:w="0" w:type="auto"/>
            <w:tcBorders>
              <w:top w:val="single" w:color="000000" w:sz="4" w:space="0"/>
              <w:left w:val="single" w:color="000000" w:sz="4" w:space="0"/>
              <w:bottom w:val="single" w:color="000000" w:sz="4" w:space="0"/>
              <w:right w:val="single" w:color="000000" w:sz="4" w:space="0"/>
            </w:tcBorders>
            <w:vAlign w:val="center"/>
          </w:tcPr>
          <w:p w14:paraId="4BC1DB6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7E3EDD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764FE1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0" w:type="auto"/>
            <w:tcBorders>
              <w:top w:val="single" w:color="000000" w:sz="4" w:space="0"/>
              <w:left w:val="single" w:color="000000" w:sz="4" w:space="0"/>
              <w:bottom w:val="single" w:color="000000" w:sz="4" w:space="0"/>
              <w:right w:val="single" w:color="000000" w:sz="4" w:space="0"/>
            </w:tcBorders>
            <w:vAlign w:val="center"/>
          </w:tcPr>
          <w:p w14:paraId="4493A70F">
            <w:pPr>
              <w:jc w:val="center"/>
              <w:rPr>
                <w:rFonts w:ascii="微软雅黑" w:hAnsi="微软雅黑" w:eastAsia="微软雅黑" w:cs="微软雅黑"/>
                <w:i/>
                <w:iCs/>
                <w:color w:val="000000"/>
                <w:sz w:val="16"/>
                <w:szCs w:val="16"/>
              </w:rPr>
            </w:pPr>
          </w:p>
        </w:tc>
      </w:tr>
      <w:tr w14:paraId="0366B746">
        <w:tblPrEx>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5D703E">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49635BC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D21615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7FA3E44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服务对象满意率</w:t>
            </w:r>
          </w:p>
        </w:tc>
        <w:tc>
          <w:tcPr>
            <w:tcW w:w="0" w:type="auto"/>
            <w:tcBorders>
              <w:top w:val="single" w:color="000000" w:sz="4" w:space="0"/>
              <w:left w:val="single" w:color="000000" w:sz="4" w:space="0"/>
              <w:bottom w:val="single" w:color="000000" w:sz="4" w:space="0"/>
              <w:right w:val="single" w:color="000000" w:sz="4" w:space="0"/>
            </w:tcBorders>
            <w:vAlign w:val="center"/>
          </w:tcPr>
          <w:p w14:paraId="64CB630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797CBC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98</w:t>
            </w:r>
          </w:p>
        </w:tc>
        <w:tc>
          <w:tcPr>
            <w:tcW w:w="0" w:type="auto"/>
            <w:tcBorders>
              <w:top w:val="single" w:color="000000" w:sz="4" w:space="0"/>
              <w:left w:val="single" w:color="000000" w:sz="4" w:space="0"/>
              <w:bottom w:val="single" w:color="000000" w:sz="4" w:space="0"/>
              <w:right w:val="single" w:color="000000" w:sz="4" w:space="0"/>
            </w:tcBorders>
            <w:vAlign w:val="center"/>
          </w:tcPr>
          <w:p w14:paraId="0C87A8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64EECB2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98</w:t>
            </w:r>
          </w:p>
        </w:tc>
        <w:tc>
          <w:tcPr>
            <w:tcW w:w="0" w:type="auto"/>
            <w:tcBorders>
              <w:top w:val="single" w:color="000000" w:sz="4" w:space="0"/>
              <w:left w:val="single" w:color="000000" w:sz="4" w:space="0"/>
              <w:bottom w:val="single" w:color="000000" w:sz="4" w:space="0"/>
              <w:right w:val="single" w:color="000000" w:sz="4" w:space="0"/>
            </w:tcBorders>
            <w:vAlign w:val="center"/>
          </w:tcPr>
          <w:p w14:paraId="66C488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562D655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3F5223D4">
            <w:pPr>
              <w:jc w:val="center"/>
              <w:rPr>
                <w:rFonts w:ascii="微软雅黑" w:hAnsi="微软雅黑" w:eastAsia="微软雅黑" w:cs="微软雅黑"/>
                <w:i/>
                <w:iCs/>
                <w:color w:val="000000"/>
                <w:sz w:val="16"/>
                <w:szCs w:val="16"/>
              </w:rPr>
            </w:pPr>
          </w:p>
        </w:tc>
      </w:tr>
      <w:tr w14:paraId="2C19F8D1">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D214B15">
            <w:pPr>
              <w:jc w:val="center"/>
              <w:rPr>
                <w:rFonts w:hint="eastAsia"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630BA7A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14:paraId="0FF8BBC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经济成本指标</w:t>
            </w:r>
          </w:p>
        </w:tc>
        <w:tc>
          <w:tcPr>
            <w:tcW w:w="0" w:type="auto"/>
            <w:tcBorders>
              <w:top w:val="single" w:color="000000" w:sz="4" w:space="0"/>
              <w:left w:val="single" w:color="000000" w:sz="4" w:space="0"/>
              <w:bottom w:val="single" w:color="000000" w:sz="4" w:space="0"/>
              <w:right w:val="single" w:color="000000" w:sz="4" w:space="0"/>
            </w:tcBorders>
            <w:vAlign w:val="center"/>
          </w:tcPr>
          <w:p w14:paraId="5B8389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差旅费用</w:t>
            </w:r>
          </w:p>
        </w:tc>
        <w:tc>
          <w:tcPr>
            <w:tcW w:w="0" w:type="auto"/>
            <w:tcBorders>
              <w:top w:val="single" w:color="000000" w:sz="4" w:space="0"/>
              <w:left w:val="single" w:color="000000" w:sz="4" w:space="0"/>
              <w:bottom w:val="single" w:color="000000" w:sz="4" w:space="0"/>
              <w:right w:val="single" w:color="000000" w:sz="4" w:space="0"/>
            </w:tcBorders>
            <w:vAlign w:val="center"/>
          </w:tcPr>
          <w:p w14:paraId="164B15D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19BF63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1F7D28D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2E86DB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71914B6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49B165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7888742A">
            <w:pPr>
              <w:jc w:val="center"/>
              <w:rPr>
                <w:rFonts w:ascii="微软雅黑" w:hAnsi="微软雅黑" w:eastAsia="微软雅黑" w:cs="微软雅黑"/>
                <w:i/>
                <w:iCs/>
                <w:color w:val="000000"/>
                <w:sz w:val="16"/>
                <w:szCs w:val="16"/>
              </w:rPr>
            </w:pPr>
          </w:p>
        </w:tc>
      </w:tr>
      <w:tr w14:paraId="20223BB9">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AE76FB">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D4AEDC">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120FE0">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6F53B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办公费用</w:t>
            </w:r>
          </w:p>
        </w:tc>
        <w:tc>
          <w:tcPr>
            <w:tcW w:w="0" w:type="auto"/>
            <w:tcBorders>
              <w:top w:val="single" w:color="000000" w:sz="4" w:space="0"/>
              <w:left w:val="single" w:color="000000" w:sz="4" w:space="0"/>
              <w:bottom w:val="single" w:color="000000" w:sz="4" w:space="0"/>
              <w:right w:val="single" w:color="000000" w:sz="4" w:space="0"/>
            </w:tcBorders>
            <w:vAlign w:val="center"/>
          </w:tcPr>
          <w:p w14:paraId="344E50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07B4C4B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4BD45F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1E91E7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5E6EB88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6226DC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0" w:type="auto"/>
            <w:tcBorders>
              <w:top w:val="single" w:color="000000" w:sz="4" w:space="0"/>
              <w:left w:val="single" w:color="000000" w:sz="4" w:space="0"/>
              <w:bottom w:val="single" w:color="000000" w:sz="4" w:space="0"/>
              <w:right w:val="single" w:color="000000" w:sz="4" w:space="0"/>
            </w:tcBorders>
            <w:vAlign w:val="center"/>
          </w:tcPr>
          <w:p w14:paraId="6B11BA2F">
            <w:pPr>
              <w:jc w:val="center"/>
              <w:rPr>
                <w:rFonts w:ascii="微软雅黑" w:hAnsi="微软雅黑" w:eastAsia="微软雅黑" w:cs="微软雅黑"/>
                <w:i/>
                <w:iCs/>
                <w:color w:val="000000"/>
                <w:sz w:val="16"/>
                <w:szCs w:val="16"/>
              </w:rPr>
            </w:pPr>
          </w:p>
        </w:tc>
      </w:tr>
      <w:tr w14:paraId="04FB1560">
        <w:tblPrEx>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634C89">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AD8956">
            <w:pPr>
              <w:jc w:val="center"/>
              <w:rPr>
                <w:rFonts w:hint="eastAsia"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F1D7453">
            <w:pPr>
              <w:jc w:val="center"/>
              <w:rPr>
                <w:rFonts w:hint="eastAsia"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vAlign w:val="center"/>
          </w:tcPr>
          <w:p w14:paraId="22A7C86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开展活动及接待企业费用</w:t>
            </w:r>
          </w:p>
        </w:tc>
        <w:tc>
          <w:tcPr>
            <w:tcW w:w="0" w:type="auto"/>
            <w:tcBorders>
              <w:top w:val="single" w:color="000000" w:sz="4" w:space="0"/>
              <w:left w:val="single" w:color="000000" w:sz="4" w:space="0"/>
              <w:bottom w:val="single" w:color="000000" w:sz="4" w:space="0"/>
              <w:right w:val="single" w:color="000000" w:sz="4" w:space="0"/>
            </w:tcBorders>
            <w:vAlign w:val="center"/>
          </w:tcPr>
          <w:p w14:paraId="4D9A6D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0" w:type="auto"/>
            <w:tcBorders>
              <w:top w:val="single" w:color="000000" w:sz="4" w:space="0"/>
              <w:left w:val="single" w:color="000000" w:sz="4" w:space="0"/>
              <w:bottom w:val="single" w:color="000000" w:sz="4" w:space="0"/>
              <w:right w:val="single" w:color="000000" w:sz="4" w:space="0"/>
            </w:tcBorders>
            <w:vAlign w:val="center"/>
          </w:tcPr>
          <w:p w14:paraId="3C7EA2A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3049F15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0" w:type="auto"/>
            <w:tcBorders>
              <w:top w:val="single" w:color="000000" w:sz="4" w:space="0"/>
              <w:left w:val="single" w:color="000000" w:sz="4" w:space="0"/>
              <w:bottom w:val="single" w:color="000000" w:sz="4" w:space="0"/>
              <w:right w:val="single" w:color="000000" w:sz="4" w:space="0"/>
            </w:tcBorders>
            <w:vAlign w:val="center"/>
          </w:tcPr>
          <w:p w14:paraId="05CEAC4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w:t>
            </w:r>
          </w:p>
        </w:tc>
        <w:tc>
          <w:tcPr>
            <w:tcW w:w="0" w:type="auto"/>
            <w:tcBorders>
              <w:top w:val="single" w:color="000000" w:sz="4" w:space="0"/>
              <w:left w:val="single" w:color="000000" w:sz="4" w:space="0"/>
              <w:bottom w:val="single" w:color="000000" w:sz="4" w:space="0"/>
              <w:right w:val="single" w:color="000000" w:sz="4" w:space="0"/>
            </w:tcBorders>
            <w:vAlign w:val="center"/>
          </w:tcPr>
          <w:p w14:paraId="214AEB6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50BFFB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49E588AF">
            <w:pPr>
              <w:jc w:val="center"/>
              <w:rPr>
                <w:rFonts w:ascii="微软雅黑" w:hAnsi="微软雅黑" w:eastAsia="微软雅黑" w:cs="微软雅黑"/>
                <w:i/>
                <w:iCs/>
                <w:color w:val="000000"/>
                <w:sz w:val="16"/>
                <w:szCs w:val="16"/>
              </w:rPr>
            </w:pPr>
          </w:p>
        </w:tc>
      </w:tr>
      <w:tr w14:paraId="3E8E698B">
        <w:tblPrEx>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vAlign w:val="center"/>
          </w:tcPr>
          <w:p w14:paraId="50CDB0D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0" w:type="auto"/>
            <w:tcBorders>
              <w:top w:val="single" w:color="000000" w:sz="4" w:space="0"/>
              <w:left w:val="single" w:color="000000" w:sz="4" w:space="0"/>
              <w:bottom w:val="single" w:color="000000" w:sz="4" w:space="0"/>
              <w:right w:val="single" w:color="000000" w:sz="4" w:space="0"/>
            </w:tcBorders>
            <w:vAlign w:val="center"/>
          </w:tcPr>
          <w:p w14:paraId="2A3D64F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651E3D9D">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0" w:type="auto"/>
            <w:tcBorders>
              <w:top w:val="single" w:color="000000" w:sz="4" w:space="0"/>
              <w:left w:val="single" w:color="000000" w:sz="4" w:space="0"/>
              <w:bottom w:val="single" w:color="000000" w:sz="4" w:space="0"/>
              <w:right w:val="single" w:color="000000" w:sz="4" w:space="0"/>
            </w:tcBorders>
            <w:vAlign w:val="center"/>
          </w:tcPr>
          <w:p w14:paraId="690B3978">
            <w:pPr>
              <w:rPr>
                <w:rFonts w:hint="eastAsia" w:ascii="宋体" w:hAnsi="宋体" w:cs="宋体"/>
                <w:color w:val="000000"/>
                <w:sz w:val="18"/>
                <w:szCs w:val="18"/>
              </w:rPr>
            </w:pPr>
          </w:p>
        </w:tc>
      </w:tr>
      <w:tr w14:paraId="123988DD">
        <w:tblPrEx>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5D35E02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5315FCFF">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总体上看，项目目标明确、资金到位率高、组织监管体系完善。园区2023运行经费项目资金较好地实现了绩效目标。自评得分100分。</w:t>
            </w:r>
          </w:p>
        </w:tc>
      </w:tr>
      <w:tr w14:paraId="357B4BF2">
        <w:tblPrEx>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0ECC544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1BB32039">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预算编制工作有待细化，绩效目标设定的科学性、合理性有待加强。</w:t>
            </w:r>
          </w:p>
        </w:tc>
      </w:tr>
      <w:tr w14:paraId="4EAEC175">
        <w:tblPrEx>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vAlign w:val="center"/>
          </w:tcPr>
          <w:p w14:paraId="286F8E3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vAlign w:val="center"/>
          </w:tcPr>
          <w:p w14:paraId="48FDB863">
            <w:pPr>
              <w:widowControl/>
              <w:jc w:val="center"/>
              <w:textAlignment w:val="center"/>
              <w:rPr>
                <w:rFonts w:ascii="宋体" w:hAnsi="宋体" w:cs="宋体"/>
                <w:color w:val="000000"/>
                <w:kern w:val="0"/>
                <w:sz w:val="18"/>
                <w:szCs w:val="18"/>
                <w:lang w:bidi="ar"/>
              </w:rPr>
            </w:pPr>
            <w:r>
              <w:rPr>
                <w:rFonts w:ascii="宋体" w:hAnsi="宋体" w:cs="宋体"/>
                <w:color w:val="000000"/>
                <w:kern w:val="0"/>
                <w:sz w:val="18"/>
                <w:szCs w:val="18"/>
                <w:lang w:bidi="ar"/>
              </w:rPr>
              <w:t>进一步完善项目绩效目标及绩效指标。项目绩效指标需结合项目明细具体设置，尽可能全面、</w:t>
            </w:r>
            <w:r>
              <w:rPr>
                <w:rFonts w:hint="eastAsia" w:ascii="宋体" w:hAnsi="宋体" w:cs="宋体"/>
                <w:color w:val="000000"/>
                <w:kern w:val="0"/>
                <w:sz w:val="18"/>
                <w:szCs w:val="18"/>
                <w:lang w:eastAsia="zh-CN" w:bidi="ar"/>
              </w:rPr>
              <w:t>客观地反映</w:t>
            </w:r>
            <w:r>
              <w:rPr>
                <w:rFonts w:ascii="宋体" w:hAnsi="宋体" w:cs="宋体"/>
                <w:color w:val="000000"/>
                <w:kern w:val="0"/>
                <w:sz w:val="18"/>
                <w:szCs w:val="18"/>
                <w:lang w:bidi="ar"/>
              </w:rPr>
              <w:t>项目产出及效果。</w:t>
            </w:r>
          </w:p>
        </w:tc>
      </w:tr>
      <w:tr w14:paraId="4CDB7CCA">
        <w:tblPrEx>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B5EC4DE">
            <w:pPr>
              <w:widowControl/>
              <w:jc w:val="left"/>
              <w:textAlignment w:val="center"/>
              <w:rPr>
                <w:rFonts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项目负责人：何光国</w:t>
            </w:r>
          </w:p>
        </w:tc>
        <w:tc>
          <w:tcPr>
            <w:tcW w:w="0" w:type="auto"/>
            <w:gridSpan w:val="6"/>
            <w:tcBorders>
              <w:top w:val="single" w:color="000000" w:sz="4" w:space="0"/>
              <w:left w:val="single" w:color="000000" w:sz="4" w:space="0"/>
              <w:bottom w:val="single" w:color="000000" w:sz="4" w:space="0"/>
              <w:right w:val="single" w:color="000000" w:sz="4" w:space="0"/>
            </w:tcBorders>
            <w:vAlign w:val="center"/>
          </w:tcPr>
          <w:p w14:paraId="0483CD69">
            <w:pPr>
              <w:widowControl/>
              <w:jc w:val="left"/>
              <w:textAlignment w:val="center"/>
              <w:rPr>
                <w:rFonts w:ascii="宋体" w:hAnsi="宋体" w:eastAsia="宋体" w:cs="宋体"/>
                <w:color w:val="000000"/>
                <w:kern w:val="0"/>
                <w:sz w:val="18"/>
                <w:szCs w:val="18"/>
                <w:lang w:bidi="ar"/>
              </w:rPr>
            </w:pPr>
            <w:r>
              <w:rPr>
                <w:rFonts w:hint="default" w:ascii="宋体" w:hAnsi="宋体" w:eastAsia="宋体" w:cs="宋体"/>
                <w:color w:val="000000"/>
                <w:kern w:val="0"/>
                <w:sz w:val="18"/>
                <w:szCs w:val="18"/>
                <w:lang w:bidi="ar"/>
              </w:rPr>
              <w:t>财务负责人：陶银</w:t>
            </w:r>
          </w:p>
        </w:tc>
      </w:tr>
    </w:tbl>
    <w:p w14:paraId="4B6EBB93">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460D1C83">
      <w:pPr>
        <w:pStyle w:val="10"/>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2E7E40E7">
      <w:pPr>
        <w:pStyle w:val="37"/>
        <w:spacing w:line="578" w:lineRule="exact"/>
        <w:jc w:val="center"/>
        <w:rPr>
          <w:rFonts w:ascii="Times New Roman" w:hAnsi="Times New Roman" w:eastAsia="方正小标宋简体" w:cs="方正小标宋简体"/>
          <w:color w:val="auto"/>
          <w:kern w:val="2"/>
          <w:sz w:val="44"/>
          <w:szCs w:val="44"/>
          <w:lang w:val="en-US"/>
        </w:rPr>
      </w:pPr>
    </w:p>
    <w:p w14:paraId="50B552AC">
      <w:pPr>
        <w:pStyle w:val="37"/>
        <w:spacing w:line="578" w:lineRule="exact"/>
        <w:jc w:val="center"/>
        <w:rPr>
          <w:rFonts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7D27A853">
      <w:pPr>
        <w:pStyle w:val="37"/>
        <w:spacing w:line="578" w:lineRule="exact"/>
        <w:ind w:firstLine="640"/>
        <w:jc w:val="center"/>
        <w:rPr>
          <w:rFonts w:ascii="Times New Roman" w:hAnsi="Times New Roman"/>
          <w:color w:val="auto"/>
          <w:kern w:val="2"/>
          <w:sz w:val="32"/>
          <w:szCs w:val="32"/>
        </w:rPr>
      </w:pPr>
      <w:r>
        <w:rPr>
          <w:rFonts w:hint="eastAsia" w:ascii="华文楷体" w:hAnsi="华文楷体" w:eastAsia="华文楷体" w:cs="华文楷体"/>
          <w:color w:val="auto"/>
          <w:kern w:val="2"/>
          <w:sz w:val="32"/>
          <w:szCs w:val="32"/>
        </w:rPr>
        <w:t>（</w:t>
      </w:r>
      <w:r>
        <w:rPr>
          <w:rFonts w:hint="eastAsia" w:ascii="华文楷体" w:hAnsi="华文楷体" w:eastAsia="华文楷体" w:cs="华文楷体"/>
          <w:color w:val="auto"/>
          <w:kern w:val="2"/>
          <w:sz w:val="32"/>
          <w:szCs w:val="32"/>
          <w:lang w:val="en-US"/>
        </w:rPr>
        <w:t>2023年市级财政衔接推进乡村振兴补助资金</w:t>
      </w:r>
      <w:r>
        <w:rPr>
          <w:rFonts w:hint="eastAsia" w:ascii="华文楷体" w:hAnsi="华文楷体" w:eastAsia="华文楷体" w:cs="华文楷体"/>
          <w:color w:val="auto"/>
          <w:kern w:val="2"/>
          <w:sz w:val="32"/>
          <w:szCs w:val="32"/>
        </w:rPr>
        <w:t>）</w:t>
      </w:r>
    </w:p>
    <w:p w14:paraId="18965F09">
      <w:pPr>
        <w:adjustRightInd w:val="0"/>
        <w:snapToGrid w:val="0"/>
        <w:spacing w:line="578" w:lineRule="exact"/>
        <w:ind w:firstLine="640" w:firstLineChars="200"/>
        <w:rPr>
          <w:rFonts w:eastAsia="黑体"/>
          <w:sz w:val="32"/>
          <w:szCs w:val="32"/>
        </w:rPr>
      </w:pPr>
    </w:p>
    <w:p w14:paraId="0E8A6248">
      <w:pPr>
        <w:adjustRightInd w:val="0"/>
        <w:snapToGrid w:val="0"/>
        <w:spacing w:line="578"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48A1B08A">
      <w:pPr>
        <w:widowControl/>
        <w:adjustRightInd w:val="0"/>
        <w:snapToGrid w:val="0"/>
        <w:spacing w:line="578" w:lineRule="exact"/>
        <w:ind w:firstLine="643" w:firstLineChars="200"/>
        <w:contextualSpacing/>
        <w:jc w:val="left"/>
        <w:rPr>
          <w:rFonts w:eastAsia="仿宋_GB2312" w:cs="仿宋_GB2312"/>
          <w:kern w:val="0"/>
          <w:sz w:val="32"/>
          <w:szCs w:val="32"/>
          <w:shd w:val="clear" w:color="auto" w:fill="FFFFFF"/>
          <w:lang w:val="zh-CN"/>
        </w:rPr>
      </w:pPr>
      <w:r>
        <w:rPr>
          <w:rFonts w:hint="eastAsia" w:eastAsia="楷体_GB2312"/>
          <w:b/>
          <w:sz w:val="32"/>
          <w:szCs w:val="32"/>
          <w:lang w:val="zh-CN"/>
        </w:rPr>
        <w:t>（一）设立背景及基本情况。</w:t>
      </w:r>
    </w:p>
    <w:p w14:paraId="188A31C0">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设立背景：随着乡村振兴战略深入推进，为破解 “交通制约产业、水利威胁民生” 的困境，遂潼天然气综合利用产业园田园综合体项目（以下简称 “田园综合体项目”）重点推进乡村产业道路硬化与驳岸治理，旨在通过基础设施升级，打通产业发展 “动脉”、筑牢民生保障 “防线”。</w:t>
      </w:r>
    </w:p>
    <w:p w14:paraId="4FBB4CBA">
      <w:pPr>
        <w:widowControl/>
        <w:adjustRightInd w:val="0"/>
        <w:snapToGrid w:val="0"/>
        <w:spacing w:line="578" w:lineRule="exact"/>
        <w:ind w:firstLine="640" w:firstLineChars="200"/>
        <w:contextualSpacing/>
        <w:jc w:val="left"/>
        <w:rPr>
          <w:rFonts w:eastAsia="仿宋_GB2312" w:cs="仿宋_GB2312"/>
          <w:kern w:val="0"/>
          <w:sz w:val="32"/>
          <w:szCs w:val="32"/>
        </w:rPr>
      </w:pPr>
      <w:r>
        <w:rPr>
          <w:rFonts w:hint="eastAsia" w:ascii="Times New Roman" w:hAnsi="Times New Roman" w:eastAsia="仿宋_GB2312" w:cs="仿宋_GB2312"/>
          <w:sz w:val="32"/>
          <w:szCs w:val="32"/>
          <w:lang w:val="en-US" w:eastAsia="zh-CN"/>
        </w:rPr>
        <w:t>立项及资金申报依据：项目严格依据2023年市级财政衔接推进乡村振兴补助资金（遂财农〔2023〕28 号）立项，资金申报遵循 “园区申报、区级审核” 流程，经安居区农业农村局、财政局联合核查，符合市级财政专项补助资金申报条件（属于 “乡村基础设施提升” 重点支持领域）。​</w:t>
      </w:r>
    </w:p>
    <w:p w14:paraId="641242BD">
      <w:pPr>
        <w:widowControl/>
        <w:adjustRightInd w:val="0"/>
        <w:snapToGrid w:val="0"/>
        <w:spacing w:line="578" w:lineRule="exact"/>
        <w:ind w:firstLine="643" w:firstLineChars="200"/>
        <w:contextualSpacing/>
        <w:jc w:val="left"/>
        <w:rPr>
          <w:rFonts w:hint="eastAsia" w:ascii="Times New Roman" w:hAnsi="Times New Roman" w:eastAsia="仿宋_GB2312" w:cs="仿宋_GB2312"/>
          <w:sz w:val="32"/>
          <w:szCs w:val="32"/>
          <w:lang w:val="en-US" w:eastAsia="zh-CN"/>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r>
        <w:rPr>
          <w:rFonts w:hint="eastAsia" w:ascii="Times New Roman" w:hAnsi="Times New Roman" w:eastAsia="仿宋_GB2312" w:cs="仿宋_GB2312"/>
          <w:sz w:val="32"/>
          <w:szCs w:val="32"/>
          <w:lang w:val="en-US" w:eastAsia="zh-CN"/>
        </w:rPr>
        <w:t>资金管理办法制定情况：遂潼天然气综合利用产业园结合上级政策，制定《遂潼园区田园综合体项目资金管理细则》，明确资金使用范围（仅限道路建材采购、施工劳务、驳岸石材及设备租赁等直接工程支出）、拨付流程（按 “施工进度付款”，预付款 30%、进度款 40%、验收后付尾款 30%）、监管要求（每月公示资金使用明细，接受群众监督），确保资金专款专用。​</w:t>
      </w:r>
    </w:p>
    <w:p w14:paraId="57D7DCB0">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实施目的：短期目标：解决产业道路 “出行难、运输难” 问题，实现降低农产品运输成本，提升农机作业覆盖率；修复破损驳岸，恢复河道灌溉功能，消除汛期防洪隐患。长期目标：以基础设施升级为支撑，带动特色产业（如优质水稻、果蔬种植）规模化发展，吸引农产品加工企业入驻，促进农民增收，同时打造 “河畅、岸绿、路通” 的田园生态环境，助力乡村旅游发展。支持方向：资金重点向 “两个关键” 倾斜：一是产业道路中的“瓶颈路段”，优先保障施工；二是驳岸治理中的 “高风险段落”。​</w:t>
      </w:r>
    </w:p>
    <w:p w14:paraId="055D93B9">
      <w:pPr>
        <w:widowControl/>
        <w:adjustRightInd w:val="0"/>
        <w:snapToGrid w:val="0"/>
        <w:spacing w:line="578" w:lineRule="exact"/>
        <w:ind w:firstLine="643" w:firstLineChars="200"/>
        <w:contextualSpacing/>
        <w:jc w:val="left"/>
        <w:rPr>
          <w:rFonts w:hint="eastAsia" w:ascii="Times New Roman" w:hAnsi="Times New Roman" w:eastAsia="仿宋_GB2312" w:cs="仿宋_GB2312"/>
          <w:sz w:val="32"/>
          <w:szCs w:val="32"/>
          <w:lang w:val="en-US" w:eastAsia="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r>
        <w:rPr>
          <w:rFonts w:hint="eastAsia" w:eastAsia="仿宋_GB2312" w:cs="仿宋_GB2312"/>
          <w:kern w:val="0"/>
          <w:sz w:val="32"/>
          <w:szCs w:val="32"/>
          <w:lang w:val="zh-CN"/>
        </w:rPr>
        <w:t>预</w:t>
      </w:r>
      <w:r>
        <w:rPr>
          <w:rFonts w:hint="eastAsia" w:ascii="Times New Roman" w:hAnsi="Times New Roman" w:eastAsia="仿宋_GB2312" w:cs="仿宋_GB2312"/>
          <w:sz w:val="32"/>
          <w:szCs w:val="32"/>
          <w:lang w:val="zh-CN" w:eastAsia="zh-CN"/>
        </w:rPr>
        <w:t>算安排情况：项目总预</w:t>
      </w:r>
      <w:r>
        <w:rPr>
          <w:rFonts w:hint="eastAsia" w:ascii="Times New Roman" w:hAnsi="Times New Roman" w:eastAsia="仿宋_GB2312" w:cs="仿宋_GB2312"/>
          <w:sz w:val="32"/>
          <w:szCs w:val="32"/>
          <w:lang w:val="en-US" w:eastAsia="zh-CN"/>
        </w:rPr>
        <w:t>算800万元，预算明细中，产业道路工程 210万元，占总预算26.25%，驳岸治理工程 230万元，占总预算 28.75%，产业林工程360万元占总预算45%。</w:t>
      </w:r>
    </w:p>
    <w:p w14:paraId="4D517D48">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资金分配原则及考虑因素：分配遵循 “需求导向、效益优先、风险可控” 原则，资金分配均通过园区财政专户直达施工单位，无截留、挪用情况，分配明细每月在公开栏公示，公示</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lang w:val="zh-CN" w:eastAsia="zh-CN"/>
        </w:rPr>
        <w:t>天，无群众异议。​</w:t>
      </w:r>
    </w:p>
    <w:p w14:paraId="0F3A0833">
      <w:pPr>
        <w:widowControl/>
        <w:adjustRightInd w:val="0"/>
        <w:snapToGrid w:val="0"/>
        <w:spacing w:line="578" w:lineRule="exact"/>
        <w:ind w:firstLine="643" w:firstLineChars="200"/>
        <w:contextualSpacing/>
        <w:jc w:val="left"/>
        <w:rPr>
          <w:rFonts w:hint="eastAsia" w:ascii="Times New Roman" w:hAnsi="Times New Roman" w:eastAsia="仿宋_GB2312" w:cs="仿宋_GB2312"/>
          <w:sz w:val="32"/>
          <w:szCs w:val="32"/>
          <w:lang w:val="en-US" w:eastAsia="zh-CN"/>
        </w:rPr>
      </w:pPr>
      <w:r>
        <w:rPr>
          <w:rFonts w:hint="eastAsia" w:eastAsia="楷体_GB2312"/>
          <w:b/>
          <w:sz w:val="32"/>
          <w:szCs w:val="32"/>
          <w:lang w:val="zh-CN"/>
        </w:rPr>
        <w:t>（四）项目绩效目标设置。</w:t>
      </w:r>
      <w:r>
        <w:rPr>
          <w:rFonts w:hint="eastAsia" w:ascii="Times New Roman" w:hAnsi="Times New Roman" w:eastAsia="仿宋_GB2312" w:cs="仿宋_GB2312"/>
          <w:sz w:val="32"/>
          <w:szCs w:val="32"/>
          <w:lang w:val="zh-CN" w:eastAsia="zh-CN"/>
        </w:rPr>
        <w:t>整体绩效目标：</w:t>
      </w:r>
      <w:r>
        <w:rPr>
          <w:rFonts w:hint="eastAsia" w:ascii="Times New Roman" w:hAnsi="Times New Roman" w:eastAsia="仿宋_GB2312" w:cs="仿宋_GB2312"/>
          <w:sz w:val="32"/>
          <w:szCs w:val="32"/>
          <w:lang w:val="en-US" w:eastAsia="zh-CN"/>
        </w:rPr>
        <w:t>202</w:t>
      </w:r>
      <w:r>
        <w:rPr>
          <w:rFonts w:hint="eastAsia" w:ascii="Times New Roman" w:hAnsi="Times New Roman" w:eastAsia="仿宋_GB2312" w:cs="仿宋_GB2312"/>
          <w:sz w:val="32"/>
          <w:szCs w:val="32"/>
          <w:lang w:val="zh-CN" w:eastAsia="zh-CN"/>
        </w:rPr>
        <w:t>4</w:t>
      </w:r>
      <w:r>
        <w:rPr>
          <w:rFonts w:hint="eastAsia" w:ascii="Times New Roman" w:hAnsi="Times New Roman" w:eastAsia="仿宋_GB2312" w:cs="仿宋_GB2312"/>
          <w:sz w:val="32"/>
          <w:szCs w:val="32"/>
          <w:lang w:val="en-US" w:eastAsia="zh-CN"/>
        </w:rPr>
        <w:t>年底前完成产业道路硬化、驳岸治理及产业林建设，实现 “三个提升、一个消除”—— 提升农产品运输效率，提升农田灌溉保障率、提升群众满意度，消除老木垭村汛期防洪隐患。</w:t>
      </w:r>
    </w:p>
    <w:p w14:paraId="6E126B8C">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区域绩效目标：产业道路覆盖区域：惠及</w:t>
      </w:r>
      <w:r>
        <w:rPr>
          <w:rFonts w:hint="eastAsia" w:ascii="Times New Roman" w:hAnsi="Times New Roman" w:eastAsia="仿宋_GB2312" w:cs="仿宋_GB2312"/>
          <w:sz w:val="32"/>
          <w:szCs w:val="32"/>
          <w:lang w:val="zh-CN" w:eastAsia="zh-CN"/>
        </w:rPr>
        <w:t>1</w:t>
      </w:r>
      <w:r>
        <w:rPr>
          <w:rFonts w:hint="eastAsia" w:ascii="Times New Roman" w:hAnsi="Times New Roman" w:eastAsia="仿宋_GB2312" w:cs="仿宋_GB2312"/>
          <w:sz w:val="32"/>
          <w:szCs w:val="32"/>
          <w:lang w:val="en-US" w:eastAsia="zh-CN"/>
        </w:rPr>
        <w:t xml:space="preserve">个行政村、860 户农户，实现 “户均运输成本年减少 </w:t>
      </w:r>
      <w:r>
        <w:rPr>
          <w:rFonts w:hint="eastAsia" w:ascii="Times New Roman" w:hAnsi="Times New Roman" w:eastAsia="仿宋_GB2312" w:cs="仿宋_GB2312"/>
          <w:sz w:val="32"/>
          <w:szCs w:val="32"/>
          <w:lang w:val="zh-CN" w:eastAsia="zh-CN"/>
        </w:rPr>
        <w:t>2</w:t>
      </w:r>
      <w:r>
        <w:rPr>
          <w:rFonts w:hint="eastAsia" w:ascii="Times New Roman" w:hAnsi="Times New Roman" w:eastAsia="仿宋_GB2312" w:cs="仿宋_GB2312"/>
          <w:sz w:val="32"/>
          <w:szCs w:val="32"/>
          <w:lang w:val="en-US" w:eastAsia="zh-CN"/>
        </w:rPr>
        <w:t>00 元以上”；驳岸治理覆盖区域：保障沿岸</w:t>
      </w:r>
      <w:r>
        <w:rPr>
          <w:rFonts w:hint="eastAsia" w:ascii="Times New Roman" w:hAnsi="Times New Roman" w:eastAsia="仿宋_GB2312" w:cs="仿宋_GB2312"/>
          <w:sz w:val="32"/>
          <w:szCs w:val="32"/>
          <w:lang w:val="zh-CN" w:eastAsia="zh-CN"/>
        </w:rPr>
        <w:t>1</w:t>
      </w:r>
      <w:r>
        <w:rPr>
          <w:rFonts w:hint="eastAsia" w:ascii="Times New Roman" w:hAnsi="Times New Roman" w:eastAsia="仿宋_GB2312" w:cs="仿宋_GB2312"/>
          <w:sz w:val="32"/>
          <w:szCs w:val="32"/>
          <w:lang w:val="en-US" w:eastAsia="zh-CN"/>
        </w:rPr>
        <w:t>个行政村、</w:t>
      </w:r>
      <w:r>
        <w:rPr>
          <w:rFonts w:hint="eastAsia" w:ascii="Times New Roman" w:hAnsi="Times New Roman" w:eastAsia="仿宋_GB2312" w:cs="仿宋_GB2312"/>
          <w:sz w:val="32"/>
          <w:szCs w:val="32"/>
          <w:lang w:val="zh-CN" w:eastAsia="zh-CN"/>
        </w:rPr>
        <w:t>2000</w:t>
      </w:r>
      <w:r>
        <w:rPr>
          <w:rFonts w:hint="eastAsia" w:ascii="Times New Roman" w:hAnsi="Times New Roman" w:eastAsia="仿宋_GB2312" w:cs="仿宋_GB2312"/>
          <w:sz w:val="32"/>
          <w:szCs w:val="32"/>
          <w:lang w:val="en-US" w:eastAsia="zh-CN"/>
        </w:rPr>
        <w:t>亩农田灌溉，降低了汛期农田受灾风险。自评工作开展情况：202</w:t>
      </w:r>
      <w:r>
        <w:rPr>
          <w:rFonts w:hint="eastAsia" w:ascii="Times New Roman" w:hAnsi="Times New Roman" w:eastAsia="仿宋_GB2312" w:cs="仿宋_GB2312"/>
          <w:sz w:val="32"/>
          <w:szCs w:val="32"/>
          <w:lang w:val="zh-CN" w:eastAsia="zh-CN"/>
        </w:rPr>
        <w:t>4</w:t>
      </w:r>
      <w:r>
        <w:rPr>
          <w:rFonts w:hint="eastAsia" w:ascii="Times New Roman" w:hAnsi="Times New Roman" w:eastAsia="仿宋_GB2312" w:cs="仿宋_GB2312"/>
          <w:sz w:val="32"/>
          <w:szCs w:val="32"/>
          <w:lang w:val="en-US" w:eastAsia="zh-CN"/>
        </w:rPr>
        <w:t>年 12</w:t>
      </w:r>
      <w:r>
        <w:rPr>
          <w:rFonts w:hint="eastAsia" w:ascii="Times New Roman" w:hAnsi="Times New Roman" w:eastAsia="仿宋_GB2312" w:cs="仿宋_GB2312"/>
          <w:sz w:val="32"/>
          <w:szCs w:val="32"/>
          <w:lang w:val="zh-CN" w:eastAsia="zh-CN"/>
        </w:rPr>
        <w:t>月，园区项目专班组织开展自评，通过查阅施工资料（如建材检测报告、进度台账）、现场核查（道路厚度检测、驳岸稳定性检查）、群众访谈，形成《遂潼园区田园综合体项目绩效自评报告》，自评结论为 “合格”。​​</w:t>
      </w:r>
    </w:p>
    <w:p w14:paraId="31644CD3">
      <w:pPr>
        <w:adjustRightInd w:val="0"/>
        <w:snapToGrid w:val="0"/>
        <w:spacing w:line="578" w:lineRule="exact"/>
        <w:ind w:firstLine="640" w:firstLineChars="200"/>
        <w:rPr>
          <w:rFonts w:eastAsia="黑体"/>
          <w:sz w:val="32"/>
          <w:szCs w:val="32"/>
        </w:rPr>
      </w:pPr>
      <w:r>
        <w:rPr>
          <w:rFonts w:hint="eastAsia" w:eastAsia="黑体"/>
          <w:sz w:val="32"/>
          <w:szCs w:val="32"/>
        </w:rPr>
        <w:t>二、评价实施</w:t>
      </w:r>
    </w:p>
    <w:p w14:paraId="16B212F8">
      <w:pPr>
        <w:widowControl/>
        <w:adjustRightInd w:val="0"/>
        <w:snapToGrid w:val="0"/>
        <w:spacing w:line="578" w:lineRule="exact"/>
        <w:ind w:firstLine="643" w:firstLineChars="200"/>
        <w:contextualSpacing/>
        <w:jc w:val="left"/>
        <w:rPr>
          <w:rFonts w:hint="eastAsia" w:ascii="Times New Roman" w:hAnsi="Times New Roman" w:eastAsia="仿宋_GB2312" w:cs="仿宋_GB2312"/>
          <w:sz w:val="32"/>
          <w:szCs w:val="32"/>
          <w:lang w:val="zh-CN" w:eastAsia="zh-CN"/>
        </w:rPr>
      </w:pPr>
      <w:r>
        <w:rPr>
          <w:rFonts w:hint="eastAsia" w:eastAsia="楷体_GB2312"/>
          <w:b/>
          <w:sz w:val="32"/>
          <w:szCs w:val="32"/>
          <w:lang w:val="zh-CN"/>
        </w:rPr>
        <w:t>（一）评价目的。</w:t>
      </w:r>
      <w:r>
        <w:rPr>
          <w:rFonts w:hint="eastAsia" w:eastAsia="仿宋_GB2312" w:cs="仿宋_GB2312"/>
          <w:kern w:val="0"/>
          <w:sz w:val="32"/>
          <w:szCs w:val="32"/>
          <w:lang w:val="zh-CN"/>
        </w:rPr>
        <w:t>通</w:t>
      </w:r>
      <w:r>
        <w:rPr>
          <w:rFonts w:hint="eastAsia" w:ascii="Times New Roman" w:hAnsi="Times New Roman" w:eastAsia="仿宋_GB2312" w:cs="仿宋_GB2312"/>
          <w:sz w:val="32"/>
          <w:szCs w:val="32"/>
          <w:lang w:val="zh-CN" w:eastAsia="zh-CN"/>
        </w:rPr>
        <w:t>过绩效评价，全面检验园区田园综合体项目</w:t>
      </w:r>
      <w:r>
        <w:rPr>
          <w:rFonts w:hint="eastAsia" w:ascii="Times New Roman" w:hAnsi="Times New Roman" w:eastAsia="仿宋_GB2312" w:cs="仿宋_GB2312"/>
          <w:sz w:val="32"/>
          <w:szCs w:val="32"/>
          <w:lang w:val="en-US" w:eastAsia="zh-CN"/>
        </w:rPr>
        <w:t>（产业道路 + 驳岸治理</w:t>
      </w:r>
      <w:r>
        <w:rPr>
          <w:rFonts w:hint="eastAsia" w:ascii="Times New Roman" w:hAnsi="Times New Roman" w:eastAsia="仿宋_GB2312" w:cs="仿宋_GB2312"/>
          <w:sz w:val="32"/>
          <w:szCs w:val="32"/>
          <w:lang w:val="zh-CN" w:eastAsia="zh-CN"/>
        </w:rPr>
        <w:t>+产业林）的实施成效，具体实现三大目标：​</w:t>
      </w:r>
    </w:p>
    <w:p w14:paraId="4A5849B9">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核实工程质量与进度，判断是否达到设计标准及预设目标（如道路硬度、驳岸防洪能力）；​</w:t>
      </w:r>
    </w:p>
    <w:p w14:paraId="448F13F1">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评估资金使用效率，是否存在预算超支、资金闲置或使用不合规问题；​</w:t>
      </w:r>
    </w:p>
    <w:p w14:paraId="6A70AD7F">
      <w:pPr>
        <w:widowControl/>
        <w:adjustRightInd w:val="0"/>
        <w:snapToGrid w:val="0"/>
        <w:spacing w:line="578" w:lineRule="exact"/>
        <w:ind w:firstLine="640" w:firstLineChars="200"/>
        <w:contextualSpacing/>
        <w:jc w:val="left"/>
        <w:rPr>
          <w:rFonts w:eastAsia="仿宋_GB2312" w:cs="仿宋_GB2312"/>
          <w:kern w:val="0"/>
          <w:sz w:val="32"/>
          <w:szCs w:val="32"/>
          <w:lang w:val="zh-CN"/>
        </w:rPr>
      </w:pPr>
      <w:r>
        <w:rPr>
          <w:rFonts w:hint="eastAsia" w:ascii="Times New Roman" w:hAnsi="Times New Roman" w:eastAsia="仿宋_GB2312" w:cs="仿宋_GB2312"/>
          <w:sz w:val="32"/>
          <w:szCs w:val="32"/>
          <w:lang w:val="zh-CN" w:eastAsia="zh-CN"/>
        </w:rPr>
        <w:t>分析项目对产业发展、民生改善的实际贡献，总结经验并提出改进建议，为后续乡镇基础设施项目提供参考。</w:t>
      </w:r>
      <w:r>
        <w:rPr>
          <w:rFonts w:hint="eastAsia" w:eastAsia="仿宋_GB2312" w:cs="仿宋_GB2312"/>
          <w:kern w:val="0"/>
          <w:sz w:val="32"/>
          <w:szCs w:val="32"/>
          <w:lang w:val="zh-CN"/>
        </w:rPr>
        <w:t>​</w:t>
      </w:r>
    </w:p>
    <w:p w14:paraId="70BF94F0">
      <w:pPr>
        <w:widowControl/>
        <w:adjustRightInd w:val="0"/>
        <w:snapToGrid w:val="0"/>
        <w:spacing w:line="578" w:lineRule="exact"/>
        <w:ind w:firstLine="643" w:firstLineChars="200"/>
        <w:contextualSpacing/>
        <w:jc w:val="left"/>
        <w:rPr>
          <w:rFonts w:hint="eastAsia" w:ascii="Times New Roman" w:hAnsi="Times New Roman" w:eastAsia="仿宋_GB2312" w:cs="仿宋_GB2312"/>
          <w:sz w:val="32"/>
          <w:szCs w:val="32"/>
          <w:lang w:val="zh-CN" w:eastAsia="zh-CN"/>
        </w:rPr>
      </w:pPr>
      <w:r>
        <w:rPr>
          <w:rFonts w:hint="eastAsia" w:eastAsia="楷体_GB2312"/>
          <w:b/>
          <w:sz w:val="32"/>
          <w:szCs w:val="32"/>
          <w:lang w:val="zh-CN"/>
        </w:rPr>
        <w:t>（二）预设问题及评价重点</w:t>
      </w:r>
      <w:r>
        <w:rPr>
          <w:rFonts w:hint="eastAsia" w:ascii="Times New Roman" w:hAnsi="Times New Roman" w:eastAsia="仿宋_GB2312" w:cs="仿宋_GB2312"/>
          <w:sz w:val="32"/>
          <w:szCs w:val="32"/>
          <w:lang w:val="zh-CN" w:eastAsia="zh-CN"/>
        </w:rPr>
        <w:t>。预设问题：​</w:t>
      </w:r>
    </w:p>
    <w:p w14:paraId="3D6D6D21">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工程质量层面：道路是否存在裂缝、沉降，驳岸是否存在渗漏、坍塌隐患；​</w:t>
      </w:r>
    </w:p>
    <w:p w14:paraId="2ADAB1C5">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进度与资金层面：是否存在工程延期，资金拨付是否与进度匹配，是否有超预算支出；​</w:t>
      </w:r>
    </w:p>
    <w:p w14:paraId="37DDBA79">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效益层面：道路是否真正降低运输成本，驳岸是否恢复灌溉功能，群众是否满意；​</w:t>
      </w:r>
    </w:p>
    <w:p w14:paraId="5233EB28">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管护层面：是否建立后期管护机制，道路、驳岸的长期维护是否有保障。​</w:t>
      </w:r>
    </w:p>
    <w:p w14:paraId="0F0C7948">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评价重点：围绕 “工程质量、资金合规、效益落地” 三大核心。​</w:t>
      </w:r>
    </w:p>
    <w:p w14:paraId="11E1E8DF">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工程质量：重点检测道路混凝土强度（取芯检测）、驳岸结构稳定性（专业机构现场评估）；​</w:t>
      </w:r>
    </w:p>
    <w:p w14:paraId="553F983B">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资金合规：核查资金拨付凭证、招投标文件、合同条款，判断是否存在违规支出；​</w:t>
      </w:r>
    </w:p>
    <w:p w14:paraId="05713394">
      <w:pPr>
        <w:widowControl/>
        <w:adjustRightInd w:val="0"/>
        <w:snapToGrid w:val="0"/>
        <w:spacing w:line="578" w:lineRule="exact"/>
        <w:ind w:firstLine="640" w:firstLineChars="200"/>
        <w:contextualSpacing/>
        <w:jc w:val="left"/>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效益落地：通过农户访谈、企业调研，核实运输成本变化、灌溉保障情况，评估产业带动效果。</w:t>
      </w:r>
    </w:p>
    <w:p w14:paraId="4570E7E8">
      <w:pPr>
        <w:spacing w:line="578" w:lineRule="exact"/>
        <w:ind w:firstLine="640"/>
        <w:rPr>
          <w:rFonts w:hint="eastAsia" w:ascii="Times New Roman" w:hAnsi="Times New Roman" w:eastAsia="仿宋_GB2312" w:cs="仿宋_GB2312"/>
          <w:sz w:val="32"/>
          <w:szCs w:val="32"/>
          <w:lang w:val="zh-CN" w:eastAsia="zh-CN"/>
        </w:rPr>
      </w:pPr>
      <w:r>
        <w:rPr>
          <w:rFonts w:hint="eastAsia" w:eastAsia="楷体_GB2312"/>
          <w:b/>
          <w:sz w:val="32"/>
          <w:szCs w:val="32"/>
          <w:lang w:val="zh-CN"/>
        </w:rPr>
        <w:t>（三）评价选点。</w:t>
      </w:r>
      <w:r>
        <w:rPr>
          <w:rFonts w:hint="eastAsia" w:ascii="Times New Roman" w:hAnsi="Times New Roman" w:eastAsia="仿宋_GB2312" w:cs="仿宋_GB2312"/>
          <w:sz w:val="32"/>
          <w:szCs w:val="32"/>
          <w:lang w:val="zh-CN" w:eastAsia="zh-CN"/>
        </w:rPr>
        <w:t>本次绩效自评选取田园综合体项目施工现场作为抽样评价点位，开展 “现场</w:t>
      </w:r>
      <w:r>
        <w:rPr>
          <w:rFonts w:hint="eastAsia" w:ascii="Times New Roman" w:hAnsi="Times New Roman" w:eastAsia="仿宋_GB2312" w:cs="仿宋_GB2312"/>
          <w:sz w:val="32"/>
          <w:szCs w:val="32"/>
          <w:lang w:val="en-US" w:eastAsia="zh-CN"/>
        </w:rPr>
        <w:t xml:space="preserve">勘察 + </w:t>
      </w:r>
      <w:r>
        <w:rPr>
          <w:rFonts w:hint="eastAsia" w:ascii="Times New Roman" w:hAnsi="Times New Roman" w:eastAsia="仿宋_GB2312" w:cs="仿宋_GB2312"/>
          <w:sz w:val="32"/>
          <w:szCs w:val="32"/>
          <w:lang w:val="zh-CN" w:eastAsia="zh-CN"/>
        </w:rPr>
        <w:t>农户访谈”，确保评价结果真实反映项目实际情况。​</w:t>
      </w:r>
    </w:p>
    <w:p w14:paraId="3AB57B37">
      <w:pPr>
        <w:spacing w:line="578" w:lineRule="exact"/>
        <w:ind w:firstLine="640"/>
        <w:rPr>
          <w:rFonts w:hint="eastAsia" w:ascii="Times New Roman" w:hAnsi="Times New Roman" w:eastAsia="仿宋_GB2312" w:cs="仿宋_GB2312"/>
          <w:sz w:val="32"/>
          <w:szCs w:val="32"/>
          <w:lang w:val="zh-CN" w:eastAsia="zh-CN"/>
        </w:rPr>
      </w:pPr>
      <w:r>
        <w:rPr>
          <w:rFonts w:hint="eastAsia" w:eastAsia="楷体_GB2312"/>
          <w:b/>
          <w:sz w:val="32"/>
          <w:szCs w:val="32"/>
          <w:lang w:val="zh-CN"/>
        </w:rPr>
        <w:t>（四）评价方法。</w:t>
      </w:r>
      <w:r>
        <w:rPr>
          <w:rFonts w:hint="eastAsia" w:ascii="Times New Roman" w:hAnsi="Times New Roman" w:eastAsia="仿宋_GB2312" w:cs="仿宋_GB2312"/>
          <w:sz w:val="32"/>
          <w:szCs w:val="32"/>
          <w:lang w:val="zh-CN" w:eastAsia="zh-CN"/>
        </w:rPr>
        <w:t>采用 “专业检</w:t>
      </w:r>
      <w:r>
        <w:rPr>
          <w:rFonts w:hint="eastAsia" w:ascii="Times New Roman" w:hAnsi="Times New Roman" w:eastAsia="仿宋_GB2312" w:cs="仿宋_GB2312"/>
          <w:sz w:val="32"/>
          <w:szCs w:val="32"/>
          <w:lang w:val="en-US" w:eastAsia="zh-CN"/>
        </w:rPr>
        <w:t xml:space="preserve">测 + 实地调研 + </w:t>
      </w:r>
      <w:r>
        <w:rPr>
          <w:rFonts w:hint="eastAsia" w:ascii="Times New Roman" w:hAnsi="Times New Roman" w:eastAsia="仿宋_GB2312" w:cs="仿宋_GB2312"/>
          <w:sz w:val="32"/>
          <w:szCs w:val="32"/>
          <w:lang w:val="zh-CN" w:eastAsia="zh-CN"/>
        </w:rPr>
        <w:t>数据验证” 相结合的评价方式，具体方法如下：​</w:t>
      </w:r>
    </w:p>
    <w:p w14:paraId="60C0422F">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专业检测法：委托三方专业审计公司对产业道路进行取芯检测，检测混凝土强度；对驳岸进行抗冲刷试验，评估防洪能力；案卷研究法：查阅项目招投标文件、施工日志、监理报告、资金拨付凭证、验收记录等资料，核实工程合规性与资金使用情况；实地勘察法：赴抽样点位现场核查道路平整度、排水边沟功能，观察驳岸是否有渗漏、沉降，检查灌溉涵管是否通畅；访谈调研法：访谈种植大户、普通农户、施工单位负责人、项目专班成员，了解项目实施效果及存在问题；数据对比法：对比项目实施前后的运输成本、灌溉面积、汛期受灾面积，量化项目效益。​</w:t>
      </w:r>
    </w:p>
    <w:p w14:paraId="719CCD85">
      <w:pPr>
        <w:spacing w:line="578" w:lineRule="exact"/>
        <w:ind w:firstLine="640"/>
        <w:rPr>
          <w:rFonts w:hint="eastAsia" w:ascii="Times New Roman" w:hAnsi="Times New Roman" w:eastAsia="仿宋_GB2312" w:cs="仿宋_GB2312"/>
          <w:sz w:val="32"/>
          <w:szCs w:val="32"/>
          <w:lang w:val="zh-CN" w:eastAsia="zh-CN"/>
        </w:rPr>
      </w:pPr>
      <w:r>
        <w:rPr>
          <w:rFonts w:hint="eastAsia" w:eastAsia="楷体_GB2312"/>
          <w:b/>
          <w:sz w:val="32"/>
          <w:szCs w:val="32"/>
          <w:lang w:val="zh-CN"/>
        </w:rPr>
        <w:t>（五）评价组织。</w:t>
      </w:r>
      <w:r>
        <w:rPr>
          <w:rFonts w:hint="eastAsia" w:ascii="Times New Roman" w:hAnsi="Times New Roman" w:eastAsia="仿宋_GB2312" w:cs="仿宋_GB2312"/>
          <w:sz w:val="32"/>
          <w:szCs w:val="32"/>
          <w:lang w:val="zh-CN" w:eastAsia="zh-CN"/>
        </w:rPr>
        <w:t>评价组人员构成：由安居区农业农村局、水利局、财政局、遂潼天然气综合利用产业园、磨溪镇（项目实施属地）业务骨干及专业三方审计公司组成；职责分工：综合评价组：统筹评价工作，审定评价方案与报告；工程质量组：负责道路、驳岸的专业检测与质量评估；资金核查组：核查资金拨付、使用合规性；效益评估组：通过访谈、数据对比，评估项目效益；记录与汇总组：整理评价资料，撰写评价报告初稿。</w:t>
      </w:r>
    </w:p>
    <w:p w14:paraId="6683C583">
      <w:pPr>
        <w:adjustRightInd w:val="0"/>
        <w:snapToGrid w:val="0"/>
        <w:spacing w:line="578" w:lineRule="exact"/>
        <w:ind w:firstLine="640" w:firstLineChars="200"/>
        <w:rPr>
          <w:sz w:val="32"/>
          <w:szCs w:val="32"/>
          <w:lang w:val="zh-CN"/>
        </w:rPr>
      </w:pPr>
      <w:r>
        <w:rPr>
          <w:rFonts w:hint="eastAsia" w:eastAsia="黑体"/>
          <w:sz w:val="32"/>
          <w:szCs w:val="32"/>
        </w:rPr>
        <w:t>三、绩效分析</w:t>
      </w:r>
      <w:r>
        <w:rPr>
          <w:rFonts w:hint="eastAsia"/>
          <w:sz w:val="32"/>
          <w:szCs w:val="32"/>
          <w:lang w:val="zh-CN"/>
        </w:rPr>
        <w:tab/>
      </w:r>
    </w:p>
    <w:p w14:paraId="219D2215">
      <w:pPr>
        <w:spacing w:line="578" w:lineRule="exact"/>
        <w:ind w:firstLine="640"/>
        <w:rPr>
          <w:rFonts w:eastAsia="楷体_GB2312"/>
          <w:b/>
          <w:sz w:val="32"/>
          <w:szCs w:val="32"/>
        </w:rPr>
      </w:pPr>
      <w:r>
        <w:rPr>
          <w:rFonts w:hint="eastAsia" w:eastAsia="楷体_GB2312"/>
          <w:b/>
          <w:sz w:val="32"/>
          <w:szCs w:val="32"/>
          <w:lang w:val="zh-CN"/>
        </w:rPr>
        <w:t>（一）</w:t>
      </w:r>
      <w:r>
        <w:rPr>
          <w:rFonts w:hint="eastAsia" w:eastAsia="楷体_GB2312"/>
          <w:b/>
          <w:sz w:val="32"/>
          <w:szCs w:val="32"/>
        </w:rPr>
        <w:t>通用指标</w:t>
      </w:r>
      <w:r>
        <w:rPr>
          <w:rFonts w:eastAsia="楷体_GB2312"/>
          <w:b/>
          <w:bCs/>
          <w:color w:val="000000"/>
          <w:kern w:val="0"/>
          <w:sz w:val="32"/>
          <w:szCs w:val="32"/>
          <w:shd w:val="clear" w:color="auto" w:fill="FFFFFF"/>
          <w:lang w:val="zh-CN"/>
        </w:rPr>
        <w:t>绩效分析。</w:t>
      </w:r>
    </w:p>
    <w:p w14:paraId="5C1AB84A">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本次评价采用 “通用指标 + 专用指标 + 个性指标” 体系，具体如下：​</w:t>
      </w:r>
    </w:p>
    <w:p w14:paraId="70792318">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（一）通用指标绩效分析</w:t>
      </w:r>
    </w:p>
    <w:p w14:paraId="4C0321B7">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1. 项目决策。决策程序：项目经人大审议通过，决策程序合规，前期通过实地调研、群众意见征集等方式开展了充分的论证，道路、驳岸工程均有专业设计方案，资金投向用于产业道路与驳岸治理，无挪用至其他领域情况，投向精准。</w:t>
      </w:r>
    </w:p>
    <w:p w14:paraId="37CA32F2">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2. 项目管理。制定了资金管理细则、施工管理制度及安全预案，制度体系完整；资金分配按进度拨付，每月开展进度检查。​</w:t>
      </w:r>
    </w:p>
    <w:p w14:paraId="4515057E">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3. 项目实施。项目预算执行率达100%，资金使用符合合同约定，无大额现金支付、虚开发票等违规情况，合规性良好。​</w:t>
      </w:r>
    </w:p>
    <w:p w14:paraId="2E106927">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4. 项目结果。田园综合体项目目标完成率达100%，均按时完工，达到预期效果。​</w:t>
      </w:r>
    </w:p>
    <w:p w14:paraId="0612ADA8">
      <w:pPr>
        <w:spacing w:line="578" w:lineRule="exact"/>
        <w:ind w:firstLine="640"/>
        <w:rPr>
          <w:rFonts w:hint="eastAsia" w:ascii="Times New Roman" w:hAnsi="Times New Roman" w:eastAsia="仿宋_GB2312" w:cs="仿宋_GB2312"/>
          <w:sz w:val="32"/>
          <w:szCs w:val="32"/>
          <w:lang w:val="zh-CN" w:eastAsia="zh-CN"/>
        </w:rPr>
      </w:pPr>
      <w:r>
        <w:rPr>
          <w:rFonts w:hint="eastAsia" w:eastAsia="楷体_GB2312"/>
          <w:b/>
          <w:sz w:val="32"/>
          <w:szCs w:val="32"/>
          <w:lang w:val="zh-CN"/>
        </w:rPr>
        <w:t>（二）</w:t>
      </w:r>
      <w:r>
        <w:rPr>
          <w:rFonts w:hint="eastAsia" w:eastAsia="楷体_GB2312"/>
          <w:b/>
          <w:sz w:val="32"/>
          <w:szCs w:val="32"/>
        </w:rPr>
        <w:t>专用指标</w:t>
      </w:r>
      <w:r>
        <w:rPr>
          <w:rFonts w:eastAsia="楷体_GB2312"/>
          <w:b/>
          <w:bCs/>
          <w:color w:val="000000"/>
          <w:kern w:val="0"/>
          <w:sz w:val="32"/>
          <w:szCs w:val="32"/>
          <w:shd w:val="clear" w:color="auto" w:fill="FFFFFF"/>
          <w:lang w:val="zh-CN"/>
        </w:rPr>
        <w:t>绩效分析。</w:t>
      </w:r>
      <w:r>
        <w:rPr>
          <w:rFonts w:hint="eastAsia" w:ascii="Times New Roman" w:hAnsi="Times New Roman" w:eastAsia="仿宋_GB2312" w:cs="仿宋_GB2312"/>
          <w:sz w:val="32"/>
          <w:szCs w:val="32"/>
          <w:lang w:val="zh-CN" w:eastAsia="zh-CN"/>
        </w:rPr>
        <w:t>项目属于 “基础设施类”，对应专用指标分析如下：​</w:t>
      </w:r>
    </w:p>
    <w:p w14:paraId="6A7B1E3A">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val="zh-CN" w:eastAsia="zh-CN"/>
        </w:rPr>
        <w:t xml:space="preserve"> 在建项目（已完工，按建成项目指标评价）​</w:t>
      </w:r>
    </w:p>
    <w:p w14:paraId="460D755D">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工程进度：项目按计划完工，无延期，进度管理良好；</w:t>
      </w:r>
    </w:p>
    <w:p w14:paraId="4ACA67E6">
      <w:pPr>
        <w:spacing w:line="578" w:lineRule="exact"/>
        <w:ind w:firstLine="640"/>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zh-CN" w:eastAsia="zh-CN"/>
        </w:rPr>
        <w:t>资金拨付：资金拨付与工程进度匹配（进度</w:t>
      </w:r>
      <w:r>
        <w:rPr>
          <w:rFonts w:hint="eastAsia" w:ascii="Times New Roman" w:hAnsi="Times New Roman" w:eastAsia="仿宋_GB2312" w:cs="仿宋_GB2312"/>
          <w:sz w:val="32"/>
          <w:szCs w:val="32"/>
          <w:lang w:val="en-US" w:eastAsia="zh-CN"/>
        </w:rPr>
        <w:t>达 80% 时拨付至 7</w:t>
      </w:r>
      <w:r>
        <w:rPr>
          <w:rFonts w:hint="eastAsia" w:ascii="Times New Roman" w:hAnsi="Times New Roman" w:eastAsia="仿宋_GB2312" w:cs="仿宋_GB2312"/>
          <w:sz w:val="32"/>
          <w:szCs w:val="32"/>
          <w:lang w:val="zh-CN" w:eastAsia="zh-CN"/>
        </w:rPr>
        <w:t>0</w:t>
      </w:r>
      <w:r>
        <w:rPr>
          <w:rFonts w:hint="eastAsia" w:ascii="Times New Roman" w:hAnsi="Times New Roman" w:eastAsia="仿宋_GB2312" w:cs="仿宋_GB2312"/>
          <w:sz w:val="32"/>
          <w:szCs w:val="32"/>
          <w:lang w:val="en-US" w:eastAsia="zh-CN"/>
        </w:rPr>
        <w:t>%），拨付及时。​</w:t>
      </w:r>
    </w:p>
    <w:p w14:paraId="1B102D13">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en-US" w:eastAsia="zh-CN"/>
        </w:rPr>
        <w:t xml:space="preserve">2. </w:t>
      </w:r>
      <w:r>
        <w:rPr>
          <w:rFonts w:hint="eastAsia" w:ascii="Times New Roman" w:hAnsi="Times New Roman" w:eastAsia="仿宋_GB2312" w:cs="仿宋_GB2312"/>
          <w:sz w:val="32"/>
          <w:szCs w:val="32"/>
          <w:lang w:val="zh-CN" w:eastAsia="zh-CN"/>
        </w:rPr>
        <w:t>建成项目​</w:t>
      </w:r>
    </w:p>
    <w:p w14:paraId="268B4724">
      <w:pPr>
        <w:spacing w:line="578" w:lineRule="exact"/>
        <w:ind w:firstLine="640"/>
        <w:rPr>
          <w:rFonts w:eastAsia="仿宋_GB2312" w:cs="仿宋_GB2312"/>
          <w:kern w:val="0"/>
          <w:sz w:val="32"/>
          <w:szCs w:val="32"/>
          <w:lang w:val="zh-CN"/>
        </w:rPr>
      </w:pPr>
      <w:r>
        <w:rPr>
          <w:rFonts w:hint="eastAsia" w:ascii="Times New Roman" w:hAnsi="Times New Roman" w:eastAsia="仿宋_GB2312" w:cs="仿宋_GB2312"/>
          <w:sz w:val="32"/>
          <w:szCs w:val="32"/>
          <w:lang w:val="zh-CN" w:eastAsia="zh-CN"/>
        </w:rPr>
        <w:t>项目验收：区级验收通过；功能实现：路面平整，农机可正常通行，运输成本降低，功能达标；修复后汛期未发生坍塌，灌溉涵管全部通畅，灌溉覆盖率提升；后续管护：制定了《管护方案》（明确村集体负责日常保洁）。</w:t>
      </w:r>
      <w:r>
        <w:rPr>
          <w:rFonts w:hint="eastAsia" w:eastAsia="仿宋_GB2312" w:cs="仿宋_GB2312"/>
          <w:kern w:val="0"/>
          <w:sz w:val="32"/>
          <w:szCs w:val="32"/>
          <w:lang w:val="zh-CN"/>
        </w:rPr>
        <w:t>​</w:t>
      </w:r>
    </w:p>
    <w:p w14:paraId="1E012A89">
      <w:pPr>
        <w:spacing w:line="578" w:lineRule="exact"/>
        <w:ind w:firstLine="640"/>
        <w:rPr>
          <w:rFonts w:eastAsia="仿宋_GB2312" w:cs="仿宋_GB2312"/>
          <w:kern w:val="0"/>
          <w:sz w:val="32"/>
          <w:szCs w:val="32"/>
          <w:lang w:val="zh-CN"/>
        </w:rPr>
      </w:pPr>
      <w:r>
        <w:rPr>
          <w:rFonts w:hint="eastAsia" w:eastAsia="楷体_GB2312"/>
          <w:b/>
          <w:sz w:val="32"/>
          <w:szCs w:val="32"/>
          <w:lang w:val="zh-CN"/>
        </w:rPr>
        <w:t>（三）</w:t>
      </w:r>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r>
        <w:rPr>
          <w:rFonts w:hint="eastAsia" w:ascii="Times New Roman" w:hAnsi="Times New Roman" w:eastAsia="仿宋_GB2312" w:cs="仿宋_GB2312"/>
          <w:sz w:val="32"/>
          <w:szCs w:val="32"/>
          <w:lang w:val="zh-CN" w:eastAsia="zh-CN"/>
        </w:rPr>
        <w:t>结合项目 “产业带</w:t>
      </w:r>
      <w:r>
        <w:rPr>
          <w:rFonts w:hint="eastAsia" w:ascii="Times New Roman" w:hAnsi="Times New Roman" w:eastAsia="仿宋_GB2312" w:cs="仿宋_GB2312"/>
          <w:sz w:val="32"/>
          <w:szCs w:val="32"/>
          <w:lang w:val="en-US" w:eastAsia="zh-CN"/>
        </w:rPr>
        <w:t xml:space="preserve">动 + </w:t>
      </w:r>
      <w:r>
        <w:rPr>
          <w:rFonts w:hint="eastAsia" w:ascii="Times New Roman" w:hAnsi="Times New Roman" w:eastAsia="仿宋_GB2312" w:cs="仿宋_GB2312"/>
          <w:sz w:val="32"/>
          <w:szCs w:val="32"/>
          <w:lang w:val="zh-CN" w:eastAsia="zh-CN"/>
        </w:rPr>
        <w:t>民生保障” 特点，设</w:t>
      </w:r>
      <w:r>
        <w:rPr>
          <w:rFonts w:hint="eastAsia" w:ascii="Times New Roman" w:hAnsi="Times New Roman" w:eastAsia="仿宋_GB2312" w:cs="仿宋_GB2312"/>
          <w:sz w:val="32"/>
          <w:szCs w:val="32"/>
          <w:lang w:val="en-US" w:eastAsia="zh-CN"/>
        </w:rPr>
        <w:t>定 2 个个</w:t>
      </w:r>
      <w:r>
        <w:rPr>
          <w:rFonts w:hint="eastAsia" w:ascii="Times New Roman" w:hAnsi="Times New Roman" w:eastAsia="仿宋_GB2312" w:cs="仿宋_GB2312"/>
          <w:sz w:val="32"/>
          <w:szCs w:val="32"/>
          <w:lang w:val="zh-CN" w:eastAsia="zh-CN"/>
        </w:rPr>
        <w:t>性指标，产业带动率：道路建成后，吸</w:t>
      </w:r>
      <w:r>
        <w:rPr>
          <w:rFonts w:hint="eastAsia" w:ascii="Times New Roman" w:hAnsi="Times New Roman" w:eastAsia="仿宋_GB2312" w:cs="仿宋_GB2312"/>
          <w:sz w:val="32"/>
          <w:szCs w:val="32"/>
          <w:lang w:val="en-US" w:eastAsia="zh-CN"/>
        </w:rPr>
        <w:t>引 2 家农</w:t>
      </w:r>
      <w:r>
        <w:rPr>
          <w:rFonts w:hint="eastAsia" w:ascii="Times New Roman" w:hAnsi="Times New Roman" w:eastAsia="仿宋_GB2312" w:cs="仿宋_GB2312"/>
          <w:sz w:val="32"/>
          <w:szCs w:val="32"/>
          <w:lang w:val="zh-CN" w:eastAsia="zh-CN"/>
        </w:rPr>
        <w:t>产品加工企业入驻（主要收购水稻、果蔬），带动农户户均年增收，防洪减灾效益：汛</w:t>
      </w:r>
      <w:r>
        <w:rPr>
          <w:rFonts w:hint="eastAsia" w:ascii="Times New Roman" w:hAnsi="Times New Roman" w:eastAsia="仿宋_GB2312" w:cs="仿宋_GB2312"/>
          <w:sz w:val="32"/>
          <w:szCs w:val="32"/>
          <w:lang w:val="en-US" w:eastAsia="zh-CN"/>
        </w:rPr>
        <w:t>期（</w:t>
      </w:r>
      <w:r>
        <w:rPr>
          <w:rFonts w:hint="eastAsia" w:ascii="Times New Roman" w:hAnsi="Times New Roman" w:eastAsia="仿宋_GB2312" w:cs="仿宋_GB2312"/>
          <w:sz w:val="32"/>
          <w:szCs w:val="32"/>
          <w:lang w:val="zh-CN" w:eastAsia="zh-CN"/>
        </w:rPr>
        <w:t>5</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val="zh-CN" w:eastAsia="zh-CN"/>
        </w:rPr>
        <w:t>9月），修复后的驳岸未发生坍塌，减灾效果显著。</w:t>
      </w:r>
      <w:r>
        <w:rPr>
          <w:rFonts w:hint="eastAsia" w:eastAsia="仿宋_GB2312" w:cs="仿宋_GB2312"/>
          <w:kern w:val="0"/>
          <w:sz w:val="32"/>
          <w:szCs w:val="32"/>
          <w:lang w:val="zh-CN"/>
        </w:rPr>
        <w:t>​</w:t>
      </w:r>
    </w:p>
    <w:p w14:paraId="5F3264C7">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2F1D9EB2">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 xml:space="preserve"> 遂潼天然气综合利用产业园田园综合体项目绩效自评总分100分。项目整体实施成效显著，工程质量达标，核心功能得以实现；资金管理规范，预算执行高效，群众满意度高。​</w:t>
      </w:r>
    </w:p>
    <w:p w14:paraId="01FEDB9D">
      <w:pPr>
        <w:spacing w:line="578"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0A554B05">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预算编制精准性不足，驳岸治理项目前期勘察时，未充分测算河道淤泥量，项目实施过程中，群众仅参与前期意见征集，未参与施工监督（如质量检查）、验收测评，导致部分工程细节未充分满足群众实际需求，群众 “主人翁” 意识未充分体现。​</w:t>
      </w:r>
    </w:p>
    <w:p w14:paraId="2BCD9E09">
      <w:pPr>
        <w:spacing w:line="578"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4E6F3871">
      <w:pPr>
        <w:spacing w:line="578" w:lineRule="exact"/>
        <w:ind w:firstLine="640"/>
        <w:rPr>
          <w:rFonts w:hint="eastAsia" w:ascii="Times New Roman" w:hAnsi="Times New Roman" w:eastAsia="仿宋_GB2312" w:cs="仿宋_GB2312"/>
          <w:sz w:val="32"/>
          <w:szCs w:val="32"/>
          <w:lang w:val="zh-CN" w:eastAsia="zh-CN"/>
        </w:rPr>
      </w:pPr>
      <w:r>
        <w:rPr>
          <w:rFonts w:hint="eastAsia" w:ascii="Times New Roman" w:hAnsi="Times New Roman" w:eastAsia="仿宋_GB2312" w:cs="仿宋_GB2312"/>
          <w:sz w:val="32"/>
          <w:szCs w:val="32"/>
          <w:lang w:val="zh-CN" w:eastAsia="zh-CN"/>
        </w:rPr>
        <w:t>后续项目立项前，委托第三方专业机构开展详细勘察，形成《勘察报告》，作为预算编制依据；建立群众参与机制：后续项目实施中，推选群众代表，参与施工监督、验收测评，提升群众参与意识。</w:t>
      </w:r>
    </w:p>
    <w:p w14:paraId="60F9BB12">
      <w:pPr>
        <w:spacing w:line="578" w:lineRule="exact"/>
        <w:ind w:firstLine="640"/>
        <w:rPr>
          <w:rFonts w:hint="eastAsia" w:ascii="Times New Roman" w:hAnsi="Times New Roman" w:eastAsia="仿宋_GB2312" w:cs="仿宋_GB2312"/>
          <w:sz w:val="32"/>
          <w:szCs w:val="32"/>
          <w:lang w:val="zh-CN" w:eastAsia="zh-CN"/>
        </w:rPr>
      </w:pPr>
    </w:p>
    <w:p w14:paraId="2C905562">
      <w:pPr>
        <w:spacing w:line="578" w:lineRule="exact"/>
        <w:ind w:firstLine="640" w:firstLineChars="200"/>
        <w:rPr>
          <w:rFonts w:eastAsia="仿宋_GB2312" w:cs="仿宋_GB2312"/>
          <w:kern w:val="0"/>
          <w:sz w:val="32"/>
          <w:szCs w:val="32"/>
        </w:rPr>
      </w:pPr>
    </w:p>
    <w:p w14:paraId="5C669EE9">
      <w:pPr>
        <w:spacing w:line="578" w:lineRule="exact"/>
        <w:rPr>
          <w:rFonts w:eastAsia="仿宋_GB2312" w:cs="仿宋_GB2312"/>
          <w:kern w:val="0"/>
          <w:sz w:val="32"/>
          <w:szCs w:val="32"/>
        </w:rPr>
      </w:pPr>
      <w:bookmarkStart w:id="67" w:name="_Toc15396618"/>
      <w:r>
        <w:rPr>
          <w:rFonts w:hint="eastAsia" w:eastAsia="仿宋_GB2312" w:cs="仿宋_GB2312"/>
          <w:kern w:val="0"/>
          <w:sz w:val="32"/>
          <w:szCs w:val="32"/>
        </w:rPr>
        <w:br w:type="page"/>
      </w:r>
    </w:p>
    <w:tbl>
      <w:tblPr>
        <w:tblStyle w:val="18"/>
        <w:tblW w:w="5000" w:type="pct"/>
        <w:tblInd w:w="0" w:type="dxa"/>
        <w:tblLayout w:type="autofit"/>
        <w:tblCellMar>
          <w:top w:w="0" w:type="dxa"/>
          <w:left w:w="108" w:type="dxa"/>
          <w:bottom w:w="0" w:type="dxa"/>
          <w:right w:w="108" w:type="dxa"/>
        </w:tblCellMar>
      </w:tblPr>
      <w:tblGrid>
        <w:gridCol w:w="576"/>
        <w:gridCol w:w="1059"/>
        <w:gridCol w:w="891"/>
        <w:gridCol w:w="1186"/>
        <w:gridCol w:w="396"/>
        <w:gridCol w:w="831"/>
        <w:gridCol w:w="396"/>
        <w:gridCol w:w="846"/>
        <w:gridCol w:w="487"/>
        <w:gridCol w:w="487"/>
        <w:gridCol w:w="1367"/>
      </w:tblGrid>
      <w:tr w14:paraId="7912D71C">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vAlign w:val="center"/>
          </w:tcPr>
          <w:p w14:paraId="418BD0E2">
            <w:pPr>
              <w:widowControl/>
              <w:jc w:val="center"/>
              <w:textAlignment w:val="center"/>
              <w:rPr>
                <w:rFonts w:ascii="黑体" w:hAnsi="宋体" w:eastAsia="黑体" w:cs="黑体"/>
                <w:b/>
                <w:bCs/>
                <w:color w:val="000000"/>
                <w:sz w:val="30"/>
                <w:szCs w:val="30"/>
              </w:rPr>
            </w:pPr>
            <w:r>
              <w:rPr>
                <w:rFonts w:ascii="黑体" w:hAnsi="宋体" w:eastAsia="黑体" w:cs="黑体"/>
                <w:b/>
                <w:bCs/>
                <w:color w:val="000000"/>
                <w:kern w:val="0"/>
                <w:sz w:val="30"/>
                <w:szCs w:val="30"/>
                <w:lang w:bidi="ar"/>
              </w:rPr>
              <w:t>部门预算项目支出绩效自评表（2024年度）</w:t>
            </w:r>
          </w:p>
        </w:tc>
      </w:tr>
      <w:tr w14:paraId="0DF69AA1">
        <w:tblPrEx>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vAlign w:val="center"/>
          </w:tcPr>
          <w:p w14:paraId="217AEC4C">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项目名称</w:t>
            </w:r>
          </w:p>
        </w:tc>
        <w:tc>
          <w:tcPr>
            <w:tcW w:w="4031" w:type="pct"/>
            <w:gridSpan w:val="9"/>
            <w:tcBorders>
              <w:top w:val="single" w:color="000000" w:sz="4" w:space="0"/>
              <w:left w:val="single" w:color="000000" w:sz="4" w:space="0"/>
              <w:bottom w:val="single" w:color="000000" w:sz="4" w:space="0"/>
              <w:right w:val="single" w:color="000000" w:sz="4" w:space="0"/>
            </w:tcBorders>
            <w:vAlign w:val="center"/>
          </w:tcPr>
          <w:p w14:paraId="6F616B65">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51090424T000010609848-遂财农【2023】28号-2023年市级财政衔接推进乡村振兴补助资金</w:t>
            </w:r>
          </w:p>
        </w:tc>
      </w:tr>
      <w:tr w14:paraId="32D05898">
        <w:tblPrEx>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vAlign w:val="center"/>
          </w:tcPr>
          <w:p w14:paraId="4D60E4C2">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主管部门</w:t>
            </w:r>
          </w:p>
        </w:tc>
        <w:tc>
          <w:tcPr>
            <w:tcW w:w="2390" w:type="pct"/>
            <w:gridSpan w:val="5"/>
            <w:tcBorders>
              <w:top w:val="single" w:color="000000" w:sz="4" w:space="0"/>
              <w:left w:val="single" w:color="000000" w:sz="4" w:space="0"/>
              <w:bottom w:val="single" w:color="000000" w:sz="4" w:space="0"/>
              <w:right w:val="single" w:color="000000" w:sz="4" w:space="0"/>
            </w:tcBorders>
            <w:vAlign w:val="center"/>
          </w:tcPr>
          <w:p w14:paraId="25E7F8F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遂潼天然气综合利用产业园部门</w:t>
            </w:r>
          </w:p>
        </w:tc>
        <w:tc>
          <w:tcPr>
            <w:tcW w:w="386" w:type="pct"/>
            <w:tcBorders>
              <w:top w:val="nil"/>
              <w:left w:val="nil"/>
              <w:bottom w:val="nil"/>
              <w:right w:val="nil"/>
            </w:tcBorders>
            <w:vAlign w:val="center"/>
          </w:tcPr>
          <w:p w14:paraId="5055EEFD">
            <w:pPr>
              <w:widowControl/>
              <w:jc w:val="left"/>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vAlign w:val="center"/>
          </w:tcPr>
          <w:p w14:paraId="54548F4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遂潼天然气综合利用产业园</w:t>
            </w:r>
          </w:p>
        </w:tc>
      </w:tr>
      <w:tr w14:paraId="7CE7F206">
        <w:tblPrEx>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vAlign w:val="center"/>
          </w:tcPr>
          <w:p w14:paraId="611241A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vAlign w:val="center"/>
          </w:tcPr>
          <w:p w14:paraId="695AC16D">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vAlign w:val="center"/>
          </w:tcPr>
          <w:p w14:paraId="16C12EC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vAlign w:val="center"/>
          </w:tcPr>
          <w:p w14:paraId="474A9A9C">
            <w:pPr>
              <w:widowControl/>
              <w:jc w:val="center"/>
              <w:textAlignment w:val="center"/>
              <w:rPr>
                <w:rFonts w:ascii="黑体" w:hAnsi="黑体" w:eastAsia="黑体" w:cs="黑体"/>
                <w:color w:val="000000"/>
                <w:sz w:val="18"/>
                <w:szCs w:val="18"/>
              </w:rPr>
            </w:pPr>
            <w:r>
              <w:rPr>
                <w:rFonts w:ascii="黑体" w:hAnsi="黑体" w:eastAsia="黑体" w:cs="黑体"/>
                <w:color w:val="000000"/>
                <w:kern w:val="0"/>
                <w:sz w:val="18"/>
                <w:szCs w:val="18"/>
                <w:lang w:bidi="ar"/>
              </w:rPr>
              <w:t>年度目标完成情况</w:t>
            </w:r>
          </w:p>
        </w:tc>
      </w:tr>
      <w:tr w14:paraId="65727019">
        <w:tblPrEx>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3CF32FFD">
            <w:pPr>
              <w:rPr>
                <w:rFonts w:hint="eastAsia"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vAlign w:val="center"/>
          </w:tcPr>
          <w:p w14:paraId="14E575E0">
            <w:pPr>
              <w:rPr>
                <w:rFonts w:hint="eastAsia" w:ascii="宋体" w:hAnsi="宋体" w:cs="宋体"/>
                <w:color w:val="000000"/>
                <w:sz w:val="18"/>
                <w:szCs w:val="18"/>
              </w:rPr>
            </w:pPr>
          </w:p>
        </w:tc>
        <w:tc>
          <w:tcPr>
            <w:tcW w:w="2390" w:type="pct"/>
            <w:gridSpan w:val="5"/>
            <w:tcBorders>
              <w:top w:val="single" w:color="000000" w:sz="4" w:space="0"/>
              <w:left w:val="single" w:color="000000" w:sz="4" w:space="0"/>
              <w:bottom w:val="single" w:color="000000" w:sz="4" w:space="0"/>
              <w:right w:val="single" w:color="000000" w:sz="4" w:space="0"/>
            </w:tcBorders>
            <w:vAlign w:val="center"/>
          </w:tcPr>
          <w:p w14:paraId="5CF81206">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通过田园综合体项目实施，完成产业道路,驳岸治理，产业林三个工程,以基础设施升级为支撑，带动特色产业,助力乡村旅游发展。</w:t>
            </w:r>
          </w:p>
        </w:tc>
        <w:tc>
          <w:tcPr>
            <w:tcW w:w="1641" w:type="pct"/>
            <w:gridSpan w:val="4"/>
            <w:tcBorders>
              <w:top w:val="single" w:color="000000" w:sz="4" w:space="0"/>
              <w:left w:val="single" w:color="000000" w:sz="4" w:space="0"/>
              <w:bottom w:val="single" w:color="000000" w:sz="4" w:space="0"/>
              <w:right w:val="single" w:color="000000" w:sz="4" w:space="0"/>
            </w:tcBorders>
            <w:vAlign w:val="center"/>
          </w:tcPr>
          <w:p w14:paraId="5CCD9E14">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完成了项目验收及资金支付。</w:t>
            </w:r>
          </w:p>
        </w:tc>
      </w:tr>
      <w:tr w14:paraId="12680586">
        <w:tblPrEx>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27557FFC">
            <w:pPr>
              <w:rPr>
                <w:rFonts w:hint="eastAsia"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18997D71">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vAlign w:val="center"/>
          </w:tcPr>
          <w:p w14:paraId="01C01BCA">
            <w:pPr>
              <w:widowControl/>
              <w:jc w:val="left"/>
              <w:textAlignment w:val="center"/>
              <w:rPr>
                <w:rFonts w:hint="eastAsia" w:ascii="宋体" w:hAnsi="宋体" w:cs="宋体"/>
                <w:color w:val="000000"/>
                <w:sz w:val="18"/>
                <w:szCs w:val="18"/>
              </w:rPr>
            </w:pPr>
            <w:r>
              <w:rPr>
                <w:rFonts w:ascii="宋体" w:hAnsi="宋体" w:cs="宋体"/>
                <w:color w:val="000000"/>
                <w:kern w:val="0"/>
                <w:sz w:val="18"/>
                <w:szCs w:val="18"/>
                <w:lang w:bidi="ar"/>
              </w:rPr>
              <w:t>完成了田园综合体项目，解决了产业道路 “出行难、运输难” 问题，实现降低农产品运输成本，提升农机作业覆盖率；修复破损驳岸，恢复河道灌溉功能，消除汛期防洪隐患。</w:t>
            </w:r>
          </w:p>
        </w:tc>
      </w:tr>
      <w:tr w14:paraId="4E119F7B">
        <w:tblPrEx>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vAlign w:val="center"/>
          </w:tcPr>
          <w:p w14:paraId="51D0F82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预算执行情况（10分）</w:t>
            </w:r>
          </w:p>
        </w:tc>
        <w:tc>
          <w:tcPr>
            <w:tcW w:w="725" w:type="pct"/>
            <w:tcBorders>
              <w:top w:val="single" w:color="000000" w:sz="4" w:space="0"/>
              <w:left w:val="single" w:color="000000" w:sz="4" w:space="0"/>
              <w:bottom w:val="single" w:color="000000" w:sz="4" w:space="0"/>
              <w:right w:val="single" w:color="000000" w:sz="4" w:space="0"/>
            </w:tcBorders>
            <w:vAlign w:val="center"/>
          </w:tcPr>
          <w:p w14:paraId="2F8098E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年度预算数（万元）</w:t>
            </w:r>
          </w:p>
        </w:tc>
        <w:tc>
          <w:tcPr>
            <w:tcW w:w="627" w:type="pct"/>
            <w:tcBorders>
              <w:top w:val="single" w:color="000000" w:sz="4" w:space="0"/>
              <w:left w:val="single" w:color="000000" w:sz="4" w:space="0"/>
              <w:bottom w:val="single" w:color="000000" w:sz="4" w:space="0"/>
              <w:right w:val="single" w:color="000000" w:sz="4" w:space="0"/>
            </w:tcBorders>
            <w:vAlign w:val="center"/>
          </w:tcPr>
          <w:p w14:paraId="57C3058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年初预算</w:t>
            </w:r>
          </w:p>
        </w:tc>
        <w:tc>
          <w:tcPr>
            <w:tcW w:w="800" w:type="pct"/>
            <w:tcBorders>
              <w:top w:val="single" w:color="000000" w:sz="4" w:space="0"/>
              <w:left w:val="single" w:color="000000" w:sz="4" w:space="0"/>
              <w:bottom w:val="single" w:color="000000" w:sz="4" w:space="0"/>
              <w:right w:val="single" w:color="000000" w:sz="4" w:space="0"/>
            </w:tcBorders>
            <w:vAlign w:val="center"/>
          </w:tcPr>
          <w:p w14:paraId="3D1BCF6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vAlign w:val="center"/>
          </w:tcPr>
          <w:p w14:paraId="24900ED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预算执行数</w:t>
            </w:r>
          </w:p>
        </w:tc>
        <w:tc>
          <w:tcPr>
            <w:tcW w:w="386" w:type="pct"/>
            <w:tcBorders>
              <w:top w:val="single" w:color="000000" w:sz="4" w:space="0"/>
              <w:left w:val="single" w:color="000000" w:sz="4" w:space="0"/>
              <w:bottom w:val="single" w:color="000000" w:sz="4" w:space="0"/>
              <w:right w:val="single" w:color="000000" w:sz="4" w:space="0"/>
            </w:tcBorders>
            <w:vAlign w:val="center"/>
          </w:tcPr>
          <w:p w14:paraId="1168E83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预算执行率</w:t>
            </w:r>
          </w:p>
        </w:tc>
        <w:tc>
          <w:tcPr>
            <w:tcW w:w="178" w:type="pct"/>
            <w:tcBorders>
              <w:top w:val="single" w:color="000000" w:sz="4" w:space="0"/>
              <w:left w:val="single" w:color="000000" w:sz="4" w:space="0"/>
              <w:bottom w:val="single" w:color="000000" w:sz="4" w:space="0"/>
              <w:right w:val="single" w:color="000000" w:sz="4" w:space="0"/>
            </w:tcBorders>
            <w:vAlign w:val="center"/>
          </w:tcPr>
          <w:p w14:paraId="0AF7A4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171" w:type="pct"/>
            <w:tcBorders>
              <w:top w:val="single" w:color="000000" w:sz="4" w:space="0"/>
              <w:left w:val="single" w:color="000000" w:sz="4" w:space="0"/>
              <w:bottom w:val="single" w:color="000000" w:sz="4" w:space="0"/>
              <w:right w:val="single" w:color="000000" w:sz="4" w:space="0"/>
            </w:tcBorders>
            <w:vAlign w:val="center"/>
          </w:tcPr>
          <w:p w14:paraId="59E7595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904" w:type="pct"/>
            <w:tcBorders>
              <w:top w:val="single" w:color="000000" w:sz="4" w:space="0"/>
              <w:left w:val="single" w:color="000000" w:sz="4" w:space="0"/>
              <w:bottom w:val="single" w:color="000000" w:sz="4" w:space="0"/>
              <w:right w:val="single" w:color="000000" w:sz="4" w:space="0"/>
            </w:tcBorders>
            <w:vAlign w:val="center"/>
          </w:tcPr>
          <w:p w14:paraId="0CE57C9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原因</w:t>
            </w:r>
          </w:p>
        </w:tc>
      </w:tr>
      <w:tr w14:paraId="4A70C911">
        <w:tblPrEx>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47909A4A">
            <w:pPr>
              <w:jc w:val="center"/>
              <w:rPr>
                <w:rFonts w:hint="eastAsia"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4210C4A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总额</w:t>
            </w:r>
          </w:p>
        </w:tc>
        <w:tc>
          <w:tcPr>
            <w:tcW w:w="627" w:type="pct"/>
            <w:tcBorders>
              <w:top w:val="single" w:color="000000" w:sz="4" w:space="0"/>
              <w:left w:val="single" w:color="000000" w:sz="4" w:space="0"/>
              <w:bottom w:val="single" w:color="000000" w:sz="4" w:space="0"/>
              <w:right w:val="single" w:color="000000" w:sz="4" w:space="0"/>
            </w:tcBorders>
            <w:vAlign w:val="center"/>
          </w:tcPr>
          <w:p w14:paraId="038EE27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800.00</w:t>
            </w:r>
          </w:p>
        </w:tc>
        <w:tc>
          <w:tcPr>
            <w:tcW w:w="800" w:type="pct"/>
            <w:tcBorders>
              <w:top w:val="single" w:color="000000" w:sz="4" w:space="0"/>
              <w:left w:val="single" w:color="000000" w:sz="4" w:space="0"/>
              <w:bottom w:val="single" w:color="000000" w:sz="4" w:space="0"/>
              <w:right w:val="single" w:color="000000" w:sz="4" w:space="0"/>
            </w:tcBorders>
            <w:vAlign w:val="center"/>
          </w:tcPr>
          <w:p w14:paraId="6E3596E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502.63</w:t>
            </w:r>
          </w:p>
        </w:tc>
        <w:tc>
          <w:tcPr>
            <w:tcW w:w="962" w:type="pct"/>
            <w:gridSpan w:val="3"/>
            <w:tcBorders>
              <w:top w:val="single" w:color="000000" w:sz="4" w:space="0"/>
              <w:left w:val="single" w:color="000000" w:sz="4" w:space="0"/>
              <w:bottom w:val="single" w:color="000000" w:sz="4" w:space="0"/>
              <w:right w:val="single" w:color="000000" w:sz="4" w:space="0"/>
            </w:tcBorders>
            <w:vAlign w:val="center"/>
          </w:tcPr>
          <w:p w14:paraId="7EFDC7E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502.63</w:t>
            </w:r>
          </w:p>
        </w:tc>
        <w:tc>
          <w:tcPr>
            <w:tcW w:w="386" w:type="pct"/>
            <w:tcBorders>
              <w:top w:val="single" w:color="000000" w:sz="4" w:space="0"/>
              <w:left w:val="single" w:color="000000" w:sz="4" w:space="0"/>
              <w:bottom w:val="single" w:color="000000" w:sz="4" w:space="0"/>
              <w:right w:val="single" w:color="000000" w:sz="4" w:space="0"/>
            </w:tcBorders>
            <w:vAlign w:val="center"/>
          </w:tcPr>
          <w:p w14:paraId="46DD784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178" w:type="pct"/>
            <w:tcBorders>
              <w:top w:val="single" w:color="000000" w:sz="4" w:space="0"/>
              <w:left w:val="single" w:color="000000" w:sz="4" w:space="0"/>
              <w:bottom w:val="single" w:color="000000" w:sz="4" w:space="0"/>
              <w:right w:val="single" w:color="000000" w:sz="4" w:space="0"/>
            </w:tcBorders>
            <w:vAlign w:val="center"/>
          </w:tcPr>
          <w:p w14:paraId="212103C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171" w:type="pct"/>
            <w:tcBorders>
              <w:top w:val="single" w:color="000000" w:sz="4" w:space="0"/>
              <w:left w:val="single" w:color="000000" w:sz="4" w:space="0"/>
              <w:bottom w:val="single" w:color="000000" w:sz="4" w:space="0"/>
              <w:right w:val="single" w:color="000000" w:sz="4" w:space="0"/>
            </w:tcBorders>
            <w:vAlign w:val="center"/>
          </w:tcPr>
          <w:p w14:paraId="674ADD85">
            <w:pPr>
              <w:jc w:val="center"/>
              <w:rPr>
                <w:rFonts w:hint="eastAsia" w:ascii="宋体" w:hAnsi="宋体" w:cs="宋体"/>
                <w:color w:val="000000"/>
                <w:sz w:val="18"/>
                <w:szCs w:val="18"/>
              </w:rPr>
            </w:pPr>
          </w:p>
        </w:tc>
        <w:tc>
          <w:tcPr>
            <w:tcW w:w="904" w:type="pct"/>
            <w:vMerge w:val="restart"/>
            <w:tcBorders>
              <w:top w:val="single" w:color="000000" w:sz="4" w:space="0"/>
              <w:left w:val="single" w:color="000000" w:sz="4" w:space="0"/>
              <w:bottom w:val="single" w:color="000000" w:sz="4" w:space="0"/>
              <w:right w:val="single" w:color="000000" w:sz="4" w:space="0"/>
            </w:tcBorders>
            <w:vAlign w:val="center"/>
          </w:tcPr>
          <w:p w14:paraId="0BB87F1A">
            <w:pPr>
              <w:rPr>
                <w:rFonts w:ascii="黑体" w:hAnsi="黑体" w:eastAsia="黑体" w:cs="黑体"/>
                <w:i/>
                <w:iCs/>
                <w:color w:val="000000"/>
                <w:sz w:val="18"/>
                <w:szCs w:val="18"/>
              </w:rPr>
            </w:pPr>
          </w:p>
        </w:tc>
      </w:tr>
      <w:tr w14:paraId="7401AB3C">
        <w:tblPrEx>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6D68BE7C">
            <w:pPr>
              <w:jc w:val="center"/>
              <w:rPr>
                <w:rFonts w:hint="eastAsia"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7246302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其中：财政资金</w:t>
            </w:r>
          </w:p>
        </w:tc>
        <w:tc>
          <w:tcPr>
            <w:tcW w:w="627" w:type="pct"/>
            <w:tcBorders>
              <w:top w:val="single" w:color="000000" w:sz="4" w:space="0"/>
              <w:left w:val="single" w:color="000000" w:sz="4" w:space="0"/>
              <w:bottom w:val="single" w:color="000000" w:sz="4" w:space="0"/>
              <w:right w:val="single" w:color="000000" w:sz="4" w:space="0"/>
            </w:tcBorders>
            <w:vAlign w:val="center"/>
          </w:tcPr>
          <w:p w14:paraId="21F38DB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800.00</w:t>
            </w:r>
          </w:p>
        </w:tc>
        <w:tc>
          <w:tcPr>
            <w:tcW w:w="800" w:type="pct"/>
            <w:tcBorders>
              <w:top w:val="single" w:color="000000" w:sz="4" w:space="0"/>
              <w:left w:val="single" w:color="000000" w:sz="4" w:space="0"/>
              <w:bottom w:val="single" w:color="000000" w:sz="4" w:space="0"/>
              <w:right w:val="single" w:color="000000" w:sz="4" w:space="0"/>
            </w:tcBorders>
            <w:vAlign w:val="center"/>
          </w:tcPr>
          <w:p w14:paraId="3B1600C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502.63</w:t>
            </w:r>
          </w:p>
        </w:tc>
        <w:tc>
          <w:tcPr>
            <w:tcW w:w="962" w:type="pct"/>
            <w:gridSpan w:val="3"/>
            <w:tcBorders>
              <w:top w:val="single" w:color="000000" w:sz="4" w:space="0"/>
              <w:left w:val="single" w:color="000000" w:sz="4" w:space="0"/>
              <w:bottom w:val="single" w:color="000000" w:sz="4" w:space="0"/>
              <w:right w:val="single" w:color="000000" w:sz="4" w:space="0"/>
            </w:tcBorders>
            <w:vAlign w:val="center"/>
          </w:tcPr>
          <w:p w14:paraId="2DAC2D7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502.63</w:t>
            </w:r>
          </w:p>
        </w:tc>
        <w:tc>
          <w:tcPr>
            <w:tcW w:w="386" w:type="pct"/>
            <w:tcBorders>
              <w:top w:val="single" w:color="000000" w:sz="4" w:space="0"/>
              <w:left w:val="single" w:color="000000" w:sz="4" w:space="0"/>
              <w:bottom w:val="single" w:color="000000" w:sz="4" w:space="0"/>
              <w:right w:val="single" w:color="000000" w:sz="4" w:space="0"/>
            </w:tcBorders>
            <w:vAlign w:val="center"/>
          </w:tcPr>
          <w:p w14:paraId="03558CB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100.00%</w:t>
            </w:r>
          </w:p>
        </w:tc>
        <w:tc>
          <w:tcPr>
            <w:tcW w:w="178" w:type="pct"/>
            <w:tcBorders>
              <w:top w:val="single" w:color="000000" w:sz="4" w:space="0"/>
              <w:left w:val="single" w:color="000000" w:sz="4" w:space="0"/>
              <w:bottom w:val="single" w:color="000000" w:sz="4" w:space="0"/>
              <w:right w:val="single" w:color="000000" w:sz="4" w:space="0"/>
            </w:tcBorders>
            <w:vAlign w:val="center"/>
          </w:tcPr>
          <w:p w14:paraId="656925F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1" w:type="pct"/>
            <w:tcBorders>
              <w:top w:val="single" w:color="000000" w:sz="4" w:space="0"/>
              <w:left w:val="single" w:color="000000" w:sz="4" w:space="0"/>
              <w:bottom w:val="single" w:color="000000" w:sz="4" w:space="0"/>
              <w:right w:val="single" w:color="000000" w:sz="4" w:space="0"/>
            </w:tcBorders>
            <w:vAlign w:val="center"/>
          </w:tcPr>
          <w:p w14:paraId="6A86D54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904" w:type="pct"/>
            <w:vMerge w:val="continue"/>
            <w:tcBorders>
              <w:top w:val="single" w:color="000000" w:sz="4" w:space="0"/>
              <w:left w:val="single" w:color="000000" w:sz="4" w:space="0"/>
              <w:bottom w:val="single" w:color="000000" w:sz="4" w:space="0"/>
              <w:right w:val="single" w:color="000000" w:sz="4" w:space="0"/>
            </w:tcBorders>
            <w:vAlign w:val="center"/>
          </w:tcPr>
          <w:p w14:paraId="454CE7A3">
            <w:pPr>
              <w:rPr>
                <w:rFonts w:ascii="黑体" w:hAnsi="黑体" w:eastAsia="黑体" w:cs="黑体"/>
                <w:i/>
                <w:iCs/>
                <w:color w:val="000000"/>
                <w:sz w:val="18"/>
                <w:szCs w:val="18"/>
              </w:rPr>
            </w:pPr>
          </w:p>
        </w:tc>
      </w:tr>
      <w:tr w14:paraId="7CCDCA02">
        <w:tblPrEx>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32ED5F13">
            <w:pPr>
              <w:jc w:val="center"/>
              <w:rPr>
                <w:rFonts w:hint="eastAsia"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1A997D3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财政专户管理资金</w:t>
            </w:r>
          </w:p>
        </w:tc>
        <w:tc>
          <w:tcPr>
            <w:tcW w:w="627" w:type="pct"/>
            <w:tcBorders>
              <w:top w:val="single" w:color="000000" w:sz="4" w:space="0"/>
              <w:left w:val="single" w:color="000000" w:sz="4" w:space="0"/>
              <w:bottom w:val="single" w:color="000000" w:sz="4" w:space="0"/>
              <w:right w:val="single" w:color="000000" w:sz="4" w:space="0"/>
            </w:tcBorders>
            <w:vAlign w:val="center"/>
          </w:tcPr>
          <w:p w14:paraId="5807A4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800" w:type="pct"/>
            <w:tcBorders>
              <w:top w:val="single" w:color="000000" w:sz="4" w:space="0"/>
              <w:left w:val="single" w:color="000000" w:sz="4" w:space="0"/>
              <w:bottom w:val="single" w:color="000000" w:sz="4" w:space="0"/>
              <w:right w:val="single" w:color="000000" w:sz="4" w:space="0"/>
            </w:tcBorders>
            <w:vAlign w:val="center"/>
          </w:tcPr>
          <w:p w14:paraId="65D66A6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62" w:type="pct"/>
            <w:gridSpan w:val="3"/>
            <w:tcBorders>
              <w:top w:val="single" w:color="000000" w:sz="4" w:space="0"/>
              <w:left w:val="single" w:color="000000" w:sz="4" w:space="0"/>
              <w:bottom w:val="single" w:color="000000" w:sz="4" w:space="0"/>
              <w:right w:val="single" w:color="000000" w:sz="4" w:space="0"/>
            </w:tcBorders>
            <w:vAlign w:val="center"/>
          </w:tcPr>
          <w:p w14:paraId="00F9FFE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386" w:type="pct"/>
            <w:tcBorders>
              <w:top w:val="single" w:color="000000" w:sz="4" w:space="0"/>
              <w:left w:val="single" w:color="000000" w:sz="4" w:space="0"/>
              <w:bottom w:val="single" w:color="000000" w:sz="4" w:space="0"/>
              <w:right w:val="single" w:color="000000" w:sz="4" w:space="0"/>
            </w:tcBorders>
            <w:vAlign w:val="center"/>
          </w:tcPr>
          <w:p w14:paraId="6FC8F1D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8" w:type="pct"/>
            <w:tcBorders>
              <w:top w:val="single" w:color="000000" w:sz="4" w:space="0"/>
              <w:left w:val="single" w:color="000000" w:sz="4" w:space="0"/>
              <w:bottom w:val="single" w:color="000000" w:sz="4" w:space="0"/>
              <w:right w:val="single" w:color="000000" w:sz="4" w:space="0"/>
            </w:tcBorders>
            <w:vAlign w:val="center"/>
          </w:tcPr>
          <w:p w14:paraId="3DAD07C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1" w:type="pct"/>
            <w:tcBorders>
              <w:top w:val="single" w:color="000000" w:sz="4" w:space="0"/>
              <w:left w:val="single" w:color="000000" w:sz="4" w:space="0"/>
              <w:bottom w:val="single" w:color="000000" w:sz="4" w:space="0"/>
              <w:right w:val="single" w:color="000000" w:sz="4" w:space="0"/>
            </w:tcBorders>
            <w:vAlign w:val="center"/>
          </w:tcPr>
          <w:p w14:paraId="49B2AB0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904" w:type="pct"/>
            <w:vMerge w:val="continue"/>
            <w:tcBorders>
              <w:top w:val="single" w:color="000000" w:sz="4" w:space="0"/>
              <w:left w:val="single" w:color="000000" w:sz="4" w:space="0"/>
              <w:bottom w:val="single" w:color="000000" w:sz="4" w:space="0"/>
              <w:right w:val="single" w:color="000000" w:sz="4" w:space="0"/>
            </w:tcBorders>
            <w:vAlign w:val="center"/>
          </w:tcPr>
          <w:p w14:paraId="3E64748A">
            <w:pPr>
              <w:rPr>
                <w:rFonts w:ascii="黑体" w:hAnsi="黑体" w:eastAsia="黑体" w:cs="黑体"/>
                <w:i/>
                <w:iCs/>
                <w:color w:val="000000"/>
                <w:sz w:val="18"/>
                <w:szCs w:val="18"/>
              </w:rPr>
            </w:pPr>
          </w:p>
        </w:tc>
      </w:tr>
      <w:tr w14:paraId="601570BE">
        <w:tblPrEx>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58EC0E32">
            <w:pPr>
              <w:jc w:val="center"/>
              <w:rPr>
                <w:rFonts w:hint="eastAsia"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6E853C3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单位资金</w:t>
            </w:r>
          </w:p>
        </w:tc>
        <w:tc>
          <w:tcPr>
            <w:tcW w:w="627" w:type="pct"/>
            <w:tcBorders>
              <w:top w:val="single" w:color="000000" w:sz="4" w:space="0"/>
              <w:left w:val="single" w:color="000000" w:sz="4" w:space="0"/>
              <w:bottom w:val="single" w:color="000000" w:sz="4" w:space="0"/>
              <w:right w:val="single" w:color="000000" w:sz="4" w:space="0"/>
            </w:tcBorders>
            <w:vAlign w:val="center"/>
          </w:tcPr>
          <w:p w14:paraId="30256AA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800" w:type="pct"/>
            <w:tcBorders>
              <w:top w:val="single" w:color="000000" w:sz="4" w:space="0"/>
              <w:left w:val="single" w:color="000000" w:sz="4" w:space="0"/>
              <w:bottom w:val="single" w:color="000000" w:sz="4" w:space="0"/>
              <w:right w:val="single" w:color="000000" w:sz="4" w:space="0"/>
            </w:tcBorders>
            <w:vAlign w:val="center"/>
          </w:tcPr>
          <w:p w14:paraId="4DFCD50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962" w:type="pct"/>
            <w:gridSpan w:val="3"/>
            <w:tcBorders>
              <w:top w:val="single" w:color="000000" w:sz="4" w:space="0"/>
              <w:left w:val="single" w:color="000000" w:sz="4" w:space="0"/>
              <w:bottom w:val="single" w:color="000000" w:sz="4" w:space="0"/>
              <w:right w:val="single" w:color="000000" w:sz="4" w:space="0"/>
            </w:tcBorders>
            <w:vAlign w:val="center"/>
          </w:tcPr>
          <w:p w14:paraId="41E3258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386" w:type="pct"/>
            <w:tcBorders>
              <w:top w:val="single" w:color="000000" w:sz="4" w:space="0"/>
              <w:left w:val="single" w:color="000000" w:sz="4" w:space="0"/>
              <w:bottom w:val="single" w:color="000000" w:sz="4" w:space="0"/>
              <w:right w:val="single" w:color="000000" w:sz="4" w:space="0"/>
            </w:tcBorders>
            <w:vAlign w:val="center"/>
          </w:tcPr>
          <w:p w14:paraId="2776DFF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0.00%</w:t>
            </w:r>
          </w:p>
        </w:tc>
        <w:tc>
          <w:tcPr>
            <w:tcW w:w="178" w:type="pct"/>
            <w:tcBorders>
              <w:top w:val="single" w:color="000000" w:sz="4" w:space="0"/>
              <w:left w:val="single" w:color="000000" w:sz="4" w:space="0"/>
              <w:bottom w:val="single" w:color="000000" w:sz="4" w:space="0"/>
              <w:right w:val="single" w:color="000000" w:sz="4" w:space="0"/>
            </w:tcBorders>
            <w:vAlign w:val="center"/>
          </w:tcPr>
          <w:p w14:paraId="0D6313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1" w:type="pct"/>
            <w:tcBorders>
              <w:top w:val="single" w:color="000000" w:sz="4" w:space="0"/>
              <w:left w:val="single" w:color="000000" w:sz="4" w:space="0"/>
              <w:bottom w:val="single" w:color="000000" w:sz="4" w:space="0"/>
              <w:right w:val="single" w:color="000000" w:sz="4" w:space="0"/>
            </w:tcBorders>
            <w:vAlign w:val="center"/>
          </w:tcPr>
          <w:p w14:paraId="5F17348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904" w:type="pct"/>
            <w:vMerge w:val="continue"/>
            <w:tcBorders>
              <w:top w:val="single" w:color="000000" w:sz="4" w:space="0"/>
              <w:left w:val="single" w:color="000000" w:sz="4" w:space="0"/>
              <w:bottom w:val="single" w:color="000000" w:sz="4" w:space="0"/>
              <w:right w:val="single" w:color="000000" w:sz="4" w:space="0"/>
            </w:tcBorders>
            <w:vAlign w:val="center"/>
          </w:tcPr>
          <w:p w14:paraId="1FFCFE84">
            <w:pPr>
              <w:rPr>
                <w:rFonts w:ascii="黑体" w:hAnsi="黑体" w:eastAsia="黑体" w:cs="黑体"/>
                <w:i/>
                <w:iCs/>
                <w:color w:val="000000"/>
                <w:sz w:val="18"/>
                <w:szCs w:val="18"/>
              </w:rPr>
            </w:pPr>
          </w:p>
        </w:tc>
      </w:tr>
      <w:tr w14:paraId="58C549B6">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73D989FC">
            <w:pPr>
              <w:jc w:val="center"/>
              <w:rPr>
                <w:rFonts w:hint="eastAsia"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3A6131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其他资金</w:t>
            </w:r>
          </w:p>
        </w:tc>
        <w:tc>
          <w:tcPr>
            <w:tcW w:w="627" w:type="pct"/>
            <w:tcBorders>
              <w:top w:val="single" w:color="000000" w:sz="4" w:space="0"/>
              <w:left w:val="single" w:color="000000" w:sz="4" w:space="0"/>
              <w:bottom w:val="single" w:color="000000" w:sz="4" w:space="0"/>
              <w:right w:val="single" w:color="000000" w:sz="4" w:space="0"/>
            </w:tcBorders>
            <w:vAlign w:val="center"/>
          </w:tcPr>
          <w:p w14:paraId="0094FD78">
            <w:pPr>
              <w:jc w:val="center"/>
              <w:rPr>
                <w:rFonts w:ascii="微软雅黑" w:hAnsi="微软雅黑" w:eastAsia="微软雅黑" w:cs="微软雅黑"/>
                <w:i/>
                <w:iCs/>
                <w:color w:val="000000"/>
                <w:sz w:val="16"/>
                <w:szCs w:val="16"/>
              </w:rPr>
            </w:pPr>
          </w:p>
        </w:tc>
        <w:tc>
          <w:tcPr>
            <w:tcW w:w="800" w:type="pct"/>
            <w:tcBorders>
              <w:top w:val="single" w:color="000000" w:sz="4" w:space="0"/>
              <w:left w:val="single" w:color="000000" w:sz="4" w:space="0"/>
              <w:bottom w:val="single" w:color="000000" w:sz="4" w:space="0"/>
              <w:right w:val="single" w:color="000000" w:sz="4" w:space="0"/>
            </w:tcBorders>
            <w:vAlign w:val="center"/>
          </w:tcPr>
          <w:p w14:paraId="6F9FEB57">
            <w:pPr>
              <w:jc w:val="center"/>
              <w:rPr>
                <w:rFonts w:ascii="微软雅黑" w:hAnsi="微软雅黑" w:eastAsia="微软雅黑" w:cs="微软雅黑"/>
                <w:i/>
                <w:iCs/>
                <w:color w:val="000000"/>
                <w:sz w:val="16"/>
                <w:szCs w:val="16"/>
              </w:rPr>
            </w:pPr>
          </w:p>
        </w:tc>
        <w:tc>
          <w:tcPr>
            <w:tcW w:w="962" w:type="pct"/>
            <w:gridSpan w:val="3"/>
            <w:tcBorders>
              <w:top w:val="single" w:color="000000" w:sz="4" w:space="0"/>
              <w:left w:val="single" w:color="000000" w:sz="4" w:space="0"/>
              <w:bottom w:val="single" w:color="000000" w:sz="4" w:space="0"/>
              <w:right w:val="single" w:color="000000" w:sz="4" w:space="0"/>
            </w:tcBorders>
            <w:vAlign w:val="center"/>
          </w:tcPr>
          <w:p w14:paraId="116E2002">
            <w:pPr>
              <w:jc w:val="center"/>
              <w:rPr>
                <w:rFonts w:ascii="微软雅黑" w:hAnsi="微软雅黑" w:eastAsia="微软雅黑" w:cs="微软雅黑"/>
                <w:i/>
                <w:iCs/>
                <w:color w:val="000000"/>
                <w:sz w:val="16"/>
                <w:szCs w:val="16"/>
              </w:rPr>
            </w:pPr>
          </w:p>
        </w:tc>
        <w:tc>
          <w:tcPr>
            <w:tcW w:w="386" w:type="pct"/>
            <w:tcBorders>
              <w:top w:val="single" w:color="000000" w:sz="4" w:space="0"/>
              <w:left w:val="single" w:color="000000" w:sz="4" w:space="0"/>
              <w:bottom w:val="single" w:color="000000" w:sz="4" w:space="0"/>
              <w:right w:val="single" w:color="000000" w:sz="4" w:space="0"/>
            </w:tcBorders>
            <w:vAlign w:val="center"/>
          </w:tcPr>
          <w:p w14:paraId="6A2E5A3E">
            <w:pPr>
              <w:jc w:val="center"/>
              <w:rPr>
                <w:rFonts w:ascii="微软雅黑" w:hAnsi="微软雅黑" w:eastAsia="微软雅黑" w:cs="微软雅黑"/>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vAlign w:val="center"/>
          </w:tcPr>
          <w:p w14:paraId="19584D7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171" w:type="pct"/>
            <w:tcBorders>
              <w:top w:val="single" w:color="000000" w:sz="4" w:space="0"/>
              <w:left w:val="single" w:color="000000" w:sz="4" w:space="0"/>
              <w:bottom w:val="single" w:color="000000" w:sz="4" w:space="0"/>
              <w:right w:val="single" w:color="000000" w:sz="4" w:space="0"/>
            </w:tcBorders>
            <w:vAlign w:val="center"/>
          </w:tcPr>
          <w:p w14:paraId="01B98FB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904" w:type="pct"/>
            <w:vMerge w:val="continue"/>
            <w:tcBorders>
              <w:top w:val="single" w:color="000000" w:sz="4" w:space="0"/>
              <w:left w:val="single" w:color="000000" w:sz="4" w:space="0"/>
              <w:bottom w:val="single" w:color="000000" w:sz="4" w:space="0"/>
              <w:right w:val="single" w:color="000000" w:sz="4" w:space="0"/>
            </w:tcBorders>
            <w:vAlign w:val="center"/>
          </w:tcPr>
          <w:p w14:paraId="23600148">
            <w:pPr>
              <w:rPr>
                <w:rFonts w:ascii="黑体" w:hAnsi="黑体" w:eastAsia="黑体" w:cs="黑体"/>
                <w:i/>
                <w:iCs/>
                <w:color w:val="000000"/>
                <w:sz w:val="18"/>
                <w:szCs w:val="18"/>
              </w:rPr>
            </w:pPr>
          </w:p>
        </w:tc>
      </w:tr>
      <w:tr w14:paraId="1DD3159A">
        <w:tblPrEx>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vAlign w:val="center"/>
          </w:tcPr>
          <w:p w14:paraId="655C1B3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绩效指标（90分）</w:t>
            </w:r>
          </w:p>
        </w:tc>
        <w:tc>
          <w:tcPr>
            <w:tcW w:w="725" w:type="pct"/>
            <w:tcBorders>
              <w:top w:val="single" w:color="000000" w:sz="4" w:space="0"/>
              <w:left w:val="single" w:color="000000" w:sz="4" w:space="0"/>
              <w:bottom w:val="single" w:color="000000" w:sz="4" w:space="0"/>
              <w:right w:val="single" w:color="000000" w:sz="4" w:space="0"/>
            </w:tcBorders>
            <w:vAlign w:val="center"/>
          </w:tcPr>
          <w:p w14:paraId="7B977CA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一级指标</w:t>
            </w:r>
          </w:p>
        </w:tc>
        <w:tc>
          <w:tcPr>
            <w:tcW w:w="627" w:type="pct"/>
            <w:tcBorders>
              <w:top w:val="single" w:color="000000" w:sz="4" w:space="0"/>
              <w:left w:val="single" w:color="000000" w:sz="4" w:space="0"/>
              <w:bottom w:val="single" w:color="000000" w:sz="4" w:space="0"/>
              <w:right w:val="single" w:color="000000" w:sz="4" w:space="0"/>
            </w:tcBorders>
            <w:vAlign w:val="center"/>
          </w:tcPr>
          <w:p w14:paraId="57E09E6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二级指标</w:t>
            </w:r>
          </w:p>
        </w:tc>
        <w:tc>
          <w:tcPr>
            <w:tcW w:w="800" w:type="pct"/>
            <w:tcBorders>
              <w:top w:val="single" w:color="000000" w:sz="4" w:space="0"/>
              <w:left w:val="single" w:color="000000" w:sz="4" w:space="0"/>
              <w:bottom w:val="single" w:color="000000" w:sz="4" w:space="0"/>
              <w:right w:val="single" w:color="000000" w:sz="4" w:space="0"/>
            </w:tcBorders>
            <w:vAlign w:val="center"/>
          </w:tcPr>
          <w:p w14:paraId="1DA537F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三级指标</w:t>
            </w:r>
          </w:p>
        </w:tc>
        <w:tc>
          <w:tcPr>
            <w:tcW w:w="184" w:type="pct"/>
            <w:tcBorders>
              <w:top w:val="single" w:color="000000" w:sz="4" w:space="0"/>
              <w:left w:val="single" w:color="000000" w:sz="4" w:space="0"/>
              <w:bottom w:val="single" w:color="000000" w:sz="4" w:space="0"/>
              <w:right w:val="single" w:color="000000" w:sz="4" w:space="0"/>
            </w:tcBorders>
            <w:vAlign w:val="center"/>
          </w:tcPr>
          <w:p w14:paraId="3D060B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指标性质</w:t>
            </w:r>
          </w:p>
        </w:tc>
        <w:tc>
          <w:tcPr>
            <w:tcW w:w="592" w:type="pct"/>
            <w:tcBorders>
              <w:top w:val="single" w:color="000000" w:sz="4" w:space="0"/>
              <w:left w:val="single" w:color="000000" w:sz="4" w:space="0"/>
              <w:bottom w:val="single" w:color="000000" w:sz="4" w:space="0"/>
              <w:right w:val="single" w:color="000000" w:sz="4" w:space="0"/>
            </w:tcBorders>
            <w:vAlign w:val="center"/>
          </w:tcPr>
          <w:p w14:paraId="1949F12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指标值</w:t>
            </w:r>
          </w:p>
        </w:tc>
        <w:tc>
          <w:tcPr>
            <w:tcW w:w="185" w:type="pct"/>
            <w:tcBorders>
              <w:top w:val="single" w:color="000000" w:sz="4" w:space="0"/>
              <w:left w:val="single" w:color="000000" w:sz="4" w:space="0"/>
              <w:bottom w:val="single" w:color="000000" w:sz="4" w:space="0"/>
              <w:right w:val="single" w:color="000000" w:sz="4" w:space="0"/>
            </w:tcBorders>
            <w:vAlign w:val="center"/>
          </w:tcPr>
          <w:p w14:paraId="15D1AFA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度量单位</w:t>
            </w:r>
          </w:p>
        </w:tc>
        <w:tc>
          <w:tcPr>
            <w:tcW w:w="386" w:type="pct"/>
            <w:tcBorders>
              <w:top w:val="single" w:color="000000" w:sz="4" w:space="0"/>
              <w:left w:val="single" w:color="000000" w:sz="4" w:space="0"/>
              <w:bottom w:val="single" w:color="000000" w:sz="4" w:space="0"/>
              <w:right w:val="single" w:color="000000" w:sz="4" w:space="0"/>
            </w:tcBorders>
            <w:vAlign w:val="center"/>
          </w:tcPr>
          <w:p w14:paraId="586B2FC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完成值</w:t>
            </w:r>
          </w:p>
        </w:tc>
        <w:tc>
          <w:tcPr>
            <w:tcW w:w="178" w:type="pct"/>
            <w:tcBorders>
              <w:top w:val="single" w:color="000000" w:sz="4" w:space="0"/>
              <w:left w:val="single" w:color="000000" w:sz="4" w:space="0"/>
              <w:bottom w:val="single" w:color="000000" w:sz="4" w:space="0"/>
              <w:right w:val="single" w:color="000000" w:sz="4" w:space="0"/>
            </w:tcBorders>
            <w:vAlign w:val="center"/>
          </w:tcPr>
          <w:p w14:paraId="606AB7C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权重</w:t>
            </w:r>
          </w:p>
        </w:tc>
        <w:tc>
          <w:tcPr>
            <w:tcW w:w="171" w:type="pct"/>
            <w:tcBorders>
              <w:top w:val="single" w:color="000000" w:sz="4" w:space="0"/>
              <w:left w:val="single" w:color="000000" w:sz="4" w:space="0"/>
              <w:bottom w:val="single" w:color="000000" w:sz="4" w:space="0"/>
              <w:right w:val="single" w:color="000000" w:sz="4" w:space="0"/>
            </w:tcBorders>
            <w:vAlign w:val="center"/>
          </w:tcPr>
          <w:p w14:paraId="1B7A0B6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得分</w:t>
            </w:r>
          </w:p>
        </w:tc>
        <w:tc>
          <w:tcPr>
            <w:tcW w:w="904" w:type="pct"/>
            <w:tcBorders>
              <w:top w:val="single" w:color="000000" w:sz="4" w:space="0"/>
              <w:left w:val="single" w:color="000000" w:sz="4" w:space="0"/>
              <w:bottom w:val="single" w:color="000000" w:sz="4" w:space="0"/>
              <w:right w:val="single" w:color="000000" w:sz="4" w:space="0"/>
            </w:tcBorders>
            <w:vAlign w:val="center"/>
          </w:tcPr>
          <w:p w14:paraId="5E4B70E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未完成原因分析</w:t>
            </w:r>
          </w:p>
        </w:tc>
      </w:tr>
      <w:tr w14:paraId="083E167E">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3BBECD31">
            <w:pPr>
              <w:jc w:val="center"/>
              <w:rPr>
                <w:rFonts w:hint="eastAsia" w:ascii="宋体" w:hAnsi="宋体" w:cs="宋体"/>
                <w:color w:val="000000"/>
                <w:sz w:val="18"/>
                <w:szCs w:val="18"/>
              </w:rPr>
            </w:pPr>
          </w:p>
        </w:tc>
        <w:tc>
          <w:tcPr>
            <w:tcW w:w="725" w:type="pct"/>
            <w:vMerge w:val="restart"/>
            <w:tcBorders>
              <w:top w:val="single" w:color="000000" w:sz="4" w:space="0"/>
              <w:left w:val="single" w:color="000000" w:sz="4" w:space="0"/>
              <w:bottom w:val="single" w:color="000000" w:sz="4" w:space="0"/>
              <w:right w:val="single" w:color="000000" w:sz="4" w:space="0"/>
            </w:tcBorders>
            <w:vAlign w:val="center"/>
          </w:tcPr>
          <w:p w14:paraId="7A9BBB9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产出指标</w:t>
            </w:r>
          </w:p>
        </w:tc>
        <w:tc>
          <w:tcPr>
            <w:tcW w:w="627" w:type="pct"/>
            <w:tcBorders>
              <w:top w:val="single" w:color="000000" w:sz="4" w:space="0"/>
              <w:left w:val="single" w:color="000000" w:sz="4" w:space="0"/>
              <w:bottom w:val="single" w:color="000000" w:sz="4" w:space="0"/>
              <w:right w:val="single" w:color="000000" w:sz="4" w:space="0"/>
            </w:tcBorders>
            <w:vAlign w:val="center"/>
          </w:tcPr>
          <w:p w14:paraId="19A0FE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数量指标</w:t>
            </w:r>
          </w:p>
        </w:tc>
        <w:tc>
          <w:tcPr>
            <w:tcW w:w="800" w:type="pct"/>
            <w:tcBorders>
              <w:top w:val="single" w:color="000000" w:sz="4" w:space="0"/>
              <w:left w:val="single" w:color="000000" w:sz="4" w:space="0"/>
              <w:bottom w:val="single" w:color="000000" w:sz="4" w:space="0"/>
              <w:right w:val="single" w:color="000000" w:sz="4" w:space="0"/>
            </w:tcBorders>
            <w:vAlign w:val="center"/>
          </w:tcPr>
          <w:p w14:paraId="5581E17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实施子项目</w:t>
            </w:r>
          </w:p>
        </w:tc>
        <w:tc>
          <w:tcPr>
            <w:tcW w:w="184" w:type="pct"/>
            <w:tcBorders>
              <w:top w:val="single" w:color="000000" w:sz="4" w:space="0"/>
              <w:left w:val="single" w:color="000000" w:sz="4" w:space="0"/>
              <w:bottom w:val="single" w:color="000000" w:sz="4" w:space="0"/>
              <w:right w:val="single" w:color="000000" w:sz="4" w:space="0"/>
            </w:tcBorders>
            <w:vAlign w:val="center"/>
          </w:tcPr>
          <w:p w14:paraId="7B7E0D5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05C07C7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w:t>
            </w:r>
          </w:p>
        </w:tc>
        <w:tc>
          <w:tcPr>
            <w:tcW w:w="185" w:type="pct"/>
            <w:tcBorders>
              <w:top w:val="single" w:color="000000" w:sz="4" w:space="0"/>
              <w:left w:val="single" w:color="000000" w:sz="4" w:space="0"/>
              <w:bottom w:val="single" w:color="000000" w:sz="4" w:space="0"/>
              <w:right w:val="single" w:color="000000" w:sz="4" w:space="0"/>
            </w:tcBorders>
            <w:vAlign w:val="center"/>
          </w:tcPr>
          <w:p w14:paraId="5961DBA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个</w:t>
            </w:r>
          </w:p>
        </w:tc>
        <w:tc>
          <w:tcPr>
            <w:tcW w:w="386" w:type="pct"/>
            <w:tcBorders>
              <w:top w:val="single" w:color="000000" w:sz="4" w:space="0"/>
              <w:left w:val="single" w:color="000000" w:sz="4" w:space="0"/>
              <w:bottom w:val="single" w:color="000000" w:sz="4" w:space="0"/>
              <w:right w:val="single" w:color="000000" w:sz="4" w:space="0"/>
            </w:tcBorders>
            <w:vAlign w:val="center"/>
          </w:tcPr>
          <w:p w14:paraId="5975CAB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w:t>
            </w:r>
          </w:p>
        </w:tc>
        <w:tc>
          <w:tcPr>
            <w:tcW w:w="178" w:type="pct"/>
            <w:tcBorders>
              <w:top w:val="single" w:color="000000" w:sz="4" w:space="0"/>
              <w:left w:val="single" w:color="000000" w:sz="4" w:space="0"/>
              <w:bottom w:val="single" w:color="000000" w:sz="4" w:space="0"/>
              <w:right w:val="single" w:color="000000" w:sz="4" w:space="0"/>
            </w:tcBorders>
            <w:vAlign w:val="center"/>
          </w:tcPr>
          <w:p w14:paraId="5B43921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171" w:type="pct"/>
            <w:tcBorders>
              <w:top w:val="single" w:color="000000" w:sz="4" w:space="0"/>
              <w:left w:val="single" w:color="000000" w:sz="4" w:space="0"/>
              <w:bottom w:val="single" w:color="000000" w:sz="4" w:space="0"/>
              <w:right w:val="single" w:color="000000" w:sz="4" w:space="0"/>
            </w:tcBorders>
            <w:vAlign w:val="center"/>
          </w:tcPr>
          <w:p w14:paraId="5479614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904" w:type="pct"/>
            <w:tcBorders>
              <w:top w:val="single" w:color="000000" w:sz="4" w:space="0"/>
              <w:left w:val="single" w:color="000000" w:sz="4" w:space="0"/>
              <w:bottom w:val="single" w:color="000000" w:sz="4" w:space="0"/>
              <w:right w:val="single" w:color="000000" w:sz="4" w:space="0"/>
            </w:tcBorders>
            <w:vAlign w:val="center"/>
          </w:tcPr>
          <w:p w14:paraId="11166E76">
            <w:pPr>
              <w:jc w:val="center"/>
              <w:rPr>
                <w:rFonts w:ascii="微软雅黑" w:hAnsi="微软雅黑" w:eastAsia="微软雅黑" w:cs="微软雅黑"/>
                <w:i/>
                <w:iCs/>
                <w:color w:val="000000"/>
                <w:sz w:val="16"/>
                <w:szCs w:val="16"/>
              </w:rPr>
            </w:pPr>
          </w:p>
        </w:tc>
      </w:tr>
      <w:tr w14:paraId="2D522950">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1E883A53">
            <w:pPr>
              <w:jc w:val="center"/>
              <w:rPr>
                <w:rFonts w:hint="eastAsia"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vAlign w:val="center"/>
          </w:tcPr>
          <w:p w14:paraId="7E540375">
            <w:pPr>
              <w:jc w:val="center"/>
              <w:rPr>
                <w:rFonts w:hint="eastAsia" w:ascii="宋体" w:hAnsi="宋体" w:cs="宋体"/>
                <w:color w:val="000000"/>
                <w:sz w:val="18"/>
                <w:szCs w:val="18"/>
              </w:rPr>
            </w:pPr>
          </w:p>
        </w:tc>
        <w:tc>
          <w:tcPr>
            <w:tcW w:w="627" w:type="pct"/>
            <w:tcBorders>
              <w:top w:val="single" w:color="000000" w:sz="4" w:space="0"/>
              <w:left w:val="single" w:color="000000" w:sz="4" w:space="0"/>
              <w:bottom w:val="single" w:color="000000" w:sz="4" w:space="0"/>
              <w:right w:val="single" w:color="000000" w:sz="4" w:space="0"/>
            </w:tcBorders>
            <w:vAlign w:val="center"/>
          </w:tcPr>
          <w:p w14:paraId="21813FD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质量指标</w:t>
            </w:r>
          </w:p>
        </w:tc>
        <w:tc>
          <w:tcPr>
            <w:tcW w:w="800" w:type="pct"/>
            <w:tcBorders>
              <w:top w:val="single" w:color="000000" w:sz="4" w:space="0"/>
              <w:left w:val="single" w:color="000000" w:sz="4" w:space="0"/>
              <w:bottom w:val="single" w:color="000000" w:sz="4" w:space="0"/>
              <w:right w:val="single" w:color="000000" w:sz="4" w:space="0"/>
            </w:tcBorders>
            <w:vAlign w:val="center"/>
          </w:tcPr>
          <w:p w14:paraId="622F9B4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项目验收合格率</w:t>
            </w:r>
          </w:p>
        </w:tc>
        <w:tc>
          <w:tcPr>
            <w:tcW w:w="184" w:type="pct"/>
            <w:tcBorders>
              <w:top w:val="single" w:color="000000" w:sz="4" w:space="0"/>
              <w:left w:val="single" w:color="000000" w:sz="4" w:space="0"/>
              <w:bottom w:val="single" w:color="000000" w:sz="4" w:space="0"/>
              <w:right w:val="single" w:color="000000" w:sz="4" w:space="0"/>
            </w:tcBorders>
            <w:vAlign w:val="center"/>
          </w:tcPr>
          <w:p w14:paraId="7EB025A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0B490A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95</w:t>
            </w:r>
          </w:p>
        </w:tc>
        <w:tc>
          <w:tcPr>
            <w:tcW w:w="185" w:type="pct"/>
            <w:tcBorders>
              <w:top w:val="single" w:color="000000" w:sz="4" w:space="0"/>
              <w:left w:val="single" w:color="000000" w:sz="4" w:space="0"/>
              <w:bottom w:val="single" w:color="000000" w:sz="4" w:space="0"/>
              <w:right w:val="single" w:color="000000" w:sz="4" w:space="0"/>
            </w:tcBorders>
            <w:vAlign w:val="center"/>
          </w:tcPr>
          <w:p w14:paraId="2D0D7AB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386" w:type="pct"/>
            <w:tcBorders>
              <w:top w:val="single" w:color="000000" w:sz="4" w:space="0"/>
              <w:left w:val="single" w:color="000000" w:sz="4" w:space="0"/>
              <w:bottom w:val="single" w:color="000000" w:sz="4" w:space="0"/>
              <w:right w:val="single" w:color="000000" w:sz="4" w:space="0"/>
            </w:tcBorders>
            <w:vAlign w:val="center"/>
          </w:tcPr>
          <w:p w14:paraId="7145036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95</w:t>
            </w:r>
          </w:p>
        </w:tc>
        <w:tc>
          <w:tcPr>
            <w:tcW w:w="178" w:type="pct"/>
            <w:tcBorders>
              <w:top w:val="single" w:color="000000" w:sz="4" w:space="0"/>
              <w:left w:val="single" w:color="000000" w:sz="4" w:space="0"/>
              <w:bottom w:val="single" w:color="000000" w:sz="4" w:space="0"/>
              <w:right w:val="single" w:color="000000" w:sz="4" w:space="0"/>
            </w:tcBorders>
            <w:vAlign w:val="center"/>
          </w:tcPr>
          <w:p w14:paraId="2DFC148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171" w:type="pct"/>
            <w:tcBorders>
              <w:top w:val="single" w:color="000000" w:sz="4" w:space="0"/>
              <w:left w:val="single" w:color="000000" w:sz="4" w:space="0"/>
              <w:bottom w:val="single" w:color="000000" w:sz="4" w:space="0"/>
              <w:right w:val="single" w:color="000000" w:sz="4" w:space="0"/>
            </w:tcBorders>
            <w:vAlign w:val="center"/>
          </w:tcPr>
          <w:p w14:paraId="0D24588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904" w:type="pct"/>
            <w:tcBorders>
              <w:top w:val="single" w:color="000000" w:sz="4" w:space="0"/>
              <w:left w:val="single" w:color="000000" w:sz="4" w:space="0"/>
              <w:bottom w:val="single" w:color="000000" w:sz="4" w:space="0"/>
              <w:right w:val="single" w:color="000000" w:sz="4" w:space="0"/>
            </w:tcBorders>
            <w:vAlign w:val="center"/>
          </w:tcPr>
          <w:p w14:paraId="149B5802">
            <w:pPr>
              <w:jc w:val="center"/>
              <w:rPr>
                <w:rFonts w:ascii="微软雅黑" w:hAnsi="微软雅黑" w:eastAsia="微软雅黑" w:cs="微软雅黑"/>
                <w:i/>
                <w:iCs/>
                <w:color w:val="000000"/>
                <w:sz w:val="16"/>
                <w:szCs w:val="16"/>
              </w:rPr>
            </w:pPr>
          </w:p>
        </w:tc>
      </w:tr>
      <w:tr w14:paraId="490898DD">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5EA51EBE">
            <w:pPr>
              <w:jc w:val="center"/>
              <w:rPr>
                <w:rFonts w:hint="eastAsia"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vAlign w:val="center"/>
          </w:tcPr>
          <w:p w14:paraId="55667623">
            <w:pPr>
              <w:jc w:val="center"/>
              <w:rPr>
                <w:rFonts w:hint="eastAsia" w:ascii="宋体" w:hAnsi="宋体" w:cs="宋体"/>
                <w:color w:val="000000"/>
                <w:sz w:val="18"/>
                <w:szCs w:val="18"/>
              </w:rPr>
            </w:pPr>
          </w:p>
        </w:tc>
        <w:tc>
          <w:tcPr>
            <w:tcW w:w="627" w:type="pct"/>
            <w:tcBorders>
              <w:top w:val="single" w:color="000000" w:sz="4" w:space="0"/>
              <w:left w:val="single" w:color="000000" w:sz="4" w:space="0"/>
              <w:bottom w:val="single" w:color="000000" w:sz="4" w:space="0"/>
              <w:right w:val="single" w:color="000000" w:sz="4" w:space="0"/>
            </w:tcBorders>
            <w:vAlign w:val="center"/>
          </w:tcPr>
          <w:p w14:paraId="5F1F1C8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时效指标</w:t>
            </w:r>
          </w:p>
        </w:tc>
        <w:tc>
          <w:tcPr>
            <w:tcW w:w="800" w:type="pct"/>
            <w:tcBorders>
              <w:top w:val="single" w:color="000000" w:sz="4" w:space="0"/>
              <w:left w:val="single" w:color="000000" w:sz="4" w:space="0"/>
              <w:bottom w:val="single" w:color="000000" w:sz="4" w:space="0"/>
              <w:right w:val="single" w:color="000000" w:sz="4" w:space="0"/>
            </w:tcBorders>
            <w:vAlign w:val="center"/>
          </w:tcPr>
          <w:p w14:paraId="5CAB4A5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项目完成时间</w:t>
            </w:r>
          </w:p>
        </w:tc>
        <w:tc>
          <w:tcPr>
            <w:tcW w:w="184" w:type="pct"/>
            <w:tcBorders>
              <w:top w:val="single" w:color="000000" w:sz="4" w:space="0"/>
              <w:left w:val="single" w:color="000000" w:sz="4" w:space="0"/>
              <w:bottom w:val="single" w:color="000000" w:sz="4" w:space="0"/>
              <w:right w:val="single" w:color="000000" w:sz="4" w:space="0"/>
            </w:tcBorders>
            <w:vAlign w:val="center"/>
          </w:tcPr>
          <w:p w14:paraId="6C0779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28A0A4D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185" w:type="pct"/>
            <w:tcBorders>
              <w:top w:val="single" w:color="000000" w:sz="4" w:space="0"/>
              <w:left w:val="single" w:color="000000" w:sz="4" w:space="0"/>
              <w:bottom w:val="single" w:color="000000" w:sz="4" w:space="0"/>
              <w:right w:val="single" w:color="000000" w:sz="4" w:space="0"/>
            </w:tcBorders>
            <w:vAlign w:val="center"/>
          </w:tcPr>
          <w:p w14:paraId="4344CEC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月</w:t>
            </w:r>
          </w:p>
        </w:tc>
        <w:tc>
          <w:tcPr>
            <w:tcW w:w="386" w:type="pct"/>
            <w:tcBorders>
              <w:top w:val="single" w:color="000000" w:sz="4" w:space="0"/>
              <w:left w:val="single" w:color="000000" w:sz="4" w:space="0"/>
              <w:bottom w:val="single" w:color="000000" w:sz="4" w:space="0"/>
              <w:right w:val="single" w:color="000000" w:sz="4" w:space="0"/>
            </w:tcBorders>
            <w:vAlign w:val="center"/>
          </w:tcPr>
          <w:p w14:paraId="64DB084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12</w:t>
            </w:r>
          </w:p>
        </w:tc>
        <w:tc>
          <w:tcPr>
            <w:tcW w:w="178" w:type="pct"/>
            <w:tcBorders>
              <w:top w:val="single" w:color="000000" w:sz="4" w:space="0"/>
              <w:left w:val="single" w:color="000000" w:sz="4" w:space="0"/>
              <w:bottom w:val="single" w:color="000000" w:sz="4" w:space="0"/>
              <w:right w:val="single" w:color="000000" w:sz="4" w:space="0"/>
            </w:tcBorders>
            <w:vAlign w:val="center"/>
          </w:tcPr>
          <w:p w14:paraId="1B3DBA8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171" w:type="pct"/>
            <w:tcBorders>
              <w:top w:val="single" w:color="000000" w:sz="4" w:space="0"/>
              <w:left w:val="single" w:color="000000" w:sz="4" w:space="0"/>
              <w:bottom w:val="single" w:color="000000" w:sz="4" w:space="0"/>
              <w:right w:val="single" w:color="000000" w:sz="4" w:space="0"/>
            </w:tcBorders>
            <w:vAlign w:val="center"/>
          </w:tcPr>
          <w:p w14:paraId="05F1B15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15</w:t>
            </w:r>
          </w:p>
        </w:tc>
        <w:tc>
          <w:tcPr>
            <w:tcW w:w="904" w:type="pct"/>
            <w:tcBorders>
              <w:top w:val="single" w:color="000000" w:sz="4" w:space="0"/>
              <w:left w:val="single" w:color="000000" w:sz="4" w:space="0"/>
              <w:bottom w:val="single" w:color="000000" w:sz="4" w:space="0"/>
              <w:right w:val="single" w:color="000000" w:sz="4" w:space="0"/>
            </w:tcBorders>
            <w:vAlign w:val="center"/>
          </w:tcPr>
          <w:p w14:paraId="77473D50">
            <w:pPr>
              <w:jc w:val="center"/>
              <w:rPr>
                <w:rFonts w:ascii="微软雅黑" w:hAnsi="微软雅黑" w:eastAsia="微软雅黑" w:cs="微软雅黑"/>
                <w:i/>
                <w:iCs/>
                <w:color w:val="000000"/>
                <w:sz w:val="16"/>
                <w:szCs w:val="16"/>
              </w:rPr>
            </w:pPr>
          </w:p>
        </w:tc>
      </w:tr>
      <w:tr w14:paraId="1E3CEB01">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30FB7EBE">
            <w:pPr>
              <w:jc w:val="center"/>
              <w:rPr>
                <w:rFonts w:hint="eastAsia"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1D535BB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效益指标</w:t>
            </w:r>
          </w:p>
        </w:tc>
        <w:tc>
          <w:tcPr>
            <w:tcW w:w="627" w:type="pct"/>
            <w:tcBorders>
              <w:top w:val="single" w:color="000000" w:sz="4" w:space="0"/>
              <w:left w:val="single" w:color="000000" w:sz="4" w:space="0"/>
              <w:bottom w:val="single" w:color="000000" w:sz="4" w:space="0"/>
              <w:right w:val="single" w:color="000000" w:sz="4" w:space="0"/>
            </w:tcBorders>
            <w:vAlign w:val="center"/>
          </w:tcPr>
          <w:p w14:paraId="3344823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经济效益指标</w:t>
            </w:r>
          </w:p>
        </w:tc>
        <w:tc>
          <w:tcPr>
            <w:tcW w:w="800" w:type="pct"/>
            <w:tcBorders>
              <w:top w:val="single" w:color="000000" w:sz="4" w:space="0"/>
              <w:left w:val="single" w:color="000000" w:sz="4" w:space="0"/>
              <w:bottom w:val="single" w:color="000000" w:sz="4" w:space="0"/>
              <w:right w:val="single" w:color="000000" w:sz="4" w:space="0"/>
            </w:tcBorders>
            <w:vAlign w:val="center"/>
          </w:tcPr>
          <w:p w14:paraId="7758828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完成投资额</w:t>
            </w:r>
          </w:p>
        </w:tc>
        <w:tc>
          <w:tcPr>
            <w:tcW w:w="184" w:type="pct"/>
            <w:tcBorders>
              <w:top w:val="single" w:color="000000" w:sz="4" w:space="0"/>
              <w:left w:val="single" w:color="000000" w:sz="4" w:space="0"/>
              <w:bottom w:val="single" w:color="000000" w:sz="4" w:space="0"/>
              <w:right w:val="single" w:color="000000" w:sz="4" w:space="0"/>
            </w:tcBorders>
            <w:vAlign w:val="center"/>
          </w:tcPr>
          <w:p w14:paraId="2E25A16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10771E0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800</w:t>
            </w:r>
          </w:p>
        </w:tc>
        <w:tc>
          <w:tcPr>
            <w:tcW w:w="185" w:type="pct"/>
            <w:tcBorders>
              <w:top w:val="single" w:color="000000" w:sz="4" w:space="0"/>
              <w:left w:val="single" w:color="000000" w:sz="4" w:space="0"/>
              <w:bottom w:val="single" w:color="000000" w:sz="4" w:space="0"/>
              <w:right w:val="single" w:color="000000" w:sz="4" w:space="0"/>
            </w:tcBorders>
            <w:vAlign w:val="center"/>
          </w:tcPr>
          <w:p w14:paraId="74B531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386" w:type="pct"/>
            <w:tcBorders>
              <w:top w:val="single" w:color="000000" w:sz="4" w:space="0"/>
              <w:left w:val="single" w:color="000000" w:sz="4" w:space="0"/>
              <w:bottom w:val="single" w:color="000000" w:sz="4" w:space="0"/>
              <w:right w:val="single" w:color="000000" w:sz="4" w:space="0"/>
            </w:tcBorders>
            <w:vAlign w:val="center"/>
          </w:tcPr>
          <w:p w14:paraId="4245B8E9">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800</w:t>
            </w:r>
          </w:p>
        </w:tc>
        <w:tc>
          <w:tcPr>
            <w:tcW w:w="178" w:type="pct"/>
            <w:tcBorders>
              <w:top w:val="single" w:color="000000" w:sz="4" w:space="0"/>
              <w:left w:val="single" w:color="000000" w:sz="4" w:space="0"/>
              <w:bottom w:val="single" w:color="000000" w:sz="4" w:space="0"/>
              <w:right w:val="single" w:color="000000" w:sz="4" w:space="0"/>
            </w:tcBorders>
            <w:vAlign w:val="center"/>
          </w:tcPr>
          <w:p w14:paraId="05C3D71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171" w:type="pct"/>
            <w:tcBorders>
              <w:top w:val="single" w:color="000000" w:sz="4" w:space="0"/>
              <w:left w:val="single" w:color="000000" w:sz="4" w:space="0"/>
              <w:bottom w:val="single" w:color="000000" w:sz="4" w:space="0"/>
              <w:right w:val="single" w:color="000000" w:sz="4" w:space="0"/>
            </w:tcBorders>
            <w:vAlign w:val="center"/>
          </w:tcPr>
          <w:p w14:paraId="76906F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20</w:t>
            </w:r>
          </w:p>
        </w:tc>
        <w:tc>
          <w:tcPr>
            <w:tcW w:w="904" w:type="pct"/>
            <w:tcBorders>
              <w:top w:val="single" w:color="000000" w:sz="4" w:space="0"/>
              <w:left w:val="single" w:color="000000" w:sz="4" w:space="0"/>
              <w:bottom w:val="single" w:color="000000" w:sz="4" w:space="0"/>
              <w:right w:val="single" w:color="000000" w:sz="4" w:space="0"/>
            </w:tcBorders>
            <w:vAlign w:val="center"/>
          </w:tcPr>
          <w:p w14:paraId="02070F81">
            <w:pPr>
              <w:jc w:val="center"/>
              <w:rPr>
                <w:rFonts w:ascii="微软雅黑" w:hAnsi="微软雅黑" w:eastAsia="微软雅黑" w:cs="微软雅黑"/>
                <w:i/>
                <w:iCs/>
                <w:color w:val="000000"/>
                <w:sz w:val="16"/>
                <w:szCs w:val="16"/>
              </w:rPr>
            </w:pPr>
          </w:p>
        </w:tc>
      </w:tr>
      <w:tr w14:paraId="1C856EB2">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772FF444">
            <w:pPr>
              <w:jc w:val="center"/>
              <w:rPr>
                <w:rFonts w:hint="eastAsia"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vAlign w:val="center"/>
          </w:tcPr>
          <w:p w14:paraId="4AEF666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满意度指标</w:t>
            </w:r>
          </w:p>
        </w:tc>
        <w:tc>
          <w:tcPr>
            <w:tcW w:w="627" w:type="pct"/>
            <w:tcBorders>
              <w:top w:val="single" w:color="000000" w:sz="4" w:space="0"/>
              <w:left w:val="single" w:color="000000" w:sz="4" w:space="0"/>
              <w:bottom w:val="single" w:color="000000" w:sz="4" w:space="0"/>
              <w:right w:val="single" w:color="000000" w:sz="4" w:space="0"/>
            </w:tcBorders>
            <w:vAlign w:val="center"/>
          </w:tcPr>
          <w:p w14:paraId="1555776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服务对象满意度指标</w:t>
            </w:r>
          </w:p>
        </w:tc>
        <w:tc>
          <w:tcPr>
            <w:tcW w:w="800" w:type="pct"/>
            <w:tcBorders>
              <w:top w:val="single" w:color="000000" w:sz="4" w:space="0"/>
              <w:left w:val="single" w:color="000000" w:sz="4" w:space="0"/>
              <w:bottom w:val="single" w:color="000000" w:sz="4" w:space="0"/>
              <w:right w:val="single" w:color="000000" w:sz="4" w:space="0"/>
            </w:tcBorders>
            <w:vAlign w:val="center"/>
          </w:tcPr>
          <w:p w14:paraId="35D0A3A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服务对象满意率</w:t>
            </w:r>
          </w:p>
        </w:tc>
        <w:tc>
          <w:tcPr>
            <w:tcW w:w="184" w:type="pct"/>
            <w:tcBorders>
              <w:top w:val="single" w:color="000000" w:sz="4" w:space="0"/>
              <w:left w:val="single" w:color="000000" w:sz="4" w:space="0"/>
              <w:bottom w:val="single" w:color="000000" w:sz="4" w:space="0"/>
              <w:right w:val="single" w:color="000000" w:sz="4" w:space="0"/>
            </w:tcBorders>
            <w:vAlign w:val="center"/>
          </w:tcPr>
          <w:p w14:paraId="4DE0263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1BBB95F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98</w:t>
            </w:r>
          </w:p>
        </w:tc>
        <w:tc>
          <w:tcPr>
            <w:tcW w:w="185" w:type="pct"/>
            <w:tcBorders>
              <w:top w:val="single" w:color="000000" w:sz="4" w:space="0"/>
              <w:left w:val="single" w:color="000000" w:sz="4" w:space="0"/>
              <w:bottom w:val="single" w:color="000000" w:sz="4" w:space="0"/>
              <w:right w:val="single" w:color="000000" w:sz="4" w:space="0"/>
            </w:tcBorders>
            <w:vAlign w:val="center"/>
          </w:tcPr>
          <w:p w14:paraId="5F95A2E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386" w:type="pct"/>
            <w:tcBorders>
              <w:top w:val="single" w:color="000000" w:sz="4" w:space="0"/>
              <w:left w:val="single" w:color="000000" w:sz="4" w:space="0"/>
              <w:bottom w:val="single" w:color="000000" w:sz="4" w:space="0"/>
              <w:right w:val="single" w:color="000000" w:sz="4" w:space="0"/>
            </w:tcBorders>
            <w:vAlign w:val="center"/>
          </w:tcPr>
          <w:p w14:paraId="07DDE39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98</w:t>
            </w:r>
          </w:p>
        </w:tc>
        <w:tc>
          <w:tcPr>
            <w:tcW w:w="178" w:type="pct"/>
            <w:tcBorders>
              <w:top w:val="single" w:color="000000" w:sz="4" w:space="0"/>
              <w:left w:val="single" w:color="000000" w:sz="4" w:space="0"/>
              <w:bottom w:val="single" w:color="000000" w:sz="4" w:space="0"/>
              <w:right w:val="single" w:color="000000" w:sz="4" w:space="0"/>
            </w:tcBorders>
            <w:vAlign w:val="center"/>
          </w:tcPr>
          <w:p w14:paraId="0D3471E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171" w:type="pct"/>
            <w:tcBorders>
              <w:top w:val="single" w:color="000000" w:sz="4" w:space="0"/>
              <w:left w:val="single" w:color="000000" w:sz="4" w:space="0"/>
              <w:bottom w:val="single" w:color="000000" w:sz="4" w:space="0"/>
              <w:right w:val="single" w:color="000000" w:sz="4" w:space="0"/>
            </w:tcBorders>
            <w:vAlign w:val="center"/>
          </w:tcPr>
          <w:p w14:paraId="31E4B71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904" w:type="pct"/>
            <w:tcBorders>
              <w:top w:val="single" w:color="000000" w:sz="4" w:space="0"/>
              <w:left w:val="single" w:color="000000" w:sz="4" w:space="0"/>
              <w:bottom w:val="single" w:color="000000" w:sz="4" w:space="0"/>
              <w:right w:val="single" w:color="000000" w:sz="4" w:space="0"/>
            </w:tcBorders>
            <w:vAlign w:val="center"/>
          </w:tcPr>
          <w:p w14:paraId="633C06A4">
            <w:pPr>
              <w:jc w:val="center"/>
              <w:rPr>
                <w:rFonts w:ascii="微软雅黑" w:hAnsi="微软雅黑" w:eastAsia="微软雅黑" w:cs="微软雅黑"/>
                <w:i/>
                <w:iCs/>
                <w:color w:val="000000"/>
                <w:sz w:val="16"/>
                <w:szCs w:val="16"/>
              </w:rPr>
            </w:pPr>
          </w:p>
        </w:tc>
      </w:tr>
      <w:tr w14:paraId="152C7885">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5EDCEB5E">
            <w:pPr>
              <w:jc w:val="center"/>
              <w:rPr>
                <w:rFonts w:hint="eastAsia" w:ascii="宋体" w:hAnsi="宋体" w:cs="宋体"/>
                <w:color w:val="000000"/>
                <w:sz w:val="18"/>
                <w:szCs w:val="18"/>
              </w:rPr>
            </w:pPr>
          </w:p>
        </w:tc>
        <w:tc>
          <w:tcPr>
            <w:tcW w:w="725" w:type="pct"/>
            <w:vMerge w:val="restart"/>
            <w:tcBorders>
              <w:top w:val="single" w:color="000000" w:sz="4" w:space="0"/>
              <w:left w:val="single" w:color="000000" w:sz="4" w:space="0"/>
              <w:bottom w:val="single" w:color="000000" w:sz="4" w:space="0"/>
              <w:right w:val="single" w:color="000000" w:sz="4" w:space="0"/>
            </w:tcBorders>
            <w:vAlign w:val="center"/>
          </w:tcPr>
          <w:p w14:paraId="2CB58DB2">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成本指标</w:t>
            </w:r>
          </w:p>
        </w:tc>
        <w:tc>
          <w:tcPr>
            <w:tcW w:w="627" w:type="pct"/>
            <w:vMerge w:val="restart"/>
            <w:tcBorders>
              <w:top w:val="single" w:color="000000" w:sz="4" w:space="0"/>
              <w:left w:val="single" w:color="000000" w:sz="4" w:space="0"/>
              <w:bottom w:val="single" w:color="000000" w:sz="4" w:space="0"/>
              <w:right w:val="single" w:color="000000" w:sz="4" w:space="0"/>
            </w:tcBorders>
            <w:vAlign w:val="center"/>
          </w:tcPr>
          <w:p w14:paraId="66B95FD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经济成本指标</w:t>
            </w:r>
          </w:p>
        </w:tc>
        <w:tc>
          <w:tcPr>
            <w:tcW w:w="800" w:type="pct"/>
            <w:tcBorders>
              <w:top w:val="single" w:color="000000" w:sz="4" w:space="0"/>
              <w:left w:val="single" w:color="000000" w:sz="4" w:space="0"/>
              <w:bottom w:val="single" w:color="000000" w:sz="4" w:space="0"/>
              <w:right w:val="single" w:color="000000" w:sz="4" w:space="0"/>
            </w:tcBorders>
            <w:vAlign w:val="center"/>
          </w:tcPr>
          <w:p w14:paraId="2CCF220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产业道路工程</w:t>
            </w:r>
          </w:p>
        </w:tc>
        <w:tc>
          <w:tcPr>
            <w:tcW w:w="184" w:type="pct"/>
            <w:tcBorders>
              <w:top w:val="single" w:color="000000" w:sz="4" w:space="0"/>
              <w:left w:val="single" w:color="000000" w:sz="4" w:space="0"/>
              <w:bottom w:val="single" w:color="000000" w:sz="4" w:space="0"/>
              <w:right w:val="single" w:color="000000" w:sz="4" w:space="0"/>
            </w:tcBorders>
            <w:vAlign w:val="center"/>
          </w:tcPr>
          <w:p w14:paraId="2C5D367E">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4C2FCA1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210</w:t>
            </w:r>
          </w:p>
        </w:tc>
        <w:tc>
          <w:tcPr>
            <w:tcW w:w="185" w:type="pct"/>
            <w:tcBorders>
              <w:top w:val="single" w:color="000000" w:sz="4" w:space="0"/>
              <w:left w:val="single" w:color="000000" w:sz="4" w:space="0"/>
              <w:bottom w:val="single" w:color="000000" w:sz="4" w:space="0"/>
              <w:right w:val="single" w:color="000000" w:sz="4" w:space="0"/>
            </w:tcBorders>
            <w:vAlign w:val="center"/>
          </w:tcPr>
          <w:p w14:paraId="1C70E25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386" w:type="pct"/>
            <w:tcBorders>
              <w:top w:val="single" w:color="000000" w:sz="4" w:space="0"/>
              <w:left w:val="single" w:color="000000" w:sz="4" w:space="0"/>
              <w:bottom w:val="single" w:color="000000" w:sz="4" w:space="0"/>
              <w:right w:val="single" w:color="000000" w:sz="4" w:space="0"/>
            </w:tcBorders>
            <w:vAlign w:val="center"/>
          </w:tcPr>
          <w:p w14:paraId="3919D7A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210</w:t>
            </w:r>
          </w:p>
        </w:tc>
        <w:tc>
          <w:tcPr>
            <w:tcW w:w="178" w:type="pct"/>
            <w:tcBorders>
              <w:top w:val="single" w:color="000000" w:sz="4" w:space="0"/>
              <w:left w:val="single" w:color="000000" w:sz="4" w:space="0"/>
              <w:bottom w:val="single" w:color="000000" w:sz="4" w:space="0"/>
              <w:right w:val="single" w:color="000000" w:sz="4" w:space="0"/>
            </w:tcBorders>
            <w:vAlign w:val="center"/>
          </w:tcPr>
          <w:p w14:paraId="5DF1C49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w:t>
            </w:r>
          </w:p>
        </w:tc>
        <w:tc>
          <w:tcPr>
            <w:tcW w:w="171" w:type="pct"/>
            <w:tcBorders>
              <w:top w:val="single" w:color="000000" w:sz="4" w:space="0"/>
              <w:left w:val="single" w:color="000000" w:sz="4" w:space="0"/>
              <w:bottom w:val="single" w:color="000000" w:sz="4" w:space="0"/>
              <w:right w:val="single" w:color="000000" w:sz="4" w:space="0"/>
            </w:tcBorders>
            <w:vAlign w:val="center"/>
          </w:tcPr>
          <w:p w14:paraId="1EA32D16">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w:t>
            </w:r>
          </w:p>
        </w:tc>
        <w:tc>
          <w:tcPr>
            <w:tcW w:w="904" w:type="pct"/>
            <w:tcBorders>
              <w:top w:val="single" w:color="000000" w:sz="4" w:space="0"/>
              <w:left w:val="single" w:color="000000" w:sz="4" w:space="0"/>
              <w:bottom w:val="single" w:color="000000" w:sz="4" w:space="0"/>
              <w:right w:val="single" w:color="000000" w:sz="4" w:space="0"/>
            </w:tcBorders>
            <w:vAlign w:val="center"/>
          </w:tcPr>
          <w:p w14:paraId="6AE6F304">
            <w:pPr>
              <w:jc w:val="center"/>
              <w:rPr>
                <w:rFonts w:ascii="微软雅黑" w:hAnsi="微软雅黑" w:eastAsia="微软雅黑" w:cs="微软雅黑"/>
                <w:i/>
                <w:iCs/>
                <w:color w:val="000000"/>
                <w:sz w:val="16"/>
                <w:szCs w:val="16"/>
              </w:rPr>
            </w:pPr>
          </w:p>
        </w:tc>
      </w:tr>
      <w:tr w14:paraId="6A214957">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38E19C70">
            <w:pPr>
              <w:jc w:val="center"/>
              <w:rPr>
                <w:rFonts w:hint="eastAsia"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vAlign w:val="center"/>
          </w:tcPr>
          <w:p w14:paraId="23CDB8C9">
            <w:pPr>
              <w:jc w:val="center"/>
              <w:rPr>
                <w:rFonts w:hint="eastAsia" w:ascii="宋体" w:hAnsi="宋体" w:cs="宋体"/>
                <w:color w:val="000000"/>
                <w:sz w:val="18"/>
                <w:szCs w:val="18"/>
              </w:rPr>
            </w:pPr>
          </w:p>
        </w:tc>
        <w:tc>
          <w:tcPr>
            <w:tcW w:w="627" w:type="pct"/>
            <w:vMerge w:val="continue"/>
            <w:tcBorders>
              <w:top w:val="single" w:color="000000" w:sz="4" w:space="0"/>
              <w:left w:val="single" w:color="000000" w:sz="4" w:space="0"/>
              <w:bottom w:val="single" w:color="000000" w:sz="4" w:space="0"/>
              <w:right w:val="single" w:color="000000" w:sz="4" w:space="0"/>
            </w:tcBorders>
            <w:vAlign w:val="center"/>
          </w:tcPr>
          <w:p w14:paraId="4DF715F1">
            <w:pPr>
              <w:jc w:val="center"/>
              <w:rPr>
                <w:rFonts w:hint="eastAsia" w:ascii="宋体" w:hAnsi="宋体" w:cs="宋体"/>
                <w:color w:val="000000"/>
                <w:sz w:val="18"/>
                <w:szCs w:val="18"/>
              </w:rPr>
            </w:pPr>
          </w:p>
        </w:tc>
        <w:tc>
          <w:tcPr>
            <w:tcW w:w="800" w:type="pct"/>
            <w:tcBorders>
              <w:top w:val="single" w:color="000000" w:sz="4" w:space="0"/>
              <w:left w:val="single" w:color="000000" w:sz="4" w:space="0"/>
              <w:bottom w:val="single" w:color="000000" w:sz="4" w:space="0"/>
              <w:right w:val="single" w:color="000000" w:sz="4" w:space="0"/>
            </w:tcBorders>
            <w:vAlign w:val="center"/>
          </w:tcPr>
          <w:p w14:paraId="186172F8">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驳岸治理工程</w:t>
            </w:r>
          </w:p>
        </w:tc>
        <w:tc>
          <w:tcPr>
            <w:tcW w:w="184" w:type="pct"/>
            <w:tcBorders>
              <w:top w:val="single" w:color="000000" w:sz="4" w:space="0"/>
              <w:left w:val="single" w:color="000000" w:sz="4" w:space="0"/>
              <w:bottom w:val="single" w:color="000000" w:sz="4" w:space="0"/>
              <w:right w:val="single" w:color="000000" w:sz="4" w:space="0"/>
            </w:tcBorders>
            <w:vAlign w:val="center"/>
          </w:tcPr>
          <w:p w14:paraId="0AD59E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3FB814A7">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230</w:t>
            </w:r>
          </w:p>
        </w:tc>
        <w:tc>
          <w:tcPr>
            <w:tcW w:w="185" w:type="pct"/>
            <w:tcBorders>
              <w:top w:val="single" w:color="000000" w:sz="4" w:space="0"/>
              <w:left w:val="single" w:color="000000" w:sz="4" w:space="0"/>
              <w:bottom w:val="single" w:color="000000" w:sz="4" w:space="0"/>
              <w:right w:val="single" w:color="000000" w:sz="4" w:space="0"/>
            </w:tcBorders>
            <w:vAlign w:val="center"/>
          </w:tcPr>
          <w:p w14:paraId="36116AA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386" w:type="pct"/>
            <w:tcBorders>
              <w:top w:val="single" w:color="000000" w:sz="4" w:space="0"/>
              <w:left w:val="single" w:color="000000" w:sz="4" w:space="0"/>
              <w:bottom w:val="single" w:color="000000" w:sz="4" w:space="0"/>
              <w:right w:val="single" w:color="000000" w:sz="4" w:space="0"/>
            </w:tcBorders>
            <w:vAlign w:val="center"/>
          </w:tcPr>
          <w:p w14:paraId="1BCC8CCC">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230</w:t>
            </w:r>
          </w:p>
        </w:tc>
        <w:tc>
          <w:tcPr>
            <w:tcW w:w="178" w:type="pct"/>
            <w:tcBorders>
              <w:top w:val="single" w:color="000000" w:sz="4" w:space="0"/>
              <w:left w:val="single" w:color="000000" w:sz="4" w:space="0"/>
              <w:bottom w:val="single" w:color="000000" w:sz="4" w:space="0"/>
              <w:right w:val="single" w:color="000000" w:sz="4" w:space="0"/>
            </w:tcBorders>
            <w:vAlign w:val="center"/>
          </w:tcPr>
          <w:p w14:paraId="6BB58F8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171" w:type="pct"/>
            <w:tcBorders>
              <w:top w:val="single" w:color="000000" w:sz="4" w:space="0"/>
              <w:left w:val="single" w:color="000000" w:sz="4" w:space="0"/>
              <w:bottom w:val="single" w:color="000000" w:sz="4" w:space="0"/>
              <w:right w:val="single" w:color="000000" w:sz="4" w:space="0"/>
            </w:tcBorders>
            <w:vAlign w:val="center"/>
          </w:tcPr>
          <w:p w14:paraId="1B6AB97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w:t>
            </w:r>
          </w:p>
        </w:tc>
        <w:tc>
          <w:tcPr>
            <w:tcW w:w="904" w:type="pct"/>
            <w:tcBorders>
              <w:top w:val="single" w:color="000000" w:sz="4" w:space="0"/>
              <w:left w:val="single" w:color="000000" w:sz="4" w:space="0"/>
              <w:bottom w:val="single" w:color="000000" w:sz="4" w:space="0"/>
              <w:right w:val="single" w:color="000000" w:sz="4" w:space="0"/>
            </w:tcBorders>
            <w:vAlign w:val="center"/>
          </w:tcPr>
          <w:p w14:paraId="19DF185F">
            <w:pPr>
              <w:jc w:val="center"/>
              <w:rPr>
                <w:rFonts w:ascii="微软雅黑" w:hAnsi="微软雅黑" w:eastAsia="微软雅黑" w:cs="微软雅黑"/>
                <w:i/>
                <w:iCs/>
                <w:color w:val="000000"/>
                <w:sz w:val="16"/>
                <w:szCs w:val="16"/>
              </w:rPr>
            </w:pPr>
          </w:p>
        </w:tc>
      </w:tr>
      <w:tr w14:paraId="14BD8733">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vAlign w:val="center"/>
          </w:tcPr>
          <w:p w14:paraId="4D78A9D9">
            <w:pPr>
              <w:jc w:val="center"/>
              <w:rPr>
                <w:rFonts w:hint="eastAsia"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vAlign w:val="center"/>
          </w:tcPr>
          <w:p w14:paraId="744D0D71">
            <w:pPr>
              <w:jc w:val="center"/>
              <w:rPr>
                <w:rFonts w:hint="eastAsia" w:ascii="宋体" w:hAnsi="宋体" w:cs="宋体"/>
                <w:color w:val="000000"/>
                <w:sz w:val="18"/>
                <w:szCs w:val="18"/>
              </w:rPr>
            </w:pPr>
          </w:p>
        </w:tc>
        <w:tc>
          <w:tcPr>
            <w:tcW w:w="627" w:type="pct"/>
            <w:vMerge w:val="continue"/>
            <w:tcBorders>
              <w:top w:val="single" w:color="000000" w:sz="4" w:space="0"/>
              <w:left w:val="single" w:color="000000" w:sz="4" w:space="0"/>
              <w:bottom w:val="single" w:color="000000" w:sz="4" w:space="0"/>
              <w:right w:val="single" w:color="000000" w:sz="4" w:space="0"/>
            </w:tcBorders>
            <w:vAlign w:val="center"/>
          </w:tcPr>
          <w:p w14:paraId="12B24E74">
            <w:pPr>
              <w:jc w:val="center"/>
              <w:rPr>
                <w:rFonts w:hint="eastAsia" w:ascii="宋体" w:hAnsi="宋体" w:cs="宋体"/>
                <w:color w:val="000000"/>
                <w:sz w:val="18"/>
                <w:szCs w:val="18"/>
              </w:rPr>
            </w:pPr>
          </w:p>
        </w:tc>
        <w:tc>
          <w:tcPr>
            <w:tcW w:w="800" w:type="pct"/>
            <w:tcBorders>
              <w:top w:val="single" w:color="000000" w:sz="4" w:space="0"/>
              <w:left w:val="single" w:color="000000" w:sz="4" w:space="0"/>
              <w:bottom w:val="single" w:color="000000" w:sz="4" w:space="0"/>
              <w:right w:val="single" w:color="000000" w:sz="4" w:space="0"/>
            </w:tcBorders>
            <w:vAlign w:val="center"/>
          </w:tcPr>
          <w:p w14:paraId="6253A13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产业林工程</w:t>
            </w:r>
          </w:p>
        </w:tc>
        <w:tc>
          <w:tcPr>
            <w:tcW w:w="184" w:type="pct"/>
            <w:tcBorders>
              <w:top w:val="single" w:color="000000" w:sz="4" w:space="0"/>
              <w:left w:val="single" w:color="000000" w:sz="4" w:space="0"/>
              <w:bottom w:val="single" w:color="000000" w:sz="4" w:space="0"/>
              <w:right w:val="single" w:color="000000" w:sz="4" w:space="0"/>
            </w:tcBorders>
            <w:vAlign w:val="center"/>
          </w:tcPr>
          <w:p w14:paraId="58F5F23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w:t>
            </w:r>
          </w:p>
        </w:tc>
        <w:tc>
          <w:tcPr>
            <w:tcW w:w="592" w:type="pct"/>
            <w:tcBorders>
              <w:top w:val="single" w:color="000000" w:sz="4" w:space="0"/>
              <w:left w:val="single" w:color="000000" w:sz="4" w:space="0"/>
              <w:bottom w:val="single" w:color="000000" w:sz="4" w:space="0"/>
              <w:right w:val="single" w:color="000000" w:sz="4" w:space="0"/>
            </w:tcBorders>
            <w:vAlign w:val="center"/>
          </w:tcPr>
          <w:p w14:paraId="1EFABB2A">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360</w:t>
            </w:r>
          </w:p>
        </w:tc>
        <w:tc>
          <w:tcPr>
            <w:tcW w:w="185" w:type="pct"/>
            <w:tcBorders>
              <w:top w:val="single" w:color="000000" w:sz="4" w:space="0"/>
              <w:left w:val="single" w:color="000000" w:sz="4" w:space="0"/>
              <w:bottom w:val="single" w:color="000000" w:sz="4" w:space="0"/>
              <w:right w:val="single" w:color="000000" w:sz="4" w:space="0"/>
            </w:tcBorders>
            <w:vAlign w:val="center"/>
          </w:tcPr>
          <w:p w14:paraId="20B4627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万元</w:t>
            </w:r>
          </w:p>
        </w:tc>
        <w:tc>
          <w:tcPr>
            <w:tcW w:w="386" w:type="pct"/>
            <w:tcBorders>
              <w:top w:val="single" w:color="000000" w:sz="4" w:space="0"/>
              <w:left w:val="single" w:color="000000" w:sz="4" w:space="0"/>
              <w:bottom w:val="single" w:color="000000" w:sz="4" w:space="0"/>
              <w:right w:val="single" w:color="000000" w:sz="4" w:space="0"/>
            </w:tcBorders>
            <w:vAlign w:val="center"/>
          </w:tcPr>
          <w:p w14:paraId="3DC5EAA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360</w:t>
            </w:r>
          </w:p>
        </w:tc>
        <w:tc>
          <w:tcPr>
            <w:tcW w:w="178" w:type="pct"/>
            <w:tcBorders>
              <w:top w:val="single" w:color="000000" w:sz="4" w:space="0"/>
              <w:left w:val="single" w:color="000000" w:sz="4" w:space="0"/>
              <w:bottom w:val="single" w:color="000000" w:sz="4" w:space="0"/>
              <w:right w:val="single" w:color="000000" w:sz="4" w:space="0"/>
            </w:tcBorders>
            <w:vAlign w:val="center"/>
          </w:tcPr>
          <w:p w14:paraId="323DC1E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w:t>
            </w:r>
          </w:p>
        </w:tc>
        <w:tc>
          <w:tcPr>
            <w:tcW w:w="171" w:type="pct"/>
            <w:tcBorders>
              <w:top w:val="single" w:color="000000" w:sz="4" w:space="0"/>
              <w:left w:val="single" w:color="000000" w:sz="4" w:space="0"/>
              <w:bottom w:val="single" w:color="000000" w:sz="4" w:space="0"/>
              <w:right w:val="single" w:color="000000" w:sz="4" w:space="0"/>
            </w:tcBorders>
            <w:vAlign w:val="center"/>
          </w:tcPr>
          <w:p w14:paraId="47586C8D">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5</w:t>
            </w:r>
          </w:p>
        </w:tc>
        <w:tc>
          <w:tcPr>
            <w:tcW w:w="904" w:type="pct"/>
            <w:tcBorders>
              <w:top w:val="single" w:color="000000" w:sz="4" w:space="0"/>
              <w:left w:val="single" w:color="000000" w:sz="4" w:space="0"/>
              <w:bottom w:val="single" w:color="000000" w:sz="4" w:space="0"/>
              <w:right w:val="single" w:color="000000" w:sz="4" w:space="0"/>
            </w:tcBorders>
            <w:vAlign w:val="center"/>
          </w:tcPr>
          <w:p w14:paraId="0D55D82E">
            <w:pPr>
              <w:jc w:val="center"/>
              <w:rPr>
                <w:rFonts w:ascii="微软雅黑" w:hAnsi="微软雅黑" w:eastAsia="微软雅黑" w:cs="微软雅黑"/>
                <w:i/>
                <w:iCs/>
                <w:color w:val="000000"/>
                <w:sz w:val="16"/>
                <w:szCs w:val="16"/>
              </w:rPr>
            </w:pPr>
          </w:p>
        </w:tc>
      </w:tr>
      <w:tr w14:paraId="20DC65ED">
        <w:tblPrEx>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vAlign w:val="center"/>
          </w:tcPr>
          <w:p w14:paraId="5F4CE811">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合计</w:t>
            </w:r>
          </w:p>
        </w:tc>
        <w:tc>
          <w:tcPr>
            <w:tcW w:w="178" w:type="pct"/>
            <w:tcBorders>
              <w:top w:val="single" w:color="000000" w:sz="4" w:space="0"/>
              <w:left w:val="single" w:color="000000" w:sz="4" w:space="0"/>
              <w:bottom w:val="single" w:color="000000" w:sz="4" w:space="0"/>
              <w:right w:val="single" w:color="000000" w:sz="4" w:space="0"/>
            </w:tcBorders>
            <w:vAlign w:val="center"/>
          </w:tcPr>
          <w:p w14:paraId="2B3BCA4F">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171" w:type="pct"/>
            <w:tcBorders>
              <w:top w:val="single" w:color="000000" w:sz="4" w:space="0"/>
              <w:left w:val="single" w:color="000000" w:sz="4" w:space="0"/>
              <w:bottom w:val="single" w:color="000000" w:sz="4" w:space="0"/>
              <w:right w:val="single" w:color="000000" w:sz="4" w:space="0"/>
            </w:tcBorders>
            <w:vAlign w:val="center"/>
          </w:tcPr>
          <w:p w14:paraId="08CEAA22">
            <w:pPr>
              <w:widowControl/>
              <w:jc w:val="right"/>
              <w:textAlignment w:val="center"/>
              <w:rPr>
                <w:rFonts w:hint="eastAsia" w:ascii="宋体" w:hAnsi="宋体" w:cs="宋体"/>
                <w:color w:val="000000"/>
                <w:sz w:val="18"/>
                <w:szCs w:val="18"/>
              </w:rPr>
            </w:pPr>
            <w:r>
              <w:rPr>
                <w:rFonts w:ascii="宋体" w:hAnsi="宋体" w:cs="宋体"/>
                <w:color w:val="000000"/>
                <w:kern w:val="0"/>
                <w:sz w:val="18"/>
                <w:szCs w:val="18"/>
                <w:lang w:bidi="ar"/>
              </w:rPr>
              <w:t>100</w:t>
            </w:r>
          </w:p>
        </w:tc>
        <w:tc>
          <w:tcPr>
            <w:tcW w:w="904" w:type="pct"/>
            <w:tcBorders>
              <w:top w:val="single" w:color="000000" w:sz="4" w:space="0"/>
              <w:left w:val="single" w:color="000000" w:sz="4" w:space="0"/>
              <w:bottom w:val="single" w:color="000000" w:sz="4" w:space="0"/>
              <w:right w:val="single" w:color="000000" w:sz="4" w:space="0"/>
            </w:tcBorders>
            <w:vAlign w:val="center"/>
          </w:tcPr>
          <w:p w14:paraId="20D81D66">
            <w:pPr>
              <w:rPr>
                <w:rFonts w:hint="eastAsia" w:ascii="宋体" w:hAnsi="宋体" w:cs="宋体"/>
                <w:color w:val="000000"/>
                <w:sz w:val="18"/>
                <w:szCs w:val="18"/>
              </w:rPr>
            </w:pPr>
          </w:p>
        </w:tc>
      </w:tr>
      <w:tr w14:paraId="7C0F7265">
        <w:tblPrEx>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vAlign w:val="center"/>
          </w:tcPr>
          <w:p w14:paraId="2CCA588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vAlign w:val="center"/>
          </w:tcPr>
          <w:p w14:paraId="5BAD5AEB">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 xml:space="preserve"> 遂潼天然气综合利用产业园田园综合体项目绩效自评总分100分。项目整体实施成效显著，工程质量达标，核心功能得以实现；资金管理规范，预算执行高效，群众满意度高。</w:t>
            </w:r>
            <w:r>
              <w:rPr>
                <w:rStyle w:val="38"/>
                <w:lang w:bidi="ar"/>
              </w:rPr>
              <w:t>​</w:t>
            </w:r>
          </w:p>
        </w:tc>
      </w:tr>
      <w:tr w14:paraId="1E9E4CCF">
        <w:tblPrEx>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vAlign w:val="center"/>
          </w:tcPr>
          <w:p w14:paraId="64E63A04">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vAlign w:val="center"/>
          </w:tcPr>
          <w:p w14:paraId="67ED8855">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预算编制精准性不足，驳岸治理项目前期勘察时，未充分测算河道淤泥量，项目实施过程中，群众仅参与前期意见征集，未参与施工监督（如质量检查）、验收测评，导致部分工程细节未充分满足群众实际需求，群众 “主人翁” 意识未充分体现。</w:t>
            </w:r>
          </w:p>
        </w:tc>
      </w:tr>
      <w:tr w14:paraId="194F2051">
        <w:tblPrEx>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vAlign w:val="center"/>
          </w:tcPr>
          <w:p w14:paraId="7AE6E3E0">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vAlign w:val="center"/>
          </w:tcPr>
          <w:p w14:paraId="26B1B763">
            <w:pPr>
              <w:widowControl/>
              <w:jc w:val="center"/>
              <w:textAlignment w:val="center"/>
              <w:rPr>
                <w:rFonts w:hint="eastAsia" w:ascii="宋体" w:hAnsi="宋体" w:cs="宋体"/>
                <w:color w:val="000000"/>
                <w:sz w:val="18"/>
                <w:szCs w:val="18"/>
              </w:rPr>
            </w:pPr>
            <w:r>
              <w:rPr>
                <w:rFonts w:ascii="宋体" w:hAnsi="宋体" w:cs="宋体"/>
                <w:color w:val="000000"/>
                <w:kern w:val="0"/>
                <w:sz w:val="18"/>
                <w:szCs w:val="18"/>
                <w:lang w:bidi="ar"/>
              </w:rPr>
              <w:t>后续项目立项前，委托第三方专业机构开展详细勘察，形成《勘察报告》，作为预算编制依据；建立群众参与机制：后续项目实施中，推选群众代表，参与施工监督、验收测评，提升群众参与意识。</w:t>
            </w:r>
          </w:p>
        </w:tc>
      </w:tr>
      <w:tr w14:paraId="38AF1396">
        <w:tblPrEx>
          <w:tblCellMar>
            <w:top w:w="0" w:type="dxa"/>
            <w:left w:w="108" w:type="dxa"/>
            <w:bottom w:w="0" w:type="dxa"/>
            <w:right w:w="108" w:type="dxa"/>
          </w:tblCellMar>
        </w:tblPrEx>
        <w:trPr>
          <w:trHeight w:val="286" w:hRule="atLeast"/>
        </w:trPr>
        <w:tc>
          <w:tcPr>
            <w:tcW w:w="2580" w:type="pct"/>
            <w:gridSpan w:val="5"/>
            <w:tcBorders>
              <w:top w:val="single" w:color="000000" w:sz="4" w:space="0"/>
              <w:left w:val="single" w:color="000000" w:sz="4" w:space="0"/>
              <w:bottom w:val="single" w:color="000000" w:sz="4" w:space="0"/>
              <w:right w:val="single" w:color="000000" w:sz="4" w:space="0"/>
            </w:tcBorders>
            <w:vAlign w:val="center"/>
          </w:tcPr>
          <w:p w14:paraId="178D453A">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项目负责人：何光国</w:t>
            </w:r>
          </w:p>
        </w:tc>
        <w:tc>
          <w:tcPr>
            <w:tcW w:w="2419" w:type="pct"/>
            <w:gridSpan w:val="6"/>
            <w:tcBorders>
              <w:top w:val="single" w:color="000000" w:sz="4" w:space="0"/>
              <w:left w:val="single" w:color="000000" w:sz="4" w:space="0"/>
              <w:bottom w:val="single" w:color="000000" w:sz="4" w:space="0"/>
              <w:right w:val="single" w:color="000000" w:sz="4" w:space="0"/>
            </w:tcBorders>
            <w:vAlign w:val="center"/>
          </w:tcPr>
          <w:p w14:paraId="29FD246A">
            <w:pPr>
              <w:widowControl/>
              <w:jc w:val="left"/>
              <w:textAlignment w:val="center"/>
              <w:rPr>
                <w:rFonts w:ascii="宋体" w:hAnsi="宋体" w:eastAsia="宋体" w:cs="宋体"/>
                <w:color w:val="000000"/>
                <w:kern w:val="0"/>
                <w:sz w:val="18"/>
                <w:szCs w:val="18"/>
                <w:lang w:bidi="ar"/>
              </w:rPr>
            </w:pPr>
            <w:r>
              <w:rPr>
                <w:rFonts w:ascii="宋体" w:hAnsi="宋体" w:eastAsia="宋体" w:cs="宋体"/>
                <w:color w:val="000000"/>
                <w:kern w:val="0"/>
                <w:sz w:val="18"/>
                <w:szCs w:val="18"/>
                <w:lang w:bidi="ar"/>
              </w:rPr>
              <w:t>财务负责人：陶银</w:t>
            </w:r>
          </w:p>
        </w:tc>
      </w:tr>
    </w:tbl>
    <w:p w14:paraId="29FFF6DF">
      <w:pPr>
        <w:spacing w:line="578" w:lineRule="exact"/>
        <w:rPr>
          <w:rFonts w:eastAsia="仿宋_GB2312" w:cs="仿宋_GB2312"/>
          <w:kern w:val="0"/>
          <w:sz w:val="32"/>
          <w:szCs w:val="32"/>
        </w:rPr>
      </w:pPr>
    </w:p>
    <w:p w14:paraId="181442C2">
      <w:pPr>
        <w:widowControl/>
        <w:jc w:val="center"/>
        <w:rPr>
          <w:rFonts w:eastAsia="黑体"/>
          <w:sz w:val="44"/>
          <w:szCs w:val="44"/>
        </w:rPr>
      </w:pPr>
    </w:p>
    <w:p w14:paraId="23D882E2">
      <w:pPr>
        <w:widowControl/>
        <w:jc w:val="center"/>
        <w:rPr>
          <w:rFonts w:eastAsia="黑体"/>
          <w:sz w:val="44"/>
          <w:szCs w:val="44"/>
        </w:rPr>
      </w:pPr>
    </w:p>
    <w:p w14:paraId="22574BDE">
      <w:pPr>
        <w:widowControl/>
        <w:jc w:val="center"/>
        <w:rPr>
          <w:rFonts w:eastAsia="黑体"/>
          <w:sz w:val="44"/>
          <w:szCs w:val="44"/>
        </w:rPr>
      </w:pPr>
    </w:p>
    <w:p w14:paraId="63375BD0">
      <w:pPr>
        <w:widowControl/>
        <w:jc w:val="center"/>
        <w:rPr>
          <w:rFonts w:eastAsia="黑体"/>
          <w:sz w:val="44"/>
          <w:szCs w:val="44"/>
        </w:rPr>
      </w:pPr>
    </w:p>
    <w:p w14:paraId="688AFF56">
      <w:pPr>
        <w:widowControl/>
        <w:jc w:val="center"/>
        <w:rPr>
          <w:rFonts w:eastAsia="黑体"/>
          <w:sz w:val="44"/>
          <w:szCs w:val="44"/>
        </w:rPr>
      </w:pPr>
    </w:p>
    <w:p w14:paraId="0A2F697A">
      <w:pPr>
        <w:widowControl/>
        <w:jc w:val="center"/>
        <w:rPr>
          <w:rFonts w:eastAsia="黑体"/>
          <w:sz w:val="44"/>
          <w:szCs w:val="44"/>
        </w:rPr>
      </w:pPr>
    </w:p>
    <w:p w14:paraId="55C4FF1F">
      <w:pPr>
        <w:widowControl/>
        <w:jc w:val="center"/>
        <w:rPr>
          <w:rFonts w:eastAsia="黑体"/>
          <w:sz w:val="44"/>
          <w:szCs w:val="44"/>
        </w:rPr>
      </w:pPr>
    </w:p>
    <w:p w14:paraId="782344C2">
      <w:pPr>
        <w:widowControl/>
        <w:jc w:val="center"/>
        <w:rPr>
          <w:rFonts w:eastAsia="黑体"/>
          <w:sz w:val="44"/>
          <w:szCs w:val="44"/>
        </w:rPr>
      </w:pPr>
    </w:p>
    <w:p w14:paraId="17E05D14">
      <w:pPr>
        <w:widowControl/>
        <w:jc w:val="center"/>
        <w:rPr>
          <w:rFonts w:eastAsia="黑体"/>
          <w:sz w:val="44"/>
          <w:szCs w:val="44"/>
        </w:rPr>
      </w:pPr>
    </w:p>
    <w:p w14:paraId="45CAA0F4">
      <w:pPr>
        <w:widowControl/>
        <w:jc w:val="center"/>
        <w:rPr>
          <w:rFonts w:eastAsia="黑体"/>
          <w:sz w:val="44"/>
          <w:szCs w:val="44"/>
        </w:rPr>
      </w:pPr>
    </w:p>
    <w:p w14:paraId="4F0AF0A4">
      <w:pPr>
        <w:widowControl/>
        <w:jc w:val="center"/>
        <w:rPr>
          <w:rFonts w:eastAsia="黑体"/>
          <w:sz w:val="44"/>
          <w:szCs w:val="44"/>
        </w:rPr>
      </w:pPr>
    </w:p>
    <w:p w14:paraId="6E411608">
      <w:pPr>
        <w:widowControl/>
        <w:jc w:val="center"/>
        <w:rPr>
          <w:rFonts w:eastAsia="黑体"/>
          <w:sz w:val="44"/>
          <w:szCs w:val="44"/>
        </w:rPr>
      </w:pPr>
    </w:p>
    <w:p w14:paraId="52B1FAF5">
      <w:pPr>
        <w:widowControl/>
        <w:jc w:val="center"/>
        <w:rPr>
          <w:rFonts w:eastAsia="黑体"/>
          <w:sz w:val="44"/>
          <w:szCs w:val="44"/>
        </w:rPr>
      </w:pPr>
    </w:p>
    <w:p w14:paraId="56B4C396">
      <w:pPr>
        <w:widowControl/>
        <w:jc w:val="center"/>
        <w:rPr>
          <w:rFonts w:eastAsia="黑体"/>
          <w:sz w:val="44"/>
          <w:szCs w:val="44"/>
        </w:rPr>
      </w:pPr>
    </w:p>
    <w:p w14:paraId="1434D8D4">
      <w:pPr>
        <w:widowControl/>
        <w:jc w:val="center"/>
        <w:rPr>
          <w:rFonts w:eastAsia="黑体"/>
          <w:sz w:val="44"/>
          <w:szCs w:val="44"/>
        </w:rPr>
      </w:pPr>
    </w:p>
    <w:p w14:paraId="2152B571">
      <w:pPr>
        <w:widowControl/>
        <w:jc w:val="center"/>
        <w:outlineLvl w:val="0"/>
        <w:rPr>
          <w:rFonts w:eastAsia="仿宋"/>
        </w:rPr>
      </w:pPr>
      <w:bookmarkStart w:id="68" w:name="_Toc415509837"/>
      <w:r>
        <w:rPr>
          <w:rFonts w:hint="eastAsia" w:eastAsia="黑体"/>
          <w:sz w:val="44"/>
          <w:szCs w:val="44"/>
        </w:rPr>
        <w:t>第</w:t>
      </w:r>
      <w:r>
        <w:rPr>
          <w:rStyle w:val="31"/>
          <w:rFonts w:hint="eastAsia" w:eastAsia="黑体"/>
          <w:b w:val="0"/>
        </w:rPr>
        <w:t>五部分 附表</w:t>
      </w:r>
      <w:bookmarkEnd w:id="64"/>
      <w:bookmarkEnd w:id="67"/>
      <w:bookmarkEnd w:id="68"/>
      <w:bookmarkStart w:id="69" w:name="_Toc15396619"/>
    </w:p>
    <w:p w14:paraId="59C22FA0">
      <w:pPr>
        <w:pStyle w:val="16"/>
        <w:adjustRightInd w:val="0"/>
        <w:snapToGrid w:val="0"/>
        <w:spacing w:line="560" w:lineRule="exact"/>
        <w:jc w:val="left"/>
        <w:rPr>
          <w:rFonts w:eastAsia="仿宋_GB2312" w:cs="仿宋_GB2312"/>
          <w:sz w:val="32"/>
          <w:szCs w:val="32"/>
        </w:rPr>
      </w:pPr>
    </w:p>
    <w:p w14:paraId="48EA7D3B">
      <w:pPr>
        <w:pStyle w:val="16"/>
        <w:adjustRightInd w:val="0"/>
        <w:snapToGrid w:val="0"/>
        <w:spacing w:line="560" w:lineRule="exact"/>
        <w:jc w:val="left"/>
        <w:outlineLvl w:val="1"/>
        <w:rPr>
          <w:rFonts w:eastAsia="仿宋_GB2312" w:cs="仿宋_GB2312"/>
          <w:sz w:val="32"/>
          <w:szCs w:val="32"/>
        </w:rPr>
      </w:pPr>
      <w:bookmarkStart w:id="70" w:name="_Toc1313751720"/>
      <w:r>
        <w:rPr>
          <w:rFonts w:hint="eastAsia" w:eastAsia="仿宋_GB2312" w:cs="仿宋_GB2312"/>
          <w:sz w:val="32"/>
          <w:szCs w:val="32"/>
        </w:rPr>
        <w:t>一、收入支出决算总表</w:t>
      </w:r>
      <w:bookmarkEnd w:id="69"/>
      <w:bookmarkEnd w:id="70"/>
    </w:p>
    <w:p w14:paraId="46454A24">
      <w:pPr>
        <w:pStyle w:val="16"/>
        <w:adjustRightInd w:val="0"/>
        <w:snapToGrid w:val="0"/>
        <w:spacing w:line="560" w:lineRule="exact"/>
        <w:jc w:val="left"/>
        <w:outlineLvl w:val="1"/>
        <w:rPr>
          <w:rFonts w:eastAsia="仿宋_GB2312" w:cs="仿宋_GB2312"/>
          <w:sz w:val="32"/>
          <w:szCs w:val="32"/>
        </w:rPr>
      </w:pPr>
      <w:bookmarkStart w:id="71" w:name="_Toc15396620"/>
      <w:bookmarkStart w:id="72" w:name="_Toc1128244468"/>
      <w:r>
        <w:rPr>
          <w:rFonts w:hint="eastAsia" w:eastAsia="仿宋_GB2312" w:cs="仿宋_GB2312"/>
          <w:sz w:val="32"/>
          <w:szCs w:val="32"/>
        </w:rPr>
        <w:t>二、收入决算表</w:t>
      </w:r>
      <w:bookmarkEnd w:id="71"/>
      <w:bookmarkEnd w:id="72"/>
    </w:p>
    <w:p w14:paraId="47720BAB">
      <w:pPr>
        <w:pStyle w:val="16"/>
        <w:adjustRightInd w:val="0"/>
        <w:snapToGrid w:val="0"/>
        <w:spacing w:line="560" w:lineRule="exact"/>
        <w:jc w:val="left"/>
        <w:outlineLvl w:val="1"/>
        <w:rPr>
          <w:rFonts w:eastAsia="仿宋_GB2312" w:cs="仿宋_GB2312"/>
          <w:sz w:val="32"/>
          <w:szCs w:val="32"/>
        </w:rPr>
      </w:pPr>
      <w:bookmarkStart w:id="73" w:name="_Toc1779753469"/>
      <w:bookmarkStart w:id="74" w:name="_Toc15396621"/>
      <w:r>
        <w:rPr>
          <w:rFonts w:hint="eastAsia" w:eastAsia="仿宋_GB2312" w:cs="仿宋_GB2312"/>
          <w:sz w:val="32"/>
          <w:szCs w:val="32"/>
        </w:rPr>
        <w:t>三、支出决算表</w:t>
      </w:r>
      <w:bookmarkEnd w:id="73"/>
      <w:bookmarkEnd w:id="74"/>
    </w:p>
    <w:p w14:paraId="537469E2">
      <w:pPr>
        <w:pStyle w:val="16"/>
        <w:adjustRightInd w:val="0"/>
        <w:snapToGrid w:val="0"/>
        <w:spacing w:line="560" w:lineRule="exact"/>
        <w:jc w:val="left"/>
        <w:outlineLvl w:val="1"/>
        <w:rPr>
          <w:rFonts w:eastAsia="仿宋_GB2312" w:cs="仿宋_GB2312"/>
          <w:sz w:val="32"/>
          <w:szCs w:val="32"/>
        </w:rPr>
      </w:pPr>
      <w:bookmarkStart w:id="75" w:name="_Toc15396622"/>
      <w:bookmarkStart w:id="76" w:name="_Toc196055975"/>
      <w:r>
        <w:rPr>
          <w:rFonts w:hint="eastAsia" w:eastAsia="仿宋_GB2312" w:cs="仿宋_GB2312"/>
          <w:sz w:val="32"/>
          <w:szCs w:val="32"/>
        </w:rPr>
        <w:t>四、财政拨款收入支出决算总表</w:t>
      </w:r>
      <w:bookmarkEnd w:id="75"/>
      <w:bookmarkEnd w:id="76"/>
    </w:p>
    <w:p w14:paraId="4000F5E3">
      <w:pPr>
        <w:pStyle w:val="16"/>
        <w:adjustRightInd w:val="0"/>
        <w:snapToGrid w:val="0"/>
        <w:spacing w:line="560" w:lineRule="exact"/>
        <w:jc w:val="left"/>
        <w:outlineLvl w:val="1"/>
        <w:rPr>
          <w:rFonts w:eastAsia="仿宋_GB2312" w:cs="仿宋_GB2312"/>
          <w:sz w:val="32"/>
          <w:szCs w:val="32"/>
        </w:rPr>
      </w:pPr>
      <w:bookmarkStart w:id="77" w:name="_Toc15396623"/>
      <w:bookmarkStart w:id="78" w:name="_Toc1003079773"/>
      <w:r>
        <w:rPr>
          <w:rFonts w:hint="eastAsia" w:eastAsia="仿宋_GB2312" w:cs="仿宋_GB2312"/>
          <w:sz w:val="32"/>
          <w:szCs w:val="32"/>
        </w:rPr>
        <w:t>五、财政拨款支出决算明细表</w:t>
      </w:r>
      <w:bookmarkEnd w:id="77"/>
      <w:bookmarkEnd w:id="78"/>
      <w:bookmarkStart w:id="79" w:name="_Toc15396624"/>
    </w:p>
    <w:p w14:paraId="59342FFD">
      <w:pPr>
        <w:pStyle w:val="16"/>
        <w:adjustRightInd w:val="0"/>
        <w:snapToGrid w:val="0"/>
        <w:spacing w:line="560" w:lineRule="exact"/>
        <w:jc w:val="left"/>
        <w:outlineLvl w:val="1"/>
        <w:rPr>
          <w:rFonts w:eastAsia="仿宋_GB2312" w:cs="仿宋_GB2312"/>
          <w:sz w:val="32"/>
          <w:szCs w:val="32"/>
        </w:rPr>
      </w:pPr>
      <w:bookmarkStart w:id="80" w:name="_Toc395559123"/>
      <w:r>
        <w:rPr>
          <w:rFonts w:hint="eastAsia" w:eastAsia="仿宋_GB2312" w:cs="仿宋_GB2312"/>
          <w:sz w:val="32"/>
          <w:szCs w:val="32"/>
        </w:rPr>
        <w:t>六、一般公共预算财政拨款支出决算表</w:t>
      </w:r>
      <w:bookmarkEnd w:id="79"/>
      <w:bookmarkEnd w:id="80"/>
    </w:p>
    <w:p w14:paraId="0AD37C1D">
      <w:pPr>
        <w:pStyle w:val="16"/>
        <w:adjustRightInd w:val="0"/>
        <w:snapToGrid w:val="0"/>
        <w:spacing w:line="560" w:lineRule="exact"/>
        <w:jc w:val="left"/>
        <w:outlineLvl w:val="1"/>
        <w:rPr>
          <w:rFonts w:eastAsia="仿宋_GB2312" w:cs="仿宋_GB2312"/>
          <w:sz w:val="32"/>
          <w:szCs w:val="32"/>
        </w:rPr>
      </w:pPr>
      <w:bookmarkStart w:id="81" w:name="_Toc15396625"/>
      <w:bookmarkStart w:id="82" w:name="_Toc1694085710"/>
      <w:r>
        <w:rPr>
          <w:rFonts w:hint="eastAsia" w:eastAsia="仿宋_GB2312" w:cs="仿宋_GB2312"/>
          <w:sz w:val="32"/>
          <w:szCs w:val="32"/>
        </w:rPr>
        <w:t>七、一般公共预算财政拨款支出决算明细表</w:t>
      </w:r>
      <w:bookmarkEnd w:id="81"/>
      <w:bookmarkEnd w:id="82"/>
    </w:p>
    <w:p w14:paraId="143A368E">
      <w:pPr>
        <w:pStyle w:val="16"/>
        <w:adjustRightInd w:val="0"/>
        <w:snapToGrid w:val="0"/>
        <w:spacing w:line="560" w:lineRule="exact"/>
        <w:jc w:val="left"/>
        <w:outlineLvl w:val="1"/>
        <w:rPr>
          <w:rFonts w:eastAsia="仿宋_GB2312" w:cs="仿宋_GB2312"/>
          <w:sz w:val="32"/>
          <w:szCs w:val="32"/>
        </w:rPr>
      </w:pPr>
      <w:bookmarkStart w:id="83" w:name="_Toc1881309378"/>
      <w:bookmarkStart w:id="84" w:name="_Toc15396626"/>
      <w:r>
        <w:rPr>
          <w:rFonts w:hint="eastAsia" w:eastAsia="仿宋_GB2312" w:cs="仿宋_GB2312"/>
          <w:sz w:val="32"/>
          <w:szCs w:val="32"/>
        </w:rPr>
        <w:t>八、一般公共预算财政拨款基本支出决算表</w:t>
      </w:r>
      <w:bookmarkEnd w:id="83"/>
      <w:bookmarkEnd w:id="84"/>
    </w:p>
    <w:p w14:paraId="1C4EC474">
      <w:pPr>
        <w:pStyle w:val="16"/>
        <w:adjustRightInd w:val="0"/>
        <w:snapToGrid w:val="0"/>
        <w:spacing w:line="560" w:lineRule="exact"/>
        <w:jc w:val="left"/>
        <w:outlineLvl w:val="1"/>
        <w:rPr>
          <w:rFonts w:eastAsia="仿宋_GB2312" w:cs="仿宋_GB2312"/>
          <w:sz w:val="32"/>
          <w:szCs w:val="32"/>
        </w:rPr>
      </w:pPr>
      <w:bookmarkStart w:id="85" w:name="_Toc1158742070"/>
      <w:bookmarkStart w:id="86" w:name="_Toc15396627"/>
      <w:r>
        <w:rPr>
          <w:rFonts w:hint="eastAsia" w:eastAsia="仿宋_GB2312" w:cs="仿宋_GB2312"/>
          <w:sz w:val="32"/>
          <w:szCs w:val="32"/>
        </w:rPr>
        <w:t>九、一般公共预算财政拨款项目支出决算表</w:t>
      </w:r>
      <w:bookmarkEnd w:id="85"/>
      <w:bookmarkEnd w:id="86"/>
    </w:p>
    <w:p w14:paraId="226AF319">
      <w:pPr>
        <w:pStyle w:val="16"/>
        <w:adjustRightInd w:val="0"/>
        <w:snapToGrid w:val="0"/>
        <w:spacing w:line="560" w:lineRule="exact"/>
        <w:jc w:val="left"/>
        <w:outlineLvl w:val="1"/>
        <w:rPr>
          <w:rFonts w:eastAsia="仿宋_GB2312" w:cs="仿宋_GB2312"/>
          <w:sz w:val="32"/>
          <w:szCs w:val="32"/>
        </w:rPr>
      </w:pPr>
      <w:bookmarkStart w:id="87" w:name="_Toc15396628"/>
      <w:bookmarkStart w:id="88" w:name="_Toc1313820516"/>
      <w:r>
        <w:rPr>
          <w:rFonts w:hint="eastAsia" w:eastAsia="仿宋_GB2312" w:cs="仿宋_GB2312"/>
          <w:sz w:val="32"/>
          <w:szCs w:val="32"/>
        </w:rPr>
        <w:t>十、</w:t>
      </w:r>
      <w:bookmarkEnd w:id="87"/>
      <w:r>
        <w:rPr>
          <w:rFonts w:hint="eastAsia" w:eastAsia="仿宋_GB2312" w:cs="仿宋_GB2312"/>
          <w:sz w:val="32"/>
          <w:szCs w:val="32"/>
        </w:rPr>
        <w:t>政府性基金预算财政拨款收入支出决算表</w:t>
      </w:r>
      <w:bookmarkEnd w:id="88"/>
    </w:p>
    <w:p w14:paraId="0551C8A5">
      <w:pPr>
        <w:pStyle w:val="16"/>
        <w:adjustRightInd w:val="0"/>
        <w:snapToGrid w:val="0"/>
        <w:spacing w:line="560" w:lineRule="exact"/>
        <w:jc w:val="left"/>
        <w:outlineLvl w:val="1"/>
        <w:rPr>
          <w:rFonts w:eastAsia="仿宋_GB2312" w:cs="仿宋_GB2312"/>
          <w:sz w:val="32"/>
          <w:szCs w:val="32"/>
        </w:rPr>
      </w:pPr>
      <w:bookmarkStart w:id="89" w:name="_Toc15396629"/>
      <w:bookmarkStart w:id="90" w:name="_Toc775733710"/>
      <w:r>
        <w:rPr>
          <w:rFonts w:hint="eastAsia" w:eastAsia="仿宋_GB2312" w:cs="仿宋_GB2312"/>
          <w:sz w:val="32"/>
          <w:szCs w:val="32"/>
        </w:rPr>
        <w:t>十一、</w:t>
      </w:r>
      <w:bookmarkEnd w:id="89"/>
      <w:r>
        <w:rPr>
          <w:rFonts w:hint="eastAsia" w:eastAsia="仿宋_GB2312" w:cs="仿宋_GB2312"/>
          <w:sz w:val="32"/>
          <w:szCs w:val="32"/>
        </w:rPr>
        <w:t>国有资本经营预算财政拨款收入支出决算表</w:t>
      </w:r>
      <w:bookmarkEnd w:id="90"/>
    </w:p>
    <w:p w14:paraId="0CC95C19">
      <w:pPr>
        <w:pStyle w:val="16"/>
        <w:adjustRightInd w:val="0"/>
        <w:snapToGrid w:val="0"/>
        <w:spacing w:line="560" w:lineRule="exact"/>
        <w:jc w:val="left"/>
        <w:outlineLvl w:val="1"/>
        <w:rPr>
          <w:rFonts w:eastAsia="仿宋_GB2312" w:cs="仿宋_GB2312"/>
          <w:sz w:val="32"/>
          <w:szCs w:val="32"/>
        </w:rPr>
      </w:pPr>
      <w:bookmarkStart w:id="91" w:name="_Toc15396630"/>
      <w:bookmarkStart w:id="92" w:name="_Toc93953638"/>
      <w:r>
        <w:rPr>
          <w:rFonts w:hint="eastAsia" w:eastAsia="仿宋_GB2312" w:cs="仿宋_GB2312"/>
          <w:sz w:val="32"/>
          <w:szCs w:val="32"/>
        </w:rPr>
        <w:t>十二、</w:t>
      </w:r>
      <w:bookmarkEnd w:id="91"/>
      <w:r>
        <w:rPr>
          <w:rFonts w:hint="eastAsia" w:eastAsia="仿宋_GB2312" w:cs="仿宋_GB2312"/>
          <w:sz w:val="32"/>
          <w:szCs w:val="32"/>
        </w:rPr>
        <w:t>国有资本经营预算财政拨款支出决算表</w:t>
      </w:r>
      <w:bookmarkEnd w:id="92"/>
    </w:p>
    <w:p w14:paraId="73525CAB">
      <w:pPr>
        <w:pStyle w:val="16"/>
        <w:adjustRightInd w:val="0"/>
        <w:snapToGrid w:val="0"/>
        <w:spacing w:line="560" w:lineRule="exact"/>
        <w:jc w:val="left"/>
        <w:outlineLvl w:val="1"/>
        <w:rPr>
          <w:rFonts w:eastAsia="仿宋_GB2312" w:cs="仿宋_GB2312"/>
          <w:sz w:val="32"/>
          <w:szCs w:val="32"/>
        </w:rPr>
      </w:pPr>
      <w:bookmarkStart w:id="93" w:name="_Toc15396631"/>
      <w:bookmarkStart w:id="94" w:name="_Toc1144962126"/>
      <w:r>
        <w:rPr>
          <w:rFonts w:hint="eastAsia" w:eastAsia="仿宋_GB2312" w:cs="仿宋_GB2312"/>
          <w:sz w:val="32"/>
          <w:szCs w:val="32"/>
        </w:rPr>
        <w:t>十三、</w:t>
      </w:r>
      <w:bookmarkEnd w:id="93"/>
      <w:r>
        <w:rPr>
          <w:rFonts w:hint="eastAsia" w:eastAsia="仿宋_GB2312" w:cs="仿宋_GB2312"/>
          <w:sz w:val="32"/>
          <w:szCs w:val="32"/>
        </w:rPr>
        <w:t>财政拨款“三公”经费支出决算表</w:t>
      </w:r>
      <w:bookmarkEnd w:id="94"/>
    </w:p>
    <w:p w14:paraId="1F63AD43">
      <w:pPr>
        <w:outlineLvl w:val="1"/>
      </w:pPr>
    </w:p>
    <w:sectPr>
      <w:footerReference r:id="rId8" w:type="firs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DejaVu Sans">
    <w:altName w:val="Segoe Print"/>
    <w:panose1 w:val="020B0603030804020204"/>
    <w:charset w:val="00"/>
    <w:family w:val="auto"/>
    <w:pitch w:val="default"/>
    <w:sig w:usb0="00000000" w:usb1="00000000" w:usb2="0A246029" w:usb3="0400200C" w:csb0="600001FF" w:csb1="DFFF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03A1">
    <w:pPr>
      <w:pStyle w:val="13"/>
      <w:jc w:val="center"/>
    </w:pPr>
  </w:p>
  <w:p w14:paraId="77BF6235">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5B8C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89CE">
    <w:pPr>
      <w:pStyle w:val="13"/>
      <w:jc w:val="center"/>
    </w:pPr>
  </w:p>
  <w:p w14:paraId="6CA41DE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E749D">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C3F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16C3FB">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6A10C">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500B7">
                          <w:pPr>
                            <w:pStyle w:val="1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EE500B7">
                    <w:pPr>
                      <w:pStyle w:val="13"/>
                    </w:pPr>
                    <w:r>
                      <w:fldChar w:fldCharType="begin"/>
                    </w:r>
                    <w:r>
                      <w:instrText xml:space="preserve"> PAGE  \* MERGEFORMAT </w:instrText>
                    </w:r>
                    <w:r>
                      <w:fldChar w:fldCharType="separate"/>
                    </w:r>
                    <w:r>
                      <w:t>- 2 -</w:t>
                    </w:r>
                    <w:r>
                      <w:fldChar w:fldCharType="end"/>
                    </w:r>
                  </w:p>
                </w:txbxContent>
              </v:textbox>
            </v:shape>
          </w:pict>
        </mc:Fallback>
      </mc:AlternateContent>
    </w:r>
  </w:p>
  <w:p w14:paraId="6A688857">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24E9B">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DA7FED">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77DA7FED">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659F7"/>
    <w:multiLevelType w:val="singleLevel"/>
    <w:tmpl w:val="E35659F7"/>
    <w:lvl w:ilvl="0" w:tentative="0">
      <w:start w:val="2"/>
      <w:numFmt w:val="chineseCounting"/>
      <w:suff w:val="nothing"/>
      <w:lvlText w:val="（%1）"/>
      <w:lvlJc w:val="left"/>
      <w:rPr>
        <w:rFonts w:hint="eastAsia"/>
      </w:rPr>
    </w:lvl>
  </w:abstractNum>
  <w:abstractNum w:abstractNumId="1">
    <w:nsid w:val="6F2043EE"/>
    <w:multiLevelType w:val="singleLevel"/>
    <w:tmpl w:val="6F2043EE"/>
    <w:lvl w:ilvl="0" w:tentative="0">
      <w:start w:val="1"/>
      <w:numFmt w:val="decimal"/>
      <w:pStyle w:val="8"/>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33BA"/>
    <w:rsid w:val="002533F5"/>
    <w:rsid w:val="00260C38"/>
    <w:rsid w:val="002616C0"/>
    <w:rsid w:val="00265372"/>
    <w:rsid w:val="002662AA"/>
    <w:rsid w:val="00280496"/>
    <w:rsid w:val="00294DC9"/>
    <w:rsid w:val="00295495"/>
    <w:rsid w:val="002A31DE"/>
    <w:rsid w:val="002B2613"/>
    <w:rsid w:val="002D6A9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76ACC"/>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0A3"/>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3375"/>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0421"/>
    <w:rsid w:val="00F602DF"/>
    <w:rsid w:val="00F754A1"/>
    <w:rsid w:val="00F81FD9"/>
    <w:rsid w:val="00F841AA"/>
    <w:rsid w:val="00F84A94"/>
    <w:rsid w:val="00F87E96"/>
    <w:rsid w:val="00FA23E8"/>
    <w:rsid w:val="00FD3CC1"/>
    <w:rsid w:val="00FF1E02"/>
    <w:rsid w:val="00FF30B4"/>
    <w:rsid w:val="015975B8"/>
    <w:rsid w:val="02FEBE30"/>
    <w:rsid w:val="061E35DE"/>
    <w:rsid w:val="066E0107"/>
    <w:rsid w:val="07996F6E"/>
    <w:rsid w:val="07DFD8BA"/>
    <w:rsid w:val="09867E8F"/>
    <w:rsid w:val="09C0632E"/>
    <w:rsid w:val="0A2032A3"/>
    <w:rsid w:val="0A962B30"/>
    <w:rsid w:val="0CA8290A"/>
    <w:rsid w:val="0D35B1ED"/>
    <w:rsid w:val="0F98263C"/>
    <w:rsid w:val="101860EC"/>
    <w:rsid w:val="10C055FF"/>
    <w:rsid w:val="11772AA4"/>
    <w:rsid w:val="118107EC"/>
    <w:rsid w:val="13D50BC4"/>
    <w:rsid w:val="13F7C962"/>
    <w:rsid w:val="165E0673"/>
    <w:rsid w:val="16BB723D"/>
    <w:rsid w:val="182D508B"/>
    <w:rsid w:val="186504BB"/>
    <w:rsid w:val="19A445FC"/>
    <w:rsid w:val="1BE8440E"/>
    <w:rsid w:val="1D07089C"/>
    <w:rsid w:val="1D155CEE"/>
    <w:rsid w:val="1E740ACF"/>
    <w:rsid w:val="1FF35744"/>
    <w:rsid w:val="1FF6BC77"/>
    <w:rsid w:val="230D0EB7"/>
    <w:rsid w:val="23860B96"/>
    <w:rsid w:val="240371BF"/>
    <w:rsid w:val="260F557C"/>
    <w:rsid w:val="281408E2"/>
    <w:rsid w:val="29FD04D3"/>
    <w:rsid w:val="2BFF7BC6"/>
    <w:rsid w:val="2C8A61B5"/>
    <w:rsid w:val="2D092B11"/>
    <w:rsid w:val="2DF04E50"/>
    <w:rsid w:val="2F040D46"/>
    <w:rsid w:val="2FAE5751"/>
    <w:rsid w:val="2FB1A395"/>
    <w:rsid w:val="2FD9A7D8"/>
    <w:rsid w:val="319F7F4E"/>
    <w:rsid w:val="3304709D"/>
    <w:rsid w:val="349D6851"/>
    <w:rsid w:val="36AA5135"/>
    <w:rsid w:val="36BE0DA7"/>
    <w:rsid w:val="376B6AA6"/>
    <w:rsid w:val="376D39B2"/>
    <w:rsid w:val="37E16F03"/>
    <w:rsid w:val="37F53A3B"/>
    <w:rsid w:val="37FB6194"/>
    <w:rsid w:val="389B6C89"/>
    <w:rsid w:val="38D469F0"/>
    <w:rsid w:val="39627CCD"/>
    <w:rsid w:val="397BAF1F"/>
    <w:rsid w:val="3AB79AF3"/>
    <w:rsid w:val="3AE402E4"/>
    <w:rsid w:val="3B7EF35A"/>
    <w:rsid w:val="3B872506"/>
    <w:rsid w:val="3B9FDB6C"/>
    <w:rsid w:val="3BF5BC2F"/>
    <w:rsid w:val="3CEBA265"/>
    <w:rsid w:val="3D98207C"/>
    <w:rsid w:val="3DEE7CF3"/>
    <w:rsid w:val="3E78745D"/>
    <w:rsid w:val="3EF55DCA"/>
    <w:rsid w:val="3FF4CAE0"/>
    <w:rsid w:val="3FF7B227"/>
    <w:rsid w:val="44E268DA"/>
    <w:rsid w:val="44FB01E8"/>
    <w:rsid w:val="45830AFA"/>
    <w:rsid w:val="486A6C7A"/>
    <w:rsid w:val="4A627F82"/>
    <w:rsid w:val="4AEA324D"/>
    <w:rsid w:val="4B0E749A"/>
    <w:rsid w:val="4B4F25DA"/>
    <w:rsid w:val="4B9F0A20"/>
    <w:rsid w:val="4BE068DB"/>
    <w:rsid w:val="4D577224"/>
    <w:rsid w:val="4DBF1CEB"/>
    <w:rsid w:val="4EAB630A"/>
    <w:rsid w:val="4ECE2238"/>
    <w:rsid w:val="4F833267"/>
    <w:rsid w:val="4FE9BD67"/>
    <w:rsid w:val="4FF01651"/>
    <w:rsid w:val="4FFB052F"/>
    <w:rsid w:val="5031298A"/>
    <w:rsid w:val="537E6D0A"/>
    <w:rsid w:val="53F74C96"/>
    <w:rsid w:val="56877D6A"/>
    <w:rsid w:val="56E47B74"/>
    <w:rsid w:val="57237D12"/>
    <w:rsid w:val="57BD3DD4"/>
    <w:rsid w:val="5AF92295"/>
    <w:rsid w:val="5BDD79E6"/>
    <w:rsid w:val="5BF561CA"/>
    <w:rsid w:val="5BFF5DFC"/>
    <w:rsid w:val="5CA72CB1"/>
    <w:rsid w:val="5CD71FC4"/>
    <w:rsid w:val="5D1F11B5"/>
    <w:rsid w:val="5DAE1B18"/>
    <w:rsid w:val="5DCE625F"/>
    <w:rsid w:val="5DE7D9E5"/>
    <w:rsid w:val="5DFC26D7"/>
    <w:rsid w:val="5ECEC941"/>
    <w:rsid w:val="5EEFB83E"/>
    <w:rsid w:val="5FBF9FF3"/>
    <w:rsid w:val="5FCD4E2C"/>
    <w:rsid w:val="5FD2E787"/>
    <w:rsid w:val="5FEF394A"/>
    <w:rsid w:val="5FF67715"/>
    <w:rsid w:val="62BF3928"/>
    <w:rsid w:val="63FDBFD4"/>
    <w:rsid w:val="647F5392"/>
    <w:rsid w:val="664B1D71"/>
    <w:rsid w:val="67AA3209"/>
    <w:rsid w:val="698D0931"/>
    <w:rsid w:val="6B053271"/>
    <w:rsid w:val="6B1B22AA"/>
    <w:rsid w:val="6BFF5F09"/>
    <w:rsid w:val="6C4A05C8"/>
    <w:rsid w:val="6C8742B8"/>
    <w:rsid w:val="6DBF5E93"/>
    <w:rsid w:val="6DFF077E"/>
    <w:rsid w:val="6E7E3605"/>
    <w:rsid w:val="6E7FDCC7"/>
    <w:rsid w:val="6ED6A62E"/>
    <w:rsid w:val="6EE00B15"/>
    <w:rsid w:val="6F6FB3EB"/>
    <w:rsid w:val="6F8731EA"/>
    <w:rsid w:val="6FBB5DC1"/>
    <w:rsid w:val="6FBFEB46"/>
    <w:rsid w:val="6FCE6052"/>
    <w:rsid w:val="6FD57C00"/>
    <w:rsid w:val="6FEFFFD8"/>
    <w:rsid w:val="6FF5CC65"/>
    <w:rsid w:val="6FFB47EC"/>
    <w:rsid w:val="6FFF034A"/>
    <w:rsid w:val="70E33D0C"/>
    <w:rsid w:val="712A28F1"/>
    <w:rsid w:val="715C0E4B"/>
    <w:rsid w:val="72233669"/>
    <w:rsid w:val="72734D90"/>
    <w:rsid w:val="7332FE48"/>
    <w:rsid w:val="73AB61DA"/>
    <w:rsid w:val="73AD73D5"/>
    <w:rsid w:val="73B6EB34"/>
    <w:rsid w:val="73FA497D"/>
    <w:rsid w:val="744731E5"/>
    <w:rsid w:val="74BBD01D"/>
    <w:rsid w:val="74ED5379"/>
    <w:rsid w:val="757BB368"/>
    <w:rsid w:val="75DEEEC2"/>
    <w:rsid w:val="76BF4232"/>
    <w:rsid w:val="76E3355F"/>
    <w:rsid w:val="76EEE07D"/>
    <w:rsid w:val="76FF5125"/>
    <w:rsid w:val="776F6FFA"/>
    <w:rsid w:val="778769C8"/>
    <w:rsid w:val="77DC22F5"/>
    <w:rsid w:val="77FB6871"/>
    <w:rsid w:val="77FD630F"/>
    <w:rsid w:val="77FFC653"/>
    <w:rsid w:val="79086DAD"/>
    <w:rsid w:val="79D7FD79"/>
    <w:rsid w:val="79EE5BA4"/>
    <w:rsid w:val="79F7B431"/>
    <w:rsid w:val="7A894339"/>
    <w:rsid w:val="7AFF7572"/>
    <w:rsid w:val="7B6C7DFB"/>
    <w:rsid w:val="7BBFBED0"/>
    <w:rsid w:val="7BC3E394"/>
    <w:rsid w:val="7BCF50B3"/>
    <w:rsid w:val="7C1F3737"/>
    <w:rsid w:val="7CBFC87B"/>
    <w:rsid w:val="7CFE0F48"/>
    <w:rsid w:val="7D7EC23E"/>
    <w:rsid w:val="7E8ADEBF"/>
    <w:rsid w:val="7EDE38C5"/>
    <w:rsid w:val="7EEF11D3"/>
    <w:rsid w:val="7F0971A6"/>
    <w:rsid w:val="7F3F679B"/>
    <w:rsid w:val="7F4FC4EF"/>
    <w:rsid w:val="7F5E4D54"/>
    <w:rsid w:val="7F6E0135"/>
    <w:rsid w:val="7F6FB4D1"/>
    <w:rsid w:val="7F7B25F7"/>
    <w:rsid w:val="7FA30C79"/>
    <w:rsid w:val="7FAF8ABF"/>
    <w:rsid w:val="7FB67009"/>
    <w:rsid w:val="7FB7269E"/>
    <w:rsid w:val="7FBC95A2"/>
    <w:rsid w:val="7FC4833C"/>
    <w:rsid w:val="7FC96657"/>
    <w:rsid w:val="7FDA9588"/>
    <w:rsid w:val="7FDD8DD4"/>
    <w:rsid w:val="7FDF220F"/>
    <w:rsid w:val="7FEDC5F7"/>
    <w:rsid w:val="7FEDD9DE"/>
    <w:rsid w:val="7FF5890D"/>
    <w:rsid w:val="7FF93490"/>
    <w:rsid w:val="99FF2014"/>
    <w:rsid w:val="A6DD0D7F"/>
    <w:rsid w:val="ADC6F725"/>
    <w:rsid w:val="B723B5D5"/>
    <w:rsid w:val="B7CF06AB"/>
    <w:rsid w:val="B7CFA926"/>
    <w:rsid w:val="B7F8786B"/>
    <w:rsid w:val="BABB6AA1"/>
    <w:rsid w:val="BB2F4199"/>
    <w:rsid w:val="BD079C78"/>
    <w:rsid w:val="BD733540"/>
    <w:rsid w:val="BEFFA97B"/>
    <w:rsid w:val="BF3735D5"/>
    <w:rsid w:val="BF7F09AC"/>
    <w:rsid w:val="BFD475C3"/>
    <w:rsid w:val="BFDE5EA6"/>
    <w:rsid w:val="C1FD9E58"/>
    <w:rsid w:val="C7A5EBCB"/>
    <w:rsid w:val="CF6FC6F3"/>
    <w:rsid w:val="CFD3D3D7"/>
    <w:rsid w:val="CFDF1009"/>
    <w:rsid w:val="D7D7B16A"/>
    <w:rsid w:val="D8D6DB89"/>
    <w:rsid w:val="D9F7F614"/>
    <w:rsid w:val="D9FA3E63"/>
    <w:rsid w:val="DB6F4CAB"/>
    <w:rsid w:val="DB777682"/>
    <w:rsid w:val="DBEFCA87"/>
    <w:rsid w:val="DD1FB521"/>
    <w:rsid w:val="DD978314"/>
    <w:rsid w:val="DEFBFEAE"/>
    <w:rsid w:val="DF1F3B80"/>
    <w:rsid w:val="DF6F9789"/>
    <w:rsid w:val="DFAFEAD0"/>
    <w:rsid w:val="DFFFA9E8"/>
    <w:rsid w:val="E5F4E9DC"/>
    <w:rsid w:val="E70FE695"/>
    <w:rsid w:val="EB6302AB"/>
    <w:rsid w:val="ECFED1BC"/>
    <w:rsid w:val="ED1D69BB"/>
    <w:rsid w:val="ED7FD312"/>
    <w:rsid w:val="EF37DB9A"/>
    <w:rsid w:val="EF53993F"/>
    <w:rsid w:val="EF6FD633"/>
    <w:rsid w:val="EFBFB2F4"/>
    <w:rsid w:val="EFBFFA21"/>
    <w:rsid w:val="EFD48667"/>
    <w:rsid w:val="F19E921F"/>
    <w:rsid w:val="F2BEBCB8"/>
    <w:rsid w:val="F36FB518"/>
    <w:rsid w:val="F3DE1A04"/>
    <w:rsid w:val="F3F722E5"/>
    <w:rsid w:val="F5FFB52F"/>
    <w:rsid w:val="FA5F1E70"/>
    <w:rsid w:val="FA5FDB97"/>
    <w:rsid w:val="FB7F486A"/>
    <w:rsid w:val="FBCF92FA"/>
    <w:rsid w:val="FBDFCF28"/>
    <w:rsid w:val="FBFF5B2E"/>
    <w:rsid w:val="FCF7014C"/>
    <w:rsid w:val="FD7FFE2B"/>
    <w:rsid w:val="FDEE196B"/>
    <w:rsid w:val="FDFE6575"/>
    <w:rsid w:val="FE2F633A"/>
    <w:rsid w:val="FEDBF7F1"/>
    <w:rsid w:val="FEDFDDC2"/>
    <w:rsid w:val="FEED32F6"/>
    <w:rsid w:val="FEEE01E5"/>
    <w:rsid w:val="FEF781DD"/>
    <w:rsid w:val="FEFF9EDA"/>
    <w:rsid w:val="FF3F7E3F"/>
    <w:rsid w:val="FF9EFE04"/>
    <w:rsid w:val="FFBA12D7"/>
    <w:rsid w:val="FFBF4B2E"/>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jc w:val="center"/>
      <w:outlineLvl w:val="0"/>
    </w:pPr>
    <w:rPr>
      <w:rFonts w:eastAsia="方正小标宋简体"/>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annotation text"/>
    <w:basedOn w:val="1"/>
    <w:link w:val="40"/>
    <w:unhideWhenUsed/>
    <w:qFormat/>
    <w:uiPriority w:val="99"/>
    <w:pPr>
      <w:jc w:val="left"/>
    </w:pPr>
  </w:style>
  <w:style w:type="paragraph" w:styleId="10">
    <w:name w:val="Body Text"/>
    <w:basedOn w:val="1"/>
    <w:link w:val="28"/>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annotation subject"/>
    <w:basedOn w:val="9"/>
    <w:next w:val="9"/>
    <w:link w:val="41"/>
    <w:semiHidden/>
    <w:unhideWhenUsed/>
    <w:qFormat/>
    <w:uiPriority w:val="99"/>
    <w:rPr>
      <w:b/>
      <w:bCs/>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styleId="22">
    <w:name w:val="annotation reference"/>
    <w:basedOn w:val="19"/>
    <w:semiHidden/>
    <w:unhideWhenUsed/>
    <w:qFormat/>
    <w:uiPriority w:val="99"/>
    <w:rPr>
      <w:sz w:val="21"/>
      <w:szCs w:val="21"/>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4"/>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3"/>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10"/>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link w:val="5"/>
    <w:qFormat/>
    <w:uiPriority w:val="9"/>
    <w:rPr>
      <w:rFonts w:ascii="Times New Roman" w:hAnsi="Times New Roman" w:eastAsia="方正小标宋简体" w:cs="Times New Roman"/>
      <w:b/>
      <w:bCs/>
      <w:kern w:val="44"/>
      <w:sz w:val="44"/>
      <w:szCs w:val="44"/>
      <w:lang w:val="en-US" w:eastAsia="zh-CN" w:bidi="ar-SA"/>
    </w:rPr>
  </w:style>
  <w:style w:type="character" w:customStyle="1" w:styleId="32">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2"/>
    <w:semiHidden/>
    <w:qFormat/>
    <w:uiPriority w:val="99"/>
    <w:rPr>
      <w:rFonts w:ascii="Times New Roman" w:hAnsi="Times New Roman"/>
      <w:kern w:val="2"/>
      <w:sz w:val="18"/>
      <w:szCs w:val="18"/>
    </w:rPr>
  </w:style>
  <w:style w:type="character" w:customStyle="1" w:styleId="35">
    <w:name w:val="标题 3 字符"/>
    <w:basedOn w:val="19"/>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61"/>
    <w:basedOn w:val="19"/>
    <w:qFormat/>
    <w:uiPriority w:val="0"/>
    <w:rPr>
      <w:rFonts w:ascii="DejaVu Sans" w:hAnsi="DejaVu Sans" w:eastAsia="DejaVu Sans" w:cs="DejaVu Sans"/>
      <w:i/>
      <w:iCs/>
      <w:color w:val="000000"/>
      <w:sz w:val="18"/>
      <w:szCs w:val="18"/>
      <w:u w:val="none"/>
    </w:rPr>
  </w:style>
  <w:style w:type="paragraph" w:customStyle="1" w:styleId="3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0">
    <w:name w:val="批注文字 字符"/>
    <w:basedOn w:val="19"/>
    <w:link w:val="9"/>
    <w:qFormat/>
    <w:uiPriority w:val="99"/>
    <w:rPr>
      <w:kern w:val="2"/>
      <w:sz w:val="21"/>
      <w:szCs w:val="24"/>
    </w:rPr>
  </w:style>
  <w:style w:type="character" w:customStyle="1" w:styleId="41">
    <w:name w:val="批注主题 字符"/>
    <w:basedOn w:val="40"/>
    <w:link w:val="17"/>
    <w:semiHidden/>
    <w:qFormat/>
    <w:uiPriority w:val="99"/>
    <w:rPr>
      <w:b/>
      <w:bCs/>
      <w:kern w:val="2"/>
      <w:sz w:val="21"/>
      <w:szCs w:val="24"/>
    </w:rPr>
  </w:style>
  <w:style w:type="paragraph" w:customStyle="1" w:styleId="42">
    <w:name w:val="正文-公1"/>
    <w:basedOn w:val="1"/>
    <w:qFormat/>
    <w:uiPriority w:val="0"/>
    <w:pPr>
      <w:ind w:firstLine="200" w:firstLineChars="200"/>
    </w:pPr>
    <w:rPr>
      <w:rFonts w:eastAsia="宋体"/>
      <w:sz w:val="21"/>
      <w:szCs w:val="20"/>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收入、支出决算总计变动情况图</a:t>
            </a:r>
            <a:endParaRPr lang="zh-CN" altLang="en-US"/>
          </a:p>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endParaRPr lang="zh-CN" altLang="en-US" sz="1000"/>
          </a:p>
        </c:rich>
      </c:tx>
      <c:layout>
        <c:manualLayout>
          <c:xMode val="edge"/>
          <c:yMode val="edge"/>
          <c:x val="0.193421052631579"/>
          <c:y val="0.0416666666666667"/>
        </c:manualLayout>
      </c:layout>
      <c:overlay val="0"/>
      <c:spPr>
        <a:noFill/>
        <a:ln>
          <a:noFill/>
        </a:ln>
        <a:effectLst/>
      </c:spPr>
    </c:title>
    <c:autoTitleDeleted val="0"/>
    <c:plotArea>
      <c:layout/>
      <c:barChart>
        <c:barDir val="col"/>
        <c:grouping val="clustered"/>
        <c:varyColors val="0"/>
        <c:ser>
          <c:idx val="0"/>
          <c:order val="0"/>
          <c:tx>
            <c:strRef>
              <c:f>[工作簿1]Sheet1!$B$1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收入总计</c:v>
                </c:pt>
                <c:pt idx="1">
                  <c:v>支出总计</c:v>
                </c:pt>
              </c:strCache>
            </c:strRef>
          </c:cat>
          <c:val>
            <c:numRef>
              <c:f>[工作簿1]Sheet1!$B$2:$B$3</c:f>
              <c:numCache>
                <c:formatCode>General</c:formatCode>
                <c:ptCount val="2"/>
                <c:pt idx="0">
                  <c:v>9.73</c:v>
                </c:pt>
                <c:pt idx="1">
                  <c:v>9.73</c:v>
                </c:pt>
              </c:numCache>
            </c:numRef>
          </c:val>
        </c:ser>
        <c:ser>
          <c:idx val="1"/>
          <c:order val="1"/>
          <c:tx>
            <c:strRef>
              <c:f>[工作簿1]Sheet1!$C$1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收入总计</c:v>
                </c:pt>
                <c:pt idx="1">
                  <c:v>支出总计</c:v>
                </c:pt>
              </c:strCache>
            </c:strRef>
          </c:cat>
          <c:val>
            <c:numRef>
              <c:f>[工作簿1]Sheet1!$C$2:$C$3</c:f>
              <c:numCache>
                <c:formatCode>General</c:formatCode>
                <c:ptCount val="2"/>
                <c:pt idx="0">
                  <c:v>512.17</c:v>
                </c:pt>
                <c:pt idx="1">
                  <c:v>512.17</c:v>
                </c:pt>
              </c:numCache>
            </c:numRef>
          </c:val>
        </c:ser>
        <c:dLbls>
          <c:showLegendKey val="0"/>
          <c:showVal val="1"/>
          <c:showCatName val="0"/>
          <c:showSerName val="0"/>
          <c:showPercent val="0"/>
          <c:showBubbleSize val="0"/>
        </c:dLbls>
        <c:gapWidth val="246"/>
        <c:overlap val="-28"/>
        <c:axId val="699377271"/>
        <c:axId val="52803052"/>
      </c:barChart>
      <c:catAx>
        <c:axId val="69937727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803052"/>
        <c:crosses val="autoZero"/>
        <c:auto val="1"/>
        <c:lblAlgn val="ctr"/>
        <c:lblOffset val="100"/>
        <c:noMultiLvlLbl val="0"/>
      </c:catAx>
      <c:valAx>
        <c:axId val="52803052"/>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37727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77c5ea2-0ee9-4a44-9d68-f968ebb8c7f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收入决算结构图</a:t>
            </a:r>
            <a:endParaRPr lang="zh-CN" altLang="en-US"/>
          </a:p>
        </c:rich>
      </c:tx>
      <c:layout/>
      <c:overlay val="0"/>
      <c:spPr>
        <a:noFill/>
        <a:ln>
          <a:noFill/>
        </a:ln>
        <a:effectLst/>
      </c:spPr>
    </c:title>
    <c:autoTitleDeleted val="0"/>
    <c:plotArea>
      <c:layout>
        <c:manualLayout>
          <c:layoutTarget val="inner"/>
          <c:xMode val="edge"/>
          <c:yMode val="edge"/>
          <c:x val="0.102368421052632"/>
          <c:y val="0.22037037037037"/>
          <c:w val="0.439210526315789"/>
          <c:h val="0.772685185185185"/>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[工作簿1]Sheet1!$A$1:$A$8</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[工作簿1]Sheet1!$B$1:$B$8</c:f>
              <c:numCache>
                <c:formatCode>0%</c:formatCode>
                <c:ptCount val="8"/>
                <c:pt idx="0">
                  <c:v>1</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dc7ccb8-7997-4ee0-832a-677609275f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支出决算结构图</a:t>
            </a:r>
            <a:endParaRPr lang="zh-CN" altLang="en-US"/>
          </a:p>
        </c:rich>
      </c:tx>
      <c:layout>
        <c:manualLayout>
          <c:xMode val="edge"/>
          <c:yMode val="edge"/>
          <c:x val="0.37175111577842"/>
          <c:y val="0.0187413234613605"/>
        </c:manualLayout>
      </c:layout>
      <c:overlay val="0"/>
      <c:spPr>
        <a:noFill/>
        <a:ln>
          <a:noFill/>
        </a:ln>
        <a:effectLst/>
      </c:spPr>
    </c:title>
    <c:autoTitleDeleted val="0"/>
    <c:plotArea>
      <c:layout>
        <c:manualLayout>
          <c:layoutTarget val="inner"/>
          <c:xMode val="edge"/>
          <c:yMode val="edge"/>
          <c:x val="0.156098540851999"/>
          <c:y val="0.220999700911688"/>
          <c:w val="0.438435284851667"/>
          <c:h val="0.772790374826469"/>
        </c:manualLayout>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[工作簿1]Sheet1!$A$1:$A$5</c:f>
              <c:strCache>
                <c:ptCount val="5"/>
                <c:pt idx="0">
                  <c:v>基本支出</c:v>
                </c:pt>
                <c:pt idx="1">
                  <c:v>项目支出</c:v>
                </c:pt>
                <c:pt idx="2">
                  <c:v>上缴上级支出</c:v>
                </c:pt>
                <c:pt idx="3">
                  <c:v>经营支出</c:v>
                </c:pt>
                <c:pt idx="4">
                  <c:v>对附属单位补助支出</c:v>
                </c:pt>
              </c:strCache>
            </c:strRef>
          </c:cat>
          <c:val>
            <c:numRef>
              <c:f>[工作簿1]Sheet1!$B$1:$B$5</c:f>
              <c:numCache>
                <c:formatCode>0%</c:formatCode>
                <c:ptCount val="5"/>
                <c:pt idx="0">
                  <c:v>0</c:v>
                </c:pt>
                <c:pt idx="1">
                  <c:v>1</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d7a290-96ea-4a13-af0d-3e5394109f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财政拨款收、支决算总计变动情况</a:t>
            </a:r>
            <a:endParaRPr lang="zh-CN" altLang="en-US"/>
          </a:p>
          <a:p>
            <a:pPr defTabSz="914400">
              <a:defRPr lang="zh-CN" sz="1400" b="1" i="0" u="none" strike="noStrike" kern="1200" baseline="0">
                <a:solidFill>
                  <a:schemeClr val="tx1">
                    <a:lumMod val="75000"/>
                    <a:lumOff val="25000"/>
                  </a:schemeClr>
                </a:solidFill>
                <a:latin typeface="+mn-lt"/>
                <a:ea typeface="+mn-ea"/>
                <a:cs typeface="+mn-cs"/>
              </a:defRPr>
            </a:pPr>
            <a:r>
              <a:rPr lang="zh-CN" altLang="en-US" sz="1000"/>
              <a:t>单位：万元</a:t>
            </a:r>
            <a:endParaRPr lang="zh-CN" altLang="en-US" sz="1000"/>
          </a:p>
        </c:rich>
      </c:tx>
      <c:layout/>
      <c:overlay val="0"/>
      <c:spPr>
        <a:noFill/>
        <a:ln>
          <a:noFill/>
        </a:ln>
        <a:effectLst/>
      </c:spPr>
    </c:title>
    <c:autoTitleDeleted val="0"/>
    <c:plotArea>
      <c:layout/>
      <c:barChart>
        <c:barDir val="col"/>
        <c:grouping val="clustered"/>
        <c:varyColors val="0"/>
        <c:ser>
          <c:idx val="0"/>
          <c:order val="0"/>
          <c:tx>
            <c:strRef>
              <c:f>[工作簿1]Sheet1!$B$1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财政拨款收入总计</c:v>
                </c:pt>
                <c:pt idx="1">
                  <c:v>财政拨款支出总计</c:v>
                </c:pt>
              </c:strCache>
            </c:strRef>
          </c:cat>
          <c:val>
            <c:numRef>
              <c:f>[工作簿1]Sheet1!$B$2:$B$3</c:f>
              <c:numCache>
                <c:formatCode>0.00_ </c:formatCode>
                <c:ptCount val="2"/>
                <c:pt idx="0">
                  <c:v>9.73</c:v>
                </c:pt>
                <c:pt idx="1">
                  <c:v>9.73</c:v>
                </c:pt>
              </c:numCache>
            </c:numRef>
          </c:val>
        </c:ser>
        <c:ser>
          <c:idx val="1"/>
          <c:order val="1"/>
          <c:tx>
            <c:strRef>
              <c:f>[工作簿1]Sheet1!$C$1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财政拨款收入总计</c:v>
                </c:pt>
                <c:pt idx="1">
                  <c:v>财政拨款支出总计</c:v>
                </c:pt>
              </c:strCache>
            </c:strRef>
          </c:cat>
          <c:val>
            <c:numRef>
              <c:f>[工作簿1]Sheet1!$C$2:$C$3</c:f>
              <c:numCache>
                <c:formatCode>General</c:formatCode>
                <c:ptCount val="2"/>
                <c:pt idx="0">
                  <c:v>512.17</c:v>
                </c:pt>
                <c:pt idx="1">
                  <c:v>512.17</c:v>
                </c:pt>
              </c:numCache>
            </c:numRef>
          </c:val>
        </c:ser>
        <c:dLbls>
          <c:showLegendKey val="0"/>
          <c:showVal val="1"/>
          <c:showCatName val="0"/>
          <c:showSerName val="0"/>
          <c:showPercent val="0"/>
          <c:showBubbleSize val="0"/>
        </c:dLbls>
        <c:gapWidth val="246"/>
        <c:overlap val="-28"/>
        <c:axId val="291284387"/>
        <c:axId val="533934315"/>
      </c:barChart>
      <c:catAx>
        <c:axId val="29128438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3934315"/>
        <c:crosses val="autoZero"/>
        <c:auto val="1"/>
        <c:lblAlgn val="ctr"/>
        <c:lblOffset val="100"/>
        <c:noMultiLvlLbl val="0"/>
      </c:catAx>
      <c:valAx>
        <c:axId val="533934315"/>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128438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8ece6a5-6fc2-41ba-a59e-47b1b35de6f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一般公共预算财政拨款支出决算变动情况</a:t>
            </a:r>
            <a:endParaRPr lang="zh-CN" altLang="en-US"/>
          </a:p>
          <a:p>
            <a:pPr defTabSz="914400">
              <a:defRPr lang="zh-CN" sz="1400" b="1" i="0" u="none" strike="noStrike" kern="1200" baseline="0">
                <a:solidFill>
                  <a:schemeClr val="tx1">
                    <a:lumMod val="75000"/>
                    <a:lumOff val="25000"/>
                  </a:schemeClr>
                </a:solidFill>
                <a:latin typeface="+mn-lt"/>
                <a:ea typeface="+mn-ea"/>
                <a:cs typeface="+mn-cs"/>
              </a:defRPr>
            </a:pPr>
            <a:r>
              <a:rPr lang="zh-CN" altLang="en-US"/>
              <a:t>                                           </a:t>
            </a:r>
            <a:r>
              <a:rPr lang="zh-CN" altLang="en-US" sz="1000"/>
              <a:t> 单位：万元</a:t>
            </a:r>
            <a:endParaRPr lang="zh-CN" altLang="en-US" sz="1000"/>
          </a:p>
        </c:rich>
      </c:tx>
      <c:layout/>
      <c:overlay val="0"/>
      <c:spPr>
        <a:noFill/>
        <a:ln>
          <a:noFill/>
        </a:ln>
        <a:effectLst/>
      </c:spPr>
    </c:title>
    <c:autoTitleDeleted val="0"/>
    <c:plotArea>
      <c:layout>
        <c:manualLayout>
          <c:layoutTarget val="inner"/>
          <c:xMode val="edge"/>
          <c:yMode val="edge"/>
          <c:x val="0.0815263157894737"/>
          <c:y val="0.298148148148148"/>
          <c:w val="0.870315789473684"/>
          <c:h val="0.63388888888888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2023年</c:v>
                </c:pt>
                <c:pt idx="1">
                  <c:v>2024年</c:v>
                </c:pt>
              </c:strCache>
            </c:strRef>
          </c:cat>
          <c:val>
            <c:numRef>
              <c:f>[工作簿1]Sheet1!$B$1:$B$2</c:f>
              <c:numCache>
                <c:formatCode>0.00_ </c:formatCode>
                <c:ptCount val="2"/>
                <c:pt idx="0">
                  <c:v>9.73</c:v>
                </c:pt>
                <c:pt idx="1">
                  <c:v>512.17</c:v>
                </c:pt>
              </c:numCache>
            </c:numRef>
          </c:val>
        </c:ser>
        <c:dLbls>
          <c:showLegendKey val="0"/>
          <c:showVal val="1"/>
          <c:showCatName val="0"/>
          <c:showSerName val="0"/>
          <c:showPercent val="0"/>
          <c:showBubbleSize val="0"/>
        </c:dLbls>
        <c:gapWidth val="246"/>
        <c:overlap val="-28"/>
        <c:axId val="136962772"/>
        <c:axId val="482478226"/>
      </c:barChart>
      <c:catAx>
        <c:axId val="1369627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2478226"/>
        <c:crosses val="autoZero"/>
        <c:auto val="1"/>
        <c:lblAlgn val="ctr"/>
        <c:lblOffset val="100"/>
        <c:noMultiLvlLbl val="0"/>
      </c:catAx>
      <c:valAx>
        <c:axId val="482478226"/>
        <c:scaling>
          <c:orientation val="minMax"/>
        </c:scaling>
        <c:delete val="0"/>
        <c:axPos val="l"/>
        <c:majorGridlines>
          <c:spPr>
            <a:ln w="9525" cap="flat" cmpd="sng" algn="ctr">
              <a:solidFill>
                <a:schemeClr val="lt1">
                  <a:lumMod val="902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962772"/>
        <c:crosses val="autoZero"/>
        <c:crossBetween val="between"/>
      </c:valAx>
      <c:spPr>
        <a:noFill/>
        <a:ln>
          <a:noFill/>
        </a:ln>
        <a:effectLst/>
      </c:spPr>
    </c:plotArea>
    <c:plotVisOnly val="1"/>
    <c:dispBlanksAs val="gap"/>
    <c:showDLblsOverMax val="0"/>
    <c:extLst>
      <c:ext uri="{0b15fc19-7d7d-44ad-8c2d-2c3a37ce22c3}">
        <chartProps xmlns="https://web.wps.cn/et/2018/main" chartId="{3e6708e5-b2b7-4e10-919c-46a48397ff6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一般公共预算财政拨款支出决算结构</a:t>
            </a:r>
            <a:endParaRPr lang="zh-CN" altLang="en-US"/>
          </a:p>
        </c:rich>
      </c:tx>
      <c:layout>
        <c:manualLayout>
          <c:xMode val="edge"/>
          <c:yMode val="edge"/>
          <c:x val="0.206052631578947"/>
          <c:y val="0.0444444444444444"/>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[工作簿1]Sheet1!$C$7:$C$8</c:f>
              <c:strCache>
                <c:ptCount val="1"/>
                <c:pt idx="0">
                  <c:v>一般公共预算财政拨款支出决算结构</c:v>
                </c:pt>
              </c:strCache>
            </c:strRef>
          </c:cat>
          <c:val>
            <c:numRef>
              <c:f>Sheet1!$D$7:$D$8</c:f>
              <c:numCache>
                <c:formatCode>0%</c:formatCode>
                <c:ptCount val="1"/>
                <c:pt idx="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46ff94-1c72-41ac-9dd6-4895966dd0f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“三公”经费财政拨款支出结构</a:t>
            </a:r>
            <a:endParaRPr lang="zh-CN" altLang="en-US"/>
          </a:p>
        </c:rich>
      </c:tx>
      <c:layout>
        <c:manualLayout>
          <c:xMode val="edge"/>
          <c:yMode val="edge"/>
          <c:x val="0.203340333377084"/>
          <c:y val="0.0624490904154222"/>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[工作簿1]Sheet1!$A$1:$A$3</c:f>
              <c:strCache>
                <c:ptCount val="3"/>
                <c:pt idx="0">
                  <c:v>因公出国（境）费支出</c:v>
                </c:pt>
                <c:pt idx="1">
                  <c:v>公务用车购置及运行维护费支出</c:v>
                </c:pt>
                <c:pt idx="2">
                  <c:v>公务接待费支出</c:v>
                </c:pt>
              </c:strCache>
            </c:strRef>
          </c:cat>
          <c:val>
            <c:numRef>
              <c:f>[工作簿1]Sheet1!$B$1:$B$3</c:f>
              <c:numCache>
                <c:formatCode>0.00%</c:formatCode>
                <c:ptCount val="3"/>
                <c:pt idx="0">
                  <c:v>0</c:v>
                </c:pt>
                <c:pt idx="1" c:formatCode="0.00_ ">
                  <c:v>0</c:v>
                </c:pt>
                <c:pt idx="2" c:formatCode="0%">
                  <c:v>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4b724e8-96c0-456a-8173-2f3ab603209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35</Pages>
  <Words>5695</Words>
  <Characters>6135</Characters>
  <Lines>437</Lines>
  <Paragraphs>413</Paragraphs>
  <TotalTime>23</TotalTime>
  <ScaleCrop>false</ScaleCrop>
  <LinksUpToDate>false</LinksUpToDate>
  <CharactersWithSpaces>6286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2020-08-11T17:49:00Z</dcterms:created>
  <dc:creator>曹颖</dc:creator>
  <cp:lastModifiedBy>Administrator</cp:lastModifiedBy>
  <cp:lastPrinted>2025-08-01T14:54:00Z</cp:lastPrinted>
  <dcterms:modified xsi:type="dcterms:W3CDTF">2025-08-29T02:41:42Z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3A556C925ED47F1314FAAE6849B84F37_43</vt:lpwstr>
  </property>
  <property fmtid="{D5CDD505-2E9C-101B-9397-08002B2CF9AE}" pid="4" name="KSOTemplateDocerSaveRecord">
    <vt:lpwstr>eyJoZGlkIjoiZGM4NjUzNDA1NDkyY2MxZmJmZThlN2U3ZTFkMjcwOGYifQ==</vt:lpwstr>
  </property>
</Properties>
</file>